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F14FD" w14:textId="77777777" w:rsidR="001C0D1C" w:rsidRDefault="000836A2">
      <w:pPr>
        <w:pStyle w:val="Heading1"/>
      </w:pPr>
      <w:r>
        <w:t>Toxicant default guideline values for aquatic ecosystem protection</w:t>
      </w:r>
    </w:p>
    <w:p w14:paraId="5E7F14FE" w14:textId="77777777" w:rsidR="001C0D1C" w:rsidRDefault="000836A2">
      <w:pPr>
        <w:pStyle w:val="Subtitle"/>
      </w:pPr>
      <w:r>
        <w:t>Alpha-</w:t>
      </w:r>
      <w:r w:rsidR="00C40445">
        <w:t>cypermethrin</w:t>
      </w:r>
      <w:r w:rsidR="00EE7040">
        <w:t xml:space="preserve"> </w:t>
      </w:r>
      <w:r w:rsidR="004D52CE">
        <w:t>in freshwater</w:t>
      </w:r>
    </w:p>
    <w:p w14:paraId="5E7F14FF" w14:textId="77777777" w:rsidR="001C0D1C" w:rsidRDefault="000836A2">
      <w:pPr>
        <w:pStyle w:val="Documenttype"/>
      </w:pPr>
      <w:r>
        <w:t>Technical brief</w:t>
      </w:r>
    </w:p>
    <w:p w14:paraId="5E7F1500" w14:textId="77777777" w:rsidR="001C0D1C" w:rsidRDefault="000836A2">
      <w:pPr>
        <w:pStyle w:val="Publicationdate"/>
        <w:rPr>
          <w:highlight w:val="yellow"/>
        </w:rPr>
      </w:pPr>
      <w:r>
        <w:t>July 20</w:t>
      </w:r>
      <w:r w:rsidR="00414A32">
        <w:t>2</w:t>
      </w:r>
      <w:r w:rsidR="0048549D">
        <w:t>3</w:t>
      </w:r>
    </w:p>
    <w:p w14:paraId="5E7F1501" w14:textId="77777777" w:rsidR="001C0D1C" w:rsidRDefault="000836A2">
      <w:pPr>
        <w:spacing w:after="0" w:line="240" w:lineRule="auto"/>
        <w:rPr>
          <w:noProof/>
          <w:lang w:eastAsia="en-AU"/>
        </w:rPr>
      </w:pPr>
      <w:r>
        <w:br w:type="page"/>
      </w:r>
    </w:p>
    <w:p w14:paraId="5E7F1502" w14:textId="77777777" w:rsidR="001C0D1C" w:rsidRDefault="000836A2">
      <w:pPr>
        <w:rPr>
          <w:sz w:val="18"/>
          <w:szCs w:val="18"/>
        </w:rPr>
      </w:pPr>
      <w:r>
        <w:rPr>
          <w:sz w:val="18"/>
          <w:szCs w:val="18"/>
        </w:rPr>
        <w:lastRenderedPageBreak/>
        <w:t xml:space="preserve">© Commonwealth of Australia </w:t>
      </w:r>
      <w:r w:rsidR="00F91FE4">
        <w:rPr>
          <w:sz w:val="18"/>
          <w:szCs w:val="18"/>
        </w:rPr>
        <w:t>202</w:t>
      </w:r>
      <w:r w:rsidR="0048549D">
        <w:rPr>
          <w:sz w:val="18"/>
          <w:szCs w:val="18"/>
        </w:rPr>
        <w:t>3</w:t>
      </w:r>
    </w:p>
    <w:p w14:paraId="5E7F1503" w14:textId="77777777" w:rsidR="001C0D1C" w:rsidRDefault="000836A2">
      <w:pPr>
        <w:spacing w:after="0"/>
        <w:rPr>
          <w:rFonts w:ascii="Calibri" w:hAnsi="Calibri"/>
          <w:b/>
          <w:sz w:val="18"/>
          <w:szCs w:val="18"/>
        </w:rPr>
      </w:pPr>
      <w:r>
        <w:rPr>
          <w:rFonts w:ascii="Calibri" w:hAnsi="Calibri"/>
          <w:b/>
          <w:sz w:val="18"/>
          <w:szCs w:val="18"/>
        </w:rPr>
        <w:t>Ownership of intellectual property rights</w:t>
      </w:r>
    </w:p>
    <w:p w14:paraId="5E7F1504" w14:textId="77777777" w:rsidR="004D52CE" w:rsidRDefault="000836A2" w:rsidP="004D52CE">
      <w:pPr>
        <w:rPr>
          <w:sz w:val="18"/>
          <w:szCs w:val="18"/>
        </w:rPr>
      </w:pPr>
      <w:r>
        <w:rPr>
          <w:sz w:val="18"/>
          <w:szCs w:val="18"/>
        </w:rPr>
        <w:t xml:space="preserve">Unless otherwise noted, copyright (and any </w:t>
      </w:r>
      <w:r>
        <w:rPr>
          <w:sz w:val="18"/>
          <w:szCs w:val="18"/>
        </w:rPr>
        <w:t>other intellectual property rights, if any) in this publication is owned by the Commonwealth of Australia (referred to as the Commonwealth).</w:t>
      </w:r>
    </w:p>
    <w:p w14:paraId="5E7F1505" w14:textId="77777777" w:rsidR="00B151F6" w:rsidRDefault="000836A2" w:rsidP="00B151F6">
      <w:pPr>
        <w:spacing w:after="0"/>
        <w:rPr>
          <w:rFonts w:ascii="Calibri" w:hAnsi="Calibri"/>
          <w:b/>
          <w:sz w:val="18"/>
          <w:szCs w:val="18"/>
        </w:rPr>
      </w:pPr>
      <w:r>
        <w:rPr>
          <w:rFonts w:ascii="Calibri" w:hAnsi="Calibri"/>
          <w:b/>
          <w:sz w:val="18"/>
          <w:szCs w:val="18"/>
        </w:rPr>
        <w:t>Creative Commons licence</w:t>
      </w:r>
    </w:p>
    <w:p w14:paraId="5E7F1506" w14:textId="77777777" w:rsidR="00B151F6" w:rsidRDefault="000836A2" w:rsidP="00B151F6">
      <w:pPr>
        <w:rPr>
          <w:sz w:val="18"/>
          <w:szCs w:val="18"/>
        </w:rPr>
      </w:pPr>
      <w:r>
        <w:rPr>
          <w:sz w:val="18"/>
          <w:szCs w:val="18"/>
        </w:rPr>
        <w:t>All material in this publication is licensed under a Creative Commons Attribution 4.0 Aust</w:t>
      </w:r>
      <w:r>
        <w:rPr>
          <w:sz w:val="18"/>
          <w:szCs w:val="18"/>
        </w:rPr>
        <w:t>ralia Licence, save for content supplied by third parties, photographic images, logos and the Commonwealth Coat of Arms.</w:t>
      </w:r>
    </w:p>
    <w:p w14:paraId="5E7F1507" w14:textId="77777777" w:rsidR="00B151F6" w:rsidRDefault="000836A2" w:rsidP="00B151F6">
      <w:pPr>
        <w:rPr>
          <w:sz w:val="18"/>
          <w:szCs w:val="18"/>
        </w:rPr>
      </w:pPr>
      <w:r>
        <w:rPr>
          <w:noProof/>
          <w:sz w:val="18"/>
          <w:szCs w:val="18"/>
          <w:lang w:eastAsia="en-AU"/>
        </w:rPr>
        <w:drawing>
          <wp:anchor distT="0" distB="0" distL="114300" distR="114300" simplePos="0" relativeHeight="251658240" behindDoc="0" locked="0" layoutInCell="1" allowOverlap="1" wp14:anchorId="5E7F1736" wp14:editId="5E7F1737">
            <wp:simplePos x="0" y="0"/>
            <wp:positionH relativeFrom="column">
              <wp:align>left</wp:align>
            </wp:positionH>
            <wp:positionV relativeFrom="paragraph">
              <wp:align>top</wp:align>
            </wp:positionV>
            <wp:extent cx="723900" cy="255905"/>
            <wp:effectExtent l="0" t="0" r="0" b="0"/>
            <wp:wrapSquare wrapText="bothSides"/>
            <wp:docPr id="3"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991931" name="Picture 1" descr="by"/>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23900" cy="255905"/>
                    </a:xfrm>
                    <a:prstGeom prst="rect">
                      <a:avLst/>
                    </a:prstGeom>
                    <a:noFill/>
                    <a:ln w="9525">
                      <a:noFill/>
                      <a:miter lim="800000"/>
                      <a:headEnd/>
                      <a:tailEnd/>
                    </a:ln>
                  </pic:spPr>
                </pic:pic>
              </a:graphicData>
            </a:graphic>
          </wp:anchor>
        </w:drawing>
      </w:r>
      <w:r>
        <w:rPr>
          <w:sz w:val="18"/>
          <w:szCs w:val="18"/>
        </w:rPr>
        <w:br w:type="textWrapping" w:clear="all"/>
      </w:r>
      <w:r>
        <w:rPr>
          <w:sz w:val="18"/>
          <w:szCs w:val="18"/>
        </w:rPr>
        <w:t>Creative Commons Attribution 4.0 Australia Licence is a standard form licence agreement that allows you to copy, distribute, transmit</w:t>
      </w:r>
      <w:r>
        <w:rPr>
          <w:sz w:val="18"/>
          <w:szCs w:val="18"/>
        </w:rPr>
        <w:t xml:space="preserve"> and adapt this publication provided you attribute the work. See the </w:t>
      </w:r>
      <w:hyperlink r:id="rId14" w:history="1">
        <w:r>
          <w:rPr>
            <w:rStyle w:val="Hyperlink"/>
            <w:sz w:val="18"/>
            <w:szCs w:val="18"/>
          </w:rPr>
          <w:t>summary of the licence terms</w:t>
        </w:r>
      </w:hyperlink>
      <w:r>
        <w:rPr>
          <w:sz w:val="18"/>
          <w:szCs w:val="18"/>
        </w:rPr>
        <w:t xml:space="preserve"> or the full licence terms.</w:t>
      </w:r>
    </w:p>
    <w:p w14:paraId="5E7F1508" w14:textId="77777777" w:rsidR="00B151F6" w:rsidRDefault="000836A2" w:rsidP="00B151F6">
      <w:pPr>
        <w:rPr>
          <w:sz w:val="18"/>
          <w:szCs w:val="18"/>
        </w:rPr>
      </w:pPr>
      <w:r>
        <w:rPr>
          <w:sz w:val="18"/>
          <w:szCs w:val="18"/>
        </w:rPr>
        <w:t xml:space="preserve">Inquiries about the licence and any use of this document should be emailed to </w:t>
      </w:r>
      <w:hyperlink r:id="rId15" w:history="1">
        <w:r w:rsidRPr="00B87B49">
          <w:rPr>
            <w:rStyle w:val="Hyperlink"/>
            <w:sz w:val="18"/>
            <w:szCs w:val="18"/>
          </w:rPr>
          <w:t>copyright@dcceew.gov.au</w:t>
        </w:r>
      </w:hyperlink>
      <w:r>
        <w:rPr>
          <w:sz w:val="18"/>
          <w:szCs w:val="18"/>
        </w:rPr>
        <w:t>.</w:t>
      </w:r>
    </w:p>
    <w:p w14:paraId="5E7F1509" w14:textId="77777777" w:rsidR="001C0D1C" w:rsidRDefault="000836A2">
      <w:pPr>
        <w:spacing w:after="0"/>
        <w:rPr>
          <w:rFonts w:ascii="Calibri" w:hAnsi="Calibri"/>
          <w:b/>
          <w:sz w:val="18"/>
          <w:szCs w:val="18"/>
        </w:rPr>
      </w:pPr>
      <w:r>
        <w:rPr>
          <w:rFonts w:ascii="Calibri" w:hAnsi="Calibri"/>
          <w:b/>
          <w:sz w:val="18"/>
          <w:szCs w:val="18"/>
        </w:rPr>
        <w:t>Cataloguing data</w:t>
      </w:r>
    </w:p>
    <w:p w14:paraId="5E7F150A" w14:textId="77777777" w:rsidR="00B151F6" w:rsidRDefault="000836A2" w:rsidP="00B151F6">
      <w:pPr>
        <w:rPr>
          <w:sz w:val="18"/>
          <w:szCs w:val="18"/>
        </w:rPr>
      </w:pPr>
      <w:r>
        <w:rPr>
          <w:sz w:val="18"/>
          <w:szCs w:val="18"/>
        </w:rPr>
        <w:t>This publication (and any material sourced from it) sh</w:t>
      </w:r>
      <w:r>
        <w:rPr>
          <w:sz w:val="18"/>
          <w:szCs w:val="18"/>
        </w:rPr>
        <w:t xml:space="preserve">ould be attributed as: </w:t>
      </w:r>
      <w:r w:rsidR="00C35989">
        <w:rPr>
          <w:sz w:val="18"/>
          <w:szCs w:val="18"/>
        </w:rPr>
        <w:t xml:space="preserve">ANZG </w:t>
      </w:r>
      <w:r w:rsidR="0067661E">
        <w:rPr>
          <w:sz w:val="18"/>
          <w:szCs w:val="18"/>
        </w:rPr>
        <w:t>202</w:t>
      </w:r>
      <w:r w:rsidR="0048549D">
        <w:rPr>
          <w:sz w:val="18"/>
          <w:szCs w:val="18"/>
        </w:rPr>
        <w:t>3</w:t>
      </w:r>
      <w:r>
        <w:rPr>
          <w:sz w:val="18"/>
          <w:szCs w:val="18"/>
        </w:rPr>
        <w:t>,</w:t>
      </w:r>
      <w:r w:rsidR="00DF1801">
        <w:rPr>
          <w:sz w:val="18"/>
          <w:szCs w:val="18"/>
        </w:rPr>
        <w:t xml:space="preserve"> </w:t>
      </w:r>
      <w:r>
        <w:rPr>
          <w:i/>
          <w:sz w:val="18"/>
          <w:szCs w:val="18"/>
        </w:rPr>
        <w:t xml:space="preserve">Toxicant default guideline values for aquatic ecosystem protection: </w:t>
      </w:r>
      <w:r w:rsidR="00C40445">
        <w:rPr>
          <w:i/>
          <w:sz w:val="18"/>
          <w:szCs w:val="18"/>
        </w:rPr>
        <w:t>Alpha-cypermethrin</w:t>
      </w:r>
      <w:r>
        <w:rPr>
          <w:i/>
          <w:sz w:val="18"/>
          <w:szCs w:val="18"/>
        </w:rPr>
        <w:t xml:space="preserve"> in freshwater. </w:t>
      </w:r>
      <w:r w:rsidR="00C35989">
        <w:rPr>
          <w:sz w:val="18"/>
          <w:szCs w:val="18"/>
        </w:rPr>
        <w:t xml:space="preserve">Australian and New Zealand Guidelines for Fresh and Marine Water Quality. </w:t>
      </w:r>
      <w:r w:rsidRPr="00D47CA4">
        <w:rPr>
          <w:sz w:val="18"/>
          <w:szCs w:val="18"/>
        </w:rPr>
        <w:t>CC BY 4.0. Australian and New Zealand Governme</w:t>
      </w:r>
      <w:r w:rsidRPr="00D47CA4">
        <w:rPr>
          <w:sz w:val="18"/>
          <w:szCs w:val="18"/>
        </w:rPr>
        <w:t>nts and Australian state and territory governments, Canberra, ACT, Australia</w:t>
      </w:r>
      <w:r>
        <w:rPr>
          <w:sz w:val="18"/>
          <w:szCs w:val="18"/>
        </w:rPr>
        <w:t>.</w:t>
      </w:r>
    </w:p>
    <w:p w14:paraId="5E7F150B" w14:textId="77777777" w:rsidR="00B151F6" w:rsidRDefault="000836A2" w:rsidP="00B151F6">
      <w:pPr>
        <w:rPr>
          <w:sz w:val="18"/>
          <w:szCs w:val="18"/>
        </w:rPr>
      </w:pPr>
      <w:r>
        <w:rPr>
          <w:sz w:val="18"/>
          <w:szCs w:val="18"/>
        </w:rPr>
        <w:t xml:space="preserve">This publication is available at </w:t>
      </w:r>
      <w:hyperlink r:id="rId16" w:history="1">
        <w:r w:rsidRPr="00017770">
          <w:rPr>
            <w:rStyle w:val="Hyperlink"/>
            <w:sz w:val="18"/>
            <w:szCs w:val="18"/>
          </w:rPr>
          <w:t>waterquality.gov.au/anz-gui</w:t>
        </w:r>
        <w:r w:rsidRPr="00017770">
          <w:rPr>
            <w:rStyle w:val="Hyperlink"/>
            <w:sz w:val="18"/>
            <w:szCs w:val="18"/>
          </w:rPr>
          <w:t>delines/guideline-values/default/water-quality-toxicants/toxicants</w:t>
        </w:r>
      </w:hyperlink>
      <w:r>
        <w:rPr>
          <w:sz w:val="18"/>
          <w:szCs w:val="18"/>
        </w:rPr>
        <w:t>.</w:t>
      </w:r>
    </w:p>
    <w:p w14:paraId="5E7F150C" w14:textId="77777777" w:rsidR="00824850" w:rsidRDefault="000836A2" w:rsidP="00824850">
      <w:pPr>
        <w:spacing w:after="0"/>
        <w:rPr>
          <w:b/>
          <w:sz w:val="18"/>
          <w:szCs w:val="18"/>
        </w:rPr>
      </w:pPr>
      <w:r w:rsidRPr="00824850">
        <w:rPr>
          <w:b/>
          <w:sz w:val="18"/>
          <w:szCs w:val="18"/>
        </w:rPr>
        <w:t>Contact</w:t>
      </w:r>
    </w:p>
    <w:p w14:paraId="5E7F150D" w14:textId="77777777" w:rsidR="00824850" w:rsidRDefault="000836A2" w:rsidP="00824850">
      <w:pPr>
        <w:spacing w:after="0"/>
        <w:rPr>
          <w:b/>
          <w:sz w:val="18"/>
          <w:szCs w:val="18"/>
        </w:rPr>
      </w:pPr>
      <w:r>
        <w:rPr>
          <w:sz w:val="18"/>
          <w:szCs w:val="18"/>
        </w:rPr>
        <w:t xml:space="preserve">Australian Government </w:t>
      </w:r>
      <w:bookmarkStart w:id="0" w:name="_Hlk134088979"/>
      <w:r>
        <w:rPr>
          <w:sz w:val="18"/>
          <w:szCs w:val="18"/>
        </w:rPr>
        <w:t xml:space="preserve">Department of </w:t>
      </w:r>
      <w:r w:rsidR="00444772">
        <w:rPr>
          <w:sz w:val="18"/>
          <w:szCs w:val="18"/>
        </w:rPr>
        <w:t>Climate Change, Energy, the Environment and Water</w:t>
      </w:r>
      <w:r w:rsidR="00F91FE4">
        <w:rPr>
          <w:sz w:val="18"/>
          <w:szCs w:val="18"/>
        </w:rPr>
        <w:t xml:space="preserve"> </w:t>
      </w:r>
    </w:p>
    <w:bookmarkEnd w:id="0"/>
    <w:p w14:paraId="5E7F150E" w14:textId="77777777" w:rsidR="001C0D1C" w:rsidRPr="00824850" w:rsidRDefault="000836A2" w:rsidP="00824850">
      <w:pPr>
        <w:spacing w:after="0"/>
        <w:rPr>
          <w:b/>
          <w:sz w:val="18"/>
          <w:szCs w:val="18"/>
        </w:rPr>
      </w:pPr>
      <w:r>
        <w:rPr>
          <w:sz w:val="18"/>
          <w:szCs w:val="18"/>
        </w:rPr>
        <w:t>GPO Box 858 Canberra ACT 2601</w:t>
      </w:r>
    </w:p>
    <w:p w14:paraId="5E7F150F" w14:textId="77777777" w:rsidR="001C0D1C" w:rsidRDefault="000836A2" w:rsidP="00824850">
      <w:pPr>
        <w:spacing w:after="0"/>
        <w:rPr>
          <w:sz w:val="18"/>
          <w:szCs w:val="18"/>
        </w:rPr>
      </w:pPr>
      <w:r>
        <w:rPr>
          <w:sz w:val="18"/>
          <w:szCs w:val="18"/>
        </w:rPr>
        <w:t xml:space="preserve">Switchboard +61 2 </w:t>
      </w:r>
      <w:r>
        <w:rPr>
          <w:sz w:val="18"/>
          <w:szCs w:val="18"/>
        </w:rPr>
        <w:t>6272 3933 or 1800 900 090</w:t>
      </w:r>
    </w:p>
    <w:p w14:paraId="5E7F1510" w14:textId="77777777" w:rsidR="001C0D1C" w:rsidRDefault="000836A2" w:rsidP="00824850">
      <w:pPr>
        <w:spacing w:after="120"/>
        <w:rPr>
          <w:sz w:val="18"/>
          <w:szCs w:val="18"/>
        </w:rPr>
      </w:pPr>
      <w:r>
        <w:rPr>
          <w:sz w:val="18"/>
          <w:szCs w:val="18"/>
        </w:rPr>
        <w:t xml:space="preserve">Email </w:t>
      </w:r>
      <w:hyperlink r:id="rId17" w:history="1">
        <w:r w:rsidRPr="00B87B49">
          <w:rPr>
            <w:rStyle w:val="Hyperlink"/>
            <w:sz w:val="18"/>
            <w:szCs w:val="18"/>
          </w:rPr>
          <w:t>waterquality@dcceew.gov.au</w:t>
        </w:r>
      </w:hyperlink>
    </w:p>
    <w:p w14:paraId="5E7F1511" w14:textId="77777777" w:rsidR="00B151F6" w:rsidRDefault="000836A2" w:rsidP="00B151F6">
      <w:pPr>
        <w:spacing w:after="0"/>
        <w:rPr>
          <w:rFonts w:ascii="Calibri" w:hAnsi="Calibri"/>
          <w:b/>
          <w:sz w:val="18"/>
          <w:szCs w:val="18"/>
        </w:rPr>
      </w:pPr>
      <w:r>
        <w:rPr>
          <w:rFonts w:ascii="Calibri" w:hAnsi="Calibri"/>
          <w:b/>
          <w:sz w:val="18"/>
          <w:szCs w:val="18"/>
        </w:rPr>
        <w:t>Disclaimer</w:t>
      </w:r>
    </w:p>
    <w:p w14:paraId="5E7F1512" w14:textId="77777777" w:rsidR="00B151F6" w:rsidRDefault="000836A2" w:rsidP="00B151F6">
      <w:pPr>
        <w:spacing w:after="0"/>
        <w:rPr>
          <w:sz w:val="18"/>
          <w:szCs w:val="18"/>
        </w:rPr>
      </w:pPr>
      <w:r>
        <w:rPr>
          <w:sz w:val="18"/>
          <w:szCs w:val="18"/>
        </w:rPr>
        <w:t>The author(s) of this publication, all other entities associated with funding this publication or pre</w:t>
      </w:r>
      <w:r>
        <w:rPr>
          <w:sz w:val="18"/>
          <w:szCs w:val="18"/>
        </w:rPr>
        <w:t xml:space="preserve">paring and compiling this publication, and the publisher of this publication, and their employees and advisers, disclaim all liability, including liability for negligence and for any loss, damage, injury, expense or cost incurred by any person as a result </w:t>
      </w:r>
      <w:r>
        <w:rPr>
          <w:sz w:val="18"/>
          <w:szCs w:val="18"/>
        </w:rPr>
        <w:t>of accessing, using or relying on any of the information or data in this publication to the maximum extent permitted by law.</w:t>
      </w:r>
    </w:p>
    <w:p w14:paraId="5E7F1513" w14:textId="77777777" w:rsidR="00B151F6" w:rsidRDefault="00B151F6" w:rsidP="00B151F6">
      <w:pPr>
        <w:spacing w:after="0"/>
        <w:rPr>
          <w:sz w:val="18"/>
          <w:szCs w:val="18"/>
        </w:rPr>
      </w:pPr>
    </w:p>
    <w:p w14:paraId="5E7F1514" w14:textId="77777777" w:rsidR="00B151F6" w:rsidRDefault="000836A2" w:rsidP="00B151F6">
      <w:pPr>
        <w:spacing w:after="0"/>
        <w:rPr>
          <w:rFonts w:ascii="Calibri" w:hAnsi="Calibri"/>
          <w:b/>
          <w:sz w:val="18"/>
          <w:szCs w:val="18"/>
        </w:rPr>
      </w:pPr>
      <w:r>
        <w:rPr>
          <w:rFonts w:ascii="Calibri" w:hAnsi="Calibri"/>
          <w:b/>
          <w:sz w:val="18"/>
          <w:szCs w:val="18"/>
        </w:rPr>
        <w:t>Acknowledgements</w:t>
      </w:r>
    </w:p>
    <w:p w14:paraId="5E7F1515" w14:textId="77777777" w:rsidR="008C1763" w:rsidRDefault="000836A2">
      <w:pPr>
        <w:rPr>
          <w:sz w:val="18"/>
          <w:szCs w:val="18"/>
        </w:rPr>
      </w:pPr>
      <w:r>
        <w:rPr>
          <w:sz w:val="18"/>
          <w:szCs w:val="18"/>
        </w:rPr>
        <w:t>These</w:t>
      </w:r>
      <w:r w:rsidRPr="002A695A">
        <w:rPr>
          <w:sz w:val="18"/>
          <w:szCs w:val="18"/>
        </w:rPr>
        <w:t xml:space="preserve"> </w:t>
      </w:r>
      <w:r>
        <w:rPr>
          <w:sz w:val="18"/>
          <w:szCs w:val="18"/>
        </w:rPr>
        <w:t xml:space="preserve">default </w:t>
      </w:r>
      <w:r w:rsidRPr="002A695A">
        <w:rPr>
          <w:sz w:val="18"/>
          <w:szCs w:val="18"/>
        </w:rPr>
        <w:t>guideline</w:t>
      </w:r>
      <w:r>
        <w:rPr>
          <w:sz w:val="18"/>
          <w:szCs w:val="18"/>
        </w:rPr>
        <w:t xml:space="preserve"> values</w:t>
      </w:r>
      <w:r w:rsidR="001B1DB2">
        <w:rPr>
          <w:sz w:val="18"/>
          <w:szCs w:val="18"/>
        </w:rPr>
        <w:t xml:space="preserve"> (DG</w:t>
      </w:r>
      <w:r w:rsidR="0067661E">
        <w:rPr>
          <w:sz w:val="18"/>
          <w:szCs w:val="18"/>
        </w:rPr>
        <w:t>V</w:t>
      </w:r>
      <w:r w:rsidR="001B1DB2">
        <w:rPr>
          <w:sz w:val="18"/>
          <w:szCs w:val="18"/>
        </w:rPr>
        <w:t>s)</w:t>
      </w:r>
      <w:r>
        <w:rPr>
          <w:sz w:val="18"/>
          <w:szCs w:val="18"/>
        </w:rPr>
        <w:t xml:space="preserve"> were derived by </w:t>
      </w:r>
      <w:r w:rsidR="00883019" w:rsidRPr="00883019">
        <w:rPr>
          <w:sz w:val="18"/>
          <w:szCs w:val="18"/>
          <w:lang w:bidi="en-US"/>
        </w:rPr>
        <w:t>Naomi Cooper, Kirsten Broadgate, Clare Papaleo and Carolyn Brumley of Golder Associates</w:t>
      </w:r>
      <w:r w:rsidR="00883019">
        <w:rPr>
          <w:sz w:val="18"/>
          <w:szCs w:val="18"/>
          <w:lang w:bidi="en-US"/>
        </w:rPr>
        <w:t>, Melbourne, Australia</w:t>
      </w:r>
      <w:r w:rsidRPr="00EC2A20">
        <w:rPr>
          <w:sz w:val="18"/>
          <w:szCs w:val="18"/>
        </w:rPr>
        <w:t>.</w:t>
      </w:r>
      <w:r w:rsidR="001B1DB2">
        <w:rPr>
          <w:sz w:val="18"/>
          <w:szCs w:val="18"/>
        </w:rPr>
        <w:t xml:space="preserve"> The DGVs</w:t>
      </w:r>
      <w:r>
        <w:rPr>
          <w:sz w:val="18"/>
          <w:szCs w:val="18"/>
        </w:rPr>
        <w:t xml:space="preserve"> were peer reviewed by two anonymous reviewers and by two contracted technical advisors, Dr Rick van Dam and Alicia Hogan. The DGVs were also reviewed and approved by jurisdictional techni</w:t>
      </w:r>
      <w:r>
        <w:rPr>
          <w:sz w:val="18"/>
          <w:szCs w:val="18"/>
        </w:rPr>
        <w:t xml:space="preserve">cal and policy oversight groups and a National Water Reform Committee, prior to being published. </w:t>
      </w:r>
    </w:p>
    <w:p w14:paraId="5E7F1516" w14:textId="77777777" w:rsidR="001C0D1C" w:rsidRDefault="000836A2">
      <w:pPr>
        <w:rPr>
          <w:sz w:val="18"/>
          <w:szCs w:val="18"/>
        </w:rPr>
      </w:pPr>
      <w:r>
        <w:rPr>
          <w:noProof/>
          <w:sz w:val="18"/>
          <w:szCs w:val="18"/>
          <w:lang w:eastAsia="en-AU"/>
        </w:rPr>
        <w:drawing>
          <wp:inline distT="0" distB="0" distL="0" distR="0" wp14:anchorId="5E7F1738" wp14:editId="5E7F1739">
            <wp:extent cx="5759450" cy="1923506"/>
            <wp:effectExtent l="0" t="0" r="0" b="635"/>
            <wp:docPr id="4" name="Picture 4" descr="A joint project between the New Zealand Government, NSW Government, Victoria State Government, Government of Western Australia, Northern Territory Government, Government of South Australia, Queensland Government, Tasmanian Government and ACT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801794" name="DA2834_1216_Water Quality state logos.jpg"/>
                    <pic:cNvPicPr/>
                  </pic:nvPicPr>
                  <pic:blipFill>
                    <a:blip r:embed="rId18">
                      <a:extLst>
                        <a:ext uri="{28A0092B-C50C-407E-A947-70E740481C1C}">
                          <a14:useLocalDpi xmlns:a14="http://schemas.microsoft.com/office/drawing/2010/main" val="0"/>
                        </a:ext>
                      </a:extLst>
                    </a:blip>
                    <a:srcRect t="15411"/>
                    <a:stretch>
                      <a:fillRect/>
                    </a:stretch>
                  </pic:blipFill>
                  <pic:spPr bwMode="auto">
                    <a:xfrm>
                      <a:off x="0" y="0"/>
                      <a:ext cx="5759450" cy="1923506"/>
                    </a:xfrm>
                    <a:prstGeom prst="rect">
                      <a:avLst/>
                    </a:prstGeom>
                    <a:ln>
                      <a:noFill/>
                    </a:ln>
                    <a:extLst>
                      <a:ext uri="{53640926-AAD7-44D8-BBD7-CCE9431645EC}">
                        <a14:shadowObscured xmlns:a14="http://schemas.microsoft.com/office/drawing/2010/main"/>
                      </a:ext>
                    </a:extLst>
                  </pic:spPr>
                </pic:pic>
              </a:graphicData>
            </a:graphic>
          </wp:inline>
        </w:drawing>
      </w:r>
    </w:p>
    <w:p w14:paraId="5E7F1517" w14:textId="77777777" w:rsidR="001C0D1C" w:rsidRDefault="000836A2">
      <w:pPr>
        <w:pStyle w:val="TOCHeading"/>
      </w:pPr>
      <w:r>
        <w:lastRenderedPageBreak/>
        <w:t>Contents</w:t>
      </w:r>
    </w:p>
    <w:p w14:paraId="5E7F1518" w14:textId="77777777" w:rsidR="00BD0352" w:rsidRDefault="000836A2">
      <w:pPr>
        <w:pStyle w:val="TOC1"/>
        <w:rPr>
          <w:rFonts w:eastAsiaTheme="minorEastAsia"/>
          <w:b w:val="0"/>
          <w:lang w:eastAsia="en-AU"/>
        </w:rPr>
      </w:pPr>
      <w:r>
        <w:rPr>
          <w:bCs/>
          <w:szCs w:val="24"/>
        </w:rPr>
        <w:fldChar w:fldCharType="begin"/>
      </w:r>
      <w:r>
        <w:rPr>
          <w:bCs/>
          <w:szCs w:val="24"/>
        </w:rPr>
        <w:instrText xml:space="preserve"> TOC \t "Heading 2,1,Heading 3,2" </w:instrText>
      </w:r>
      <w:r>
        <w:rPr>
          <w:bCs/>
          <w:szCs w:val="24"/>
        </w:rPr>
        <w:fldChar w:fldCharType="separate"/>
      </w:r>
      <w:r>
        <w:t>Summary</w:t>
      </w:r>
      <w:r>
        <w:tab/>
      </w:r>
      <w:r>
        <w:fldChar w:fldCharType="begin"/>
      </w:r>
      <w:r>
        <w:instrText xml:space="preserve"> PAGEREF _Toc56073287 \h </w:instrText>
      </w:r>
      <w:r>
        <w:fldChar w:fldCharType="separate"/>
      </w:r>
      <w:r w:rsidR="00CC51D9">
        <w:t>iv</w:t>
      </w:r>
      <w:r>
        <w:fldChar w:fldCharType="end"/>
      </w:r>
    </w:p>
    <w:p w14:paraId="5E7F1519" w14:textId="77777777" w:rsidR="00BD0352" w:rsidRDefault="000836A2">
      <w:pPr>
        <w:pStyle w:val="TOC1"/>
        <w:rPr>
          <w:rFonts w:eastAsiaTheme="minorEastAsia"/>
          <w:b w:val="0"/>
          <w:lang w:eastAsia="en-AU"/>
        </w:rPr>
      </w:pPr>
      <w:r w:rsidRPr="00F77248">
        <w:t>1</w:t>
      </w:r>
      <w:r>
        <w:rPr>
          <w:rFonts w:eastAsiaTheme="minorEastAsia"/>
          <w:b w:val="0"/>
          <w:lang w:eastAsia="en-AU"/>
        </w:rPr>
        <w:tab/>
      </w:r>
      <w:r>
        <w:t>Introduction</w:t>
      </w:r>
      <w:r>
        <w:tab/>
      </w:r>
      <w:r>
        <w:fldChar w:fldCharType="begin"/>
      </w:r>
      <w:r>
        <w:instrText xml:space="preserve"> PAGEREF _Toc56073288 \h </w:instrText>
      </w:r>
      <w:r>
        <w:fldChar w:fldCharType="separate"/>
      </w:r>
      <w:r w:rsidR="00CC51D9">
        <w:t>1</w:t>
      </w:r>
      <w:r>
        <w:fldChar w:fldCharType="end"/>
      </w:r>
    </w:p>
    <w:p w14:paraId="5E7F151A" w14:textId="77777777" w:rsidR="00BD0352" w:rsidRDefault="000836A2">
      <w:pPr>
        <w:pStyle w:val="TOC1"/>
        <w:rPr>
          <w:rFonts w:eastAsiaTheme="minorEastAsia"/>
          <w:b w:val="0"/>
          <w:lang w:eastAsia="en-AU"/>
        </w:rPr>
      </w:pPr>
      <w:r w:rsidRPr="00F77248">
        <w:t>2</w:t>
      </w:r>
      <w:r>
        <w:rPr>
          <w:rFonts w:eastAsiaTheme="minorEastAsia"/>
          <w:b w:val="0"/>
          <w:lang w:eastAsia="en-AU"/>
        </w:rPr>
        <w:tab/>
      </w:r>
      <w:r>
        <w:t>Aquatic toxicology</w:t>
      </w:r>
      <w:r>
        <w:tab/>
      </w:r>
      <w:r>
        <w:fldChar w:fldCharType="begin"/>
      </w:r>
      <w:r>
        <w:instrText xml:space="preserve"> PAGEREF _Toc56073289 \h </w:instrText>
      </w:r>
      <w:r>
        <w:fldChar w:fldCharType="separate"/>
      </w:r>
      <w:r w:rsidR="00CC51D9">
        <w:t>2</w:t>
      </w:r>
      <w:r>
        <w:fldChar w:fldCharType="end"/>
      </w:r>
    </w:p>
    <w:p w14:paraId="5E7F151B" w14:textId="77777777" w:rsidR="00BD0352" w:rsidRDefault="000836A2">
      <w:pPr>
        <w:pStyle w:val="TOC1"/>
        <w:rPr>
          <w:rFonts w:eastAsiaTheme="minorEastAsia"/>
          <w:b w:val="0"/>
          <w:lang w:eastAsia="en-AU"/>
        </w:rPr>
      </w:pPr>
      <w:r w:rsidRPr="00F77248">
        <w:t>3</w:t>
      </w:r>
      <w:r>
        <w:rPr>
          <w:rFonts w:eastAsiaTheme="minorEastAsia"/>
          <w:b w:val="0"/>
          <w:lang w:eastAsia="en-AU"/>
        </w:rPr>
        <w:tab/>
      </w:r>
      <w:r>
        <w:t>Factors affecting toxicity</w:t>
      </w:r>
      <w:r>
        <w:tab/>
      </w:r>
      <w:r>
        <w:fldChar w:fldCharType="begin"/>
      </w:r>
      <w:r>
        <w:instrText xml:space="preserve"> PAGEREF _Toc56073290 \h </w:instrText>
      </w:r>
      <w:r>
        <w:fldChar w:fldCharType="separate"/>
      </w:r>
      <w:r w:rsidR="00CC51D9">
        <w:t>3</w:t>
      </w:r>
      <w:r>
        <w:fldChar w:fldCharType="end"/>
      </w:r>
    </w:p>
    <w:p w14:paraId="5E7F151C" w14:textId="77777777" w:rsidR="00BD0352" w:rsidRDefault="000836A2">
      <w:pPr>
        <w:pStyle w:val="TOC1"/>
        <w:rPr>
          <w:rFonts w:eastAsiaTheme="minorEastAsia"/>
          <w:b w:val="0"/>
          <w:lang w:eastAsia="en-AU"/>
        </w:rPr>
      </w:pPr>
      <w:r w:rsidRPr="00F77248">
        <w:t>4</w:t>
      </w:r>
      <w:r>
        <w:rPr>
          <w:rFonts w:eastAsiaTheme="minorEastAsia"/>
          <w:b w:val="0"/>
          <w:lang w:eastAsia="en-AU"/>
        </w:rPr>
        <w:tab/>
      </w:r>
      <w:r>
        <w:t>Default guideline value derivation</w:t>
      </w:r>
      <w:r>
        <w:tab/>
      </w:r>
      <w:r>
        <w:fldChar w:fldCharType="begin"/>
      </w:r>
      <w:r>
        <w:instrText xml:space="preserve"> PAGEREF _Toc56073291 \h </w:instrText>
      </w:r>
      <w:r>
        <w:fldChar w:fldCharType="separate"/>
      </w:r>
      <w:r w:rsidR="00CC51D9">
        <w:t>3</w:t>
      </w:r>
      <w:r>
        <w:fldChar w:fldCharType="end"/>
      </w:r>
    </w:p>
    <w:p w14:paraId="5E7F151D" w14:textId="77777777" w:rsidR="00BD0352" w:rsidRDefault="000836A2">
      <w:pPr>
        <w:pStyle w:val="TOC2"/>
        <w:tabs>
          <w:tab w:val="left" w:pos="1100"/>
        </w:tabs>
        <w:rPr>
          <w:rFonts w:eastAsiaTheme="minorEastAsia"/>
          <w:lang w:eastAsia="en-AU"/>
        </w:rPr>
      </w:pPr>
      <w:r>
        <w:t>4.1</w:t>
      </w:r>
      <w:r>
        <w:rPr>
          <w:rFonts w:eastAsiaTheme="minorEastAsia"/>
          <w:lang w:eastAsia="en-AU"/>
        </w:rPr>
        <w:tab/>
      </w:r>
      <w:r>
        <w:t>Toxicity data used in derivation</w:t>
      </w:r>
      <w:r>
        <w:tab/>
      </w:r>
      <w:r>
        <w:fldChar w:fldCharType="begin"/>
      </w:r>
      <w:r>
        <w:instrText xml:space="preserve"> PAGEREF _Toc56073292 \h </w:instrText>
      </w:r>
      <w:r>
        <w:fldChar w:fldCharType="separate"/>
      </w:r>
      <w:r w:rsidR="00CC51D9">
        <w:t>3</w:t>
      </w:r>
      <w:r>
        <w:fldChar w:fldCharType="end"/>
      </w:r>
    </w:p>
    <w:p w14:paraId="5E7F151E" w14:textId="77777777" w:rsidR="00BD0352" w:rsidRDefault="000836A2">
      <w:pPr>
        <w:pStyle w:val="TOC2"/>
        <w:tabs>
          <w:tab w:val="left" w:pos="1100"/>
        </w:tabs>
        <w:rPr>
          <w:rFonts w:eastAsiaTheme="minorEastAsia"/>
          <w:lang w:eastAsia="en-AU"/>
        </w:rPr>
      </w:pPr>
      <w:r>
        <w:t>4.2</w:t>
      </w:r>
      <w:r>
        <w:rPr>
          <w:rFonts w:eastAsiaTheme="minorEastAsia"/>
          <w:lang w:eastAsia="en-AU"/>
        </w:rPr>
        <w:tab/>
      </w:r>
      <w:r>
        <w:t>Species sensitivity distribution</w:t>
      </w:r>
      <w:r>
        <w:tab/>
      </w:r>
      <w:r>
        <w:fldChar w:fldCharType="begin"/>
      </w:r>
      <w:r>
        <w:instrText xml:space="preserve"> PAGEREF _Toc56073293 \h </w:instrText>
      </w:r>
      <w:r>
        <w:fldChar w:fldCharType="separate"/>
      </w:r>
      <w:r w:rsidR="00CC51D9">
        <w:t>5</w:t>
      </w:r>
      <w:r>
        <w:fldChar w:fldCharType="end"/>
      </w:r>
    </w:p>
    <w:p w14:paraId="5E7F151F" w14:textId="77777777" w:rsidR="00BD0352" w:rsidRDefault="000836A2">
      <w:pPr>
        <w:pStyle w:val="TOC2"/>
        <w:tabs>
          <w:tab w:val="left" w:pos="1100"/>
        </w:tabs>
        <w:rPr>
          <w:rFonts w:eastAsiaTheme="minorEastAsia"/>
          <w:lang w:eastAsia="en-AU"/>
        </w:rPr>
      </w:pPr>
      <w:r>
        <w:t>4.3</w:t>
      </w:r>
      <w:r>
        <w:rPr>
          <w:rFonts w:eastAsiaTheme="minorEastAsia"/>
          <w:lang w:eastAsia="en-AU"/>
        </w:rPr>
        <w:tab/>
      </w:r>
      <w:r>
        <w:t>Default guideline values</w:t>
      </w:r>
      <w:r>
        <w:tab/>
      </w:r>
      <w:r>
        <w:fldChar w:fldCharType="begin"/>
      </w:r>
      <w:r>
        <w:instrText xml:space="preserve"> PAGEREF _Toc56073294 \h </w:instrText>
      </w:r>
      <w:r>
        <w:fldChar w:fldCharType="separate"/>
      </w:r>
      <w:r w:rsidR="00CC51D9">
        <w:t>6</w:t>
      </w:r>
      <w:r>
        <w:fldChar w:fldCharType="end"/>
      </w:r>
    </w:p>
    <w:p w14:paraId="5E7F1520" w14:textId="77777777" w:rsidR="00BD0352" w:rsidRDefault="000836A2">
      <w:pPr>
        <w:pStyle w:val="TOC2"/>
        <w:tabs>
          <w:tab w:val="left" w:pos="1100"/>
        </w:tabs>
        <w:rPr>
          <w:rFonts w:eastAsiaTheme="minorEastAsia"/>
          <w:lang w:eastAsia="en-AU"/>
        </w:rPr>
      </w:pPr>
      <w:r>
        <w:t>4.4</w:t>
      </w:r>
      <w:r>
        <w:rPr>
          <w:rFonts w:eastAsiaTheme="minorEastAsia"/>
          <w:lang w:eastAsia="en-AU"/>
        </w:rPr>
        <w:tab/>
      </w:r>
      <w:r>
        <w:t>Reliability classification</w:t>
      </w:r>
      <w:r>
        <w:tab/>
      </w:r>
      <w:r>
        <w:fldChar w:fldCharType="begin"/>
      </w:r>
      <w:r>
        <w:instrText xml:space="preserve"> PAGEREF _Toc56073295 \h </w:instrText>
      </w:r>
      <w:r>
        <w:fldChar w:fldCharType="separate"/>
      </w:r>
      <w:r w:rsidR="00CC51D9">
        <w:t>6</w:t>
      </w:r>
      <w:r>
        <w:fldChar w:fldCharType="end"/>
      </w:r>
    </w:p>
    <w:p w14:paraId="5E7F1521" w14:textId="77777777" w:rsidR="00BD0352" w:rsidRDefault="000836A2">
      <w:pPr>
        <w:pStyle w:val="TOC1"/>
        <w:rPr>
          <w:rFonts w:eastAsiaTheme="minorEastAsia"/>
          <w:b w:val="0"/>
          <w:lang w:eastAsia="en-AU"/>
        </w:rPr>
      </w:pPr>
      <w:r>
        <w:t>Glossary</w:t>
      </w:r>
      <w:r>
        <w:tab/>
      </w:r>
      <w:r>
        <w:fldChar w:fldCharType="begin"/>
      </w:r>
      <w:r>
        <w:instrText xml:space="preserve"> PAGEREF _Toc56073296 \h </w:instrText>
      </w:r>
      <w:r>
        <w:fldChar w:fldCharType="separate"/>
      </w:r>
      <w:r w:rsidR="00CC51D9">
        <w:t>7</w:t>
      </w:r>
      <w:r>
        <w:fldChar w:fldCharType="end"/>
      </w:r>
    </w:p>
    <w:p w14:paraId="5E7F1522" w14:textId="77777777" w:rsidR="00BD0352" w:rsidRDefault="000836A2">
      <w:pPr>
        <w:pStyle w:val="TOC1"/>
        <w:rPr>
          <w:rFonts w:eastAsiaTheme="minorEastAsia"/>
          <w:b w:val="0"/>
          <w:lang w:eastAsia="en-AU"/>
        </w:rPr>
      </w:pPr>
      <w:r>
        <w:t>Appendix A: Toxicity data that passed the screening and quality assessment and used to der</w:t>
      </w:r>
      <w:r>
        <w:t>ive the default guideline values</w:t>
      </w:r>
      <w:r>
        <w:tab/>
      </w:r>
      <w:r>
        <w:fldChar w:fldCharType="begin"/>
      </w:r>
      <w:r>
        <w:instrText xml:space="preserve"> PAGEREF _Toc56073297 \h </w:instrText>
      </w:r>
      <w:r>
        <w:fldChar w:fldCharType="separate"/>
      </w:r>
      <w:r w:rsidR="00CC51D9">
        <w:t>9</w:t>
      </w:r>
      <w:r>
        <w:fldChar w:fldCharType="end"/>
      </w:r>
    </w:p>
    <w:p w14:paraId="5E7F1523" w14:textId="77777777" w:rsidR="00BD0352" w:rsidRDefault="000836A2">
      <w:pPr>
        <w:pStyle w:val="TOC1"/>
        <w:rPr>
          <w:rFonts w:eastAsiaTheme="minorEastAsia"/>
          <w:b w:val="0"/>
          <w:lang w:eastAsia="en-AU"/>
        </w:rPr>
      </w:pPr>
      <w:r>
        <w:t>Appendix B: Modality assessment for alpha-cypermethrin</w:t>
      </w:r>
      <w:r>
        <w:tab/>
      </w:r>
      <w:r>
        <w:fldChar w:fldCharType="begin"/>
      </w:r>
      <w:r>
        <w:instrText xml:space="preserve"> PAGEREF _Toc56073298 \h </w:instrText>
      </w:r>
      <w:r>
        <w:fldChar w:fldCharType="separate"/>
      </w:r>
      <w:r w:rsidR="00CC51D9">
        <w:t>11</w:t>
      </w:r>
      <w:r>
        <w:fldChar w:fldCharType="end"/>
      </w:r>
    </w:p>
    <w:p w14:paraId="5E7F1524" w14:textId="77777777" w:rsidR="00BD0352" w:rsidRDefault="000836A2">
      <w:pPr>
        <w:pStyle w:val="TOC1"/>
        <w:rPr>
          <w:rFonts w:eastAsiaTheme="minorEastAsia"/>
          <w:b w:val="0"/>
          <w:lang w:eastAsia="en-AU"/>
        </w:rPr>
      </w:pPr>
      <w:r>
        <w:t>References</w:t>
      </w:r>
      <w:r>
        <w:tab/>
      </w:r>
      <w:r>
        <w:fldChar w:fldCharType="begin"/>
      </w:r>
      <w:r>
        <w:instrText xml:space="preserve"> PAGEREF _Toc56073299 \h </w:instrText>
      </w:r>
      <w:r>
        <w:fldChar w:fldCharType="separate"/>
      </w:r>
      <w:r w:rsidR="00CC51D9">
        <w:t>14</w:t>
      </w:r>
      <w:r>
        <w:fldChar w:fldCharType="end"/>
      </w:r>
    </w:p>
    <w:p w14:paraId="5E7F1525" w14:textId="77777777" w:rsidR="001C0D1C" w:rsidRDefault="000836A2">
      <w:pPr>
        <w:pStyle w:val="TOCHeading2"/>
      </w:pPr>
      <w:r>
        <w:rPr>
          <w:rFonts w:asciiTheme="minorHAnsi" w:eastAsiaTheme="minorHAnsi" w:hAnsiTheme="minorHAnsi" w:cstheme="minorBidi"/>
          <w:noProof/>
          <w:color w:val="auto"/>
          <w:sz w:val="22"/>
          <w:szCs w:val="24"/>
          <w:lang w:val="en-AU"/>
        </w:rPr>
        <w:fldChar w:fldCharType="end"/>
      </w:r>
      <w:r>
        <w:t>Figures</w:t>
      </w:r>
    </w:p>
    <w:p w14:paraId="5E7F1526" w14:textId="77777777" w:rsidR="00BD0352" w:rsidRDefault="000836A2">
      <w:pPr>
        <w:pStyle w:val="TableofFigures"/>
        <w:tabs>
          <w:tab w:val="right" w:leader="dot" w:pos="9060"/>
        </w:tabs>
        <w:rPr>
          <w:rFonts w:eastAsiaTheme="minorEastAsia"/>
          <w:noProof/>
          <w:lang w:eastAsia="en-AU"/>
        </w:rPr>
      </w:pPr>
      <w:r>
        <w:fldChar w:fldCharType="begin"/>
      </w:r>
      <w:r>
        <w:instrText xml:space="preserve"> TOC \c "Figure" </w:instrText>
      </w:r>
      <w:r>
        <w:fldChar w:fldCharType="separate"/>
      </w:r>
      <w:r>
        <w:rPr>
          <w:noProof/>
        </w:rPr>
        <w:t>Figure 1 Species sensitivity distribution, alpha-cypermethrin in freshwater</w:t>
      </w:r>
      <w:r>
        <w:rPr>
          <w:noProof/>
        </w:rPr>
        <w:tab/>
      </w:r>
      <w:r>
        <w:rPr>
          <w:noProof/>
        </w:rPr>
        <w:fldChar w:fldCharType="begin"/>
      </w:r>
      <w:r>
        <w:rPr>
          <w:noProof/>
        </w:rPr>
        <w:instrText xml:space="preserve"> PAGEREF _Toc56073300 \h </w:instrText>
      </w:r>
      <w:r>
        <w:rPr>
          <w:noProof/>
        </w:rPr>
      </w:r>
      <w:r>
        <w:rPr>
          <w:noProof/>
        </w:rPr>
        <w:fldChar w:fldCharType="separate"/>
      </w:r>
      <w:r w:rsidR="00CC51D9">
        <w:rPr>
          <w:noProof/>
        </w:rPr>
        <w:t>5</w:t>
      </w:r>
      <w:r>
        <w:rPr>
          <w:noProof/>
        </w:rPr>
        <w:fldChar w:fldCharType="end"/>
      </w:r>
    </w:p>
    <w:p w14:paraId="5E7F1527" w14:textId="77777777" w:rsidR="001C0D1C" w:rsidRPr="001B767B" w:rsidRDefault="000836A2">
      <w:pPr>
        <w:pStyle w:val="TOCHeading2"/>
        <w:rPr>
          <w:rFonts w:ascii="Cambria" w:hAnsi="Cambria"/>
          <w:color w:val="auto"/>
          <w:sz w:val="22"/>
          <w:szCs w:val="24"/>
        </w:rPr>
      </w:pPr>
      <w:r>
        <w:rPr>
          <w:rFonts w:ascii="Cambria" w:hAnsi="Cambria"/>
          <w:color w:val="auto"/>
          <w:sz w:val="22"/>
          <w:szCs w:val="24"/>
        </w:rPr>
        <w:fldChar w:fldCharType="end"/>
      </w:r>
      <w:r>
        <w:t>Tables</w:t>
      </w:r>
    </w:p>
    <w:p w14:paraId="5E7F1528" w14:textId="77777777" w:rsidR="00BD0352" w:rsidRDefault="000836A2">
      <w:pPr>
        <w:pStyle w:val="TableofFigures"/>
        <w:tabs>
          <w:tab w:val="right" w:leader="dot" w:pos="9060"/>
        </w:tabs>
        <w:rPr>
          <w:rFonts w:eastAsiaTheme="minorEastAsia"/>
          <w:noProof/>
          <w:lang w:eastAsia="en-AU"/>
        </w:rPr>
      </w:pPr>
      <w:r>
        <w:rPr>
          <w:bCs/>
          <w:szCs w:val="24"/>
        </w:rPr>
        <w:fldChar w:fldCharType="begin"/>
      </w:r>
      <w:r>
        <w:rPr>
          <w:bCs/>
        </w:rPr>
        <w:instrText xml:space="preserve"> TOC \c "Table" </w:instrText>
      </w:r>
      <w:r>
        <w:rPr>
          <w:bCs/>
          <w:szCs w:val="24"/>
        </w:rPr>
        <w:fldChar w:fldCharType="separate"/>
      </w:r>
      <w:r>
        <w:rPr>
          <w:noProof/>
        </w:rPr>
        <w:t xml:space="preserve">Table 1 Summary of single chronic and estimated chronic toxicity data values, all species used to derive default guideline values for </w:t>
      </w:r>
      <w:r>
        <w:rPr>
          <w:noProof/>
        </w:rPr>
        <w:t>alpha-cypermethrin in freshwater</w:t>
      </w:r>
      <w:r>
        <w:rPr>
          <w:noProof/>
        </w:rPr>
        <w:tab/>
      </w:r>
      <w:r>
        <w:rPr>
          <w:noProof/>
        </w:rPr>
        <w:fldChar w:fldCharType="begin"/>
      </w:r>
      <w:r>
        <w:rPr>
          <w:noProof/>
        </w:rPr>
        <w:instrText xml:space="preserve"> PAGEREF _Toc56073301 \h </w:instrText>
      </w:r>
      <w:r>
        <w:rPr>
          <w:noProof/>
        </w:rPr>
      </w:r>
      <w:r>
        <w:rPr>
          <w:noProof/>
        </w:rPr>
        <w:fldChar w:fldCharType="separate"/>
      </w:r>
      <w:r w:rsidR="00CC51D9">
        <w:rPr>
          <w:noProof/>
        </w:rPr>
        <w:t>4</w:t>
      </w:r>
      <w:r>
        <w:rPr>
          <w:noProof/>
        </w:rPr>
        <w:fldChar w:fldCharType="end"/>
      </w:r>
    </w:p>
    <w:p w14:paraId="5E7F1529" w14:textId="77777777" w:rsidR="00BD0352" w:rsidRDefault="000836A2">
      <w:pPr>
        <w:pStyle w:val="TableofFigures"/>
        <w:tabs>
          <w:tab w:val="right" w:leader="dot" w:pos="9060"/>
        </w:tabs>
        <w:rPr>
          <w:rFonts w:eastAsiaTheme="minorEastAsia"/>
          <w:noProof/>
          <w:lang w:eastAsia="en-AU"/>
        </w:rPr>
      </w:pPr>
      <w:r>
        <w:rPr>
          <w:noProof/>
        </w:rPr>
        <w:t>Table 2 Toxicant default guideline values, alpha-cypermethrin in freshwater, moderate reliability</w:t>
      </w:r>
      <w:r>
        <w:rPr>
          <w:noProof/>
        </w:rPr>
        <w:tab/>
      </w:r>
      <w:r>
        <w:rPr>
          <w:noProof/>
        </w:rPr>
        <w:fldChar w:fldCharType="begin"/>
      </w:r>
      <w:r>
        <w:rPr>
          <w:noProof/>
        </w:rPr>
        <w:instrText xml:space="preserve"> PAGEREF _Toc56073302 \h </w:instrText>
      </w:r>
      <w:r>
        <w:rPr>
          <w:noProof/>
        </w:rPr>
      </w:r>
      <w:r>
        <w:rPr>
          <w:noProof/>
        </w:rPr>
        <w:fldChar w:fldCharType="separate"/>
      </w:r>
      <w:r w:rsidR="00CC51D9">
        <w:rPr>
          <w:noProof/>
        </w:rPr>
        <w:t>6</w:t>
      </w:r>
      <w:r>
        <w:rPr>
          <w:noProof/>
        </w:rPr>
        <w:fldChar w:fldCharType="end"/>
      </w:r>
    </w:p>
    <w:p w14:paraId="5E7F152A" w14:textId="77777777" w:rsidR="00E36419" w:rsidRDefault="000836A2" w:rsidP="00E36419">
      <w:pPr>
        <w:pStyle w:val="TOCHeading2"/>
        <w:rPr>
          <w:bCs w:val="0"/>
          <w:szCs w:val="24"/>
        </w:rPr>
      </w:pPr>
      <w:r>
        <w:fldChar w:fldCharType="end"/>
      </w:r>
      <w:r>
        <w:rPr>
          <w:bCs w:val="0"/>
          <w:szCs w:val="24"/>
        </w:rPr>
        <w:t>Appendix figures</w:t>
      </w:r>
    </w:p>
    <w:p w14:paraId="5E7F152B" w14:textId="77777777" w:rsidR="00BD0352" w:rsidRDefault="000836A2">
      <w:pPr>
        <w:pStyle w:val="TableofFigures"/>
        <w:tabs>
          <w:tab w:val="right" w:leader="dot" w:pos="9060"/>
        </w:tabs>
        <w:rPr>
          <w:rFonts w:eastAsiaTheme="minorEastAsia"/>
          <w:noProof/>
          <w:lang w:eastAsia="en-AU"/>
        </w:rPr>
      </w:pPr>
      <w:r>
        <w:fldChar w:fldCharType="begin"/>
      </w:r>
      <w:r>
        <w:instrText xml:space="preserve"> TOC \c "Figure B" </w:instrText>
      </w:r>
      <w:r>
        <w:fldChar w:fldCharType="separate"/>
      </w:r>
      <w:r>
        <w:rPr>
          <w:noProof/>
        </w:rPr>
        <w:t>Figure B 1 Histogram, raw data (left) and log transformed data (right)</w:t>
      </w:r>
      <w:r>
        <w:rPr>
          <w:noProof/>
        </w:rPr>
        <w:tab/>
      </w:r>
      <w:r>
        <w:rPr>
          <w:noProof/>
        </w:rPr>
        <w:fldChar w:fldCharType="begin"/>
      </w:r>
      <w:r>
        <w:rPr>
          <w:noProof/>
        </w:rPr>
        <w:instrText xml:space="preserve"> PAGEREF _Toc56073303 \h </w:instrText>
      </w:r>
      <w:r>
        <w:rPr>
          <w:noProof/>
        </w:rPr>
      </w:r>
      <w:r>
        <w:rPr>
          <w:noProof/>
        </w:rPr>
        <w:fldChar w:fldCharType="separate"/>
      </w:r>
      <w:r w:rsidR="00CC51D9">
        <w:rPr>
          <w:noProof/>
        </w:rPr>
        <w:t>11</w:t>
      </w:r>
      <w:r>
        <w:rPr>
          <w:noProof/>
        </w:rPr>
        <w:fldChar w:fldCharType="end"/>
      </w:r>
    </w:p>
    <w:p w14:paraId="5E7F152C" w14:textId="77777777" w:rsidR="00BD0352" w:rsidRDefault="000836A2">
      <w:pPr>
        <w:pStyle w:val="TableofFigures"/>
        <w:tabs>
          <w:tab w:val="right" w:leader="dot" w:pos="9060"/>
        </w:tabs>
        <w:rPr>
          <w:rFonts w:eastAsiaTheme="minorEastAsia"/>
          <w:noProof/>
          <w:lang w:eastAsia="en-AU"/>
        </w:rPr>
      </w:pPr>
      <w:r>
        <w:rPr>
          <w:noProof/>
        </w:rPr>
        <w:t>Figure B 2 Box plots, raw (left) and log transformed (right) data grouped by major types of organisms</w:t>
      </w:r>
      <w:r>
        <w:rPr>
          <w:noProof/>
        </w:rPr>
        <w:tab/>
      </w:r>
      <w:r>
        <w:rPr>
          <w:noProof/>
        </w:rPr>
        <w:fldChar w:fldCharType="begin"/>
      </w:r>
      <w:r>
        <w:rPr>
          <w:noProof/>
        </w:rPr>
        <w:instrText xml:space="preserve"> PAGEREF _Toc56073304 \h </w:instrText>
      </w:r>
      <w:r>
        <w:rPr>
          <w:noProof/>
        </w:rPr>
      </w:r>
      <w:r>
        <w:rPr>
          <w:noProof/>
        </w:rPr>
        <w:fldChar w:fldCharType="separate"/>
      </w:r>
      <w:r w:rsidR="00CC51D9">
        <w:rPr>
          <w:noProof/>
        </w:rPr>
        <w:t>12</w:t>
      </w:r>
      <w:r>
        <w:rPr>
          <w:noProof/>
        </w:rPr>
        <w:fldChar w:fldCharType="end"/>
      </w:r>
    </w:p>
    <w:p w14:paraId="5E7F152D" w14:textId="77777777" w:rsidR="0070456C" w:rsidRPr="0070456C" w:rsidRDefault="000836A2" w:rsidP="0070456C">
      <w:pPr>
        <w:pStyle w:val="TableofFigures"/>
        <w:tabs>
          <w:tab w:val="right" w:leader="dot" w:pos="9060"/>
        </w:tabs>
        <w:rPr>
          <w:lang w:val="en-US"/>
        </w:rPr>
      </w:pPr>
      <w:r>
        <w:rPr>
          <w:noProof/>
        </w:rPr>
        <w:t>Figure B 3 Box plots, raw (left) and log transformed (right) data grouped by taxonomically distinct organisms</w:t>
      </w:r>
      <w:r>
        <w:rPr>
          <w:noProof/>
        </w:rPr>
        <w:tab/>
      </w:r>
      <w:r>
        <w:rPr>
          <w:noProof/>
        </w:rPr>
        <w:fldChar w:fldCharType="begin"/>
      </w:r>
      <w:r>
        <w:rPr>
          <w:noProof/>
        </w:rPr>
        <w:instrText xml:space="preserve"> PAGEREF _Toc56073305 \h </w:instrText>
      </w:r>
      <w:r>
        <w:rPr>
          <w:noProof/>
        </w:rPr>
      </w:r>
      <w:r>
        <w:rPr>
          <w:noProof/>
        </w:rPr>
        <w:fldChar w:fldCharType="separate"/>
      </w:r>
      <w:r w:rsidR="00CC51D9">
        <w:rPr>
          <w:noProof/>
        </w:rPr>
        <w:t>12</w:t>
      </w:r>
      <w:r>
        <w:rPr>
          <w:noProof/>
        </w:rPr>
        <w:fldChar w:fldCharType="end"/>
      </w:r>
      <w:r>
        <w:rPr>
          <w:noProof/>
        </w:rPr>
        <w:fldChar w:fldCharType="end"/>
      </w:r>
    </w:p>
    <w:p w14:paraId="5E7F152E" w14:textId="77777777" w:rsidR="0070456C" w:rsidRDefault="000836A2" w:rsidP="0070456C">
      <w:pPr>
        <w:pStyle w:val="TOCHeading2"/>
        <w:rPr>
          <w:bCs w:val="0"/>
          <w:szCs w:val="24"/>
        </w:rPr>
      </w:pPr>
      <w:r>
        <w:rPr>
          <w:bCs w:val="0"/>
          <w:szCs w:val="24"/>
        </w:rPr>
        <w:t>Appendix tables</w:t>
      </w:r>
    </w:p>
    <w:p w14:paraId="5E7F152F" w14:textId="77777777" w:rsidR="00BD0352" w:rsidRDefault="000836A2">
      <w:pPr>
        <w:pStyle w:val="TableofFigures"/>
        <w:tabs>
          <w:tab w:val="right" w:leader="dot" w:pos="9060"/>
        </w:tabs>
        <w:rPr>
          <w:rFonts w:eastAsiaTheme="minorEastAsia"/>
          <w:noProof/>
          <w:lang w:eastAsia="en-AU"/>
        </w:rPr>
      </w:pPr>
      <w:r>
        <w:rPr>
          <w:bCs/>
        </w:rPr>
        <w:fldChar w:fldCharType="begin"/>
      </w:r>
      <w:r>
        <w:rPr>
          <w:bCs/>
        </w:rPr>
        <w:instrText xml:space="preserve"> TOC \h \z \c "Table A" </w:instrText>
      </w:r>
      <w:r>
        <w:rPr>
          <w:bCs/>
        </w:rPr>
        <w:fldChar w:fldCharType="separate"/>
      </w:r>
      <w:hyperlink w:anchor="_Toc56073306" w:history="1">
        <w:r w:rsidRPr="007F655C">
          <w:rPr>
            <w:rStyle w:val="Hyperlink"/>
            <w:noProof/>
          </w:rPr>
          <w:t>Table</w:t>
        </w:r>
        <w:r w:rsidRPr="007F655C">
          <w:rPr>
            <w:rStyle w:val="Hyperlink"/>
            <w:noProof/>
            <w:lang w:val="en-US"/>
          </w:rPr>
          <w:t> </w:t>
        </w:r>
        <w:r w:rsidRPr="007F655C">
          <w:rPr>
            <w:rStyle w:val="Hyperlink"/>
            <w:noProof/>
          </w:rPr>
          <w:t xml:space="preserve">A 1 </w:t>
        </w:r>
        <w:r w:rsidRPr="007F655C">
          <w:rPr>
            <w:rStyle w:val="Hyperlink"/>
            <w:noProof/>
            <w:lang w:eastAsia="ja-JP"/>
          </w:rPr>
          <w:t>Summary, toxicity data that passed the screening and quality assurance processes, alpha-cypermethrin in freshw</w:t>
        </w:r>
        <w:r w:rsidRPr="007F655C">
          <w:rPr>
            <w:rStyle w:val="Hyperlink"/>
            <w:noProof/>
            <w:lang w:eastAsia="ja-JP"/>
          </w:rPr>
          <w:t>ater</w:t>
        </w:r>
        <w:r>
          <w:rPr>
            <w:noProof/>
            <w:webHidden/>
          </w:rPr>
          <w:tab/>
        </w:r>
        <w:r>
          <w:rPr>
            <w:noProof/>
            <w:webHidden/>
          </w:rPr>
          <w:fldChar w:fldCharType="begin"/>
        </w:r>
        <w:r>
          <w:rPr>
            <w:noProof/>
            <w:webHidden/>
          </w:rPr>
          <w:instrText xml:space="preserve"> PAGEREF _Toc56073306 \h </w:instrText>
        </w:r>
        <w:r>
          <w:rPr>
            <w:noProof/>
            <w:webHidden/>
          </w:rPr>
        </w:r>
        <w:r>
          <w:rPr>
            <w:noProof/>
            <w:webHidden/>
          </w:rPr>
          <w:fldChar w:fldCharType="separate"/>
        </w:r>
        <w:r w:rsidR="00CC51D9">
          <w:rPr>
            <w:noProof/>
            <w:webHidden/>
          </w:rPr>
          <w:t>9</w:t>
        </w:r>
        <w:r>
          <w:rPr>
            <w:noProof/>
            <w:webHidden/>
          </w:rPr>
          <w:fldChar w:fldCharType="end"/>
        </w:r>
      </w:hyperlink>
    </w:p>
    <w:p w14:paraId="5E7F1530" w14:textId="77777777" w:rsidR="0070456C" w:rsidRDefault="000836A2" w:rsidP="0070456C">
      <w:pPr>
        <w:pStyle w:val="TableofFigures"/>
        <w:tabs>
          <w:tab w:val="right" w:leader="dot" w:pos="9060"/>
        </w:tabs>
        <w:rPr>
          <w:bCs/>
          <w:szCs w:val="24"/>
        </w:rPr>
      </w:pPr>
      <w:r>
        <w:rPr>
          <w:bCs/>
        </w:rPr>
        <w:fldChar w:fldCharType="end"/>
      </w:r>
    </w:p>
    <w:p w14:paraId="5E7F1531" w14:textId="77777777" w:rsidR="00401C43" w:rsidRDefault="000836A2" w:rsidP="00401C43">
      <w:pPr>
        <w:pStyle w:val="TOCHeading2"/>
      </w:pPr>
      <w:r>
        <w:br w:type="page"/>
      </w:r>
    </w:p>
    <w:p w14:paraId="5E7F1532" w14:textId="77777777" w:rsidR="001C0D1C" w:rsidRDefault="000836A2" w:rsidP="00414A32">
      <w:pPr>
        <w:pStyle w:val="Heading2"/>
        <w:numPr>
          <w:ilvl w:val="0"/>
          <w:numId w:val="0"/>
        </w:numPr>
        <w:ind w:left="680" w:hanging="680"/>
      </w:pPr>
      <w:bookmarkStart w:id="1" w:name="_Toc56073287"/>
      <w:r>
        <w:lastRenderedPageBreak/>
        <w:t>Summary</w:t>
      </w:r>
      <w:bookmarkEnd w:id="1"/>
    </w:p>
    <w:p w14:paraId="5E7F1533" w14:textId="77777777" w:rsidR="006B53D6" w:rsidRDefault="000836A2" w:rsidP="004C3472">
      <w:sdt>
        <w:sdtPr>
          <w:alias w:val="Compulsary - text and location locked to Summary"/>
          <w:tag w:val="Compulsary text"/>
          <w:id w:val="-1841920371"/>
          <w:lock w:val="contentLocked"/>
          <w:placeholder>
            <w:docPart w:val="B53B152C55EE49D2B58FA8A41EDEB596"/>
          </w:placeholder>
          <w:text/>
        </w:sdtPr>
        <w:sdtEndPr/>
        <w:sdtContent>
          <w:r w:rsidR="009B4E11" w:rsidRPr="00BF6347">
            <w:t xml:space="preserve">The default guideline values (DGVs) and associated information in this technical brief should be used in accordance with the detailed guidance provided in the Australian and New Zealand Guidelines for Fresh and Marine Water Quality website (www.waterquality.gov.au/anz-guidelines). </w:t>
          </w:r>
        </w:sdtContent>
      </w:sdt>
    </w:p>
    <w:p w14:paraId="5E7F1534" w14:textId="77777777" w:rsidR="004C3472" w:rsidRPr="00C5306E" w:rsidRDefault="000836A2" w:rsidP="004C3472">
      <w:r w:rsidRPr="00C5306E">
        <w:t>Alpha-cypermethrin is a contact and ingested pyrethroid insecticide applied to many agricultural crops to control chewing and sucking insects</w:t>
      </w:r>
      <w:r w:rsidR="00231974">
        <w:t xml:space="preserve"> (WHO 1992, PPDB 2015)</w:t>
      </w:r>
      <w:r>
        <w:t xml:space="preserve">. </w:t>
      </w:r>
      <w:r w:rsidR="003A07CD">
        <w:rPr>
          <w:lang w:val="en"/>
        </w:rPr>
        <w:t>In Australia and New Zealand, i</w:t>
      </w:r>
      <w:r w:rsidRPr="00C5306E">
        <w:t>t is used to control insects on</w:t>
      </w:r>
      <w:r w:rsidRPr="00C5306E">
        <w:t xml:space="preserve"> </w:t>
      </w:r>
      <w:r w:rsidR="003A07CD">
        <w:t xml:space="preserve">a wide range of fruit, vegetable and cereal crops, as well as insects and spiders </w:t>
      </w:r>
      <w:r w:rsidR="00146BCC">
        <w:t>in domestic and commercial settings</w:t>
      </w:r>
      <w:r w:rsidR="003A07CD">
        <w:t xml:space="preserve">, and for the treatment of </w:t>
      </w:r>
      <w:r w:rsidR="00274DDD">
        <w:t xml:space="preserve">animal </w:t>
      </w:r>
      <w:r w:rsidR="003A07CD">
        <w:t xml:space="preserve">ectoparasites </w:t>
      </w:r>
      <w:r w:rsidR="003104A2">
        <w:t>(</w:t>
      </w:r>
      <w:r w:rsidR="003A07CD">
        <w:t>ACVM 2020, APVMA 2020</w:t>
      </w:r>
      <w:r w:rsidR="003104A2">
        <w:t>)</w:t>
      </w:r>
      <w:r w:rsidRPr="00C5306E">
        <w:t xml:space="preserve">. </w:t>
      </w:r>
      <w:r w:rsidRPr="00C5306E">
        <w:rPr>
          <w:lang w:val="en"/>
        </w:rPr>
        <w:t xml:space="preserve">Alpha-cypermethrin has a low aqueous solubility, is non-volatile </w:t>
      </w:r>
      <w:r w:rsidRPr="00C5306E">
        <w:rPr>
          <w:lang w:val="en"/>
        </w:rPr>
        <w:t>and is persistent in water and sediment</w:t>
      </w:r>
      <w:r w:rsidR="003104A2">
        <w:rPr>
          <w:lang w:val="en"/>
        </w:rPr>
        <w:t xml:space="preserve"> (</w:t>
      </w:r>
      <w:r w:rsidR="00830732">
        <w:rPr>
          <w:lang w:val="en"/>
        </w:rPr>
        <w:t xml:space="preserve">WHO 1992, 2009, </w:t>
      </w:r>
      <w:r w:rsidR="001C7174">
        <w:rPr>
          <w:lang w:val="en"/>
        </w:rPr>
        <w:t>NCBI 2020</w:t>
      </w:r>
      <w:r w:rsidR="00830732">
        <w:rPr>
          <w:lang w:val="en"/>
        </w:rPr>
        <w:t>)</w:t>
      </w:r>
      <w:r w:rsidRPr="00C5306E">
        <w:rPr>
          <w:lang w:val="en"/>
        </w:rPr>
        <w:t xml:space="preserve">. </w:t>
      </w:r>
    </w:p>
    <w:p w14:paraId="5E7F1535" w14:textId="77777777" w:rsidR="004C3472" w:rsidRPr="004A49E7" w:rsidRDefault="000836A2" w:rsidP="004C3472">
      <w:r w:rsidRPr="00C5306E">
        <w:rPr>
          <w:lang w:val="en"/>
        </w:rPr>
        <w:t xml:space="preserve">Alpha-cypermethrin </w:t>
      </w:r>
      <w:r w:rsidRPr="00C5306E">
        <w:t xml:space="preserve">has a very fast knockdown action </w:t>
      </w:r>
      <w:r w:rsidR="004A49E7">
        <w:t>(</w:t>
      </w:r>
      <w:r w:rsidRPr="00C5306E">
        <w:t>i.e. it acts within minutes of application</w:t>
      </w:r>
      <w:r w:rsidR="004A49E7">
        <w:t>)</w:t>
      </w:r>
      <w:r w:rsidR="00830732">
        <w:t xml:space="preserve"> (WHO 1992)</w:t>
      </w:r>
      <w:r w:rsidRPr="00C5306E">
        <w:t xml:space="preserve">. Its </w:t>
      </w:r>
      <w:r w:rsidRPr="00C5306E">
        <w:rPr>
          <w:lang w:val="en"/>
        </w:rPr>
        <w:t>mode of action is on the central nervous system, acting specifically on t</w:t>
      </w:r>
      <w:r w:rsidRPr="00C5306E">
        <w:rPr>
          <w:lang w:val="en"/>
        </w:rPr>
        <w:t>he sodium channels</w:t>
      </w:r>
      <w:r w:rsidR="00830732">
        <w:rPr>
          <w:lang w:val="en"/>
        </w:rPr>
        <w:t>,</w:t>
      </w:r>
      <w:r w:rsidRPr="00C5306E">
        <w:rPr>
          <w:lang w:val="en"/>
        </w:rPr>
        <w:t xml:space="preserve"> causing paralysis and eventual death</w:t>
      </w:r>
      <w:r w:rsidR="00830732">
        <w:rPr>
          <w:lang w:val="en"/>
        </w:rPr>
        <w:t xml:space="preserve"> (WHO 1992)</w:t>
      </w:r>
      <w:r w:rsidRPr="00C5306E">
        <w:rPr>
          <w:lang w:val="en"/>
        </w:rPr>
        <w:t xml:space="preserve">. It also has a repellent and anti-feeding action on some insects. Based on a review of the aquatic </w:t>
      </w:r>
      <w:r w:rsidRPr="00C5306E">
        <w:t>toxicology, and consistent with its mode of action, alpha-cypermethrin is highly toxic to</w:t>
      </w:r>
      <w:r w:rsidRPr="00C5306E">
        <w:t xml:space="preserve"> fish and aquatic invertebrates. </w:t>
      </w:r>
      <w:r w:rsidR="004A49E7">
        <w:t>T</w:t>
      </w:r>
      <w:r w:rsidRPr="00C5306E">
        <w:t>oxicity</w:t>
      </w:r>
      <w:r w:rsidR="004A49E7">
        <w:t xml:space="preserve"> values for </w:t>
      </w:r>
      <w:r w:rsidR="004A49E7" w:rsidRPr="00C5306E">
        <w:t>alpha-cypermethrin</w:t>
      </w:r>
      <w:r w:rsidRPr="00C5306E">
        <w:t xml:space="preserve"> have been reported as low as 0.019</w:t>
      </w:r>
      <w:r w:rsidR="00830732">
        <w:t> </w:t>
      </w:r>
      <w:r w:rsidRPr="00C5306E">
        <w:t xml:space="preserve">µg/L for the shrimp </w:t>
      </w:r>
      <w:r w:rsidRPr="00830732">
        <w:rPr>
          <w:rStyle w:val="Emphasis"/>
        </w:rPr>
        <w:t>Paratya australiensis</w:t>
      </w:r>
      <w:r w:rsidR="004A49E7">
        <w:t xml:space="preserve"> (acute LC50) and 0.025</w:t>
      </w:r>
      <w:r w:rsidR="00830732">
        <w:t> </w:t>
      </w:r>
      <w:r w:rsidR="004A49E7" w:rsidRPr="00C5306E">
        <w:t>µg/L</w:t>
      </w:r>
      <w:r w:rsidR="004A49E7">
        <w:t xml:space="preserve"> for the cladoceran </w:t>
      </w:r>
      <w:r w:rsidR="004A49E7" w:rsidRPr="00830732">
        <w:rPr>
          <w:rStyle w:val="Emphasis"/>
        </w:rPr>
        <w:t>Ceriodaphnia dubia</w:t>
      </w:r>
      <w:r w:rsidR="004A49E7">
        <w:t xml:space="preserve"> (chronic </w:t>
      </w:r>
      <w:r w:rsidR="000B3E00">
        <w:t>NOEC</w:t>
      </w:r>
      <w:r w:rsidR="004A49E7">
        <w:t>).</w:t>
      </w:r>
    </w:p>
    <w:p w14:paraId="5E7F1536" w14:textId="77777777" w:rsidR="004C3472" w:rsidRDefault="000836A2" w:rsidP="004C3472">
      <w:r w:rsidRPr="00C5306E">
        <w:t>Alpha-cypermethrin is a racemic mixture of two isomers</w:t>
      </w:r>
      <w:r w:rsidR="00830732">
        <w:t>:</w:t>
      </w:r>
      <w:r w:rsidRPr="00C5306E">
        <w:t xml:space="preserve"> (1R, cis)S and (1S, cis)R </w:t>
      </w:r>
      <w:r w:rsidR="00830732">
        <w:t>(WHO 2009)</w:t>
      </w:r>
      <w:r w:rsidRPr="00C5306E">
        <w:t>. In the preparation of the default guideline values (DGVs) for alpha-cypermethrin, only data for the</w:t>
      </w:r>
      <w:r w:rsidR="0052148D">
        <w:t>se</w:t>
      </w:r>
      <w:r w:rsidRPr="00C5306E">
        <w:t xml:space="preserve"> isomer</w:t>
      </w:r>
      <w:r w:rsidR="0052148D">
        <w:t>s</w:t>
      </w:r>
      <w:r w:rsidRPr="00C5306E">
        <w:t xml:space="preserve"> were used. </w:t>
      </w:r>
      <w:r w:rsidR="009239A9">
        <w:t>Data from toxicity t</w:t>
      </w:r>
      <w:r w:rsidR="009239A9" w:rsidRPr="00C5306E">
        <w:t>est</w:t>
      </w:r>
      <w:r w:rsidR="009239A9">
        <w:t>s</w:t>
      </w:r>
      <w:r w:rsidR="009239A9" w:rsidRPr="00C5306E">
        <w:t xml:space="preserve"> </w:t>
      </w:r>
      <w:r w:rsidR="009239A9">
        <w:t>that used</w:t>
      </w:r>
      <w:r w:rsidR="009239A9" w:rsidRPr="00C5306E">
        <w:t xml:space="preserve"> </w:t>
      </w:r>
      <w:r w:rsidRPr="00C5306E">
        <w:t>insect</w:t>
      </w:r>
      <w:r w:rsidRPr="00C5306E">
        <w:t xml:space="preserve">icide formulations containing alpha-cypermethrin as the active ingredient </w:t>
      </w:r>
      <w:r w:rsidR="008A2898">
        <w:t>w</w:t>
      </w:r>
      <w:r w:rsidR="009239A9">
        <w:t>ere</w:t>
      </w:r>
      <w:r w:rsidR="008A2898" w:rsidRPr="00C5306E">
        <w:t xml:space="preserve"> </w:t>
      </w:r>
      <w:r w:rsidRPr="00C5306E">
        <w:t>excluded from the DGV</w:t>
      </w:r>
      <w:r w:rsidR="009239A9">
        <w:t xml:space="preserve"> derivation</w:t>
      </w:r>
      <w:r w:rsidRPr="00C5306E">
        <w:t xml:space="preserve"> because the toxicity of the carrier solvent (and other ingredients where stated) was not known. </w:t>
      </w:r>
    </w:p>
    <w:p w14:paraId="5E7F1537" w14:textId="77777777" w:rsidR="001C0D1C" w:rsidRDefault="000836A2" w:rsidP="004C3472">
      <w:pPr>
        <w:rPr>
          <w:bCs/>
        </w:rPr>
      </w:pPr>
      <w:r>
        <w:rPr>
          <w:bCs/>
        </w:rPr>
        <w:t>Moderate</w:t>
      </w:r>
      <w:r w:rsidRPr="00DE172A">
        <w:rPr>
          <w:bCs/>
        </w:rPr>
        <w:t xml:space="preserve"> </w:t>
      </w:r>
      <w:r w:rsidR="004C3472" w:rsidRPr="00DE172A">
        <w:rPr>
          <w:bCs/>
        </w:rPr>
        <w:t xml:space="preserve">reliability </w:t>
      </w:r>
      <w:r w:rsidR="004C3472">
        <w:rPr>
          <w:bCs/>
        </w:rPr>
        <w:t>D</w:t>
      </w:r>
      <w:r w:rsidR="004C3472" w:rsidRPr="00DE172A">
        <w:rPr>
          <w:bCs/>
        </w:rPr>
        <w:t>GV</w:t>
      </w:r>
      <w:r w:rsidR="004C3472">
        <w:rPr>
          <w:bCs/>
        </w:rPr>
        <w:t>s</w:t>
      </w:r>
      <w:r w:rsidR="004C3472" w:rsidRPr="00DE172A">
        <w:rPr>
          <w:bCs/>
        </w:rPr>
        <w:t xml:space="preserve"> </w:t>
      </w:r>
      <w:r w:rsidR="004A49E7" w:rsidRPr="00DE172A">
        <w:rPr>
          <w:bCs/>
        </w:rPr>
        <w:t>w</w:t>
      </w:r>
      <w:r w:rsidR="004A49E7">
        <w:rPr>
          <w:bCs/>
        </w:rPr>
        <w:t>ere</w:t>
      </w:r>
      <w:r w:rsidR="004A49E7" w:rsidRPr="00DE172A">
        <w:rPr>
          <w:bCs/>
        </w:rPr>
        <w:t xml:space="preserve"> </w:t>
      </w:r>
      <w:r w:rsidR="004C3472" w:rsidRPr="00DE172A">
        <w:rPr>
          <w:bCs/>
        </w:rPr>
        <w:t xml:space="preserve">derived based on </w:t>
      </w:r>
      <w:r w:rsidR="004C3472" w:rsidRPr="00B12817">
        <w:rPr>
          <w:bCs/>
        </w:rPr>
        <w:t>chronic NOEC and acute LC50</w:t>
      </w:r>
      <w:r w:rsidR="004C3472">
        <w:rPr>
          <w:bCs/>
        </w:rPr>
        <w:t xml:space="preserve"> (converted to chronic)</w:t>
      </w:r>
      <w:r w:rsidR="004C3472" w:rsidRPr="00DE172A">
        <w:rPr>
          <w:bCs/>
        </w:rPr>
        <w:t xml:space="preserve"> data for </w:t>
      </w:r>
      <w:r w:rsidR="00D55733">
        <w:rPr>
          <w:bCs/>
        </w:rPr>
        <w:t>14</w:t>
      </w:r>
      <w:r w:rsidR="00D55733" w:rsidRPr="00B12817">
        <w:rPr>
          <w:bCs/>
        </w:rPr>
        <w:t xml:space="preserve"> </w:t>
      </w:r>
      <w:r w:rsidR="004C3472" w:rsidRPr="00B12817">
        <w:rPr>
          <w:bCs/>
        </w:rPr>
        <w:t xml:space="preserve">species from </w:t>
      </w:r>
      <w:r w:rsidR="00D55733">
        <w:rPr>
          <w:bCs/>
        </w:rPr>
        <w:t>seven</w:t>
      </w:r>
      <w:r w:rsidR="00D55733" w:rsidRPr="00B12817">
        <w:rPr>
          <w:bCs/>
        </w:rPr>
        <w:t xml:space="preserve"> </w:t>
      </w:r>
      <w:r w:rsidR="004C3472" w:rsidRPr="00B12817">
        <w:rPr>
          <w:bCs/>
        </w:rPr>
        <w:t>tax</w:t>
      </w:r>
      <w:r w:rsidR="004C3472">
        <w:rPr>
          <w:bCs/>
        </w:rPr>
        <w:t>onomic groups</w:t>
      </w:r>
      <w:r w:rsidR="004A49E7">
        <w:rPr>
          <w:bCs/>
        </w:rPr>
        <w:t>,</w:t>
      </w:r>
      <w:r w:rsidR="004C3472">
        <w:rPr>
          <w:bCs/>
        </w:rPr>
        <w:t xml:space="preserve"> with a </w:t>
      </w:r>
      <w:r w:rsidR="00C35989">
        <w:rPr>
          <w:bCs/>
        </w:rPr>
        <w:t>good</w:t>
      </w:r>
      <w:r w:rsidR="004C3472">
        <w:rPr>
          <w:bCs/>
        </w:rPr>
        <w:t xml:space="preserve"> fit of the distribution to the toxicity data. </w:t>
      </w:r>
      <w:r w:rsidR="004C3472">
        <w:t xml:space="preserve">The DGVs for </w:t>
      </w:r>
      <w:r w:rsidR="004C3472">
        <w:rPr>
          <w:bCs/>
        </w:rPr>
        <w:t>99</w:t>
      </w:r>
      <w:r w:rsidR="0089046E">
        <w:rPr>
          <w:bCs/>
        </w:rPr>
        <w:t>%</w:t>
      </w:r>
      <w:r w:rsidR="004C3472">
        <w:rPr>
          <w:bCs/>
        </w:rPr>
        <w:t>, 95</w:t>
      </w:r>
      <w:r w:rsidR="0089046E">
        <w:rPr>
          <w:bCs/>
        </w:rPr>
        <w:t>%</w:t>
      </w:r>
      <w:r w:rsidR="004C3472">
        <w:rPr>
          <w:bCs/>
        </w:rPr>
        <w:t>, 90</w:t>
      </w:r>
      <w:r w:rsidR="0089046E">
        <w:rPr>
          <w:bCs/>
        </w:rPr>
        <w:t>%</w:t>
      </w:r>
      <w:r w:rsidR="004C3472">
        <w:rPr>
          <w:bCs/>
        </w:rPr>
        <w:t xml:space="preserve"> and 80% species protection are</w:t>
      </w:r>
      <w:r w:rsidR="004C3472">
        <w:t xml:space="preserve"> 0.001</w:t>
      </w:r>
      <w:r w:rsidR="006F0728">
        <w:t> </w:t>
      </w:r>
      <w:r w:rsidR="004C3472">
        <w:rPr>
          <w:rFonts w:cstheme="minorHAnsi"/>
        </w:rPr>
        <w:t>µ</w:t>
      </w:r>
      <w:r w:rsidR="004C3472">
        <w:t>g/L, 0.006</w:t>
      </w:r>
      <w:r w:rsidR="006F0728">
        <w:t> </w:t>
      </w:r>
      <w:r w:rsidR="004C3472">
        <w:rPr>
          <w:rFonts w:cstheme="minorHAnsi"/>
        </w:rPr>
        <w:t>µ</w:t>
      </w:r>
      <w:r w:rsidR="004C3472">
        <w:t>g/L, 0.013</w:t>
      </w:r>
      <w:r w:rsidR="006F0728">
        <w:t> </w:t>
      </w:r>
      <w:r w:rsidR="004C3472">
        <w:rPr>
          <w:rFonts w:cstheme="minorHAnsi"/>
        </w:rPr>
        <w:t>µ</w:t>
      </w:r>
      <w:r w:rsidR="004C3472">
        <w:t>g/L and 0.037</w:t>
      </w:r>
      <w:r w:rsidR="006F0728">
        <w:t> </w:t>
      </w:r>
      <w:r w:rsidR="004C3472">
        <w:rPr>
          <w:rFonts w:cstheme="minorHAnsi"/>
        </w:rPr>
        <w:t>µ</w:t>
      </w:r>
      <w:r w:rsidR="004C3472">
        <w:t>g/L, respectively.</w:t>
      </w:r>
      <w:r w:rsidR="004A49E7">
        <w:t xml:space="preserve"> </w:t>
      </w:r>
      <w:r w:rsidR="009239A9">
        <w:rPr>
          <w:bCs/>
        </w:rPr>
        <w:t>The</w:t>
      </w:r>
      <w:r w:rsidR="006F0728">
        <w:rPr>
          <w:bCs/>
        </w:rPr>
        <w:t xml:space="preserve"> DGVs may be below current analytical limits of reporting. </w:t>
      </w:r>
      <w:r w:rsidR="004C3472" w:rsidRPr="00C5306E">
        <w:t>The</w:t>
      </w:r>
      <w:r w:rsidR="004C3472" w:rsidRPr="001741CC">
        <w:t xml:space="preserve"> 95%</w:t>
      </w:r>
      <w:r w:rsidR="004C3472" w:rsidRPr="001741CC">
        <w:rPr>
          <w:vertAlign w:val="superscript"/>
        </w:rPr>
        <w:t xml:space="preserve"> </w:t>
      </w:r>
      <w:r w:rsidR="004C3472" w:rsidRPr="001741CC">
        <w:rPr>
          <w:bCs/>
        </w:rPr>
        <w:t xml:space="preserve">species protection level for </w:t>
      </w:r>
      <w:r w:rsidR="004C3472">
        <w:rPr>
          <w:bCs/>
        </w:rPr>
        <w:t>alpha-cypermethrin</w:t>
      </w:r>
      <w:r w:rsidR="00426528">
        <w:rPr>
          <w:bCs/>
        </w:rPr>
        <w:t xml:space="preserve"> (</w:t>
      </w:r>
      <w:r w:rsidR="00426528">
        <w:t>0.</w:t>
      </w:r>
      <w:r w:rsidR="00316D36">
        <w:t>006 </w:t>
      </w:r>
      <w:r w:rsidR="00426528">
        <w:rPr>
          <w:rFonts w:cstheme="minorHAnsi"/>
        </w:rPr>
        <w:t>µ</w:t>
      </w:r>
      <w:r w:rsidR="00426528">
        <w:t>g/L)</w:t>
      </w:r>
      <w:r w:rsidR="004C3472" w:rsidRPr="001741CC">
        <w:rPr>
          <w:bCs/>
        </w:rPr>
        <w:t xml:space="preserve"> is recommended for adoption in </w:t>
      </w:r>
      <w:r w:rsidR="006F0728">
        <w:rPr>
          <w:bCs/>
        </w:rPr>
        <w:t xml:space="preserve">the </w:t>
      </w:r>
      <w:r w:rsidR="004C3472" w:rsidRPr="001741CC">
        <w:rPr>
          <w:bCs/>
        </w:rPr>
        <w:t>assessment of slightly</w:t>
      </w:r>
      <w:r w:rsidR="006F0728">
        <w:rPr>
          <w:bCs/>
        </w:rPr>
        <w:t>-</w:t>
      </w:r>
      <w:r w:rsidR="004C3472" w:rsidRPr="001741CC">
        <w:rPr>
          <w:bCs/>
        </w:rPr>
        <w:t>to</w:t>
      </w:r>
      <w:r w:rsidR="006F0728">
        <w:rPr>
          <w:bCs/>
        </w:rPr>
        <w:t>-</w:t>
      </w:r>
      <w:r w:rsidR="004C3472" w:rsidRPr="001741CC">
        <w:rPr>
          <w:bCs/>
        </w:rPr>
        <w:t>moderately disturbed ecosystems.</w:t>
      </w:r>
      <w:r w:rsidR="004C3472">
        <w:rPr>
          <w:bCs/>
        </w:rPr>
        <w:t xml:space="preserve"> </w:t>
      </w:r>
    </w:p>
    <w:p w14:paraId="5E7F1538" w14:textId="77777777" w:rsidR="00414A32" w:rsidRDefault="00414A32" w:rsidP="004C3472"/>
    <w:p w14:paraId="5E7F1539" w14:textId="77777777" w:rsidR="001C0D1C" w:rsidRDefault="001C0D1C">
      <w:pPr>
        <w:sectPr w:rsidR="001C0D1C">
          <w:headerReference w:type="default" r:id="rId19"/>
          <w:footerReference w:type="default" r:id="rId20"/>
          <w:headerReference w:type="first" r:id="rId21"/>
          <w:pgSz w:w="11906" w:h="16838"/>
          <w:pgMar w:top="1418" w:right="1418" w:bottom="1418" w:left="1418" w:header="567" w:footer="283" w:gutter="0"/>
          <w:pgNumType w:fmt="lowerRoman"/>
          <w:cols w:space="708"/>
          <w:titlePg/>
          <w:docGrid w:linePitch="360"/>
        </w:sectPr>
      </w:pPr>
    </w:p>
    <w:p w14:paraId="5E7F153A" w14:textId="77777777" w:rsidR="001C0D1C" w:rsidRDefault="000836A2">
      <w:pPr>
        <w:pStyle w:val="Heading2"/>
      </w:pPr>
      <w:bookmarkStart w:id="2" w:name="_Ref50628691"/>
      <w:bookmarkStart w:id="3" w:name="_Toc56073288"/>
      <w:r>
        <w:lastRenderedPageBreak/>
        <w:t>Introduction</w:t>
      </w:r>
      <w:bookmarkEnd w:id="2"/>
      <w:bookmarkEnd w:id="3"/>
    </w:p>
    <w:p w14:paraId="5E7F153B" w14:textId="77777777" w:rsidR="00542F9A" w:rsidRDefault="000836A2" w:rsidP="00542F9A">
      <w:pPr>
        <w:rPr>
          <w:lang w:val="en"/>
        </w:rPr>
      </w:pPr>
      <w:r w:rsidRPr="005A07FF">
        <w:rPr>
          <w:lang w:val="en"/>
        </w:rPr>
        <w:t>Alpha-cypermethrin (CASRN 67375-30-8</w:t>
      </w:r>
      <w:r w:rsidRPr="00946147">
        <w:rPr>
          <w:lang w:val="en"/>
        </w:rPr>
        <w:t xml:space="preserve"> </w:t>
      </w:r>
      <w:r w:rsidRPr="005A07FF">
        <w:rPr>
          <w:lang w:val="en"/>
        </w:rPr>
        <w:t>and molecular formula C</w:t>
      </w:r>
      <w:r w:rsidRPr="0035567E">
        <w:rPr>
          <w:vertAlign w:val="subscript"/>
          <w:lang w:val="en"/>
        </w:rPr>
        <w:t>22</w:t>
      </w:r>
      <w:r w:rsidRPr="005A07FF">
        <w:rPr>
          <w:lang w:val="en"/>
        </w:rPr>
        <w:t>H</w:t>
      </w:r>
      <w:r w:rsidRPr="0035567E">
        <w:rPr>
          <w:vertAlign w:val="subscript"/>
          <w:lang w:val="en"/>
        </w:rPr>
        <w:t>19</w:t>
      </w:r>
      <w:r w:rsidRPr="005A07FF">
        <w:rPr>
          <w:lang w:val="en"/>
        </w:rPr>
        <w:t>C</w:t>
      </w:r>
      <w:r w:rsidRPr="0035567E">
        <w:rPr>
          <w:vertAlign w:val="subscript"/>
          <w:lang w:val="en"/>
        </w:rPr>
        <w:t>l2</w:t>
      </w:r>
      <w:r w:rsidRPr="005A07FF">
        <w:rPr>
          <w:lang w:val="en"/>
        </w:rPr>
        <w:t>NO</w:t>
      </w:r>
      <w:r w:rsidRPr="0035567E">
        <w:rPr>
          <w:vertAlign w:val="subscript"/>
          <w:lang w:val="en"/>
        </w:rPr>
        <w:t>3</w:t>
      </w:r>
      <w:r w:rsidRPr="005A07FF">
        <w:rPr>
          <w:lang w:val="en"/>
        </w:rPr>
        <w:t xml:space="preserve">) </w:t>
      </w:r>
      <w:r w:rsidRPr="00BC5F20">
        <w:rPr>
          <w:lang w:val="en"/>
        </w:rPr>
        <w:t xml:space="preserve">is a </w:t>
      </w:r>
      <w:r w:rsidRPr="00946147">
        <w:rPr>
          <w:lang w:val="en"/>
        </w:rPr>
        <w:t xml:space="preserve">pyrethroid insecticide </w:t>
      </w:r>
      <w:r>
        <w:rPr>
          <w:lang w:val="en"/>
        </w:rPr>
        <w:t xml:space="preserve">and racemic </w:t>
      </w:r>
      <w:r w:rsidR="00294C1D">
        <w:rPr>
          <w:lang w:val="en"/>
        </w:rPr>
        <w:t xml:space="preserve">(i.e. 1:1) </w:t>
      </w:r>
      <w:r w:rsidRPr="00BC5F20">
        <w:rPr>
          <w:lang w:val="en"/>
        </w:rPr>
        <w:t xml:space="preserve">mixture of two </w:t>
      </w:r>
      <w:r w:rsidRPr="00404DAE">
        <w:rPr>
          <w:rFonts w:cs="Arial"/>
          <w:color w:val="000000" w:themeColor="text1"/>
          <w:lang w:val="en"/>
        </w:rPr>
        <w:t>enantiomeric</w:t>
      </w:r>
      <w:r>
        <w:rPr>
          <w:rFonts w:cs="Arial"/>
          <w:color w:val="353735"/>
          <w:sz w:val="21"/>
          <w:szCs w:val="21"/>
          <w:lang w:val="en"/>
        </w:rPr>
        <w:t xml:space="preserve"> </w:t>
      </w:r>
      <w:r w:rsidR="00294C1D">
        <w:rPr>
          <w:rFonts w:cs="Arial"/>
          <w:color w:val="353735"/>
          <w:sz w:val="21"/>
          <w:szCs w:val="21"/>
          <w:lang w:val="en"/>
        </w:rPr>
        <w:t xml:space="preserve">(i.e. mirror image) </w:t>
      </w:r>
      <w:r>
        <w:rPr>
          <w:lang w:val="en"/>
        </w:rPr>
        <w:t>cis-</w:t>
      </w:r>
      <w:r w:rsidRPr="00BC5F20">
        <w:rPr>
          <w:lang w:val="en"/>
        </w:rPr>
        <w:t>isomers</w:t>
      </w:r>
      <w:r w:rsidR="005E3985">
        <w:rPr>
          <w:lang w:val="en"/>
        </w:rPr>
        <w:t xml:space="preserve"> (WHO 2009)</w:t>
      </w:r>
      <w:r>
        <w:rPr>
          <w:lang w:val="en"/>
        </w:rPr>
        <w:t>:</w:t>
      </w:r>
    </w:p>
    <w:p w14:paraId="5E7F153C" w14:textId="77777777" w:rsidR="00542F9A" w:rsidRPr="00946147" w:rsidRDefault="000836A2" w:rsidP="00414A32">
      <w:pPr>
        <w:pStyle w:val="ListBullet"/>
        <w:rPr>
          <w:lang w:val="en"/>
        </w:rPr>
      </w:pPr>
      <w:r w:rsidRPr="00946147">
        <w:rPr>
          <w:lang w:val="en"/>
        </w:rPr>
        <w:t>the (1R, cis)S isomer (or (S)-α-cyano-3-phenoxy</w:t>
      </w:r>
      <w:r w:rsidRPr="00946147">
        <w:rPr>
          <w:lang w:val="en"/>
        </w:rPr>
        <w:t>benzyl-(1R,3R)-3-(2,2-dichlorovinyl)-2,2-dimethylcyclopropane-carboxylate)</w:t>
      </w:r>
    </w:p>
    <w:p w14:paraId="5E7F153D" w14:textId="77777777" w:rsidR="00542F9A" w:rsidRPr="00946147" w:rsidRDefault="000836A2" w:rsidP="00414A32">
      <w:pPr>
        <w:pStyle w:val="ListBullet"/>
        <w:rPr>
          <w:lang w:val="en"/>
        </w:rPr>
      </w:pPr>
      <w:r w:rsidRPr="00946147">
        <w:rPr>
          <w:lang w:val="en"/>
        </w:rPr>
        <w:t>the (1S, cis)R isomer (or (R)-α-cyano-3-phenoxybenzyl-(1S,3S)-3-(2,2-dichlorovinyl)-2,2-dimethylcyclopropane-carboxylate).</w:t>
      </w:r>
    </w:p>
    <w:p w14:paraId="5E7F153E" w14:textId="77777777" w:rsidR="00542F9A" w:rsidRPr="007B1D1D" w:rsidRDefault="000836A2" w:rsidP="00542F9A">
      <w:pPr>
        <w:rPr>
          <w:lang w:val="en"/>
        </w:rPr>
      </w:pPr>
      <w:r w:rsidRPr="00D1143A">
        <w:rPr>
          <w:lang w:val="en"/>
        </w:rPr>
        <w:t>These isomers represent two of eight isomers</w:t>
      </w:r>
      <w:r w:rsidR="00294C1D">
        <w:rPr>
          <w:lang w:val="en"/>
        </w:rPr>
        <w:t xml:space="preserve"> (four cis</w:t>
      </w:r>
      <w:r w:rsidR="00CB331D">
        <w:rPr>
          <w:lang w:val="en"/>
        </w:rPr>
        <w:t>-</w:t>
      </w:r>
      <w:r w:rsidR="00294C1D">
        <w:rPr>
          <w:lang w:val="en"/>
        </w:rPr>
        <w:t>isomers and four trans</w:t>
      </w:r>
      <w:r w:rsidR="00CB331D">
        <w:rPr>
          <w:lang w:val="en"/>
        </w:rPr>
        <w:t>-</w:t>
      </w:r>
      <w:r w:rsidR="00294C1D">
        <w:rPr>
          <w:lang w:val="en"/>
        </w:rPr>
        <w:t>isomers)</w:t>
      </w:r>
      <w:r w:rsidRPr="00D1143A">
        <w:rPr>
          <w:lang w:val="en"/>
        </w:rPr>
        <w:t xml:space="preserve"> present in </w:t>
      </w:r>
      <w:r>
        <w:rPr>
          <w:lang w:val="en"/>
        </w:rPr>
        <w:t>the insecticide cypermethrin. C</w:t>
      </w:r>
      <w:r w:rsidRPr="00CA0097">
        <w:rPr>
          <w:lang w:val="en"/>
        </w:rPr>
        <w:t>ypermethrin is formulated as four different insecticides</w:t>
      </w:r>
      <w:r w:rsidR="00651D7D">
        <w:rPr>
          <w:lang w:val="en"/>
        </w:rPr>
        <w:t>:</w:t>
      </w:r>
      <w:r w:rsidRPr="00CA0097">
        <w:rPr>
          <w:lang w:val="en"/>
        </w:rPr>
        <w:t xml:space="preserve"> alpha-, beta-, theta- and zeta-cypermethrin</w:t>
      </w:r>
      <w:r w:rsidR="00651D7D">
        <w:rPr>
          <w:lang w:val="en"/>
        </w:rPr>
        <w:t xml:space="preserve"> (ATSDR 2003)</w:t>
      </w:r>
      <w:r w:rsidRPr="007B1D1D">
        <w:rPr>
          <w:lang w:val="en"/>
        </w:rPr>
        <w:t>.</w:t>
      </w:r>
      <w:r>
        <w:rPr>
          <w:lang w:val="en"/>
        </w:rPr>
        <w:t xml:space="preserve"> </w:t>
      </w:r>
      <w:r w:rsidRPr="00897F90">
        <w:rPr>
          <w:lang w:val="en"/>
        </w:rPr>
        <w:t xml:space="preserve">Application rates of alpha-cypermethrin are lower than those of </w:t>
      </w:r>
      <w:r w:rsidR="00147D61" w:rsidRPr="00897F90">
        <w:rPr>
          <w:lang w:val="en"/>
        </w:rPr>
        <w:t xml:space="preserve">beta-, theta- </w:t>
      </w:r>
      <w:r w:rsidR="00147D61">
        <w:rPr>
          <w:lang w:val="en"/>
        </w:rPr>
        <w:t>and</w:t>
      </w:r>
      <w:r w:rsidR="00147D61" w:rsidRPr="00897F90">
        <w:rPr>
          <w:lang w:val="en"/>
        </w:rPr>
        <w:t xml:space="preserve"> zeta</w:t>
      </w:r>
      <w:r w:rsidR="00147D61">
        <w:rPr>
          <w:lang w:val="en"/>
        </w:rPr>
        <w:t>-</w:t>
      </w:r>
      <w:r w:rsidRPr="00897F90">
        <w:rPr>
          <w:lang w:val="en"/>
        </w:rPr>
        <w:t xml:space="preserve">cypermethrin because the alpha-isomers are more biologically active than the beta-, theta- </w:t>
      </w:r>
      <w:r w:rsidR="00147D61">
        <w:rPr>
          <w:lang w:val="en"/>
        </w:rPr>
        <w:t>and</w:t>
      </w:r>
      <w:r w:rsidR="00147D61" w:rsidRPr="00897F90">
        <w:rPr>
          <w:lang w:val="en"/>
        </w:rPr>
        <w:t xml:space="preserve"> </w:t>
      </w:r>
      <w:r w:rsidRPr="00897F90">
        <w:rPr>
          <w:lang w:val="en"/>
        </w:rPr>
        <w:t>zeta-isomers</w:t>
      </w:r>
      <w:r w:rsidR="00147D61" w:rsidRPr="00897F90">
        <w:rPr>
          <w:lang w:val="en"/>
        </w:rPr>
        <w:t xml:space="preserve"> </w:t>
      </w:r>
      <w:r w:rsidR="00147D61">
        <w:rPr>
          <w:lang w:val="en"/>
        </w:rPr>
        <w:t>(WHO 1992)</w:t>
      </w:r>
      <w:r w:rsidRPr="00897F90">
        <w:rPr>
          <w:lang w:val="en"/>
        </w:rPr>
        <w:t>.</w:t>
      </w:r>
    </w:p>
    <w:p w14:paraId="5E7F153F" w14:textId="77777777" w:rsidR="00305E3C" w:rsidRDefault="000836A2" w:rsidP="00542F9A">
      <w:r w:rsidRPr="007B1D1D">
        <w:rPr>
          <w:lang w:val="en"/>
        </w:rPr>
        <w:t>Alpha-cypermethrin is approved for use in Austral</w:t>
      </w:r>
      <w:r w:rsidRPr="007B1D1D">
        <w:rPr>
          <w:lang w:val="en"/>
        </w:rPr>
        <w:t>ia</w:t>
      </w:r>
      <w:r w:rsidR="0063500D">
        <w:rPr>
          <w:lang w:val="en"/>
        </w:rPr>
        <w:t xml:space="preserve"> </w:t>
      </w:r>
      <w:r w:rsidR="001C7174">
        <w:rPr>
          <w:lang w:val="en"/>
        </w:rPr>
        <w:t>(</w:t>
      </w:r>
      <w:r w:rsidR="0063500D">
        <w:rPr>
          <w:lang w:val="en"/>
        </w:rPr>
        <w:t>APVMA 2004)</w:t>
      </w:r>
      <w:r w:rsidRPr="007B1D1D">
        <w:rPr>
          <w:lang w:val="en"/>
        </w:rPr>
        <w:t xml:space="preserve"> as a contact and ingested pyrethroid insecticide to control chewing and sucking insects</w:t>
      </w:r>
      <w:r w:rsidR="0045194B">
        <w:rPr>
          <w:lang w:val="en"/>
        </w:rPr>
        <w:t>,</w:t>
      </w:r>
      <w:r w:rsidRPr="007B1D1D">
        <w:rPr>
          <w:lang w:val="en"/>
        </w:rPr>
        <w:t xml:space="preserve"> such as Lepidoptera, Coleoptera, and Hemiptera</w:t>
      </w:r>
      <w:r w:rsidR="0045194B">
        <w:rPr>
          <w:lang w:val="en"/>
        </w:rPr>
        <w:t xml:space="preserve"> (WHO 1992, PPDB 2015)</w:t>
      </w:r>
      <w:r w:rsidRPr="007B1D1D">
        <w:rPr>
          <w:lang w:val="en"/>
        </w:rPr>
        <w:t xml:space="preserve">. </w:t>
      </w:r>
      <w:r w:rsidR="00A30A73">
        <w:rPr>
          <w:lang w:val="en"/>
        </w:rPr>
        <w:t xml:space="preserve">In Australia and New Zealand, it </w:t>
      </w:r>
      <w:r>
        <w:rPr>
          <w:lang w:val="en"/>
        </w:rPr>
        <w:t xml:space="preserve">is used </w:t>
      </w:r>
      <w:r>
        <w:t xml:space="preserve">primarily </w:t>
      </w:r>
      <w:r w:rsidRPr="00C15E8A">
        <w:t xml:space="preserve">to control insects on </w:t>
      </w:r>
      <w:r w:rsidR="00972DA3">
        <w:t xml:space="preserve">a wide range of </w:t>
      </w:r>
      <w:r w:rsidRPr="00C15E8A">
        <w:t>fruit</w:t>
      </w:r>
      <w:r w:rsidR="00972DA3">
        <w:t xml:space="preserve"> (e.g. apple, grap</w:t>
      </w:r>
      <w:r w:rsidR="00BF1C28">
        <w:t>e</w:t>
      </w:r>
      <w:r w:rsidR="00972DA3">
        <w:t xml:space="preserve">, </w:t>
      </w:r>
      <w:r w:rsidR="00BF1C28">
        <w:t xml:space="preserve">avocado, kiwifruit, </w:t>
      </w:r>
      <w:r w:rsidR="00972DA3">
        <w:t>pear, stone fruit), vegetable (e.g. broccoli, cabbage, cauliflower, kale, lettuce, tomato)</w:t>
      </w:r>
      <w:r w:rsidR="002B2CC4">
        <w:t xml:space="preserve"> </w:t>
      </w:r>
      <w:r w:rsidR="00972DA3">
        <w:t xml:space="preserve">and other agricultural (e.g. canola, cotton, lucern, maize, rice) </w:t>
      </w:r>
      <w:r w:rsidRPr="00C15E8A">
        <w:t>crops</w:t>
      </w:r>
      <w:r w:rsidR="00A30A73">
        <w:t xml:space="preserve"> </w:t>
      </w:r>
      <w:r w:rsidR="00972DA3">
        <w:t>(</w:t>
      </w:r>
      <w:r w:rsidR="00BF1C28">
        <w:t xml:space="preserve">ACVM 2020, </w:t>
      </w:r>
      <w:r w:rsidR="00972DA3">
        <w:t>APVMA 2020</w:t>
      </w:r>
      <w:r w:rsidR="00FE4BFC">
        <w:t>)</w:t>
      </w:r>
      <w:r w:rsidRPr="00C15E8A">
        <w:t xml:space="preserve">. </w:t>
      </w:r>
      <w:r>
        <w:t>It is also use</w:t>
      </w:r>
      <w:r>
        <w:t xml:space="preserve">d </w:t>
      </w:r>
      <w:r w:rsidRPr="00C15E8A">
        <w:t>domestic</w:t>
      </w:r>
      <w:r>
        <w:t>ally</w:t>
      </w:r>
      <w:r w:rsidR="00A30A73">
        <w:t xml:space="preserve"> and commercially</w:t>
      </w:r>
      <w:r>
        <w:t xml:space="preserve"> to </w:t>
      </w:r>
      <w:r w:rsidRPr="00C15E8A">
        <w:t xml:space="preserve">control </w:t>
      </w:r>
      <w:r w:rsidR="00496B00">
        <w:t xml:space="preserve">insects, such as </w:t>
      </w:r>
      <w:r w:rsidR="00A30A73">
        <w:t xml:space="preserve">ants, </w:t>
      </w:r>
      <w:r w:rsidRPr="00C15E8A">
        <w:t>cockroaches, mosquitoes</w:t>
      </w:r>
      <w:r w:rsidR="00496B00">
        <w:t xml:space="preserve"> and</w:t>
      </w:r>
      <w:r w:rsidRPr="00C15E8A">
        <w:t xml:space="preserve"> flies</w:t>
      </w:r>
      <w:r w:rsidR="00A30A73">
        <w:t xml:space="preserve"> (ACVM 2020, APVMA 2020)</w:t>
      </w:r>
      <w:r w:rsidRPr="00C15E8A">
        <w:t xml:space="preserve">, and </w:t>
      </w:r>
      <w:r>
        <w:t>in</w:t>
      </w:r>
      <w:r w:rsidRPr="00C15E8A">
        <w:t xml:space="preserve"> veterinary treatment applications</w:t>
      </w:r>
      <w:r>
        <w:t>,</w:t>
      </w:r>
      <w:r w:rsidRPr="00C15E8A">
        <w:t xml:space="preserve"> such as animal ectoparasiticide</w:t>
      </w:r>
      <w:r>
        <w:t>s</w:t>
      </w:r>
      <w:r w:rsidR="00B06646">
        <w:t xml:space="preserve"> (APVMA 2020)</w:t>
      </w:r>
      <w:r w:rsidRPr="00C15E8A">
        <w:t xml:space="preserve">. </w:t>
      </w:r>
    </w:p>
    <w:p w14:paraId="5E7F1540" w14:textId="77777777" w:rsidR="00542F9A" w:rsidRDefault="000836A2" w:rsidP="00542F9A">
      <w:r>
        <w:rPr>
          <w:lang w:val="en"/>
        </w:rPr>
        <w:t>Alpha-cypermethrin’s</w:t>
      </w:r>
      <w:r w:rsidRPr="00D50E11">
        <w:rPr>
          <w:lang w:val="en"/>
        </w:rPr>
        <w:t xml:space="preserve"> mode of action is on the central nervous system, acting </w:t>
      </w:r>
      <w:r w:rsidRPr="00C5306E">
        <w:rPr>
          <w:lang w:val="en"/>
        </w:rPr>
        <w:t>specifically by causing delayed closure of the</w:t>
      </w:r>
      <w:r w:rsidRPr="00D64925">
        <w:rPr>
          <w:lang w:val="en"/>
        </w:rPr>
        <w:t xml:space="preserve"> </w:t>
      </w:r>
      <w:r w:rsidRPr="00D50E11">
        <w:rPr>
          <w:lang w:val="en"/>
        </w:rPr>
        <w:t>sodium channels</w:t>
      </w:r>
      <w:r>
        <w:rPr>
          <w:lang w:val="en"/>
        </w:rPr>
        <w:t>,</w:t>
      </w:r>
      <w:r w:rsidRPr="00D50E11">
        <w:rPr>
          <w:lang w:val="en"/>
        </w:rPr>
        <w:t xml:space="preserve"> </w:t>
      </w:r>
      <w:r>
        <w:rPr>
          <w:lang w:val="en"/>
        </w:rPr>
        <w:t>causing paralysis and eventual death</w:t>
      </w:r>
      <w:r w:rsidR="00305E3C">
        <w:rPr>
          <w:lang w:val="en"/>
        </w:rPr>
        <w:t xml:space="preserve"> (WHO 1992)</w:t>
      </w:r>
      <w:r>
        <w:rPr>
          <w:lang w:val="en"/>
        </w:rPr>
        <w:t xml:space="preserve">. </w:t>
      </w:r>
      <w:r w:rsidRPr="00C15E8A">
        <w:t xml:space="preserve">Alpha-cypermethrin has a very quick knockdown action </w:t>
      </w:r>
      <w:r w:rsidR="00832E57">
        <w:t>(</w:t>
      </w:r>
      <w:r w:rsidRPr="00C15E8A">
        <w:t>i.e. it acts within minutes of a</w:t>
      </w:r>
      <w:r w:rsidRPr="00C15E8A">
        <w:t>pplication</w:t>
      </w:r>
      <w:r w:rsidR="00832E57">
        <w:t>)</w:t>
      </w:r>
      <w:r w:rsidR="00305E3C">
        <w:t xml:space="preserve"> (WHO 1992)</w:t>
      </w:r>
      <w:r>
        <w:t>.</w:t>
      </w:r>
    </w:p>
    <w:p w14:paraId="5E7F1541" w14:textId="77777777" w:rsidR="00542F9A" w:rsidRPr="00946147" w:rsidRDefault="000836A2" w:rsidP="00542F9A">
      <w:pPr>
        <w:rPr>
          <w:lang w:val="en"/>
        </w:rPr>
      </w:pPr>
      <w:r w:rsidRPr="006D4007">
        <w:rPr>
          <w:lang w:val="en"/>
        </w:rPr>
        <w:t>In agricultural use, alpha-cypermethrin is often applied as a suspension concentrate or emulsifiable</w:t>
      </w:r>
      <w:r w:rsidRPr="004661CB">
        <w:rPr>
          <w:lang w:val="en"/>
        </w:rPr>
        <w:t xml:space="preserve"> concentrate in a carrier solvent. Most </w:t>
      </w:r>
      <w:r w:rsidRPr="006D4007">
        <w:rPr>
          <w:lang w:val="en"/>
        </w:rPr>
        <w:t>emulsifiable</w:t>
      </w:r>
      <w:r w:rsidRPr="004661CB">
        <w:rPr>
          <w:lang w:val="en"/>
        </w:rPr>
        <w:t xml:space="preserve"> concentrates contain between 25% and 75% </w:t>
      </w:r>
      <w:r w:rsidR="00AC2FD8">
        <w:rPr>
          <w:lang w:val="en"/>
        </w:rPr>
        <w:t xml:space="preserve">of the </w:t>
      </w:r>
      <w:r w:rsidRPr="004661CB">
        <w:rPr>
          <w:lang w:val="en"/>
        </w:rPr>
        <w:t>active ingredient</w:t>
      </w:r>
      <w:r w:rsidR="00AC2FD8">
        <w:rPr>
          <w:lang w:val="en"/>
        </w:rPr>
        <w:t xml:space="preserve"> (Fishel 201</w:t>
      </w:r>
      <w:r w:rsidR="00B01ED0">
        <w:rPr>
          <w:lang w:val="en"/>
        </w:rPr>
        <w:t>3</w:t>
      </w:r>
      <w:r w:rsidR="00AC2FD8">
        <w:rPr>
          <w:lang w:val="en"/>
        </w:rPr>
        <w:t>)</w:t>
      </w:r>
      <w:r w:rsidRPr="004661CB">
        <w:rPr>
          <w:lang w:val="en"/>
        </w:rPr>
        <w:t>. Based on a review of readily available information</w:t>
      </w:r>
      <w:r>
        <w:rPr>
          <w:lang w:val="en"/>
        </w:rPr>
        <w:t xml:space="preserve"> for pesticide formulations containing alpha-cypermethrin registered for use in Australia</w:t>
      </w:r>
      <w:r w:rsidRPr="004661CB">
        <w:rPr>
          <w:lang w:val="en"/>
        </w:rPr>
        <w:t xml:space="preserve">, </w:t>
      </w:r>
      <w:r w:rsidRPr="006D4007">
        <w:rPr>
          <w:lang w:val="en"/>
        </w:rPr>
        <w:t>emulsifiable</w:t>
      </w:r>
      <w:r w:rsidRPr="004661CB">
        <w:rPr>
          <w:lang w:val="en"/>
        </w:rPr>
        <w:t xml:space="preserve"> concentrate and </w:t>
      </w:r>
      <w:r w:rsidRPr="006D4007">
        <w:rPr>
          <w:lang w:val="en"/>
        </w:rPr>
        <w:t>suspension concentrate</w:t>
      </w:r>
      <w:r w:rsidRPr="004661CB">
        <w:rPr>
          <w:lang w:val="en"/>
        </w:rPr>
        <w:t xml:space="preserve"> formulations of alpha-cypermethrin </w:t>
      </w:r>
      <w:r>
        <w:rPr>
          <w:lang w:val="en"/>
        </w:rPr>
        <w:t>contain</w:t>
      </w:r>
      <w:r w:rsidRPr="004661CB">
        <w:rPr>
          <w:lang w:val="en"/>
        </w:rPr>
        <w:t xml:space="preserve"> approximately 10% </w:t>
      </w:r>
      <w:r w:rsidRPr="004661CB">
        <w:rPr>
          <w:lang w:val="en"/>
        </w:rPr>
        <w:t>alpha-cypermethrin.</w:t>
      </w:r>
    </w:p>
    <w:p w14:paraId="5E7F1542" w14:textId="77777777" w:rsidR="00542F9A" w:rsidRPr="00C5306E" w:rsidRDefault="000836A2" w:rsidP="00542F9A">
      <w:pPr>
        <w:rPr>
          <w:lang w:val="en"/>
        </w:rPr>
      </w:pPr>
      <w:r w:rsidRPr="007B1D1D">
        <w:rPr>
          <w:lang w:val="en"/>
        </w:rPr>
        <w:t xml:space="preserve">Alpha-cypermethrin is a </w:t>
      </w:r>
      <w:r>
        <w:rPr>
          <w:lang w:val="en"/>
        </w:rPr>
        <w:t>crystalline powder with a weak aromatic odour</w:t>
      </w:r>
      <w:r w:rsidR="004E50EF">
        <w:rPr>
          <w:lang w:val="en"/>
        </w:rPr>
        <w:t xml:space="preserve"> (WHO 1992)</w:t>
      </w:r>
      <w:r>
        <w:rPr>
          <w:lang w:val="en"/>
        </w:rPr>
        <w:t xml:space="preserve">. It has </w:t>
      </w:r>
      <w:r w:rsidRPr="007B1D1D">
        <w:rPr>
          <w:lang w:val="en"/>
        </w:rPr>
        <w:t>low water solubility (</w:t>
      </w:r>
      <w:r w:rsidRPr="0033328F">
        <w:rPr>
          <w:lang w:val="en"/>
        </w:rPr>
        <w:t>0.005</w:t>
      </w:r>
      <w:r w:rsidR="00AB59D0">
        <w:rPr>
          <w:lang w:val="en"/>
        </w:rPr>
        <w:t>–</w:t>
      </w:r>
      <w:r w:rsidRPr="007B1D1D">
        <w:rPr>
          <w:lang w:val="en"/>
        </w:rPr>
        <w:t>0.01</w:t>
      </w:r>
      <w:r>
        <w:rPr>
          <w:lang w:val="en"/>
        </w:rPr>
        <w:t> </w:t>
      </w:r>
      <w:r w:rsidRPr="00C5306E">
        <w:rPr>
          <w:lang w:val="en"/>
        </w:rPr>
        <w:t>mg/L at 25°C)</w:t>
      </w:r>
      <w:r w:rsidR="00AB59D0">
        <w:rPr>
          <w:lang w:val="en"/>
        </w:rPr>
        <w:t xml:space="preserve"> (WHO 2013, </w:t>
      </w:r>
      <w:r w:rsidR="00FA4CA8">
        <w:rPr>
          <w:lang w:val="en"/>
        </w:rPr>
        <w:t xml:space="preserve">Kegley et al. 2014, </w:t>
      </w:r>
      <w:r w:rsidR="00AB59D0">
        <w:rPr>
          <w:lang w:val="en"/>
        </w:rPr>
        <w:t>PPDB 2015,</w:t>
      </w:r>
      <w:r w:rsidR="00A73648">
        <w:rPr>
          <w:lang w:val="en"/>
        </w:rPr>
        <w:t xml:space="preserve"> NCBI 2020</w:t>
      </w:r>
      <w:r w:rsidR="00AB59D0">
        <w:rPr>
          <w:lang w:val="en"/>
        </w:rPr>
        <w:t>)</w:t>
      </w:r>
      <w:r w:rsidRPr="00C5306E">
        <w:rPr>
          <w:lang w:val="en"/>
        </w:rPr>
        <w:t xml:space="preserve"> and is non-volatile (reported vapour pressure of 1.73x10</w:t>
      </w:r>
      <w:r w:rsidRPr="00C5306E">
        <w:rPr>
          <w:vertAlign w:val="superscript"/>
          <w:lang w:val="en"/>
        </w:rPr>
        <w:t>-5</w:t>
      </w:r>
      <w:r w:rsidR="00AB59D0">
        <w:rPr>
          <w:lang w:val="en"/>
        </w:rPr>
        <w:t> </w:t>
      </w:r>
      <w:r w:rsidRPr="00C5306E">
        <w:rPr>
          <w:lang w:val="en"/>
        </w:rPr>
        <w:t>mm</w:t>
      </w:r>
      <w:r w:rsidR="00AB59D0">
        <w:rPr>
          <w:lang w:val="en"/>
        </w:rPr>
        <w:t> </w:t>
      </w:r>
      <w:r w:rsidRPr="00C5306E">
        <w:rPr>
          <w:lang w:val="en"/>
        </w:rPr>
        <w:t>Hg at 20°C)</w:t>
      </w:r>
      <w:r w:rsidR="00AB59D0">
        <w:rPr>
          <w:lang w:val="en"/>
        </w:rPr>
        <w:t xml:space="preserve"> (</w:t>
      </w:r>
      <w:r w:rsidR="00A73648">
        <w:rPr>
          <w:lang w:val="en"/>
        </w:rPr>
        <w:t>NCBI 2020</w:t>
      </w:r>
      <w:r w:rsidR="00AB59D0">
        <w:rPr>
          <w:lang w:val="en"/>
        </w:rPr>
        <w:t>)</w:t>
      </w:r>
      <w:r w:rsidRPr="00C5306E">
        <w:rPr>
          <w:lang w:val="en"/>
        </w:rPr>
        <w:t>. Estimated volatili</w:t>
      </w:r>
      <w:r w:rsidR="008B75D2">
        <w:rPr>
          <w:lang w:val="en"/>
        </w:rPr>
        <w:t>s</w:t>
      </w:r>
      <w:r w:rsidRPr="00C5306E">
        <w:rPr>
          <w:lang w:val="en"/>
        </w:rPr>
        <w:t>ation half-lives were reported for a model river</w:t>
      </w:r>
      <w:r w:rsidR="008B75D2">
        <w:rPr>
          <w:lang w:val="en"/>
        </w:rPr>
        <w:t>—8 </w:t>
      </w:r>
      <w:r w:rsidRPr="00C5306E">
        <w:rPr>
          <w:lang w:val="en"/>
        </w:rPr>
        <w:t>days</w:t>
      </w:r>
      <w:r w:rsidR="008B75D2">
        <w:rPr>
          <w:lang w:val="en"/>
        </w:rPr>
        <w:t>—</w:t>
      </w:r>
      <w:r w:rsidRPr="00C5306E">
        <w:rPr>
          <w:lang w:val="en"/>
        </w:rPr>
        <w:t>and model lake</w:t>
      </w:r>
      <w:r w:rsidR="008B75D2">
        <w:rPr>
          <w:lang w:val="en"/>
        </w:rPr>
        <w:t>—</w:t>
      </w:r>
      <w:r w:rsidRPr="00C5306E">
        <w:rPr>
          <w:lang w:val="en"/>
        </w:rPr>
        <w:t>65</w:t>
      </w:r>
      <w:r w:rsidR="008B75D2">
        <w:rPr>
          <w:lang w:val="en"/>
        </w:rPr>
        <w:t> </w:t>
      </w:r>
      <w:r w:rsidRPr="00C5306E">
        <w:rPr>
          <w:lang w:val="en"/>
        </w:rPr>
        <w:t>days</w:t>
      </w:r>
      <w:r w:rsidR="008B75D2">
        <w:rPr>
          <w:lang w:val="en"/>
        </w:rPr>
        <w:t xml:space="preserve"> (</w:t>
      </w:r>
      <w:r w:rsidR="00A73648">
        <w:rPr>
          <w:lang w:val="en"/>
        </w:rPr>
        <w:t>NCBI 2020</w:t>
      </w:r>
      <w:r w:rsidR="008B75D2">
        <w:rPr>
          <w:lang w:val="en"/>
        </w:rPr>
        <w:t>)</w:t>
      </w:r>
      <w:r w:rsidRPr="00C5306E">
        <w:rPr>
          <w:lang w:val="en"/>
        </w:rPr>
        <w:t xml:space="preserve">. As it is </w:t>
      </w:r>
      <w:r w:rsidRPr="00B12817">
        <w:rPr>
          <w:lang w:val="en"/>
        </w:rPr>
        <w:t>stable in sunlight</w:t>
      </w:r>
      <w:r w:rsidRPr="00C5306E">
        <w:rPr>
          <w:lang w:val="en"/>
        </w:rPr>
        <w:t>, photolysis in water is not a</w:t>
      </w:r>
      <w:r w:rsidRPr="00C5306E">
        <w:rPr>
          <w:lang w:val="en"/>
        </w:rPr>
        <w:t xml:space="preserve">n important fate process. </w:t>
      </w:r>
    </w:p>
    <w:p w14:paraId="5E7F1543" w14:textId="77777777" w:rsidR="00BF4557" w:rsidRDefault="000836A2" w:rsidP="00542F9A">
      <w:pPr>
        <w:rPr>
          <w:lang w:val="en"/>
        </w:rPr>
      </w:pPr>
      <w:r w:rsidRPr="00C5306E">
        <w:rPr>
          <w:lang w:val="en"/>
        </w:rPr>
        <w:t>Alpha-cypermethrin is stable under acidic and neutral conditions but hydrolyses at pH</w:t>
      </w:r>
      <w:r w:rsidR="00D16F0D">
        <w:rPr>
          <w:lang w:val="en"/>
        </w:rPr>
        <w:t> </w:t>
      </w:r>
      <w:r w:rsidRPr="00C5306E">
        <w:rPr>
          <w:lang w:val="en"/>
        </w:rPr>
        <w:t>12</w:t>
      </w:r>
      <w:r w:rsidR="00D16F0D">
        <w:rPr>
          <w:lang w:val="en"/>
        </w:rPr>
        <w:t>–</w:t>
      </w:r>
      <w:r w:rsidRPr="00C5306E">
        <w:rPr>
          <w:lang w:val="en"/>
        </w:rPr>
        <w:t>13</w:t>
      </w:r>
      <w:r w:rsidR="00D16F0D">
        <w:rPr>
          <w:lang w:val="en"/>
        </w:rPr>
        <w:t xml:space="preserve"> (WHO 1992)</w:t>
      </w:r>
      <w:r w:rsidRPr="00C5306E">
        <w:rPr>
          <w:lang w:val="en"/>
        </w:rPr>
        <w:t>. The hydrolysis half-life (DT</w:t>
      </w:r>
      <w:r w:rsidRPr="00C5306E">
        <w:rPr>
          <w:vertAlign w:val="subscript"/>
          <w:lang w:val="en"/>
        </w:rPr>
        <w:t>50</w:t>
      </w:r>
      <w:r w:rsidRPr="00C5306E">
        <w:rPr>
          <w:lang w:val="en"/>
        </w:rPr>
        <w:t>) has been reported to be 101</w:t>
      </w:r>
      <w:r w:rsidR="00D16F0D">
        <w:rPr>
          <w:lang w:val="en"/>
        </w:rPr>
        <w:t> </w:t>
      </w:r>
      <w:r w:rsidRPr="00C5306E">
        <w:rPr>
          <w:lang w:val="en"/>
        </w:rPr>
        <w:t>d</w:t>
      </w:r>
      <w:r w:rsidR="00832E57">
        <w:rPr>
          <w:lang w:val="en"/>
        </w:rPr>
        <w:t>ays</w:t>
      </w:r>
      <w:r w:rsidRPr="00C5306E">
        <w:rPr>
          <w:lang w:val="en"/>
        </w:rPr>
        <w:t xml:space="preserve"> at pH</w:t>
      </w:r>
      <w:r w:rsidR="00D16F0D">
        <w:rPr>
          <w:lang w:val="en"/>
        </w:rPr>
        <w:t> </w:t>
      </w:r>
      <w:r w:rsidRPr="00C5306E">
        <w:rPr>
          <w:lang w:val="en"/>
        </w:rPr>
        <w:t>7 and 20°C</w:t>
      </w:r>
      <w:r w:rsidR="00D16F0D">
        <w:rPr>
          <w:lang w:val="en"/>
        </w:rPr>
        <w:t xml:space="preserve"> (WHO 2009, PPDB 2015, Kegley et al. 2014)</w:t>
      </w:r>
      <w:r w:rsidRPr="00C5306E">
        <w:rPr>
          <w:lang w:val="en"/>
        </w:rPr>
        <w:t xml:space="preserve">. </w:t>
      </w:r>
      <w:r w:rsidRPr="00C5306E">
        <w:rPr>
          <w:lang w:val="en"/>
        </w:rPr>
        <w:t>With a LogK</w:t>
      </w:r>
      <w:r w:rsidRPr="00C5306E">
        <w:rPr>
          <w:vertAlign w:val="subscript"/>
          <w:lang w:val="en"/>
        </w:rPr>
        <w:t>oc</w:t>
      </w:r>
      <w:r w:rsidRPr="00C5306E">
        <w:rPr>
          <w:lang w:val="en"/>
        </w:rPr>
        <w:t xml:space="preserve"> of 4.8</w:t>
      </w:r>
      <w:r w:rsidR="00D16F0D">
        <w:rPr>
          <w:lang w:val="en"/>
        </w:rPr>
        <w:t xml:space="preserve"> (Kegley et al. 2014)</w:t>
      </w:r>
      <w:r w:rsidRPr="00C5306E">
        <w:rPr>
          <w:lang w:val="en"/>
        </w:rPr>
        <w:t xml:space="preserve">, alpha-cypermethrin is </w:t>
      </w:r>
      <w:r w:rsidRPr="00C5306E">
        <w:rPr>
          <w:lang w:val="en"/>
        </w:rPr>
        <w:lastRenderedPageBreak/>
        <w:t xml:space="preserve">expected to adsorb to sediments. Information reviewed on biodegradation potential of alpha-cypermethrin was limited and conflicting. Some sources indicated that alpha-cypermethrin is readily </w:t>
      </w:r>
      <w:r w:rsidRPr="00C5306E">
        <w:rPr>
          <w:lang w:val="en"/>
        </w:rPr>
        <w:t xml:space="preserve">biodegraded by microorganisms based </w:t>
      </w:r>
      <w:r w:rsidR="00234525">
        <w:rPr>
          <w:lang w:val="en"/>
        </w:rPr>
        <w:t>on</w:t>
      </w:r>
      <w:r w:rsidR="00234525" w:rsidRPr="00C5306E">
        <w:rPr>
          <w:lang w:val="en"/>
        </w:rPr>
        <w:t xml:space="preserve"> </w:t>
      </w:r>
      <w:r w:rsidRPr="00C5306E">
        <w:rPr>
          <w:lang w:val="en"/>
        </w:rPr>
        <w:t xml:space="preserve">its structural </w:t>
      </w:r>
      <w:r w:rsidR="00832E57" w:rsidRPr="00C5306E">
        <w:rPr>
          <w:lang w:val="en"/>
        </w:rPr>
        <w:t>similar</w:t>
      </w:r>
      <w:r w:rsidR="00832E57">
        <w:rPr>
          <w:lang w:val="en"/>
        </w:rPr>
        <w:t>ity</w:t>
      </w:r>
      <w:r w:rsidR="00832E57" w:rsidRPr="00C5306E">
        <w:rPr>
          <w:lang w:val="en"/>
        </w:rPr>
        <w:t xml:space="preserve"> </w:t>
      </w:r>
      <w:r w:rsidRPr="00C5306E">
        <w:rPr>
          <w:lang w:val="en"/>
        </w:rPr>
        <w:t>to other pyrethroids</w:t>
      </w:r>
      <w:r w:rsidR="00234525">
        <w:rPr>
          <w:lang w:val="en"/>
        </w:rPr>
        <w:t xml:space="preserve"> (</w:t>
      </w:r>
      <w:r w:rsidR="00A73648">
        <w:rPr>
          <w:lang w:val="en"/>
        </w:rPr>
        <w:t>NCBI 2020</w:t>
      </w:r>
      <w:r w:rsidR="00234525">
        <w:rPr>
          <w:lang w:val="en"/>
        </w:rPr>
        <w:t>)</w:t>
      </w:r>
      <w:r w:rsidRPr="00C5306E">
        <w:rPr>
          <w:lang w:val="en"/>
        </w:rPr>
        <w:t>. Other sources indicated greater persistence and slow rates of breakdown in soils</w:t>
      </w:r>
      <w:r w:rsidR="00DD09D3">
        <w:rPr>
          <w:lang w:val="en"/>
        </w:rPr>
        <w:t xml:space="preserve"> (PPDB 2015)</w:t>
      </w:r>
      <w:r w:rsidRPr="00C5306E">
        <w:rPr>
          <w:lang w:val="en"/>
        </w:rPr>
        <w:t xml:space="preserve"> and in ready biodegradability tests</w:t>
      </w:r>
      <w:r w:rsidR="00DD09D3">
        <w:rPr>
          <w:lang w:val="en"/>
        </w:rPr>
        <w:t xml:space="preserve"> (WHO 1992)</w:t>
      </w:r>
      <w:r w:rsidRPr="00C5306E">
        <w:rPr>
          <w:lang w:val="en"/>
        </w:rPr>
        <w:t xml:space="preserve">. </w:t>
      </w:r>
    </w:p>
    <w:p w14:paraId="5E7F1544" w14:textId="77777777" w:rsidR="00BF0280" w:rsidRDefault="000836A2" w:rsidP="00542F9A">
      <w:pPr>
        <w:rPr>
          <w:lang w:val="en"/>
        </w:rPr>
      </w:pPr>
      <w:r w:rsidRPr="00C5306E">
        <w:rPr>
          <w:lang w:val="en"/>
        </w:rPr>
        <w:t>A LogK</w:t>
      </w:r>
      <w:r w:rsidRPr="00C5306E">
        <w:rPr>
          <w:vertAlign w:val="subscript"/>
          <w:lang w:val="en"/>
        </w:rPr>
        <w:t>ow</w:t>
      </w:r>
      <w:r w:rsidRPr="00C5306E">
        <w:rPr>
          <w:lang w:val="en"/>
        </w:rPr>
        <w:t xml:space="preserve"> value of 6.94</w:t>
      </w:r>
      <w:r w:rsidR="00BF4557">
        <w:rPr>
          <w:lang w:val="en"/>
        </w:rPr>
        <w:t xml:space="preserve"> (</w:t>
      </w:r>
      <w:r w:rsidR="00A73648">
        <w:rPr>
          <w:lang w:val="en"/>
        </w:rPr>
        <w:t>NCBI 2020</w:t>
      </w:r>
      <w:r w:rsidR="00BF4557">
        <w:rPr>
          <w:lang w:val="en"/>
        </w:rPr>
        <w:t>)</w:t>
      </w:r>
      <w:r w:rsidRPr="00C5306E">
        <w:rPr>
          <w:lang w:val="en"/>
        </w:rPr>
        <w:t xml:space="preserve"> suggest</w:t>
      </w:r>
      <w:r w:rsidR="00D8332A">
        <w:rPr>
          <w:lang w:val="en"/>
        </w:rPr>
        <w:t>s</w:t>
      </w:r>
      <w:r w:rsidRPr="00C5306E">
        <w:rPr>
          <w:lang w:val="en"/>
        </w:rPr>
        <w:t xml:space="preserve"> that alpha-cypermethrin may bioaccumulate</w:t>
      </w:r>
      <w:r w:rsidR="00832E57">
        <w:rPr>
          <w:lang w:val="en"/>
        </w:rPr>
        <w:t>. H</w:t>
      </w:r>
      <w:r w:rsidRPr="00C5306E">
        <w:rPr>
          <w:lang w:val="en"/>
        </w:rPr>
        <w:t>owever, review of the available information for cypermethrin</w:t>
      </w:r>
      <w:r w:rsidR="00832E57">
        <w:rPr>
          <w:lang w:val="en"/>
        </w:rPr>
        <w:t>, which is expected to behave similarly to alpha-cypermethrin</w:t>
      </w:r>
      <w:r w:rsidR="00D8332A">
        <w:rPr>
          <w:lang w:val="en"/>
        </w:rPr>
        <w:t xml:space="preserve"> (WHO 1992)</w:t>
      </w:r>
      <w:r w:rsidR="00832E57">
        <w:rPr>
          <w:lang w:val="en"/>
        </w:rPr>
        <w:t>,</w:t>
      </w:r>
      <w:r w:rsidRPr="00C5306E">
        <w:rPr>
          <w:lang w:val="en"/>
        </w:rPr>
        <w:t xml:space="preserve"> suggests that alpha-cypermethrin would not bioaccumulate. This is based on the experimentally</w:t>
      </w:r>
      <w:r w:rsidR="009731D7">
        <w:rPr>
          <w:lang w:val="en"/>
        </w:rPr>
        <w:t>-</w:t>
      </w:r>
      <w:r w:rsidRPr="00C5306E">
        <w:rPr>
          <w:lang w:val="en"/>
        </w:rPr>
        <w:t xml:space="preserve">determined bioaccumulation in fish for cypermethrin, which </w:t>
      </w:r>
      <w:r w:rsidR="00832E57" w:rsidRPr="00C5306E">
        <w:rPr>
          <w:lang w:val="en"/>
        </w:rPr>
        <w:t>w</w:t>
      </w:r>
      <w:r w:rsidR="00832E57">
        <w:rPr>
          <w:lang w:val="en"/>
        </w:rPr>
        <w:t xml:space="preserve">as </w:t>
      </w:r>
      <w:r w:rsidRPr="00C5306E">
        <w:rPr>
          <w:lang w:val="en"/>
        </w:rPr>
        <w:t>lower than might have been antic</w:t>
      </w:r>
      <w:r>
        <w:rPr>
          <w:lang w:val="en"/>
        </w:rPr>
        <w:t>i</w:t>
      </w:r>
      <w:r w:rsidRPr="00C5306E">
        <w:rPr>
          <w:lang w:val="en"/>
        </w:rPr>
        <w:t>pated from the K</w:t>
      </w:r>
      <w:r w:rsidRPr="00C5306E">
        <w:rPr>
          <w:vertAlign w:val="subscript"/>
          <w:lang w:val="en"/>
        </w:rPr>
        <w:t>ow</w:t>
      </w:r>
      <w:r w:rsidR="00A93282">
        <w:rPr>
          <w:lang w:val="en"/>
        </w:rPr>
        <w:t xml:space="preserve"> (WHO 1992)</w:t>
      </w:r>
      <w:r w:rsidRPr="00C5306E">
        <w:rPr>
          <w:lang w:val="en"/>
        </w:rPr>
        <w:t>. Concentrations of c</w:t>
      </w:r>
      <w:r w:rsidRPr="00C5306E">
        <w:rPr>
          <w:lang w:val="en"/>
        </w:rPr>
        <w:t>ypermethrin in fish decrease</w:t>
      </w:r>
      <w:r w:rsidR="00CD73D3">
        <w:rPr>
          <w:lang w:val="en"/>
        </w:rPr>
        <w:t>d</w:t>
      </w:r>
      <w:r w:rsidRPr="00C5306E">
        <w:rPr>
          <w:lang w:val="en"/>
        </w:rPr>
        <w:t xml:space="preserve"> when exposure ceased</w:t>
      </w:r>
      <w:r w:rsidR="00832E57">
        <w:rPr>
          <w:lang w:val="en"/>
        </w:rPr>
        <w:t>,</w:t>
      </w:r>
      <w:r w:rsidRPr="00C5306E">
        <w:rPr>
          <w:lang w:val="en"/>
        </w:rPr>
        <w:t xml:space="preserve"> presum</w:t>
      </w:r>
      <w:r w:rsidR="00832E57">
        <w:rPr>
          <w:lang w:val="en"/>
        </w:rPr>
        <w:t xml:space="preserve">ably </w:t>
      </w:r>
      <w:r w:rsidRPr="00C5306E">
        <w:rPr>
          <w:lang w:val="en"/>
        </w:rPr>
        <w:t>because cypermethrin is rapidly metabolised</w:t>
      </w:r>
      <w:r w:rsidR="00832E57">
        <w:rPr>
          <w:lang w:val="en"/>
        </w:rPr>
        <w:t xml:space="preserve">. </w:t>
      </w:r>
    </w:p>
    <w:p w14:paraId="5E7F1545" w14:textId="77777777" w:rsidR="00BE61FB" w:rsidRDefault="000836A2" w:rsidP="00542F9A">
      <w:pPr>
        <w:rPr>
          <w:bCs/>
        </w:rPr>
      </w:pPr>
      <w:r w:rsidRPr="001C4E7A">
        <w:rPr>
          <w:lang w:val="en"/>
        </w:rPr>
        <w:t xml:space="preserve">Although specific methods </w:t>
      </w:r>
      <w:r w:rsidR="00300D3E" w:rsidRPr="001C4E7A">
        <w:rPr>
          <w:lang w:val="en"/>
        </w:rPr>
        <w:t xml:space="preserve">exist </w:t>
      </w:r>
      <w:r w:rsidRPr="001C4E7A">
        <w:rPr>
          <w:lang w:val="en"/>
        </w:rPr>
        <w:t>for quant</w:t>
      </w:r>
      <w:r w:rsidR="00062224">
        <w:rPr>
          <w:lang w:val="en"/>
        </w:rPr>
        <w:t>i</w:t>
      </w:r>
      <w:r w:rsidRPr="001C4E7A">
        <w:rPr>
          <w:lang w:val="en"/>
        </w:rPr>
        <w:t>fying alpha-cypermethrin in water matrices, they require complex sample manipulation that cannot be perfo</w:t>
      </w:r>
      <w:r w:rsidRPr="001C4E7A">
        <w:rPr>
          <w:lang w:val="en"/>
        </w:rPr>
        <w:t>rmed as part of a routine analyte screen. Routine analyses cannot discriminate between the eight isomers of cypermethrin</w:t>
      </w:r>
      <w:r w:rsidR="008A5DE6">
        <w:rPr>
          <w:lang w:val="en"/>
        </w:rPr>
        <w:t>; thus,</w:t>
      </w:r>
      <w:r w:rsidR="008A5DE6" w:rsidRPr="001C4E7A">
        <w:rPr>
          <w:lang w:val="en"/>
        </w:rPr>
        <w:t xml:space="preserve"> </w:t>
      </w:r>
      <w:r w:rsidR="002B1F02" w:rsidRPr="001C4E7A">
        <w:rPr>
          <w:lang w:val="en"/>
        </w:rPr>
        <w:t xml:space="preserve">results </w:t>
      </w:r>
      <w:r w:rsidR="00075491">
        <w:rPr>
          <w:lang w:val="en"/>
        </w:rPr>
        <w:t xml:space="preserve">are reported </w:t>
      </w:r>
      <w:r w:rsidR="002B1F02" w:rsidRPr="001C4E7A">
        <w:rPr>
          <w:lang w:val="en"/>
        </w:rPr>
        <w:t>as</w:t>
      </w:r>
      <w:r w:rsidRPr="001C4E7A">
        <w:rPr>
          <w:lang w:val="en"/>
        </w:rPr>
        <w:t xml:space="preserve"> ‘cypermethrin</w:t>
      </w:r>
      <w:r w:rsidR="002B1F02" w:rsidRPr="001C4E7A">
        <w:rPr>
          <w:lang w:val="en"/>
        </w:rPr>
        <w:t xml:space="preserve"> (</w:t>
      </w:r>
      <w:r w:rsidRPr="001C4E7A">
        <w:rPr>
          <w:lang w:val="en"/>
        </w:rPr>
        <w:t>sum of isomers</w:t>
      </w:r>
      <w:r w:rsidR="002B1F02" w:rsidRPr="001C4E7A">
        <w:rPr>
          <w:lang w:val="en"/>
        </w:rPr>
        <w:t>)</w:t>
      </w:r>
      <w:r w:rsidRPr="001C4E7A">
        <w:rPr>
          <w:lang w:val="en"/>
        </w:rPr>
        <w:t>’. This has implications for assess</w:t>
      </w:r>
      <w:r w:rsidR="00F4710A">
        <w:rPr>
          <w:lang w:val="en"/>
        </w:rPr>
        <w:t>ing</w:t>
      </w:r>
      <w:r w:rsidRPr="001C4E7A">
        <w:rPr>
          <w:lang w:val="en"/>
        </w:rPr>
        <w:t xml:space="preserve"> monitoring data against the </w:t>
      </w:r>
      <w:r w:rsidR="002B1F02" w:rsidRPr="001C4E7A">
        <w:rPr>
          <w:lang w:val="en"/>
        </w:rPr>
        <w:t xml:space="preserve">alpha-cypermethrin </w:t>
      </w:r>
      <w:r w:rsidR="00047919">
        <w:rPr>
          <w:lang w:val="en"/>
        </w:rPr>
        <w:t>default guideline values (</w:t>
      </w:r>
      <w:r w:rsidRPr="001C4E7A">
        <w:rPr>
          <w:lang w:val="en"/>
        </w:rPr>
        <w:t>DGVs</w:t>
      </w:r>
      <w:r w:rsidR="00047919">
        <w:rPr>
          <w:lang w:val="en"/>
        </w:rPr>
        <w:t>)</w:t>
      </w:r>
      <w:r w:rsidRPr="001C4E7A">
        <w:rPr>
          <w:lang w:val="en"/>
        </w:rPr>
        <w:t xml:space="preserve">, which </w:t>
      </w:r>
      <w:r w:rsidR="001C4E7A">
        <w:rPr>
          <w:lang w:val="en"/>
        </w:rPr>
        <w:t>are</w:t>
      </w:r>
      <w:r w:rsidRPr="001C4E7A">
        <w:rPr>
          <w:lang w:val="en"/>
        </w:rPr>
        <w:t xml:space="preserve"> addressed in </w:t>
      </w:r>
      <w:r w:rsidR="007618CD">
        <w:rPr>
          <w:lang w:val="en"/>
        </w:rPr>
        <w:t>S</w:t>
      </w:r>
      <w:r w:rsidRPr="001C4E7A">
        <w:rPr>
          <w:lang w:val="en"/>
        </w:rPr>
        <w:t>ection</w:t>
      </w:r>
      <w:r w:rsidR="007618CD">
        <w:rPr>
          <w:lang w:val="en"/>
        </w:rPr>
        <w:t> </w:t>
      </w:r>
      <w:r w:rsidR="007618CD">
        <w:rPr>
          <w:lang w:val="en"/>
        </w:rPr>
        <w:fldChar w:fldCharType="begin"/>
      </w:r>
      <w:r w:rsidR="007618CD">
        <w:rPr>
          <w:lang w:val="en"/>
        </w:rPr>
        <w:instrText xml:space="preserve"> REF _Ref50628634 \r \h </w:instrText>
      </w:r>
      <w:r w:rsidR="007618CD">
        <w:rPr>
          <w:lang w:val="en"/>
        </w:rPr>
      </w:r>
      <w:r w:rsidR="007618CD">
        <w:rPr>
          <w:lang w:val="en"/>
        </w:rPr>
        <w:fldChar w:fldCharType="separate"/>
      </w:r>
      <w:r w:rsidR="00CC51D9">
        <w:rPr>
          <w:lang w:val="en"/>
        </w:rPr>
        <w:t>4.3</w:t>
      </w:r>
      <w:r w:rsidR="007618CD">
        <w:rPr>
          <w:lang w:val="en"/>
        </w:rPr>
        <w:fldChar w:fldCharType="end"/>
      </w:r>
      <w:r w:rsidR="002B1F02" w:rsidRPr="001C4E7A">
        <w:rPr>
          <w:lang w:val="en"/>
        </w:rPr>
        <w:t>.</w:t>
      </w:r>
    </w:p>
    <w:p w14:paraId="5E7F1546" w14:textId="77777777" w:rsidR="00BF0280" w:rsidRDefault="000836A2" w:rsidP="00BF0280">
      <w:pPr>
        <w:pStyle w:val="Heading2"/>
      </w:pPr>
      <w:bookmarkStart w:id="4" w:name="_Ref50628671"/>
      <w:bookmarkStart w:id="5" w:name="_Toc56073289"/>
      <w:r>
        <w:t>Aquatic toxicology</w:t>
      </w:r>
      <w:bookmarkEnd w:id="4"/>
      <w:bookmarkEnd w:id="5"/>
    </w:p>
    <w:p w14:paraId="5E7F1547" w14:textId="77777777" w:rsidR="00394534" w:rsidRDefault="000836A2" w:rsidP="00542F9A">
      <w:r>
        <w:t>A literature review of the eff</w:t>
      </w:r>
      <w:r>
        <w:t xml:space="preserve">ects of alpha-cypermethrin on freshwater organisms indicated less extensive research has been undertaken compared to </w:t>
      </w:r>
      <w:r w:rsidRPr="00C5306E">
        <w:t xml:space="preserve">other isomeric forms of cypermethrin. </w:t>
      </w:r>
      <w:r>
        <w:t xml:space="preserve">The review (and </w:t>
      </w:r>
      <w:r w:rsidR="00896582">
        <w:t xml:space="preserve">associated </w:t>
      </w:r>
      <w:r>
        <w:t>data quality assessment) identified toxicity data for 2</w:t>
      </w:r>
      <w:r w:rsidR="008B22E7">
        <w:t>0</w:t>
      </w:r>
      <w:r>
        <w:t xml:space="preserve"> species</w:t>
      </w:r>
      <w:r w:rsidR="00CF4890">
        <w:t>—</w:t>
      </w:r>
      <w:r>
        <w:t>co</w:t>
      </w:r>
      <w:r w:rsidR="00896582">
        <w:t>nsist</w:t>
      </w:r>
      <w:r>
        <w:t>in</w:t>
      </w:r>
      <w:r>
        <w:t>g</w:t>
      </w:r>
      <w:r w:rsidR="00896582">
        <w:t xml:space="preserve"> of</w:t>
      </w:r>
      <w:r>
        <w:t xml:space="preserve"> 13 chronic </w:t>
      </w:r>
      <w:r w:rsidR="008B22E7">
        <w:t>values</w:t>
      </w:r>
      <w:r>
        <w:t xml:space="preserve"> for seven species, and 25 acute </w:t>
      </w:r>
      <w:r w:rsidR="008B22E7">
        <w:t xml:space="preserve">values </w:t>
      </w:r>
      <w:r>
        <w:t>for 1</w:t>
      </w:r>
      <w:r w:rsidR="008B22E7">
        <w:t>6</w:t>
      </w:r>
      <w:r>
        <w:t xml:space="preserve"> species. </w:t>
      </w:r>
    </w:p>
    <w:p w14:paraId="5E7F1548" w14:textId="77777777" w:rsidR="00896582" w:rsidRDefault="000836A2" w:rsidP="00896582">
      <w:pPr>
        <w:rPr>
          <w:bCs/>
        </w:rPr>
      </w:pPr>
      <w:r w:rsidRPr="00C5306E">
        <w:t xml:space="preserve">Some </w:t>
      </w:r>
      <w:r>
        <w:t xml:space="preserve">toxicity </w:t>
      </w:r>
      <w:r w:rsidRPr="00C5306E">
        <w:t xml:space="preserve">studies </w:t>
      </w:r>
      <w:r>
        <w:t>assessed</w:t>
      </w:r>
      <w:r w:rsidRPr="00C5306E">
        <w:t xml:space="preserve"> formulations containing alpha-cypermethrin as the active ingredient. These formulations include a carrier solvent and</w:t>
      </w:r>
      <w:r>
        <w:t>,</w:t>
      </w:r>
      <w:r w:rsidRPr="00C5306E">
        <w:t xml:space="preserve"> in some cases, other proprietary ingredients</w:t>
      </w:r>
      <w:r>
        <w:t>, for which the combined toxicity is not well understood. Accordingly, such studies are typi</w:t>
      </w:r>
      <w:r>
        <w:t xml:space="preserve">cally not appropriate for </w:t>
      </w:r>
      <w:r w:rsidR="000D28BD">
        <w:t>deriving</w:t>
      </w:r>
      <w:r>
        <w:t xml:space="preserve"> guideline values for active ingredients.</w:t>
      </w:r>
    </w:p>
    <w:p w14:paraId="5E7F1549" w14:textId="77777777" w:rsidR="00896582" w:rsidRPr="004F2289" w:rsidRDefault="000836A2" w:rsidP="00896582">
      <w:r>
        <w:t xml:space="preserve">Of the chronic studies for alpha-cypermethrin of purity &gt;80%, crustaceans were the most sensitive and microalgae </w:t>
      </w:r>
      <w:r w:rsidR="004C31C3">
        <w:t xml:space="preserve">were </w:t>
      </w:r>
      <w:r>
        <w:t>the least sensitive</w:t>
      </w:r>
      <w:r w:rsidR="00C5521D">
        <w:t xml:space="preserve"> taxonomic groups</w:t>
      </w:r>
      <w:r>
        <w:t xml:space="preserve">. </w:t>
      </w:r>
      <w:r w:rsidR="00201048">
        <w:t xml:space="preserve">Chronic NOECs for the cladocerans </w:t>
      </w:r>
      <w:r w:rsidR="00201048" w:rsidRPr="004C31C3">
        <w:rPr>
          <w:rStyle w:val="Emphasis"/>
        </w:rPr>
        <w:t>Ceriodaphnia dubia</w:t>
      </w:r>
      <w:r w:rsidR="00201048">
        <w:t xml:space="preserve"> and </w:t>
      </w:r>
      <w:r w:rsidR="00201048" w:rsidRPr="004C31C3">
        <w:rPr>
          <w:rStyle w:val="Emphasis"/>
        </w:rPr>
        <w:t>Daphnia magna</w:t>
      </w:r>
      <w:r w:rsidR="00201048">
        <w:t xml:space="preserve"> wer</w:t>
      </w:r>
      <w:r>
        <w:t>e approximately 0.03</w:t>
      </w:r>
      <w:r w:rsidR="004C31C3">
        <w:t> </w:t>
      </w:r>
      <w:r>
        <w:t xml:space="preserve">µg/L (8-d </w:t>
      </w:r>
      <w:r w:rsidR="00201048">
        <w:t>growth) and 0.04</w:t>
      </w:r>
      <w:r w:rsidR="004C31C3">
        <w:t> </w:t>
      </w:r>
      <w:r w:rsidR="00201048">
        <w:t>µg/L (21-d reproduction), respectively (</w:t>
      </w:r>
      <w:r w:rsidR="00683166">
        <w:t>Shen et al. 2012</w:t>
      </w:r>
      <w:r w:rsidR="00711501">
        <w:t>,</w:t>
      </w:r>
      <w:r w:rsidR="00683166">
        <w:t xml:space="preserve"> </w:t>
      </w:r>
      <w:r w:rsidR="00C04CBC">
        <w:t xml:space="preserve">USEPA </w:t>
      </w:r>
      <w:r w:rsidR="00683166">
        <w:t>2019</w:t>
      </w:r>
      <w:r w:rsidR="00201048">
        <w:t>)</w:t>
      </w:r>
      <w:r w:rsidR="00683166">
        <w:t xml:space="preserve">. </w:t>
      </w:r>
      <w:r w:rsidR="00FE724E">
        <w:t>In contrast, chronic NOECs for plant</w:t>
      </w:r>
      <w:r w:rsidR="0050210F">
        <w:t xml:space="preserve">, algal and cyanobacterial </w:t>
      </w:r>
      <w:r w:rsidR="00FE724E">
        <w:t xml:space="preserve">species appear to be two to </w:t>
      </w:r>
      <w:r w:rsidR="00F84C52">
        <w:t>four</w:t>
      </w:r>
      <w:r w:rsidR="00FE724E">
        <w:t xml:space="preserve"> orders of magnitude higher (i.e</w:t>
      </w:r>
      <w:r w:rsidR="00832E57">
        <w:t xml:space="preserve">. </w:t>
      </w:r>
      <w:r w:rsidR="00FE724E">
        <w:t>less toxic)</w:t>
      </w:r>
      <w:r w:rsidR="00711501">
        <w:t>;</w:t>
      </w:r>
      <w:r w:rsidR="00FE724E">
        <w:t xml:space="preserve"> for example, 1.4</w:t>
      </w:r>
      <w:r w:rsidR="00711501">
        <w:t> </w:t>
      </w:r>
      <w:r w:rsidR="00FE724E">
        <w:t xml:space="preserve">µg/L for the macrophyte </w:t>
      </w:r>
      <w:r w:rsidR="00FE724E" w:rsidRPr="00711501">
        <w:rPr>
          <w:rStyle w:val="Emphasis"/>
        </w:rPr>
        <w:t>Lemna gibba</w:t>
      </w:r>
      <w:r w:rsidR="00FE724E">
        <w:t xml:space="preserve"> (7-d growth), 27</w:t>
      </w:r>
      <w:r w:rsidR="00711501">
        <w:t> </w:t>
      </w:r>
      <w:r w:rsidR="00FE724E">
        <w:t>µg/L for the cyanobacteri</w:t>
      </w:r>
      <w:r w:rsidR="00711501">
        <w:t>um</w:t>
      </w:r>
      <w:r w:rsidR="00FE724E">
        <w:t xml:space="preserve"> </w:t>
      </w:r>
      <w:r w:rsidR="00FE724E" w:rsidRPr="00711501">
        <w:rPr>
          <w:rStyle w:val="Emphasis"/>
        </w:rPr>
        <w:t>Anabaena flos-aquae</w:t>
      </w:r>
      <w:r w:rsidR="00FE724E">
        <w:t xml:space="preserve"> (4-d </w:t>
      </w:r>
      <w:r w:rsidR="00FE724E" w:rsidRPr="00FE724E">
        <w:t>growth</w:t>
      </w:r>
      <w:r w:rsidR="00FE724E">
        <w:t>)</w:t>
      </w:r>
      <w:r w:rsidR="00711501">
        <w:t>,</w:t>
      </w:r>
      <w:r w:rsidR="00FE724E">
        <w:t xml:space="preserve"> and 72</w:t>
      </w:r>
      <w:r w:rsidR="00711501">
        <w:t> </w:t>
      </w:r>
      <w:r w:rsidR="00FE724E">
        <w:t xml:space="preserve">µg/L for the diatom </w:t>
      </w:r>
      <w:r w:rsidR="00FE724E" w:rsidRPr="00476947">
        <w:rPr>
          <w:rStyle w:val="Emphasis"/>
        </w:rPr>
        <w:t>Navicula pelliculosa</w:t>
      </w:r>
      <w:r w:rsidR="00FE724E">
        <w:t xml:space="preserve"> (4-d growth)</w:t>
      </w:r>
      <w:r w:rsidR="00F84C52">
        <w:t xml:space="preserve"> (</w:t>
      </w:r>
      <w:r w:rsidR="00C04CBC">
        <w:t xml:space="preserve">USEPA </w:t>
      </w:r>
      <w:r w:rsidR="00F84C52">
        <w:t>2019).</w:t>
      </w:r>
      <w:r w:rsidR="004F2289">
        <w:t xml:space="preserve"> There are few chronic toxicity data available for fish. A chronic LOEC of 0.02</w:t>
      </w:r>
      <w:r w:rsidR="00476947">
        <w:t> </w:t>
      </w:r>
      <w:r w:rsidR="004F2289">
        <w:t xml:space="preserve">µg/L (30-d reproduction) was reported for the zebrafish </w:t>
      </w:r>
      <w:r w:rsidR="004F2289" w:rsidRPr="00476947">
        <w:rPr>
          <w:rStyle w:val="Emphasis"/>
        </w:rPr>
        <w:t>Danio rerio</w:t>
      </w:r>
      <w:r w:rsidR="00832E57">
        <w:t xml:space="preserve">; </w:t>
      </w:r>
      <w:r w:rsidR="004F2289">
        <w:t>however, the purity of alpha-cypermethrin used for the testing was not stated (</w:t>
      </w:r>
      <w:r w:rsidR="00F309F4">
        <w:t>A</w:t>
      </w:r>
      <w:r w:rsidR="00FD78E4">
        <w:t>n</w:t>
      </w:r>
      <w:r w:rsidR="00F309F4">
        <w:t>sari &amp; A</w:t>
      </w:r>
      <w:r w:rsidR="00FD78E4">
        <w:t>n</w:t>
      </w:r>
      <w:r w:rsidR="00F309F4">
        <w:t>sari 2012</w:t>
      </w:r>
      <w:r w:rsidR="004F2289">
        <w:t>)</w:t>
      </w:r>
      <w:r w:rsidR="006C4A1A">
        <w:t>.</w:t>
      </w:r>
    </w:p>
    <w:p w14:paraId="5E7F154A" w14:textId="77777777" w:rsidR="00EF2C98" w:rsidRDefault="000836A2" w:rsidP="00542F9A">
      <w:r>
        <w:t xml:space="preserve">The majority of available aquatic toxicity studies for alpha-cypermethrin represent acute exposures, although approximately half of the studies </w:t>
      </w:r>
      <w:r w:rsidR="00832E57">
        <w:t xml:space="preserve">assessed formulations containing </w:t>
      </w:r>
      <w:r>
        <w:t>alpha-cypermethrin and/or did not state the test chemical purity, making</w:t>
      </w:r>
      <w:r>
        <w:t xml:space="preserve"> it </w:t>
      </w:r>
      <w:r w:rsidR="00D275D5">
        <w:t xml:space="preserve">difficult </w:t>
      </w:r>
      <w:r>
        <w:t xml:space="preserve">to draw conclusions about alpha-cypermethrin toxicity. Of the data based on alpha-cypermethrin </w:t>
      </w:r>
      <w:r w:rsidR="00D275D5">
        <w:t>of</w:t>
      </w:r>
      <w:r>
        <w:t xml:space="preserve"> &gt;80% purity, crustaceans </w:t>
      </w:r>
      <w:r w:rsidR="00D275D5">
        <w:t>were</w:t>
      </w:r>
      <w:r>
        <w:t xml:space="preserve"> </w:t>
      </w:r>
      <w:r>
        <w:lastRenderedPageBreak/>
        <w:t xml:space="preserve">the most sensitive. Kumar et al. (2010) reported a 96-h LC50 </w:t>
      </w:r>
      <w:r w:rsidR="00D275D5">
        <w:t xml:space="preserve">of 0.019 µg/L </w:t>
      </w:r>
      <w:r>
        <w:t xml:space="preserve">for the freshwater shrimp </w:t>
      </w:r>
      <w:r w:rsidRPr="00D275D5">
        <w:rPr>
          <w:rStyle w:val="Emphasis"/>
        </w:rPr>
        <w:t>Paratya austr</w:t>
      </w:r>
      <w:r w:rsidRPr="00D275D5">
        <w:rPr>
          <w:rStyle w:val="Emphasis"/>
        </w:rPr>
        <w:t>aliensis</w:t>
      </w:r>
      <w:r w:rsidR="006B587E">
        <w:t>. High acute sensitivity has also been reported for some fish species, with 96-h LC50s between 0.5</w:t>
      </w:r>
      <w:r w:rsidR="00D275D5">
        <w:t> µg/L</w:t>
      </w:r>
      <w:r w:rsidR="006B587E">
        <w:t xml:space="preserve"> and 1</w:t>
      </w:r>
      <w:r w:rsidR="00D275D5">
        <w:t> </w:t>
      </w:r>
      <w:r w:rsidR="006B587E">
        <w:t>µg/L (</w:t>
      </w:r>
      <w:r w:rsidR="006B587E" w:rsidRPr="006B587E">
        <w:t>Stephenson 1990</w:t>
      </w:r>
      <w:r w:rsidR="001A38F4">
        <w:t>,</w:t>
      </w:r>
      <w:r w:rsidR="006B587E">
        <w:t xml:space="preserve"> </w:t>
      </w:r>
      <w:r w:rsidR="006B587E" w:rsidRPr="006B587E">
        <w:t>Jahanbakhs</w:t>
      </w:r>
      <w:r w:rsidR="00185881">
        <w:t>h</w:t>
      </w:r>
      <w:r w:rsidR="006B587E" w:rsidRPr="006B587E">
        <w:t>i et al. 2012</w:t>
      </w:r>
      <w:r w:rsidR="001A38F4">
        <w:t>,</w:t>
      </w:r>
      <w:r w:rsidR="006B587E">
        <w:t xml:space="preserve"> </w:t>
      </w:r>
      <w:r w:rsidR="006B587E" w:rsidRPr="006B587E">
        <w:t>Shaluei et al. 2012</w:t>
      </w:r>
      <w:r w:rsidR="006B587E">
        <w:t>), but up to approximately 10</w:t>
      </w:r>
      <w:r w:rsidR="001A38F4">
        <w:t> </w:t>
      </w:r>
      <w:r w:rsidR="006B587E">
        <w:t xml:space="preserve">µg/L </w:t>
      </w:r>
      <w:r w:rsidR="001A38F4">
        <w:t xml:space="preserve">has also been reported </w:t>
      </w:r>
      <w:r w:rsidR="006B587E">
        <w:t xml:space="preserve">for other </w:t>
      </w:r>
      <w:r w:rsidR="001A38F4">
        <w:t xml:space="preserve">fish </w:t>
      </w:r>
      <w:r w:rsidR="006B587E">
        <w:t>species (</w:t>
      </w:r>
      <w:r w:rsidR="006B587E" w:rsidRPr="006B587E">
        <w:t>Yilmaz et al. 2004</w:t>
      </w:r>
      <w:r w:rsidR="001A38F4">
        <w:t>,</w:t>
      </w:r>
      <w:r w:rsidR="006B587E">
        <w:t xml:space="preserve"> </w:t>
      </w:r>
      <w:r w:rsidR="006B587E" w:rsidRPr="006B587E">
        <w:t>Yilmaz 2005</w:t>
      </w:r>
      <w:r w:rsidR="006B587E">
        <w:t xml:space="preserve">). </w:t>
      </w:r>
      <w:r w:rsidR="00E95C48">
        <w:t>Alpha-cypermethrin</w:t>
      </w:r>
      <w:r w:rsidR="006B587E">
        <w:t xml:space="preserve"> was less toxic to larvae of the mosquito </w:t>
      </w:r>
      <w:r w:rsidR="006B587E" w:rsidRPr="001A38F4">
        <w:rPr>
          <w:rStyle w:val="Emphasis"/>
        </w:rPr>
        <w:t>Anopheles sinensis</w:t>
      </w:r>
      <w:r w:rsidR="006B587E">
        <w:t>, with a 96-h LC50 of 60</w:t>
      </w:r>
      <w:r w:rsidR="001A38F4">
        <w:t> </w:t>
      </w:r>
      <w:r w:rsidR="006B587E">
        <w:t>µg/L (Chang et al. 2009).</w:t>
      </w:r>
    </w:p>
    <w:p w14:paraId="5E7F154B" w14:textId="77777777" w:rsidR="00A47617" w:rsidRPr="00AE7845" w:rsidRDefault="000836A2" w:rsidP="00A47617">
      <w:pPr>
        <w:pStyle w:val="Heading2"/>
      </w:pPr>
      <w:bookmarkStart w:id="6" w:name="_Toc56073290"/>
      <w:r>
        <w:t>Factors affecting toxicity</w:t>
      </w:r>
      <w:bookmarkEnd w:id="6"/>
    </w:p>
    <w:p w14:paraId="5E7F154C" w14:textId="77777777" w:rsidR="00A47617" w:rsidRDefault="000836A2" w:rsidP="00A47617">
      <w:r>
        <w:rPr>
          <w:bCs/>
        </w:rPr>
        <w:t>S</w:t>
      </w:r>
      <w:r w:rsidR="00414A32">
        <w:rPr>
          <w:bCs/>
        </w:rPr>
        <w:t>ome evidence suggest</w:t>
      </w:r>
      <w:r>
        <w:rPr>
          <w:bCs/>
        </w:rPr>
        <w:t>s</w:t>
      </w:r>
      <w:r w:rsidR="00414A32">
        <w:rPr>
          <w:bCs/>
        </w:rPr>
        <w:t xml:space="preserve"> that, in general, temperature, suspended solids and dissolved organic carbon affect the toxicity of </w:t>
      </w:r>
      <w:r w:rsidR="008642C8">
        <w:rPr>
          <w:bCs/>
        </w:rPr>
        <w:t>cypermethrin</w:t>
      </w:r>
      <w:r w:rsidR="00414A32">
        <w:rPr>
          <w:bCs/>
        </w:rPr>
        <w:t xml:space="preserve"> and pyrethroids</w:t>
      </w:r>
      <w:r>
        <w:rPr>
          <w:bCs/>
        </w:rPr>
        <w:t xml:space="preserve"> (Yang et al. 2006, Fojut et al. 2011)</w:t>
      </w:r>
      <w:r w:rsidR="00414A32">
        <w:rPr>
          <w:bCs/>
        </w:rPr>
        <w:t xml:space="preserve">. However, there </w:t>
      </w:r>
      <w:r w:rsidR="00980EB4">
        <w:rPr>
          <w:bCs/>
        </w:rPr>
        <w:t>are</w:t>
      </w:r>
      <w:r w:rsidR="00414A32">
        <w:rPr>
          <w:bCs/>
        </w:rPr>
        <w:t xml:space="preserve"> currently insufficient data to establish empirical relationships between abiotic factors</w:t>
      </w:r>
      <w:r w:rsidR="000D67D3">
        <w:rPr>
          <w:bCs/>
        </w:rPr>
        <w:t xml:space="preserve"> and the toxicity of</w:t>
      </w:r>
      <w:r w:rsidR="00414A32">
        <w:rPr>
          <w:bCs/>
        </w:rPr>
        <w:t xml:space="preserve"> alpha-cypermethrin </w:t>
      </w:r>
      <w:r w:rsidR="000D67D3">
        <w:rPr>
          <w:bCs/>
        </w:rPr>
        <w:t>to</w:t>
      </w:r>
      <w:r w:rsidR="00414A32">
        <w:rPr>
          <w:bCs/>
        </w:rPr>
        <w:t xml:space="preserve"> freshwater organisms. Given the low solubility and high binding potential for pyrethroids and cypermethrin, only dissolved (filtered) concentrations of alpha-cypermethrin should be </w:t>
      </w:r>
      <w:r w:rsidR="00366386">
        <w:rPr>
          <w:bCs/>
        </w:rPr>
        <w:t>assessed against</w:t>
      </w:r>
      <w:r w:rsidR="00414A32">
        <w:rPr>
          <w:bCs/>
        </w:rPr>
        <w:t xml:space="preserve"> the DGV</w:t>
      </w:r>
      <w:r w:rsidR="000D67D3">
        <w:rPr>
          <w:bCs/>
        </w:rPr>
        <w:t>s</w:t>
      </w:r>
      <w:r w:rsidR="00414A32">
        <w:rPr>
          <w:bCs/>
        </w:rPr>
        <w:t>.</w:t>
      </w:r>
      <w:r w:rsidR="00414A32">
        <w:t xml:space="preserve"> </w:t>
      </w:r>
    </w:p>
    <w:p w14:paraId="5E7F154D" w14:textId="77777777" w:rsidR="00BF0280" w:rsidRDefault="000836A2" w:rsidP="00A47617">
      <w:pPr>
        <w:pStyle w:val="Heading2"/>
      </w:pPr>
      <w:bookmarkStart w:id="7" w:name="_Toc56073291"/>
      <w:r>
        <w:t>Default guideline value derivation</w:t>
      </w:r>
      <w:bookmarkEnd w:id="7"/>
    </w:p>
    <w:p w14:paraId="5E7F154E" w14:textId="77777777" w:rsidR="00A47617" w:rsidRDefault="000836A2" w:rsidP="00A47617">
      <w:sdt>
        <w:sdtPr>
          <w:alias w:val="Compulsary - text and location locked to 4."/>
          <w:tag w:val="Compulsary - text and location locked"/>
          <w:id w:val="1416975399"/>
          <w:placeholder>
            <w:docPart w:val="B20CCC024575420DB346A2897E1BFAA1"/>
          </w:placeholder>
          <w:text/>
        </w:sdtPr>
        <w:sdtEndPr/>
        <w:sdtContent>
          <w:r w:rsidR="00414A32" w:rsidRPr="009E02B0">
            <w:t>The DGVs were derived in accordance with the method described in Warne et al. (2018) and using Burrlioz 2.0 software.</w:t>
          </w:r>
        </w:sdtContent>
      </w:sdt>
    </w:p>
    <w:p w14:paraId="5E7F154F" w14:textId="77777777" w:rsidR="00BF0280" w:rsidRDefault="000836A2" w:rsidP="001303C0">
      <w:pPr>
        <w:pStyle w:val="Heading3"/>
      </w:pPr>
      <w:bookmarkStart w:id="8" w:name="_Toc56073292"/>
      <w:r>
        <w:t>Toxicity data used in derivation</w:t>
      </w:r>
      <w:bookmarkEnd w:id="8"/>
    </w:p>
    <w:p w14:paraId="5E7F1550" w14:textId="77777777" w:rsidR="001303C0" w:rsidRDefault="000836A2" w:rsidP="001303C0">
      <w:pPr>
        <w:spacing w:before="240"/>
      </w:pPr>
      <w:r w:rsidRPr="003A0E6B">
        <w:t>A summary of the toxicity data (one value per specie</w:t>
      </w:r>
      <w:r w:rsidRPr="003A0E6B">
        <w:t xml:space="preserve">s) </w:t>
      </w:r>
      <w:r w:rsidR="00C62C23">
        <w:t xml:space="preserve">and conversions </w:t>
      </w:r>
      <w:r w:rsidRPr="003A0E6B">
        <w:t xml:space="preserve">used to calculate the DGVs for </w:t>
      </w:r>
      <w:r w:rsidR="00542F9A">
        <w:t xml:space="preserve">alpha-cypermethrin </w:t>
      </w:r>
      <w:r w:rsidRPr="003A0E6B">
        <w:t xml:space="preserve">in freshwater is provided in </w:t>
      </w:r>
      <w:r w:rsidR="00B36E5A">
        <w:fldChar w:fldCharType="begin"/>
      </w:r>
      <w:r w:rsidR="00B36E5A">
        <w:instrText xml:space="preserve"> REF _Ref50628758 \h </w:instrText>
      </w:r>
      <w:r w:rsidR="00B36E5A">
        <w:fldChar w:fldCharType="separate"/>
      </w:r>
      <w:r w:rsidR="00CC51D9">
        <w:t>Table </w:t>
      </w:r>
      <w:r w:rsidR="00CC51D9">
        <w:rPr>
          <w:noProof/>
        </w:rPr>
        <w:t>1</w:t>
      </w:r>
      <w:r w:rsidR="00B36E5A">
        <w:fldChar w:fldCharType="end"/>
      </w:r>
      <w:r w:rsidRPr="003A0E6B">
        <w:t>. Further details on the data that passed the screening and qua</w:t>
      </w:r>
      <w:r w:rsidRPr="003A0E6B">
        <w:t xml:space="preserve">lity assurance schemes, including those used to derive the single species values used to calculate the DGVs, are presented in </w:t>
      </w:r>
      <w:r w:rsidR="006357C7">
        <w:fldChar w:fldCharType="begin"/>
      </w:r>
      <w:r w:rsidR="006357C7">
        <w:instrText xml:space="preserve"> REF _Ref50628887 \h </w:instrText>
      </w:r>
      <w:r w:rsidR="006357C7">
        <w:fldChar w:fldCharType="separate"/>
      </w:r>
      <w:r w:rsidR="00CC51D9">
        <w:t>Appendix A: T</w:t>
      </w:r>
      <w:r w:rsidR="00CC51D9" w:rsidRPr="000C7ECF">
        <w:t>oxicity data that passed the screening and quality assessment</w:t>
      </w:r>
      <w:r w:rsidR="00CC51D9">
        <w:t xml:space="preserve"> and used to derive the default guideline values</w:t>
      </w:r>
      <w:r w:rsidR="006357C7">
        <w:fldChar w:fldCharType="end"/>
      </w:r>
      <w:r w:rsidR="006357C7">
        <w:t xml:space="preserve">, </w:t>
      </w:r>
      <w:r w:rsidR="006357C7">
        <w:fldChar w:fldCharType="begin"/>
      </w:r>
      <w:r w:rsidR="006357C7">
        <w:instrText xml:space="preserve"> REF _Ref50628904 \h </w:instrText>
      </w:r>
      <w:r w:rsidR="006357C7">
        <w:fldChar w:fldCharType="separate"/>
      </w:r>
      <w:r w:rsidR="00CC51D9">
        <w:t>Table</w:t>
      </w:r>
      <w:r w:rsidR="00CC51D9">
        <w:rPr>
          <w:lang w:val="en-US"/>
        </w:rPr>
        <w:t> </w:t>
      </w:r>
      <w:r w:rsidR="00CC51D9">
        <w:t>A </w:t>
      </w:r>
      <w:r w:rsidR="00CC51D9">
        <w:rPr>
          <w:noProof/>
        </w:rPr>
        <w:t>1</w:t>
      </w:r>
      <w:r w:rsidR="006357C7">
        <w:fldChar w:fldCharType="end"/>
      </w:r>
      <w:r w:rsidR="006357C7">
        <w:t>.</w:t>
      </w:r>
      <w:r w:rsidR="00B95659">
        <w:t xml:space="preserve"> Details of the </w:t>
      </w:r>
      <w:hyperlink r:id="rId22" w:history="1">
        <w:r w:rsidR="00B95659" w:rsidRPr="00812325">
          <w:rPr>
            <w:rStyle w:val="Hyperlink"/>
          </w:rPr>
          <w:t>data quality assessment</w:t>
        </w:r>
      </w:hyperlink>
      <w:r w:rsidR="00B95659">
        <w:t xml:space="preserve"> and the </w:t>
      </w:r>
      <w:hyperlink r:id="rId23" w:history="1">
        <w:r w:rsidR="00B95659" w:rsidRPr="00E423A5">
          <w:rPr>
            <w:rStyle w:val="Hyperlink"/>
          </w:rPr>
          <w:t>data that passed the quality assessment</w:t>
        </w:r>
      </w:hyperlink>
      <w:r w:rsidR="00B95659">
        <w:t xml:space="preserve"> are provided as supporting information.</w:t>
      </w:r>
    </w:p>
    <w:p w14:paraId="5E7F1551" w14:textId="77777777" w:rsidR="00542F9A" w:rsidRDefault="000836A2" w:rsidP="00542F9A">
      <w:r>
        <w:t>O</w:t>
      </w:r>
      <w:r w:rsidRPr="00C5306E">
        <w:t>nly data for the alpha-isomer</w:t>
      </w:r>
      <w:r w:rsidR="0052148D">
        <w:t>s</w:t>
      </w:r>
      <w:r w:rsidRPr="00C5306E">
        <w:t xml:space="preserve"> were used. </w:t>
      </w:r>
      <w:r>
        <w:t>Results from toxicity t</w:t>
      </w:r>
      <w:r w:rsidRPr="00C5306E">
        <w:t xml:space="preserve">esting using insecticide formulations containing alpha-cypermethrin as the active ingredient were excluded from the DGV </w:t>
      </w:r>
      <w:r w:rsidR="000B176C">
        <w:t xml:space="preserve">derivation </w:t>
      </w:r>
      <w:r w:rsidRPr="00C5306E">
        <w:t xml:space="preserve">because the toxicity of the carrier solvent (and </w:t>
      </w:r>
      <w:r w:rsidRPr="00C5306E">
        <w:t>other ingredients where stated) was not known</w:t>
      </w:r>
      <w:r w:rsidR="000B176C">
        <w:t xml:space="preserve"> (see Section </w:t>
      </w:r>
      <w:r w:rsidR="00B36E5A">
        <w:fldChar w:fldCharType="begin"/>
      </w:r>
      <w:r w:rsidR="00B36E5A">
        <w:instrText xml:space="preserve"> REF _Ref50628671 \r \h </w:instrText>
      </w:r>
      <w:r w:rsidR="00B36E5A">
        <w:fldChar w:fldCharType="separate"/>
      </w:r>
      <w:r w:rsidR="00CC51D9">
        <w:t>2</w:t>
      </w:r>
      <w:r w:rsidR="00B36E5A">
        <w:fldChar w:fldCharType="end"/>
      </w:r>
      <w:r w:rsidR="000B176C">
        <w:t>)</w:t>
      </w:r>
      <w:r w:rsidRPr="00C5306E">
        <w:t xml:space="preserve">. </w:t>
      </w:r>
      <w:r>
        <w:t>Additionally, results from studies where the</w:t>
      </w:r>
      <w:r w:rsidR="00264703" w:rsidRPr="00264703">
        <w:t xml:space="preserve"> </w:t>
      </w:r>
      <w:r w:rsidR="00264703">
        <w:t>alpha-cypermethrin</w:t>
      </w:r>
      <w:r>
        <w:t xml:space="preserve"> purity was not known or was </w:t>
      </w:r>
      <w:r w:rsidR="00264703">
        <w:t>&lt;</w:t>
      </w:r>
      <w:r>
        <w:t xml:space="preserve">80% were </w:t>
      </w:r>
      <w:r>
        <w:t xml:space="preserve">excluded. </w:t>
      </w:r>
      <w:r w:rsidR="00980EB4">
        <w:t xml:space="preserve">For example, </w:t>
      </w:r>
      <w:r w:rsidR="00980EB4">
        <w:rPr>
          <w:color w:val="000000" w:themeColor="text1"/>
        </w:rPr>
        <w:t>chronic toxicity</w:t>
      </w:r>
      <w:r w:rsidR="00980EB4" w:rsidRPr="00980EB4">
        <w:rPr>
          <w:color w:val="000000" w:themeColor="text1"/>
        </w:rPr>
        <w:t xml:space="preserve"> data for two species</w:t>
      </w:r>
      <w:r w:rsidR="00FA2147">
        <w:rPr>
          <w:color w:val="000000" w:themeColor="text1"/>
        </w:rPr>
        <w:t>—</w:t>
      </w:r>
      <w:r w:rsidR="00980EB4" w:rsidRPr="00980EB4">
        <w:rPr>
          <w:color w:val="000000" w:themeColor="text1"/>
        </w:rPr>
        <w:t xml:space="preserve">the freshwater snail </w:t>
      </w:r>
      <w:r w:rsidR="00980EB4" w:rsidRPr="00264703">
        <w:rPr>
          <w:rStyle w:val="Emphasis"/>
        </w:rPr>
        <w:t>Lymnaea acuminate</w:t>
      </w:r>
      <w:r w:rsidR="00980EB4" w:rsidRPr="00980EB4">
        <w:rPr>
          <w:color w:val="000000" w:themeColor="text1"/>
        </w:rPr>
        <w:t xml:space="preserve"> (hatchling mortality LOEC of 4</w:t>
      </w:r>
      <w:r w:rsidR="00264703">
        <w:rPr>
          <w:color w:val="000000" w:themeColor="text1"/>
        </w:rPr>
        <w:t> </w:t>
      </w:r>
      <w:r w:rsidR="00980EB4" w:rsidRPr="00980EB4">
        <w:rPr>
          <w:color w:val="000000" w:themeColor="text1"/>
        </w:rPr>
        <w:t xml:space="preserve">µg/L after </w:t>
      </w:r>
      <w:r w:rsidR="00264703">
        <w:rPr>
          <w:color w:val="000000" w:themeColor="text1"/>
        </w:rPr>
        <w:t xml:space="preserve">28-d </w:t>
      </w:r>
      <w:r w:rsidR="00980EB4" w:rsidRPr="00980EB4">
        <w:rPr>
          <w:color w:val="000000" w:themeColor="text1"/>
        </w:rPr>
        <w:t>exposure</w:t>
      </w:r>
      <w:r w:rsidR="006C4A1A">
        <w:rPr>
          <w:color w:val="000000" w:themeColor="text1"/>
        </w:rPr>
        <w:t xml:space="preserve"> </w:t>
      </w:r>
      <w:r w:rsidR="00264703">
        <w:rPr>
          <w:color w:val="000000" w:themeColor="text1"/>
        </w:rPr>
        <w:t>(</w:t>
      </w:r>
      <w:r w:rsidR="006C4A1A" w:rsidRPr="008B22E7">
        <w:rPr>
          <w:color w:val="000000" w:themeColor="text1"/>
        </w:rPr>
        <w:t xml:space="preserve">Tripathi </w:t>
      </w:r>
      <w:r w:rsidR="006C4A1A">
        <w:rPr>
          <w:color w:val="000000" w:themeColor="text1"/>
        </w:rPr>
        <w:t>&amp;</w:t>
      </w:r>
      <w:r w:rsidR="006C4A1A" w:rsidRPr="008B22E7">
        <w:rPr>
          <w:color w:val="000000" w:themeColor="text1"/>
        </w:rPr>
        <w:t xml:space="preserve"> Singh 2004</w:t>
      </w:r>
      <w:r w:rsidR="00264703">
        <w:rPr>
          <w:color w:val="000000" w:themeColor="text1"/>
        </w:rPr>
        <w:t>)</w:t>
      </w:r>
      <w:r w:rsidR="00980EB4" w:rsidRPr="00980EB4">
        <w:rPr>
          <w:color w:val="000000" w:themeColor="text1"/>
        </w:rPr>
        <w:t xml:space="preserve">) and the zebrafish </w:t>
      </w:r>
      <w:r w:rsidR="00980EB4" w:rsidRPr="00264703">
        <w:rPr>
          <w:rStyle w:val="Emphasis"/>
        </w:rPr>
        <w:t>D. rerio</w:t>
      </w:r>
      <w:r w:rsidR="00980EB4" w:rsidRPr="00980EB4">
        <w:rPr>
          <w:color w:val="000000" w:themeColor="text1"/>
        </w:rPr>
        <w:t xml:space="preserve"> (reproduction LOEC for the number of viable eggs, 0.02</w:t>
      </w:r>
      <w:r w:rsidR="00264703">
        <w:rPr>
          <w:color w:val="000000" w:themeColor="text1"/>
        </w:rPr>
        <w:t> </w:t>
      </w:r>
      <w:r w:rsidR="00980EB4" w:rsidRPr="00980EB4">
        <w:rPr>
          <w:color w:val="000000" w:themeColor="text1"/>
        </w:rPr>
        <w:t xml:space="preserve">µg/L after </w:t>
      </w:r>
      <w:r w:rsidR="00264703">
        <w:rPr>
          <w:color w:val="000000" w:themeColor="text1"/>
        </w:rPr>
        <w:t xml:space="preserve">30-d </w:t>
      </w:r>
      <w:r w:rsidR="00980EB4" w:rsidRPr="00980EB4">
        <w:rPr>
          <w:color w:val="000000" w:themeColor="text1"/>
        </w:rPr>
        <w:t>exposure</w:t>
      </w:r>
      <w:r w:rsidR="006C4A1A">
        <w:rPr>
          <w:color w:val="000000" w:themeColor="text1"/>
        </w:rPr>
        <w:t xml:space="preserve"> </w:t>
      </w:r>
      <w:r w:rsidR="00264703">
        <w:rPr>
          <w:color w:val="000000" w:themeColor="text1"/>
        </w:rPr>
        <w:t>(</w:t>
      </w:r>
      <w:r w:rsidR="006C4A1A">
        <w:t>Ansari &amp; Ansari 2012</w:t>
      </w:r>
      <w:r w:rsidR="00264703">
        <w:t>)</w:t>
      </w:r>
      <w:r w:rsidR="00980EB4" w:rsidRPr="00980EB4">
        <w:rPr>
          <w:color w:val="000000" w:themeColor="text1"/>
        </w:rPr>
        <w:t>)</w:t>
      </w:r>
      <w:r w:rsidR="00264703">
        <w:rPr>
          <w:color w:val="000000" w:themeColor="text1"/>
        </w:rPr>
        <w:t>—</w:t>
      </w:r>
      <w:r w:rsidR="00980EB4" w:rsidRPr="00980EB4">
        <w:rPr>
          <w:color w:val="000000" w:themeColor="text1"/>
        </w:rPr>
        <w:t>were excluded from the DGV derivation</w:t>
      </w:r>
      <w:r w:rsidR="00980EB4">
        <w:rPr>
          <w:color w:val="000000" w:themeColor="text1"/>
        </w:rPr>
        <w:t xml:space="preserve"> because the test chemical purity was not stated</w:t>
      </w:r>
      <w:r w:rsidR="00980EB4" w:rsidRPr="00980EB4">
        <w:rPr>
          <w:color w:val="000000" w:themeColor="text1"/>
        </w:rPr>
        <w:t xml:space="preserve">. </w:t>
      </w:r>
      <w:r w:rsidR="00980EB4">
        <w:rPr>
          <w:color w:val="000000" w:themeColor="text1"/>
        </w:rPr>
        <w:t>In addition, acute toxicity data</w:t>
      </w:r>
      <w:r w:rsidR="00980EB4" w:rsidRPr="00980EB4">
        <w:rPr>
          <w:color w:val="000000" w:themeColor="text1"/>
        </w:rPr>
        <w:t xml:space="preserve"> for six species were excluded because </w:t>
      </w:r>
      <w:r w:rsidR="00B93D7E">
        <w:rPr>
          <w:color w:val="000000" w:themeColor="text1"/>
        </w:rPr>
        <w:t xml:space="preserve">an </w:t>
      </w:r>
      <w:r w:rsidR="00980EB4" w:rsidRPr="00980EB4">
        <w:rPr>
          <w:color w:val="000000" w:themeColor="text1"/>
        </w:rPr>
        <w:t>alpha-cypermethrin</w:t>
      </w:r>
      <w:r w:rsidR="00B93D7E">
        <w:rPr>
          <w:color w:val="000000" w:themeColor="text1"/>
        </w:rPr>
        <w:t xml:space="preserve"> formulation was tested or </w:t>
      </w:r>
      <w:r w:rsidR="00980EB4" w:rsidRPr="00980EB4">
        <w:rPr>
          <w:color w:val="000000" w:themeColor="text1"/>
        </w:rPr>
        <w:t xml:space="preserve">the purity of alpha-cypermethrin was not stated. </w:t>
      </w:r>
      <w:r>
        <w:t xml:space="preserve">The purity of alpha-cypermethrin in the studies used to calculate the DGVs was </w:t>
      </w:r>
      <w:r w:rsidR="00664DB0">
        <w:t>&gt;</w:t>
      </w:r>
      <w:r>
        <w:t>90%.</w:t>
      </w:r>
    </w:p>
    <w:p w14:paraId="5E7F1552" w14:textId="77777777" w:rsidR="006057EF" w:rsidRDefault="000836A2" w:rsidP="006057EF">
      <w:pPr>
        <w:pStyle w:val="Caption"/>
      </w:pPr>
      <w:bookmarkStart w:id="9" w:name="_Ref50628758"/>
      <w:bookmarkStart w:id="10" w:name="_Ref527033898"/>
      <w:bookmarkStart w:id="11" w:name="_Toc455150931"/>
      <w:bookmarkStart w:id="12" w:name="_Toc488227839"/>
      <w:bookmarkStart w:id="13" w:name="_Toc4498565"/>
      <w:bookmarkStart w:id="14" w:name="_Toc6322541"/>
      <w:bookmarkStart w:id="15" w:name="_Toc56073301"/>
      <w:r>
        <w:t>Table </w:t>
      </w:r>
      <w:fldSimple w:instr=" SEQ Table \* ARABIC ">
        <w:r w:rsidR="00CC51D9">
          <w:rPr>
            <w:noProof/>
          </w:rPr>
          <w:t>1</w:t>
        </w:r>
      </w:fldSimple>
      <w:bookmarkEnd w:id="9"/>
      <w:r>
        <w:t xml:space="preserve"> </w:t>
      </w:r>
      <w:bookmarkEnd w:id="10"/>
      <w:bookmarkEnd w:id="11"/>
      <w:bookmarkEnd w:id="12"/>
      <w:bookmarkEnd w:id="13"/>
      <w:bookmarkEnd w:id="14"/>
      <w:r w:rsidRPr="001456F4">
        <w:t>Summary of</w:t>
      </w:r>
      <w:r>
        <w:t xml:space="preserve"> single chronic and estim</w:t>
      </w:r>
      <w:r>
        <w:t xml:space="preserve">ated chronic </w:t>
      </w:r>
      <w:r w:rsidRPr="001456F4">
        <w:t>toxicity data values</w:t>
      </w:r>
      <w:r>
        <w:t>, all species</w:t>
      </w:r>
      <w:r w:rsidRPr="001456F4">
        <w:t xml:space="preserve"> used to derive default guideline values for</w:t>
      </w:r>
      <w:r>
        <w:t xml:space="preserve"> a</w:t>
      </w:r>
      <w:r w:rsidRPr="00031A37">
        <w:t>lpha-cypermethrin</w:t>
      </w:r>
      <w:r>
        <w:t xml:space="preserve"> in freshwater</w:t>
      </w:r>
      <w:bookmarkEnd w:id="15"/>
    </w:p>
    <w:tbl>
      <w:tblPr>
        <w:tblW w:w="5000" w:type="pct"/>
        <w:tblBorders>
          <w:top w:val="single" w:sz="4" w:space="0" w:color="auto"/>
          <w:bottom w:val="single" w:sz="4" w:space="0" w:color="auto"/>
          <w:insideH w:val="single" w:sz="4" w:space="0" w:color="auto"/>
        </w:tblBorders>
        <w:tblLook w:val="04A0" w:firstRow="1" w:lastRow="0" w:firstColumn="1" w:lastColumn="0" w:noHBand="0" w:noVBand="1"/>
        <w:tblCaption w:val="Summary of single chronic and estimated chronic toxicity data values, all species used to derive default guideline values for alpha-cypermethrin in freshwater"/>
        <w:tblDescription w:val="Table provides a list of the species used to derive the alpha-cypermethrin default guideline value with additional details such as taxonomic group, life stage, duration of test, type of test (acute/chronic), toxicity measure, reported toxicity value (microgram per litre) and final toxicity value (microgram per litre)."/>
      </w:tblPr>
      <w:tblGrid>
        <w:gridCol w:w="1419"/>
        <w:gridCol w:w="1717"/>
        <w:gridCol w:w="987"/>
        <w:gridCol w:w="879"/>
        <w:gridCol w:w="821"/>
        <w:gridCol w:w="955"/>
        <w:gridCol w:w="1094"/>
        <w:gridCol w:w="1198"/>
      </w:tblGrid>
      <w:tr w:rsidR="00304BBF" w14:paraId="5E7F155B" w14:textId="77777777" w:rsidTr="00C4253A">
        <w:trPr>
          <w:cantSplit/>
          <w:trHeight w:val="722"/>
          <w:tblHeader/>
        </w:trPr>
        <w:tc>
          <w:tcPr>
            <w:tcW w:w="764" w:type="pct"/>
            <w:tcBorders>
              <w:top w:val="single" w:sz="12" w:space="0" w:color="auto"/>
              <w:bottom w:val="single" w:sz="12" w:space="0" w:color="auto"/>
            </w:tcBorders>
            <w:shd w:val="clear" w:color="auto" w:fill="auto"/>
          </w:tcPr>
          <w:p w14:paraId="5E7F1553" w14:textId="77777777" w:rsidR="006057EF" w:rsidRPr="00950328" w:rsidRDefault="000836A2" w:rsidP="00C4253A">
            <w:pPr>
              <w:pStyle w:val="TableHeading"/>
            </w:pPr>
            <w:r w:rsidRPr="00950328">
              <w:t>Taxonomic group</w:t>
            </w:r>
          </w:p>
        </w:tc>
        <w:tc>
          <w:tcPr>
            <w:tcW w:w="955" w:type="pct"/>
            <w:tcBorders>
              <w:top w:val="single" w:sz="12" w:space="0" w:color="auto"/>
              <w:bottom w:val="single" w:sz="12" w:space="0" w:color="auto"/>
            </w:tcBorders>
            <w:shd w:val="clear" w:color="auto" w:fill="auto"/>
          </w:tcPr>
          <w:p w14:paraId="5E7F1554" w14:textId="77777777" w:rsidR="006057EF" w:rsidRPr="00950328" w:rsidRDefault="000836A2" w:rsidP="00C4253A">
            <w:pPr>
              <w:pStyle w:val="TableHeading"/>
            </w:pPr>
            <w:r w:rsidRPr="00950328">
              <w:t>Species</w:t>
            </w:r>
          </w:p>
        </w:tc>
        <w:tc>
          <w:tcPr>
            <w:tcW w:w="552" w:type="pct"/>
            <w:tcBorders>
              <w:top w:val="single" w:sz="12" w:space="0" w:color="auto"/>
              <w:bottom w:val="single" w:sz="12" w:space="0" w:color="auto"/>
            </w:tcBorders>
            <w:shd w:val="clear" w:color="auto" w:fill="auto"/>
          </w:tcPr>
          <w:p w14:paraId="5E7F1555" w14:textId="77777777" w:rsidR="006057EF" w:rsidRPr="00950328" w:rsidRDefault="000836A2" w:rsidP="00C4253A">
            <w:pPr>
              <w:pStyle w:val="TableHeading"/>
            </w:pPr>
            <w:r w:rsidRPr="00950328">
              <w:t>Life stage</w:t>
            </w:r>
          </w:p>
        </w:tc>
        <w:tc>
          <w:tcPr>
            <w:tcW w:w="473" w:type="pct"/>
            <w:tcBorders>
              <w:top w:val="single" w:sz="12" w:space="0" w:color="auto"/>
              <w:bottom w:val="single" w:sz="12" w:space="0" w:color="auto"/>
            </w:tcBorders>
            <w:shd w:val="clear" w:color="auto" w:fill="auto"/>
          </w:tcPr>
          <w:p w14:paraId="5E7F1556" w14:textId="77777777" w:rsidR="006057EF" w:rsidRPr="00950328" w:rsidRDefault="000836A2" w:rsidP="00C4253A">
            <w:pPr>
              <w:pStyle w:val="TableHeading"/>
            </w:pPr>
            <w:r w:rsidRPr="00950328">
              <w:t>Duration (h)</w:t>
            </w:r>
          </w:p>
        </w:tc>
        <w:tc>
          <w:tcPr>
            <w:tcW w:w="443" w:type="pct"/>
            <w:tcBorders>
              <w:top w:val="single" w:sz="12" w:space="0" w:color="auto"/>
              <w:bottom w:val="single" w:sz="12" w:space="0" w:color="auto"/>
            </w:tcBorders>
            <w:shd w:val="clear" w:color="auto" w:fill="auto"/>
          </w:tcPr>
          <w:p w14:paraId="5E7F1557" w14:textId="77777777" w:rsidR="006057EF" w:rsidRPr="00950328" w:rsidRDefault="000836A2" w:rsidP="00C4253A">
            <w:pPr>
              <w:pStyle w:val="TableHeading"/>
            </w:pPr>
            <w:r w:rsidRPr="00950328">
              <w:t>Type (acute/</w:t>
            </w:r>
            <w:r w:rsidRPr="00950328">
              <w:br/>
              <w:t>chronic)</w:t>
            </w:r>
          </w:p>
        </w:tc>
        <w:tc>
          <w:tcPr>
            <w:tcW w:w="534" w:type="pct"/>
            <w:tcBorders>
              <w:top w:val="single" w:sz="12" w:space="0" w:color="auto"/>
              <w:bottom w:val="single" w:sz="12" w:space="0" w:color="auto"/>
            </w:tcBorders>
            <w:shd w:val="clear" w:color="auto" w:fill="auto"/>
          </w:tcPr>
          <w:p w14:paraId="5E7F1558" w14:textId="77777777" w:rsidR="006057EF" w:rsidRPr="00950328" w:rsidRDefault="000836A2" w:rsidP="00C4253A">
            <w:pPr>
              <w:pStyle w:val="TableHeading"/>
            </w:pPr>
            <w:r w:rsidRPr="00950328">
              <w:t xml:space="preserve">Toxicity measure </w:t>
            </w:r>
            <w:r w:rsidRPr="00120EF4">
              <w:rPr>
                <w:rStyle w:val="Strong"/>
                <w:vertAlign w:val="superscript"/>
              </w:rPr>
              <w:t>a</w:t>
            </w:r>
          </w:p>
        </w:tc>
        <w:tc>
          <w:tcPr>
            <w:tcW w:w="611" w:type="pct"/>
            <w:tcBorders>
              <w:top w:val="single" w:sz="12" w:space="0" w:color="auto"/>
              <w:bottom w:val="single" w:sz="12" w:space="0" w:color="auto"/>
            </w:tcBorders>
            <w:shd w:val="clear" w:color="auto" w:fill="auto"/>
          </w:tcPr>
          <w:p w14:paraId="5E7F1559" w14:textId="77777777" w:rsidR="006057EF" w:rsidRPr="00950328" w:rsidRDefault="000836A2" w:rsidP="00C4253A">
            <w:pPr>
              <w:pStyle w:val="TableHeading"/>
            </w:pPr>
            <w:r>
              <w:t>Reported t</w:t>
            </w:r>
            <w:r w:rsidRPr="00950328">
              <w:t>oxicity value (</w:t>
            </w:r>
            <w:r w:rsidRPr="00950328">
              <w:rPr>
                <w:rFonts w:ascii="Corbel" w:hAnsi="Corbel"/>
              </w:rPr>
              <w:t>µ</w:t>
            </w:r>
            <w:r w:rsidRPr="00950328">
              <w:t>g/L)</w:t>
            </w:r>
          </w:p>
        </w:tc>
        <w:tc>
          <w:tcPr>
            <w:tcW w:w="668" w:type="pct"/>
            <w:tcBorders>
              <w:top w:val="single" w:sz="12" w:space="0" w:color="auto"/>
              <w:bottom w:val="single" w:sz="12" w:space="0" w:color="auto"/>
            </w:tcBorders>
            <w:shd w:val="clear" w:color="auto" w:fill="auto"/>
          </w:tcPr>
          <w:p w14:paraId="5E7F155A" w14:textId="77777777" w:rsidR="006057EF" w:rsidRPr="00950328" w:rsidRDefault="000836A2" w:rsidP="00C4253A">
            <w:pPr>
              <w:pStyle w:val="TableHeading"/>
            </w:pPr>
            <w:r>
              <w:t xml:space="preserve">Final </w:t>
            </w:r>
            <w:r>
              <w:t>toxicity</w:t>
            </w:r>
            <w:r w:rsidRPr="00950328">
              <w:t xml:space="preserve"> value (</w:t>
            </w:r>
            <w:r w:rsidRPr="00950328">
              <w:rPr>
                <w:rFonts w:ascii="Corbel" w:hAnsi="Corbel"/>
              </w:rPr>
              <w:t>µ</w:t>
            </w:r>
            <w:r w:rsidRPr="00950328">
              <w:t>g/L)</w:t>
            </w:r>
          </w:p>
        </w:tc>
      </w:tr>
      <w:tr w:rsidR="00304BBF" w14:paraId="5E7F1564" w14:textId="77777777" w:rsidTr="00C4253A">
        <w:trPr>
          <w:cantSplit/>
          <w:trHeight w:val="628"/>
        </w:trPr>
        <w:tc>
          <w:tcPr>
            <w:tcW w:w="764" w:type="pct"/>
            <w:tcBorders>
              <w:top w:val="single" w:sz="12" w:space="0" w:color="auto"/>
            </w:tcBorders>
            <w:shd w:val="clear" w:color="auto" w:fill="auto"/>
          </w:tcPr>
          <w:p w14:paraId="5E7F155C" w14:textId="77777777" w:rsidR="006057EF" w:rsidRPr="007506B0" w:rsidRDefault="000836A2" w:rsidP="00C4253A">
            <w:pPr>
              <w:pStyle w:val="TableText"/>
            </w:pPr>
            <w:r>
              <w:t>Cyanobacterium</w:t>
            </w:r>
          </w:p>
        </w:tc>
        <w:tc>
          <w:tcPr>
            <w:tcW w:w="955" w:type="pct"/>
            <w:tcBorders>
              <w:top w:val="single" w:sz="12" w:space="0" w:color="auto"/>
            </w:tcBorders>
            <w:shd w:val="clear" w:color="auto" w:fill="auto"/>
          </w:tcPr>
          <w:p w14:paraId="5E7F155D" w14:textId="77777777" w:rsidR="006057EF" w:rsidRPr="00120EF4" w:rsidRDefault="000836A2" w:rsidP="00C4253A">
            <w:pPr>
              <w:pStyle w:val="TableText"/>
              <w:rPr>
                <w:rStyle w:val="Emphasis"/>
              </w:rPr>
            </w:pPr>
            <w:r>
              <w:rPr>
                <w:rStyle w:val="Emphasis"/>
              </w:rPr>
              <w:t>Anabaena flos-</w:t>
            </w:r>
            <w:r w:rsidRPr="00120EF4">
              <w:rPr>
                <w:rStyle w:val="Emphasis"/>
              </w:rPr>
              <w:t>aquae</w:t>
            </w:r>
          </w:p>
        </w:tc>
        <w:tc>
          <w:tcPr>
            <w:tcW w:w="552" w:type="pct"/>
            <w:tcBorders>
              <w:top w:val="single" w:sz="12" w:space="0" w:color="auto"/>
            </w:tcBorders>
            <w:shd w:val="clear" w:color="auto" w:fill="auto"/>
          </w:tcPr>
          <w:p w14:paraId="5E7F155E" w14:textId="77777777" w:rsidR="006057EF" w:rsidRPr="007506B0" w:rsidRDefault="000836A2" w:rsidP="00C4253A">
            <w:pPr>
              <w:pStyle w:val="TableText"/>
            </w:pPr>
            <w:r>
              <w:t>–</w:t>
            </w:r>
          </w:p>
        </w:tc>
        <w:tc>
          <w:tcPr>
            <w:tcW w:w="473" w:type="pct"/>
            <w:tcBorders>
              <w:top w:val="single" w:sz="12" w:space="0" w:color="auto"/>
            </w:tcBorders>
            <w:shd w:val="clear" w:color="auto" w:fill="auto"/>
          </w:tcPr>
          <w:p w14:paraId="5E7F155F" w14:textId="77777777" w:rsidR="006057EF" w:rsidRPr="007506B0" w:rsidRDefault="000836A2" w:rsidP="00C4253A">
            <w:pPr>
              <w:pStyle w:val="TableText"/>
            </w:pPr>
            <w:r w:rsidRPr="007506B0">
              <w:t>96</w:t>
            </w:r>
          </w:p>
        </w:tc>
        <w:tc>
          <w:tcPr>
            <w:tcW w:w="443" w:type="pct"/>
            <w:tcBorders>
              <w:top w:val="single" w:sz="12" w:space="0" w:color="auto"/>
            </w:tcBorders>
            <w:shd w:val="clear" w:color="auto" w:fill="auto"/>
          </w:tcPr>
          <w:p w14:paraId="5E7F1560" w14:textId="77777777" w:rsidR="006057EF" w:rsidRPr="007506B0" w:rsidRDefault="000836A2" w:rsidP="00C4253A">
            <w:pPr>
              <w:pStyle w:val="TableText"/>
            </w:pPr>
            <w:r w:rsidRPr="007506B0">
              <w:t>Chronic</w:t>
            </w:r>
          </w:p>
        </w:tc>
        <w:tc>
          <w:tcPr>
            <w:tcW w:w="534" w:type="pct"/>
            <w:tcBorders>
              <w:top w:val="single" w:sz="12" w:space="0" w:color="auto"/>
            </w:tcBorders>
            <w:shd w:val="clear" w:color="auto" w:fill="auto"/>
          </w:tcPr>
          <w:p w14:paraId="5E7F1561" w14:textId="77777777" w:rsidR="006057EF" w:rsidRPr="007506B0" w:rsidRDefault="000836A2" w:rsidP="00C4253A">
            <w:pPr>
              <w:pStyle w:val="TableText"/>
            </w:pPr>
            <w:r w:rsidRPr="007506B0">
              <w:t>NOEC</w:t>
            </w:r>
          </w:p>
        </w:tc>
        <w:tc>
          <w:tcPr>
            <w:tcW w:w="611" w:type="pct"/>
            <w:tcBorders>
              <w:top w:val="single" w:sz="12" w:space="0" w:color="auto"/>
            </w:tcBorders>
            <w:shd w:val="clear" w:color="auto" w:fill="auto"/>
          </w:tcPr>
          <w:p w14:paraId="5E7F1562" w14:textId="77777777" w:rsidR="006057EF" w:rsidRPr="007506B0" w:rsidRDefault="000836A2" w:rsidP="00C4253A">
            <w:pPr>
              <w:pStyle w:val="TableText"/>
            </w:pPr>
            <w:r w:rsidRPr="007506B0">
              <w:t>27.2</w:t>
            </w:r>
          </w:p>
        </w:tc>
        <w:tc>
          <w:tcPr>
            <w:tcW w:w="668" w:type="pct"/>
            <w:tcBorders>
              <w:top w:val="single" w:sz="12" w:space="0" w:color="auto"/>
            </w:tcBorders>
            <w:shd w:val="clear" w:color="auto" w:fill="auto"/>
          </w:tcPr>
          <w:p w14:paraId="5E7F1563" w14:textId="77777777" w:rsidR="006057EF" w:rsidRPr="007506B0" w:rsidRDefault="000836A2" w:rsidP="00C4253A">
            <w:pPr>
              <w:pStyle w:val="TableText"/>
            </w:pPr>
            <w:r w:rsidRPr="007506B0">
              <w:t>27.2</w:t>
            </w:r>
            <w:r>
              <w:t xml:space="preserve"> </w:t>
            </w:r>
            <w:r w:rsidRPr="00846C9A">
              <w:rPr>
                <w:rStyle w:val="Strong"/>
                <w:vertAlign w:val="superscript"/>
              </w:rPr>
              <w:t>b</w:t>
            </w:r>
          </w:p>
        </w:tc>
      </w:tr>
      <w:tr w:rsidR="00304BBF" w14:paraId="5E7F156D" w14:textId="77777777" w:rsidTr="00C4253A">
        <w:trPr>
          <w:cantSplit/>
          <w:trHeight w:val="343"/>
        </w:trPr>
        <w:tc>
          <w:tcPr>
            <w:tcW w:w="764" w:type="pct"/>
            <w:shd w:val="clear" w:color="auto" w:fill="auto"/>
          </w:tcPr>
          <w:p w14:paraId="5E7F1565" w14:textId="77777777" w:rsidR="006057EF" w:rsidRPr="007506B0" w:rsidRDefault="000836A2" w:rsidP="00C4253A">
            <w:pPr>
              <w:pStyle w:val="TableText"/>
            </w:pPr>
            <w:r>
              <w:t>Diatom</w:t>
            </w:r>
          </w:p>
        </w:tc>
        <w:tc>
          <w:tcPr>
            <w:tcW w:w="955" w:type="pct"/>
            <w:shd w:val="clear" w:color="auto" w:fill="auto"/>
          </w:tcPr>
          <w:p w14:paraId="5E7F1566" w14:textId="77777777" w:rsidR="006057EF" w:rsidRPr="00120EF4" w:rsidRDefault="000836A2" w:rsidP="00C4253A">
            <w:pPr>
              <w:pStyle w:val="TableText"/>
              <w:rPr>
                <w:rStyle w:val="Emphasis"/>
              </w:rPr>
            </w:pPr>
            <w:r w:rsidRPr="00120EF4">
              <w:rPr>
                <w:rStyle w:val="Emphasis"/>
              </w:rPr>
              <w:t>Navicula pelliculosa</w:t>
            </w:r>
          </w:p>
        </w:tc>
        <w:tc>
          <w:tcPr>
            <w:tcW w:w="552" w:type="pct"/>
            <w:shd w:val="clear" w:color="auto" w:fill="auto"/>
          </w:tcPr>
          <w:p w14:paraId="5E7F1567" w14:textId="77777777" w:rsidR="006057EF" w:rsidRPr="007506B0" w:rsidRDefault="000836A2" w:rsidP="00C4253A">
            <w:pPr>
              <w:pStyle w:val="TableText"/>
            </w:pPr>
            <w:r>
              <w:t>–</w:t>
            </w:r>
          </w:p>
        </w:tc>
        <w:tc>
          <w:tcPr>
            <w:tcW w:w="473" w:type="pct"/>
            <w:shd w:val="clear" w:color="auto" w:fill="auto"/>
          </w:tcPr>
          <w:p w14:paraId="5E7F1568" w14:textId="77777777" w:rsidR="006057EF" w:rsidRPr="007506B0" w:rsidRDefault="000836A2" w:rsidP="00C4253A">
            <w:pPr>
              <w:pStyle w:val="TableText"/>
            </w:pPr>
            <w:r w:rsidRPr="007506B0">
              <w:t>96</w:t>
            </w:r>
          </w:p>
        </w:tc>
        <w:tc>
          <w:tcPr>
            <w:tcW w:w="443" w:type="pct"/>
            <w:shd w:val="clear" w:color="auto" w:fill="auto"/>
          </w:tcPr>
          <w:p w14:paraId="5E7F1569" w14:textId="77777777" w:rsidR="006057EF" w:rsidRPr="007506B0" w:rsidRDefault="000836A2" w:rsidP="00C4253A">
            <w:pPr>
              <w:pStyle w:val="TableText"/>
            </w:pPr>
            <w:r w:rsidRPr="007506B0">
              <w:t>Chronic</w:t>
            </w:r>
          </w:p>
        </w:tc>
        <w:tc>
          <w:tcPr>
            <w:tcW w:w="534" w:type="pct"/>
            <w:shd w:val="clear" w:color="auto" w:fill="auto"/>
          </w:tcPr>
          <w:p w14:paraId="5E7F156A" w14:textId="77777777" w:rsidR="006057EF" w:rsidRPr="007506B0" w:rsidRDefault="000836A2" w:rsidP="00C4253A">
            <w:pPr>
              <w:pStyle w:val="TableText"/>
            </w:pPr>
            <w:r w:rsidRPr="007506B0">
              <w:t>NOEC</w:t>
            </w:r>
          </w:p>
        </w:tc>
        <w:tc>
          <w:tcPr>
            <w:tcW w:w="611" w:type="pct"/>
            <w:shd w:val="clear" w:color="auto" w:fill="auto"/>
          </w:tcPr>
          <w:p w14:paraId="5E7F156B" w14:textId="77777777" w:rsidR="006057EF" w:rsidRPr="007506B0" w:rsidRDefault="000836A2" w:rsidP="00C4253A">
            <w:pPr>
              <w:pStyle w:val="TableText"/>
            </w:pPr>
            <w:r w:rsidRPr="007506B0">
              <w:t>72</w:t>
            </w:r>
          </w:p>
        </w:tc>
        <w:tc>
          <w:tcPr>
            <w:tcW w:w="668" w:type="pct"/>
            <w:shd w:val="clear" w:color="auto" w:fill="auto"/>
          </w:tcPr>
          <w:p w14:paraId="5E7F156C" w14:textId="77777777" w:rsidR="006057EF" w:rsidRPr="007506B0" w:rsidRDefault="000836A2" w:rsidP="00C4253A">
            <w:pPr>
              <w:pStyle w:val="TableText"/>
            </w:pPr>
            <w:r w:rsidRPr="007506B0">
              <w:t>72</w:t>
            </w:r>
            <w:r>
              <w:t xml:space="preserve"> </w:t>
            </w:r>
            <w:r w:rsidRPr="00846C9A">
              <w:rPr>
                <w:rStyle w:val="Strong"/>
                <w:vertAlign w:val="superscript"/>
              </w:rPr>
              <w:t>b</w:t>
            </w:r>
          </w:p>
        </w:tc>
      </w:tr>
      <w:tr w:rsidR="00304BBF" w14:paraId="5E7F1576" w14:textId="77777777" w:rsidTr="00C4253A">
        <w:trPr>
          <w:cantSplit/>
          <w:trHeight w:val="329"/>
        </w:trPr>
        <w:tc>
          <w:tcPr>
            <w:tcW w:w="764" w:type="pct"/>
            <w:shd w:val="clear" w:color="auto" w:fill="auto"/>
          </w:tcPr>
          <w:p w14:paraId="5E7F156E" w14:textId="77777777" w:rsidR="006057EF" w:rsidRPr="007506B0" w:rsidRDefault="000836A2" w:rsidP="00C4253A">
            <w:pPr>
              <w:pStyle w:val="TableText"/>
            </w:pPr>
            <w:r>
              <w:t>Macrophyte</w:t>
            </w:r>
          </w:p>
        </w:tc>
        <w:tc>
          <w:tcPr>
            <w:tcW w:w="955" w:type="pct"/>
            <w:shd w:val="clear" w:color="auto" w:fill="auto"/>
          </w:tcPr>
          <w:p w14:paraId="5E7F156F" w14:textId="77777777" w:rsidR="006057EF" w:rsidRPr="00120EF4" w:rsidRDefault="000836A2" w:rsidP="00C4253A">
            <w:pPr>
              <w:pStyle w:val="TableText"/>
              <w:rPr>
                <w:rStyle w:val="Emphasis"/>
              </w:rPr>
            </w:pPr>
            <w:r w:rsidRPr="00120EF4">
              <w:rPr>
                <w:rStyle w:val="Emphasis"/>
              </w:rPr>
              <w:t>Lemna gibba</w:t>
            </w:r>
          </w:p>
        </w:tc>
        <w:tc>
          <w:tcPr>
            <w:tcW w:w="552" w:type="pct"/>
            <w:shd w:val="clear" w:color="auto" w:fill="auto"/>
          </w:tcPr>
          <w:p w14:paraId="5E7F1570" w14:textId="77777777" w:rsidR="006057EF" w:rsidRPr="007506B0" w:rsidRDefault="000836A2" w:rsidP="00C4253A">
            <w:pPr>
              <w:pStyle w:val="TableText"/>
            </w:pPr>
            <w:r>
              <w:t>–</w:t>
            </w:r>
          </w:p>
        </w:tc>
        <w:tc>
          <w:tcPr>
            <w:tcW w:w="473" w:type="pct"/>
            <w:shd w:val="clear" w:color="auto" w:fill="auto"/>
          </w:tcPr>
          <w:p w14:paraId="5E7F1571" w14:textId="77777777" w:rsidR="006057EF" w:rsidRPr="007506B0" w:rsidRDefault="000836A2" w:rsidP="00C4253A">
            <w:pPr>
              <w:pStyle w:val="TableText"/>
            </w:pPr>
            <w:r w:rsidRPr="007506B0">
              <w:t>168</w:t>
            </w:r>
          </w:p>
        </w:tc>
        <w:tc>
          <w:tcPr>
            <w:tcW w:w="443" w:type="pct"/>
            <w:shd w:val="clear" w:color="auto" w:fill="auto"/>
          </w:tcPr>
          <w:p w14:paraId="5E7F1572" w14:textId="77777777" w:rsidR="006057EF" w:rsidRPr="007506B0" w:rsidRDefault="000836A2" w:rsidP="00C4253A">
            <w:pPr>
              <w:pStyle w:val="TableText"/>
            </w:pPr>
            <w:r w:rsidRPr="007506B0">
              <w:t>Chronic</w:t>
            </w:r>
          </w:p>
        </w:tc>
        <w:tc>
          <w:tcPr>
            <w:tcW w:w="534" w:type="pct"/>
            <w:shd w:val="clear" w:color="auto" w:fill="auto"/>
          </w:tcPr>
          <w:p w14:paraId="5E7F1573" w14:textId="77777777" w:rsidR="006057EF" w:rsidRPr="007506B0" w:rsidRDefault="000836A2" w:rsidP="00C4253A">
            <w:pPr>
              <w:pStyle w:val="TableText"/>
            </w:pPr>
            <w:r w:rsidRPr="007506B0">
              <w:t>NOEC</w:t>
            </w:r>
          </w:p>
        </w:tc>
        <w:tc>
          <w:tcPr>
            <w:tcW w:w="611" w:type="pct"/>
            <w:shd w:val="clear" w:color="auto" w:fill="auto"/>
          </w:tcPr>
          <w:p w14:paraId="5E7F1574" w14:textId="77777777" w:rsidR="006057EF" w:rsidRPr="007506B0" w:rsidRDefault="000836A2" w:rsidP="00C4253A">
            <w:pPr>
              <w:pStyle w:val="TableText"/>
            </w:pPr>
            <w:r w:rsidRPr="007506B0">
              <w:t>1.39</w:t>
            </w:r>
          </w:p>
        </w:tc>
        <w:tc>
          <w:tcPr>
            <w:tcW w:w="668" w:type="pct"/>
            <w:shd w:val="clear" w:color="auto" w:fill="auto"/>
          </w:tcPr>
          <w:p w14:paraId="5E7F1575" w14:textId="77777777" w:rsidR="006057EF" w:rsidRPr="007506B0" w:rsidRDefault="000836A2" w:rsidP="00C4253A">
            <w:pPr>
              <w:pStyle w:val="TableText"/>
            </w:pPr>
            <w:r w:rsidRPr="007506B0">
              <w:t>1.39</w:t>
            </w:r>
            <w:r>
              <w:t xml:space="preserve"> </w:t>
            </w:r>
            <w:r w:rsidRPr="00846C9A">
              <w:rPr>
                <w:rStyle w:val="Strong"/>
                <w:vertAlign w:val="superscript"/>
              </w:rPr>
              <w:t>b</w:t>
            </w:r>
          </w:p>
        </w:tc>
      </w:tr>
      <w:tr w:rsidR="00304BBF" w14:paraId="5E7F157F" w14:textId="77777777" w:rsidTr="00C4253A">
        <w:trPr>
          <w:cantSplit/>
          <w:trHeight w:val="628"/>
        </w:trPr>
        <w:tc>
          <w:tcPr>
            <w:tcW w:w="764" w:type="pct"/>
            <w:vMerge w:val="restart"/>
            <w:shd w:val="clear" w:color="auto" w:fill="auto"/>
          </w:tcPr>
          <w:p w14:paraId="5E7F1577" w14:textId="77777777" w:rsidR="006057EF" w:rsidRPr="007506B0" w:rsidRDefault="000836A2" w:rsidP="00C4253A">
            <w:pPr>
              <w:pStyle w:val="TableText"/>
            </w:pPr>
            <w:r w:rsidRPr="007506B0">
              <w:t>Crustacean</w:t>
            </w:r>
          </w:p>
        </w:tc>
        <w:tc>
          <w:tcPr>
            <w:tcW w:w="955" w:type="pct"/>
            <w:shd w:val="clear" w:color="auto" w:fill="auto"/>
          </w:tcPr>
          <w:p w14:paraId="5E7F1578" w14:textId="77777777" w:rsidR="006057EF" w:rsidRPr="00120EF4" w:rsidRDefault="000836A2" w:rsidP="00C4253A">
            <w:pPr>
              <w:pStyle w:val="TableText"/>
              <w:rPr>
                <w:rStyle w:val="Emphasis"/>
              </w:rPr>
            </w:pPr>
            <w:r w:rsidRPr="00120EF4">
              <w:rPr>
                <w:rStyle w:val="Emphasis"/>
              </w:rPr>
              <w:t>Paratya australiensis</w:t>
            </w:r>
          </w:p>
        </w:tc>
        <w:tc>
          <w:tcPr>
            <w:tcW w:w="552" w:type="pct"/>
            <w:shd w:val="clear" w:color="auto" w:fill="auto"/>
          </w:tcPr>
          <w:p w14:paraId="5E7F1579" w14:textId="77777777" w:rsidR="006057EF" w:rsidRPr="007506B0" w:rsidRDefault="000836A2" w:rsidP="00C4253A">
            <w:pPr>
              <w:pStyle w:val="TableText"/>
            </w:pPr>
            <w:r w:rsidRPr="007506B0">
              <w:t>Adults</w:t>
            </w:r>
          </w:p>
        </w:tc>
        <w:tc>
          <w:tcPr>
            <w:tcW w:w="473" w:type="pct"/>
            <w:shd w:val="clear" w:color="auto" w:fill="auto"/>
          </w:tcPr>
          <w:p w14:paraId="5E7F157A" w14:textId="77777777" w:rsidR="006057EF" w:rsidRPr="007506B0" w:rsidRDefault="000836A2" w:rsidP="00C4253A">
            <w:pPr>
              <w:pStyle w:val="TableText"/>
            </w:pPr>
            <w:r w:rsidRPr="007506B0">
              <w:t>96</w:t>
            </w:r>
          </w:p>
        </w:tc>
        <w:tc>
          <w:tcPr>
            <w:tcW w:w="443" w:type="pct"/>
            <w:shd w:val="clear" w:color="auto" w:fill="auto"/>
          </w:tcPr>
          <w:p w14:paraId="5E7F157B" w14:textId="77777777" w:rsidR="006057EF" w:rsidRPr="007506B0" w:rsidRDefault="000836A2" w:rsidP="00C4253A">
            <w:pPr>
              <w:pStyle w:val="TableText"/>
            </w:pPr>
            <w:r w:rsidRPr="007506B0">
              <w:t>Acute</w:t>
            </w:r>
          </w:p>
        </w:tc>
        <w:tc>
          <w:tcPr>
            <w:tcW w:w="534" w:type="pct"/>
            <w:shd w:val="clear" w:color="auto" w:fill="auto"/>
          </w:tcPr>
          <w:p w14:paraId="5E7F157C" w14:textId="77777777" w:rsidR="006057EF" w:rsidRPr="007506B0" w:rsidRDefault="000836A2" w:rsidP="00C4253A">
            <w:pPr>
              <w:pStyle w:val="TableText"/>
            </w:pPr>
            <w:r w:rsidRPr="007506B0">
              <w:t>LC50</w:t>
            </w:r>
          </w:p>
        </w:tc>
        <w:tc>
          <w:tcPr>
            <w:tcW w:w="611" w:type="pct"/>
            <w:shd w:val="clear" w:color="auto" w:fill="auto"/>
          </w:tcPr>
          <w:p w14:paraId="5E7F157D" w14:textId="77777777" w:rsidR="006057EF" w:rsidRPr="007506B0" w:rsidRDefault="000836A2" w:rsidP="00C4253A">
            <w:pPr>
              <w:pStyle w:val="TableText"/>
            </w:pPr>
            <w:r w:rsidRPr="007506B0">
              <w:t>0.019</w:t>
            </w:r>
          </w:p>
        </w:tc>
        <w:tc>
          <w:tcPr>
            <w:tcW w:w="668" w:type="pct"/>
            <w:shd w:val="clear" w:color="auto" w:fill="auto"/>
          </w:tcPr>
          <w:p w14:paraId="5E7F157E" w14:textId="77777777" w:rsidR="006057EF" w:rsidRPr="007506B0" w:rsidRDefault="000836A2" w:rsidP="00C4253A">
            <w:pPr>
              <w:pStyle w:val="TableText"/>
            </w:pPr>
            <w:r w:rsidRPr="007506B0">
              <w:t>0.002</w:t>
            </w:r>
            <w:r>
              <w:t xml:space="preserve"> </w:t>
            </w:r>
            <w:r w:rsidRPr="00846C9A">
              <w:rPr>
                <w:rStyle w:val="Strong"/>
                <w:vertAlign w:val="superscript"/>
              </w:rPr>
              <w:t>c</w:t>
            </w:r>
          </w:p>
        </w:tc>
      </w:tr>
      <w:tr w:rsidR="00304BBF" w14:paraId="5E7F1588" w14:textId="77777777" w:rsidTr="00C4253A">
        <w:trPr>
          <w:cantSplit/>
          <w:trHeight w:val="347"/>
        </w:trPr>
        <w:tc>
          <w:tcPr>
            <w:tcW w:w="764" w:type="pct"/>
            <w:vMerge/>
            <w:shd w:val="clear" w:color="auto" w:fill="auto"/>
          </w:tcPr>
          <w:p w14:paraId="5E7F1580" w14:textId="77777777" w:rsidR="006057EF" w:rsidRPr="007506B0" w:rsidRDefault="006057EF" w:rsidP="00C4253A">
            <w:pPr>
              <w:pStyle w:val="TableText"/>
            </w:pPr>
          </w:p>
        </w:tc>
        <w:tc>
          <w:tcPr>
            <w:tcW w:w="955" w:type="pct"/>
            <w:shd w:val="clear" w:color="auto" w:fill="auto"/>
          </w:tcPr>
          <w:p w14:paraId="5E7F1581" w14:textId="77777777" w:rsidR="006057EF" w:rsidRPr="00120EF4" w:rsidRDefault="000836A2" w:rsidP="00C4253A">
            <w:pPr>
              <w:pStyle w:val="TableText"/>
              <w:rPr>
                <w:rStyle w:val="Emphasis"/>
              </w:rPr>
            </w:pPr>
            <w:r w:rsidRPr="00120EF4">
              <w:rPr>
                <w:rStyle w:val="Emphasis"/>
              </w:rPr>
              <w:t>Ceriodaphnia dubia</w:t>
            </w:r>
          </w:p>
        </w:tc>
        <w:tc>
          <w:tcPr>
            <w:tcW w:w="552" w:type="pct"/>
            <w:shd w:val="clear" w:color="auto" w:fill="auto"/>
          </w:tcPr>
          <w:p w14:paraId="5E7F1582" w14:textId="77777777" w:rsidR="006057EF" w:rsidRPr="007506B0" w:rsidRDefault="000836A2" w:rsidP="00C4253A">
            <w:pPr>
              <w:pStyle w:val="TableText"/>
            </w:pPr>
            <w:r w:rsidRPr="007506B0">
              <w:t>Neonates</w:t>
            </w:r>
          </w:p>
        </w:tc>
        <w:tc>
          <w:tcPr>
            <w:tcW w:w="473" w:type="pct"/>
            <w:shd w:val="clear" w:color="auto" w:fill="auto"/>
          </w:tcPr>
          <w:p w14:paraId="5E7F1583" w14:textId="77777777" w:rsidR="006057EF" w:rsidRPr="007506B0" w:rsidRDefault="000836A2" w:rsidP="00C4253A">
            <w:pPr>
              <w:pStyle w:val="TableText"/>
            </w:pPr>
            <w:r w:rsidRPr="007506B0">
              <w:t>192</w:t>
            </w:r>
          </w:p>
        </w:tc>
        <w:tc>
          <w:tcPr>
            <w:tcW w:w="443" w:type="pct"/>
            <w:shd w:val="clear" w:color="auto" w:fill="auto"/>
          </w:tcPr>
          <w:p w14:paraId="5E7F1584" w14:textId="77777777" w:rsidR="006057EF" w:rsidRPr="007506B0" w:rsidRDefault="000836A2" w:rsidP="00C4253A">
            <w:pPr>
              <w:pStyle w:val="TableText"/>
            </w:pPr>
            <w:r w:rsidRPr="007506B0">
              <w:t>Chronic</w:t>
            </w:r>
          </w:p>
        </w:tc>
        <w:tc>
          <w:tcPr>
            <w:tcW w:w="534" w:type="pct"/>
            <w:shd w:val="clear" w:color="auto" w:fill="auto"/>
          </w:tcPr>
          <w:p w14:paraId="5E7F1585" w14:textId="77777777" w:rsidR="006057EF" w:rsidRPr="007506B0" w:rsidRDefault="000836A2" w:rsidP="00C4253A">
            <w:pPr>
              <w:pStyle w:val="TableText"/>
            </w:pPr>
            <w:r w:rsidRPr="007506B0">
              <w:t>NOEC</w:t>
            </w:r>
          </w:p>
        </w:tc>
        <w:tc>
          <w:tcPr>
            <w:tcW w:w="611" w:type="pct"/>
            <w:shd w:val="clear" w:color="auto" w:fill="auto"/>
          </w:tcPr>
          <w:p w14:paraId="5E7F1586" w14:textId="77777777" w:rsidR="006057EF" w:rsidRPr="007506B0" w:rsidRDefault="000836A2" w:rsidP="00C4253A">
            <w:pPr>
              <w:pStyle w:val="TableText"/>
            </w:pPr>
            <w:r w:rsidRPr="007506B0">
              <w:t>0.025</w:t>
            </w:r>
          </w:p>
        </w:tc>
        <w:tc>
          <w:tcPr>
            <w:tcW w:w="668" w:type="pct"/>
            <w:shd w:val="clear" w:color="auto" w:fill="auto"/>
          </w:tcPr>
          <w:p w14:paraId="5E7F1587" w14:textId="77777777" w:rsidR="006057EF" w:rsidRPr="007506B0" w:rsidRDefault="000836A2" w:rsidP="00C4253A">
            <w:pPr>
              <w:pStyle w:val="TableText"/>
            </w:pPr>
            <w:r w:rsidRPr="007506B0">
              <w:t>0.025</w:t>
            </w:r>
            <w:r>
              <w:t xml:space="preserve"> </w:t>
            </w:r>
            <w:r w:rsidRPr="00846C9A">
              <w:rPr>
                <w:rStyle w:val="Strong"/>
                <w:vertAlign w:val="superscript"/>
              </w:rPr>
              <w:t>b</w:t>
            </w:r>
          </w:p>
        </w:tc>
      </w:tr>
      <w:tr w:rsidR="00304BBF" w14:paraId="5E7F1591" w14:textId="77777777" w:rsidTr="00C4253A">
        <w:trPr>
          <w:cantSplit/>
          <w:trHeight w:val="425"/>
        </w:trPr>
        <w:tc>
          <w:tcPr>
            <w:tcW w:w="764" w:type="pct"/>
            <w:vMerge/>
            <w:shd w:val="clear" w:color="auto" w:fill="auto"/>
          </w:tcPr>
          <w:p w14:paraId="5E7F1589" w14:textId="77777777" w:rsidR="006057EF" w:rsidRPr="007506B0" w:rsidRDefault="006057EF" w:rsidP="00C4253A">
            <w:pPr>
              <w:pStyle w:val="TableText"/>
            </w:pPr>
          </w:p>
        </w:tc>
        <w:tc>
          <w:tcPr>
            <w:tcW w:w="955" w:type="pct"/>
            <w:shd w:val="clear" w:color="auto" w:fill="auto"/>
          </w:tcPr>
          <w:p w14:paraId="5E7F158A" w14:textId="77777777" w:rsidR="006057EF" w:rsidRPr="00120EF4" w:rsidRDefault="000836A2" w:rsidP="00C4253A">
            <w:pPr>
              <w:pStyle w:val="TableText"/>
              <w:rPr>
                <w:rStyle w:val="Emphasis"/>
              </w:rPr>
            </w:pPr>
            <w:r w:rsidRPr="00120EF4">
              <w:rPr>
                <w:rStyle w:val="Emphasis"/>
              </w:rPr>
              <w:t>Daphnia magna</w:t>
            </w:r>
          </w:p>
        </w:tc>
        <w:tc>
          <w:tcPr>
            <w:tcW w:w="552" w:type="pct"/>
            <w:shd w:val="clear" w:color="auto" w:fill="auto"/>
          </w:tcPr>
          <w:p w14:paraId="5E7F158B" w14:textId="77777777" w:rsidR="006057EF" w:rsidRPr="007506B0" w:rsidRDefault="000836A2" w:rsidP="00C4253A">
            <w:pPr>
              <w:pStyle w:val="TableText"/>
            </w:pPr>
            <w:r w:rsidRPr="007506B0">
              <w:t>Neonates</w:t>
            </w:r>
          </w:p>
        </w:tc>
        <w:tc>
          <w:tcPr>
            <w:tcW w:w="473" w:type="pct"/>
            <w:shd w:val="clear" w:color="auto" w:fill="auto"/>
          </w:tcPr>
          <w:p w14:paraId="5E7F158C" w14:textId="77777777" w:rsidR="006057EF" w:rsidRPr="007506B0" w:rsidRDefault="000836A2" w:rsidP="00C4253A">
            <w:pPr>
              <w:pStyle w:val="TableText"/>
            </w:pPr>
            <w:r w:rsidRPr="007506B0">
              <w:t>504</w:t>
            </w:r>
          </w:p>
        </w:tc>
        <w:tc>
          <w:tcPr>
            <w:tcW w:w="443" w:type="pct"/>
            <w:shd w:val="clear" w:color="auto" w:fill="auto"/>
          </w:tcPr>
          <w:p w14:paraId="5E7F158D" w14:textId="77777777" w:rsidR="006057EF" w:rsidRPr="007506B0" w:rsidRDefault="000836A2" w:rsidP="00C4253A">
            <w:pPr>
              <w:pStyle w:val="TableText"/>
            </w:pPr>
            <w:r w:rsidRPr="007506B0">
              <w:t>Chronic</w:t>
            </w:r>
          </w:p>
        </w:tc>
        <w:tc>
          <w:tcPr>
            <w:tcW w:w="534" w:type="pct"/>
            <w:shd w:val="clear" w:color="auto" w:fill="auto"/>
          </w:tcPr>
          <w:p w14:paraId="5E7F158E" w14:textId="77777777" w:rsidR="006057EF" w:rsidRPr="007506B0" w:rsidRDefault="000836A2" w:rsidP="00C4253A">
            <w:pPr>
              <w:pStyle w:val="TableText"/>
            </w:pPr>
            <w:r w:rsidRPr="007506B0">
              <w:t>NOEC</w:t>
            </w:r>
          </w:p>
        </w:tc>
        <w:tc>
          <w:tcPr>
            <w:tcW w:w="611" w:type="pct"/>
            <w:shd w:val="clear" w:color="auto" w:fill="auto"/>
          </w:tcPr>
          <w:p w14:paraId="5E7F158F" w14:textId="77777777" w:rsidR="006057EF" w:rsidRPr="007506B0" w:rsidRDefault="000836A2" w:rsidP="00C4253A">
            <w:pPr>
              <w:pStyle w:val="TableText"/>
            </w:pPr>
            <w:r w:rsidRPr="007506B0">
              <w:t>0.037</w:t>
            </w:r>
          </w:p>
        </w:tc>
        <w:tc>
          <w:tcPr>
            <w:tcW w:w="668" w:type="pct"/>
            <w:shd w:val="clear" w:color="auto" w:fill="auto"/>
          </w:tcPr>
          <w:p w14:paraId="5E7F1590" w14:textId="77777777" w:rsidR="006057EF" w:rsidRPr="007506B0" w:rsidRDefault="000836A2" w:rsidP="00C4253A">
            <w:pPr>
              <w:pStyle w:val="TableText"/>
            </w:pPr>
            <w:r w:rsidRPr="007506B0">
              <w:t>0.037</w:t>
            </w:r>
            <w:r>
              <w:t xml:space="preserve"> </w:t>
            </w:r>
            <w:r w:rsidRPr="00846C9A">
              <w:rPr>
                <w:rStyle w:val="Strong"/>
                <w:vertAlign w:val="superscript"/>
              </w:rPr>
              <w:t>b</w:t>
            </w:r>
          </w:p>
        </w:tc>
      </w:tr>
      <w:tr w:rsidR="00304BBF" w14:paraId="5E7F159A" w14:textId="77777777" w:rsidTr="00C4253A">
        <w:trPr>
          <w:cantSplit/>
          <w:trHeight w:val="628"/>
        </w:trPr>
        <w:tc>
          <w:tcPr>
            <w:tcW w:w="764" w:type="pct"/>
            <w:vMerge w:val="restart"/>
            <w:shd w:val="clear" w:color="auto" w:fill="auto"/>
          </w:tcPr>
          <w:p w14:paraId="5E7F1592" w14:textId="77777777" w:rsidR="006057EF" w:rsidRPr="007506B0" w:rsidRDefault="000836A2" w:rsidP="00C4253A">
            <w:pPr>
              <w:pStyle w:val="TableText"/>
            </w:pPr>
            <w:r w:rsidRPr="007506B0">
              <w:t>Insect</w:t>
            </w:r>
          </w:p>
        </w:tc>
        <w:tc>
          <w:tcPr>
            <w:tcW w:w="955" w:type="pct"/>
            <w:shd w:val="clear" w:color="auto" w:fill="auto"/>
          </w:tcPr>
          <w:p w14:paraId="5E7F1593" w14:textId="77777777" w:rsidR="006057EF" w:rsidRPr="00120EF4" w:rsidRDefault="000836A2" w:rsidP="00C4253A">
            <w:pPr>
              <w:pStyle w:val="TableText"/>
              <w:rPr>
                <w:rStyle w:val="Emphasis"/>
              </w:rPr>
            </w:pPr>
            <w:r w:rsidRPr="00120EF4">
              <w:rPr>
                <w:rStyle w:val="Emphasis"/>
              </w:rPr>
              <w:t>Culex tritaeniorhynchus</w:t>
            </w:r>
          </w:p>
        </w:tc>
        <w:tc>
          <w:tcPr>
            <w:tcW w:w="552" w:type="pct"/>
            <w:shd w:val="clear" w:color="auto" w:fill="auto"/>
          </w:tcPr>
          <w:p w14:paraId="5E7F1594" w14:textId="77777777" w:rsidR="006057EF" w:rsidRPr="007506B0" w:rsidRDefault="000836A2" w:rsidP="00C4253A">
            <w:pPr>
              <w:pStyle w:val="TableText"/>
            </w:pPr>
            <w:r w:rsidRPr="007506B0">
              <w:t>Larvae</w:t>
            </w:r>
          </w:p>
        </w:tc>
        <w:tc>
          <w:tcPr>
            <w:tcW w:w="473" w:type="pct"/>
            <w:shd w:val="clear" w:color="auto" w:fill="auto"/>
          </w:tcPr>
          <w:p w14:paraId="5E7F1595" w14:textId="77777777" w:rsidR="006057EF" w:rsidRPr="007506B0" w:rsidRDefault="000836A2" w:rsidP="00C4253A">
            <w:pPr>
              <w:pStyle w:val="TableText"/>
            </w:pPr>
            <w:r w:rsidRPr="007506B0">
              <w:t>24</w:t>
            </w:r>
          </w:p>
        </w:tc>
        <w:tc>
          <w:tcPr>
            <w:tcW w:w="443" w:type="pct"/>
            <w:shd w:val="clear" w:color="auto" w:fill="auto"/>
          </w:tcPr>
          <w:p w14:paraId="5E7F1596" w14:textId="77777777" w:rsidR="006057EF" w:rsidRPr="007506B0" w:rsidRDefault="000836A2" w:rsidP="00C4253A">
            <w:pPr>
              <w:pStyle w:val="TableText"/>
            </w:pPr>
            <w:r w:rsidRPr="007506B0">
              <w:t>Acute</w:t>
            </w:r>
          </w:p>
        </w:tc>
        <w:tc>
          <w:tcPr>
            <w:tcW w:w="534" w:type="pct"/>
            <w:shd w:val="clear" w:color="auto" w:fill="auto"/>
          </w:tcPr>
          <w:p w14:paraId="5E7F1597" w14:textId="77777777" w:rsidR="006057EF" w:rsidRPr="007506B0" w:rsidRDefault="000836A2" w:rsidP="00C4253A">
            <w:pPr>
              <w:pStyle w:val="TableText"/>
            </w:pPr>
            <w:r w:rsidRPr="007506B0">
              <w:t>LC50</w:t>
            </w:r>
          </w:p>
        </w:tc>
        <w:tc>
          <w:tcPr>
            <w:tcW w:w="611" w:type="pct"/>
            <w:shd w:val="clear" w:color="auto" w:fill="auto"/>
          </w:tcPr>
          <w:p w14:paraId="5E7F1598" w14:textId="77777777" w:rsidR="006057EF" w:rsidRPr="007506B0" w:rsidRDefault="000836A2" w:rsidP="00C4253A">
            <w:pPr>
              <w:pStyle w:val="TableText"/>
            </w:pPr>
            <w:r w:rsidRPr="007506B0">
              <w:t>1.43</w:t>
            </w:r>
          </w:p>
        </w:tc>
        <w:tc>
          <w:tcPr>
            <w:tcW w:w="668" w:type="pct"/>
            <w:shd w:val="clear" w:color="auto" w:fill="auto"/>
          </w:tcPr>
          <w:p w14:paraId="5E7F1599" w14:textId="77777777" w:rsidR="006057EF" w:rsidRPr="007506B0" w:rsidRDefault="000836A2" w:rsidP="00C4253A">
            <w:pPr>
              <w:pStyle w:val="TableText"/>
            </w:pPr>
            <w:r w:rsidRPr="007506B0">
              <w:t>0.143</w:t>
            </w:r>
            <w:r>
              <w:t xml:space="preserve"> </w:t>
            </w:r>
            <w:r w:rsidRPr="00846C9A">
              <w:rPr>
                <w:rStyle w:val="Strong"/>
                <w:vertAlign w:val="superscript"/>
              </w:rPr>
              <w:t>c</w:t>
            </w:r>
          </w:p>
        </w:tc>
      </w:tr>
      <w:tr w:rsidR="00304BBF" w14:paraId="5E7F15A3" w14:textId="77777777" w:rsidTr="00C4253A">
        <w:trPr>
          <w:cantSplit/>
          <w:trHeight w:val="343"/>
        </w:trPr>
        <w:tc>
          <w:tcPr>
            <w:tcW w:w="764" w:type="pct"/>
            <w:vMerge/>
            <w:shd w:val="clear" w:color="auto" w:fill="auto"/>
          </w:tcPr>
          <w:p w14:paraId="5E7F159B" w14:textId="77777777" w:rsidR="006057EF" w:rsidRPr="007506B0" w:rsidRDefault="006057EF" w:rsidP="00C4253A">
            <w:pPr>
              <w:pStyle w:val="TableText"/>
            </w:pPr>
          </w:p>
        </w:tc>
        <w:tc>
          <w:tcPr>
            <w:tcW w:w="955" w:type="pct"/>
            <w:shd w:val="clear" w:color="auto" w:fill="auto"/>
          </w:tcPr>
          <w:p w14:paraId="5E7F159C" w14:textId="77777777" w:rsidR="006057EF" w:rsidRPr="00120EF4" w:rsidRDefault="000836A2" w:rsidP="00C4253A">
            <w:pPr>
              <w:pStyle w:val="TableText"/>
              <w:rPr>
                <w:rStyle w:val="Emphasis"/>
              </w:rPr>
            </w:pPr>
            <w:r w:rsidRPr="00120EF4">
              <w:rPr>
                <w:rStyle w:val="Emphasis"/>
              </w:rPr>
              <w:t>Anopheles sinensis</w:t>
            </w:r>
          </w:p>
        </w:tc>
        <w:tc>
          <w:tcPr>
            <w:tcW w:w="552" w:type="pct"/>
            <w:shd w:val="clear" w:color="auto" w:fill="auto"/>
          </w:tcPr>
          <w:p w14:paraId="5E7F159D" w14:textId="77777777" w:rsidR="006057EF" w:rsidRPr="007506B0" w:rsidRDefault="000836A2" w:rsidP="00C4253A">
            <w:pPr>
              <w:pStyle w:val="TableText"/>
            </w:pPr>
            <w:r w:rsidRPr="007506B0">
              <w:t>Larvae</w:t>
            </w:r>
          </w:p>
        </w:tc>
        <w:tc>
          <w:tcPr>
            <w:tcW w:w="473" w:type="pct"/>
            <w:shd w:val="clear" w:color="auto" w:fill="auto"/>
          </w:tcPr>
          <w:p w14:paraId="5E7F159E" w14:textId="77777777" w:rsidR="006057EF" w:rsidRPr="007506B0" w:rsidRDefault="000836A2" w:rsidP="00C4253A">
            <w:pPr>
              <w:pStyle w:val="TableText"/>
            </w:pPr>
            <w:r w:rsidRPr="007506B0">
              <w:t>24</w:t>
            </w:r>
          </w:p>
        </w:tc>
        <w:tc>
          <w:tcPr>
            <w:tcW w:w="443" w:type="pct"/>
            <w:shd w:val="clear" w:color="auto" w:fill="auto"/>
          </w:tcPr>
          <w:p w14:paraId="5E7F159F" w14:textId="77777777" w:rsidR="006057EF" w:rsidRPr="007506B0" w:rsidRDefault="000836A2" w:rsidP="00C4253A">
            <w:pPr>
              <w:pStyle w:val="TableText"/>
            </w:pPr>
            <w:r w:rsidRPr="007506B0">
              <w:t xml:space="preserve">Acute </w:t>
            </w:r>
          </w:p>
        </w:tc>
        <w:tc>
          <w:tcPr>
            <w:tcW w:w="534" w:type="pct"/>
            <w:shd w:val="clear" w:color="auto" w:fill="auto"/>
          </w:tcPr>
          <w:p w14:paraId="5E7F15A0" w14:textId="77777777" w:rsidR="006057EF" w:rsidRPr="007506B0" w:rsidRDefault="000836A2" w:rsidP="00C4253A">
            <w:pPr>
              <w:pStyle w:val="TableText"/>
            </w:pPr>
            <w:r w:rsidRPr="007506B0">
              <w:t>LC50</w:t>
            </w:r>
          </w:p>
        </w:tc>
        <w:tc>
          <w:tcPr>
            <w:tcW w:w="611" w:type="pct"/>
            <w:shd w:val="clear" w:color="auto" w:fill="auto"/>
          </w:tcPr>
          <w:p w14:paraId="5E7F15A1" w14:textId="77777777" w:rsidR="006057EF" w:rsidRPr="007506B0" w:rsidRDefault="000836A2" w:rsidP="00C4253A">
            <w:pPr>
              <w:pStyle w:val="TableText"/>
            </w:pPr>
            <w:r w:rsidRPr="007506B0">
              <w:t>60</w:t>
            </w:r>
          </w:p>
        </w:tc>
        <w:tc>
          <w:tcPr>
            <w:tcW w:w="668" w:type="pct"/>
            <w:shd w:val="clear" w:color="auto" w:fill="auto"/>
          </w:tcPr>
          <w:p w14:paraId="5E7F15A2" w14:textId="77777777" w:rsidR="006057EF" w:rsidRPr="007506B0" w:rsidRDefault="000836A2" w:rsidP="00C4253A">
            <w:pPr>
              <w:pStyle w:val="TableText"/>
            </w:pPr>
            <w:r w:rsidRPr="007506B0">
              <w:t>6</w:t>
            </w:r>
            <w:r>
              <w:t xml:space="preserve"> </w:t>
            </w:r>
            <w:r w:rsidRPr="00846C9A">
              <w:rPr>
                <w:rStyle w:val="Strong"/>
                <w:vertAlign w:val="superscript"/>
              </w:rPr>
              <w:t>c</w:t>
            </w:r>
          </w:p>
        </w:tc>
      </w:tr>
      <w:tr w:rsidR="00304BBF" w14:paraId="5E7F15AC" w14:textId="77777777" w:rsidTr="00C4253A">
        <w:trPr>
          <w:cantSplit/>
          <w:trHeight w:val="343"/>
        </w:trPr>
        <w:tc>
          <w:tcPr>
            <w:tcW w:w="764" w:type="pct"/>
            <w:tcBorders>
              <w:bottom w:val="single" w:sz="4" w:space="0" w:color="auto"/>
            </w:tcBorders>
            <w:shd w:val="clear" w:color="auto" w:fill="auto"/>
          </w:tcPr>
          <w:p w14:paraId="5E7F15A4" w14:textId="77777777" w:rsidR="006057EF" w:rsidRPr="007506B0" w:rsidRDefault="000836A2" w:rsidP="00C4253A">
            <w:pPr>
              <w:pStyle w:val="TableText"/>
            </w:pPr>
            <w:r w:rsidRPr="007506B0">
              <w:t>Amphibian</w:t>
            </w:r>
          </w:p>
        </w:tc>
        <w:tc>
          <w:tcPr>
            <w:tcW w:w="955" w:type="pct"/>
            <w:shd w:val="clear" w:color="auto" w:fill="auto"/>
          </w:tcPr>
          <w:p w14:paraId="5E7F15A5" w14:textId="77777777" w:rsidR="006057EF" w:rsidRPr="00120EF4" w:rsidRDefault="000836A2" w:rsidP="00C4253A">
            <w:pPr>
              <w:pStyle w:val="TableText"/>
              <w:rPr>
                <w:rStyle w:val="Emphasis"/>
              </w:rPr>
            </w:pPr>
            <w:r w:rsidRPr="00120EF4">
              <w:rPr>
                <w:rStyle w:val="Emphasis"/>
              </w:rPr>
              <w:t>Xenopus laevis</w:t>
            </w:r>
          </w:p>
        </w:tc>
        <w:tc>
          <w:tcPr>
            <w:tcW w:w="552" w:type="pct"/>
            <w:shd w:val="clear" w:color="auto" w:fill="auto"/>
          </w:tcPr>
          <w:p w14:paraId="5E7F15A6" w14:textId="77777777" w:rsidR="006057EF" w:rsidRPr="007506B0" w:rsidRDefault="000836A2" w:rsidP="00C4253A">
            <w:pPr>
              <w:pStyle w:val="TableText"/>
            </w:pPr>
            <w:r w:rsidRPr="007506B0">
              <w:t>Larvae</w:t>
            </w:r>
          </w:p>
        </w:tc>
        <w:tc>
          <w:tcPr>
            <w:tcW w:w="473" w:type="pct"/>
            <w:shd w:val="clear" w:color="auto" w:fill="auto"/>
          </w:tcPr>
          <w:p w14:paraId="5E7F15A7" w14:textId="77777777" w:rsidR="006057EF" w:rsidRPr="007506B0" w:rsidRDefault="000836A2" w:rsidP="00C4253A">
            <w:pPr>
              <w:pStyle w:val="TableText"/>
            </w:pPr>
            <w:r w:rsidRPr="007506B0">
              <w:t>96</w:t>
            </w:r>
          </w:p>
        </w:tc>
        <w:tc>
          <w:tcPr>
            <w:tcW w:w="443" w:type="pct"/>
            <w:shd w:val="clear" w:color="auto" w:fill="auto"/>
          </w:tcPr>
          <w:p w14:paraId="5E7F15A8" w14:textId="77777777" w:rsidR="006057EF" w:rsidRPr="007506B0" w:rsidRDefault="000836A2" w:rsidP="00C4253A">
            <w:pPr>
              <w:pStyle w:val="TableText"/>
            </w:pPr>
            <w:r w:rsidRPr="007506B0">
              <w:t>Acute</w:t>
            </w:r>
          </w:p>
        </w:tc>
        <w:tc>
          <w:tcPr>
            <w:tcW w:w="534" w:type="pct"/>
            <w:shd w:val="clear" w:color="auto" w:fill="auto"/>
          </w:tcPr>
          <w:p w14:paraId="5E7F15A9" w14:textId="77777777" w:rsidR="006057EF" w:rsidRPr="007506B0" w:rsidRDefault="000836A2" w:rsidP="00C4253A">
            <w:pPr>
              <w:pStyle w:val="TableText"/>
            </w:pPr>
            <w:r w:rsidRPr="007506B0">
              <w:t>LC50</w:t>
            </w:r>
          </w:p>
        </w:tc>
        <w:tc>
          <w:tcPr>
            <w:tcW w:w="611" w:type="pct"/>
            <w:shd w:val="clear" w:color="auto" w:fill="auto"/>
          </w:tcPr>
          <w:p w14:paraId="5E7F15AA" w14:textId="77777777" w:rsidR="006057EF" w:rsidRPr="007506B0" w:rsidRDefault="000836A2" w:rsidP="00C4253A">
            <w:pPr>
              <w:pStyle w:val="TableText"/>
            </w:pPr>
            <w:r w:rsidRPr="007506B0">
              <w:t>6.9</w:t>
            </w:r>
          </w:p>
        </w:tc>
        <w:tc>
          <w:tcPr>
            <w:tcW w:w="668" w:type="pct"/>
            <w:shd w:val="clear" w:color="auto" w:fill="auto"/>
          </w:tcPr>
          <w:p w14:paraId="5E7F15AB" w14:textId="77777777" w:rsidR="006057EF" w:rsidRPr="007506B0" w:rsidRDefault="000836A2" w:rsidP="00C4253A">
            <w:pPr>
              <w:pStyle w:val="TableText"/>
            </w:pPr>
            <w:r w:rsidRPr="007506B0">
              <w:t>0.69</w:t>
            </w:r>
            <w:r>
              <w:t xml:space="preserve"> </w:t>
            </w:r>
            <w:r w:rsidRPr="00846C9A">
              <w:rPr>
                <w:rStyle w:val="Strong"/>
                <w:vertAlign w:val="superscript"/>
              </w:rPr>
              <w:t>c</w:t>
            </w:r>
          </w:p>
        </w:tc>
      </w:tr>
      <w:tr w:rsidR="00304BBF" w14:paraId="5E7F15B5" w14:textId="77777777" w:rsidTr="00C4253A">
        <w:trPr>
          <w:cantSplit/>
          <w:trHeight w:val="613"/>
        </w:trPr>
        <w:tc>
          <w:tcPr>
            <w:tcW w:w="764" w:type="pct"/>
            <w:vMerge w:val="restart"/>
            <w:tcBorders>
              <w:bottom w:val="single" w:sz="12" w:space="0" w:color="auto"/>
            </w:tcBorders>
            <w:shd w:val="clear" w:color="auto" w:fill="auto"/>
          </w:tcPr>
          <w:p w14:paraId="5E7F15AD" w14:textId="77777777" w:rsidR="006057EF" w:rsidRPr="007506B0" w:rsidRDefault="000836A2" w:rsidP="00C4253A">
            <w:pPr>
              <w:pStyle w:val="TableText"/>
            </w:pPr>
            <w:r w:rsidRPr="007506B0">
              <w:t>Fish</w:t>
            </w:r>
          </w:p>
        </w:tc>
        <w:tc>
          <w:tcPr>
            <w:tcW w:w="955" w:type="pct"/>
            <w:shd w:val="clear" w:color="auto" w:fill="auto"/>
          </w:tcPr>
          <w:p w14:paraId="5E7F15AE" w14:textId="77777777" w:rsidR="006057EF" w:rsidRPr="00120EF4" w:rsidRDefault="000836A2" w:rsidP="00C4253A">
            <w:pPr>
              <w:pStyle w:val="TableText"/>
              <w:rPr>
                <w:rStyle w:val="Emphasis"/>
              </w:rPr>
            </w:pPr>
            <w:r w:rsidRPr="00120EF4">
              <w:rPr>
                <w:rStyle w:val="Emphasis"/>
              </w:rPr>
              <w:t>Rutilus rutilus capsicus</w:t>
            </w:r>
          </w:p>
        </w:tc>
        <w:tc>
          <w:tcPr>
            <w:tcW w:w="552" w:type="pct"/>
            <w:shd w:val="clear" w:color="auto" w:fill="auto"/>
          </w:tcPr>
          <w:p w14:paraId="5E7F15AF" w14:textId="77777777" w:rsidR="006057EF" w:rsidRPr="007506B0" w:rsidRDefault="000836A2" w:rsidP="00C4253A">
            <w:pPr>
              <w:pStyle w:val="TableText"/>
            </w:pPr>
            <w:r w:rsidRPr="007506B0">
              <w:t>Juveniles</w:t>
            </w:r>
          </w:p>
        </w:tc>
        <w:tc>
          <w:tcPr>
            <w:tcW w:w="473" w:type="pct"/>
            <w:shd w:val="clear" w:color="auto" w:fill="auto"/>
          </w:tcPr>
          <w:p w14:paraId="5E7F15B0" w14:textId="77777777" w:rsidR="006057EF" w:rsidRPr="007506B0" w:rsidRDefault="000836A2" w:rsidP="00C4253A">
            <w:pPr>
              <w:pStyle w:val="TableText"/>
            </w:pPr>
            <w:r w:rsidRPr="007506B0">
              <w:t>96</w:t>
            </w:r>
          </w:p>
        </w:tc>
        <w:tc>
          <w:tcPr>
            <w:tcW w:w="443" w:type="pct"/>
            <w:shd w:val="clear" w:color="auto" w:fill="auto"/>
          </w:tcPr>
          <w:p w14:paraId="5E7F15B1" w14:textId="77777777" w:rsidR="006057EF" w:rsidRPr="007506B0" w:rsidRDefault="000836A2" w:rsidP="00C4253A">
            <w:pPr>
              <w:pStyle w:val="TableText"/>
            </w:pPr>
            <w:r w:rsidRPr="007506B0">
              <w:t>Acute</w:t>
            </w:r>
          </w:p>
        </w:tc>
        <w:tc>
          <w:tcPr>
            <w:tcW w:w="534" w:type="pct"/>
            <w:shd w:val="clear" w:color="auto" w:fill="auto"/>
          </w:tcPr>
          <w:p w14:paraId="5E7F15B2" w14:textId="77777777" w:rsidR="006057EF" w:rsidRPr="007506B0" w:rsidRDefault="000836A2" w:rsidP="00C4253A">
            <w:pPr>
              <w:pStyle w:val="TableText"/>
            </w:pPr>
            <w:r w:rsidRPr="007506B0">
              <w:t>LC50</w:t>
            </w:r>
          </w:p>
        </w:tc>
        <w:tc>
          <w:tcPr>
            <w:tcW w:w="611" w:type="pct"/>
            <w:shd w:val="clear" w:color="auto" w:fill="auto"/>
          </w:tcPr>
          <w:p w14:paraId="5E7F15B3" w14:textId="77777777" w:rsidR="006057EF" w:rsidRPr="007506B0" w:rsidRDefault="000836A2" w:rsidP="00C4253A">
            <w:pPr>
              <w:pStyle w:val="TableText"/>
            </w:pPr>
            <w:r w:rsidRPr="007506B0">
              <w:t>0.627</w:t>
            </w:r>
          </w:p>
        </w:tc>
        <w:tc>
          <w:tcPr>
            <w:tcW w:w="668" w:type="pct"/>
            <w:shd w:val="clear" w:color="auto" w:fill="auto"/>
          </w:tcPr>
          <w:p w14:paraId="5E7F15B4" w14:textId="77777777" w:rsidR="006057EF" w:rsidRPr="007506B0" w:rsidRDefault="000836A2" w:rsidP="00C4253A">
            <w:pPr>
              <w:pStyle w:val="TableText"/>
            </w:pPr>
            <w:r w:rsidRPr="007506B0">
              <w:t>0.063</w:t>
            </w:r>
            <w:r>
              <w:t xml:space="preserve"> </w:t>
            </w:r>
            <w:r w:rsidRPr="00846C9A">
              <w:rPr>
                <w:rStyle w:val="Strong"/>
                <w:vertAlign w:val="superscript"/>
              </w:rPr>
              <w:t>c</w:t>
            </w:r>
          </w:p>
        </w:tc>
      </w:tr>
      <w:tr w:rsidR="00304BBF" w14:paraId="5E7F15BE" w14:textId="77777777" w:rsidTr="00C4253A">
        <w:trPr>
          <w:cantSplit/>
          <w:trHeight w:val="628"/>
        </w:trPr>
        <w:tc>
          <w:tcPr>
            <w:tcW w:w="764" w:type="pct"/>
            <w:vMerge/>
            <w:tcBorders>
              <w:top w:val="nil"/>
              <w:bottom w:val="single" w:sz="12" w:space="0" w:color="auto"/>
            </w:tcBorders>
            <w:shd w:val="clear" w:color="auto" w:fill="auto"/>
          </w:tcPr>
          <w:p w14:paraId="5E7F15B6" w14:textId="77777777" w:rsidR="006057EF" w:rsidRPr="007506B0" w:rsidRDefault="006057EF" w:rsidP="00C4253A">
            <w:pPr>
              <w:pStyle w:val="TableText"/>
            </w:pPr>
          </w:p>
        </w:tc>
        <w:tc>
          <w:tcPr>
            <w:tcW w:w="955" w:type="pct"/>
            <w:shd w:val="clear" w:color="auto" w:fill="auto"/>
          </w:tcPr>
          <w:p w14:paraId="5E7F15B7" w14:textId="77777777" w:rsidR="006057EF" w:rsidRPr="00120EF4" w:rsidRDefault="000836A2" w:rsidP="00C4253A">
            <w:pPr>
              <w:pStyle w:val="TableText"/>
              <w:rPr>
                <w:rStyle w:val="Emphasis"/>
              </w:rPr>
            </w:pPr>
            <w:r w:rsidRPr="00120EF4">
              <w:rPr>
                <w:rStyle w:val="Emphasis"/>
              </w:rPr>
              <w:t>Hypophthalmicthys molitrix</w:t>
            </w:r>
          </w:p>
        </w:tc>
        <w:tc>
          <w:tcPr>
            <w:tcW w:w="552" w:type="pct"/>
            <w:shd w:val="clear" w:color="auto" w:fill="auto"/>
          </w:tcPr>
          <w:p w14:paraId="5E7F15B8" w14:textId="77777777" w:rsidR="006057EF" w:rsidRPr="007506B0" w:rsidRDefault="000836A2" w:rsidP="00C4253A">
            <w:pPr>
              <w:pStyle w:val="TableText"/>
            </w:pPr>
            <w:r w:rsidRPr="007506B0">
              <w:t>Juveniles</w:t>
            </w:r>
          </w:p>
        </w:tc>
        <w:tc>
          <w:tcPr>
            <w:tcW w:w="473" w:type="pct"/>
            <w:shd w:val="clear" w:color="auto" w:fill="auto"/>
          </w:tcPr>
          <w:p w14:paraId="5E7F15B9" w14:textId="77777777" w:rsidR="006057EF" w:rsidRPr="007506B0" w:rsidRDefault="000836A2" w:rsidP="00C4253A">
            <w:pPr>
              <w:pStyle w:val="TableText"/>
            </w:pPr>
            <w:r w:rsidRPr="007506B0">
              <w:t>96</w:t>
            </w:r>
          </w:p>
        </w:tc>
        <w:tc>
          <w:tcPr>
            <w:tcW w:w="443" w:type="pct"/>
            <w:shd w:val="clear" w:color="auto" w:fill="auto"/>
          </w:tcPr>
          <w:p w14:paraId="5E7F15BA" w14:textId="77777777" w:rsidR="006057EF" w:rsidRPr="007506B0" w:rsidRDefault="000836A2" w:rsidP="00C4253A">
            <w:pPr>
              <w:pStyle w:val="TableText"/>
            </w:pPr>
            <w:r w:rsidRPr="007506B0">
              <w:t>Acute</w:t>
            </w:r>
          </w:p>
        </w:tc>
        <w:tc>
          <w:tcPr>
            <w:tcW w:w="534" w:type="pct"/>
            <w:shd w:val="clear" w:color="auto" w:fill="auto"/>
          </w:tcPr>
          <w:p w14:paraId="5E7F15BB" w14:textId="77777777" w:rsidR="006057EF" w:rsidRPr="007506B0" w:rsidRDefault="000836A2" w:rsidP="00C4253A">
            <w:pPr>
              <w:pStyle w:val="TableText"/>
            </w:pPr>
            <w:r w:rsidRPr="007506B0">
              <w:t>LC50</w:t>
            </w:r>
          </w:p>
        </w:tc>
        <w:tc>
          <w:tcPr>
            <w:tcW w:w="611" w:type="pct"/>
            <w:shd w:val="clear" w:color="auto" w:fill="auto"/>
          </w:tcPr>
          <w:p w14:paraId="5E7F15BC" w14:textId="77777777" w:rsidR="006057EF" w:rsidRPr="007506B0" w:rsidRDefault="000836A2" w:rsidP="00C4253A">
            <w:pPr>
              <w:pStyle w:val="TableText"/>
            </w:pPr>
            <w:r w:rsidRPr="007506B0">
              <w:t>0.917</w:t>
            </w:r>
          </w:p>
        </w:tc>
        <w:tc>
          <w:tcPr>
            <w:tcW w:w="668" w:type="pct"/>
            <w:shd w:val="clear" w:color="auto" w:fill="auto"/>
          </w:tcPr>
          <w:p w14:paraId="5E7F15BD" w14:textId="77777777" w:rsidR="006057EF" w:rsidRPr="007506B0" w:rsidRDefault="000836A2" w:rsidP="00C4253A">
            <w:pPr>
              <w:pStyle w:val="TableText"/>
            </w:pPr>
            <w:r w:rsidRPr="007506B0">
              <w:t>0.092</w:t>
            </w:r>
            <w:r>
              <w:t xml:space="preserve"> </w:t>
            </w:r>
            <w:r w:rsidRPr="00846C9A">
              <w:rPr>
                <w:rStyle w:val="Strong"/>
                <w:vertAlign w:val="superscript"/>
              </w:rPr>
              <w:t>c</w:t>
            </w:r>
          </w:p>
        </w:tc>
      </w:tr>
      <w:tr w:rsidR="00304BBF" w14:paraId="5E7F15C7" w14:textId="77777777" w:rsidTr="00C4253A">
        <w:trPr>
          <w:cantSplit/>
          <w:trHeight w:val="343"/>
        </w:trPr>
        <w:tc>
          <w:tcPr>
            <w:tcW w:w="764" w:type="pct"/>
            <w:vMerge/>
            <w:tcBorders>
              <w:top w:val="nil"/>
              <w:bottom w:val="single" w:sz="12" w:space="0" w:color="auto"/>
            </w:tcBorders>
            <w:shd w:val="clear" w:color="auto" w:fill="auto"/>
          </w:tcPr>
          <w:p w14:paraId="5E7F15BF" w14:textId="77777777" w:rsidR="006057EF" w:rsidRPr="007506B0" w:rsidRDefault="006057EF" w:rsidP="00C4253A">
            <w:pPr>
              <w:pStyle w:val="TableText"/>
            </w:pPr>
          </w:p>
        </w:tc>
        <w:tc>
          <w:tcPr>
            <w:tcW w:w="955" w:type="pct"/>
            <w:shd w:val="clear" w:color="auto" w:fill="auto"/>
          </w:tcPr>
          <w:p w14:paraId="5E7F15C0" w14:textId="77777777" w:rsidR="006057EF" w:rsidRPr="00120EF4" w:rsidRDefault="000836A2" w:rsidP="00C4253A">
            <w:pPr>
              <w:pStyle w:val="TableText"/>
              <w:rPr>
                <w:rStyle w:val="Emphasis"/>
              </w:rPr>
            </w:pPr>
            <w:r w:rsidRPr="00120EF4">
              <w:rPr>
                <w:rStyle w:val="Emphasis"/>
              </w:rPr>
              <w:t>Huso huso</w:t>
            </w:r>
          </w:p>
        </w:tc>
        <w:tc>
          <w:tcPr>
            <w:tcW w:w="552" w:type="pct"/>
            <w:shd w:val="clear" w:color="auto" w:fill="auto"/>
          </w:tcPr>
          <w:p w14:paraId="5E7F15C1" w14:textId="77777777" w:rsidR="006057EF" w:rsidRPr="007506B0" w:rsidRDefault="000836A2" w:rsidP="00C4253A">
            <w:pPr>
              <w:pStyle w:val="TableText"/>
            </w:pPr>
            <w:r w:rsidRPr="007506B0">
              <w:t>Juveniles</w:t>
            </w:r>
          </w:p>
        </w:tc>
        <w:tc>
          <w:tcPr>
            <w:tcW w:w="473" w:type="pct"/>
            <w:shd w:val="clear" w:color="auto" w:fill="auto"/>
          </w:tcPr>
          <w:p w14:paraId="5E7F15C2" w14:textId="77777777" w:rsidR="006057EF" w:rsidRPr="007506B0" w:rsidRDefault="000836A2" w:rsidP="00C4253A">
            <w:pPr>
              <w:pStyle w:val="TableText"/>
            </w:pPr>
            <w:r w:rsidRPr="007506B0">
              <w:t>96</w:t>
            </w:r>
          </w:p>
        </w:tc>
        <w:tc>
          <w:tcPr>
            <w:tcW w:w="443" w:type="pct"/>
            <w:shd w:val="clear" w:color="auto" w:fill="auto"/>
          </w:tcPr>
          <w:p w14:paraId="5E7F15C3" w14:textId="77777777" w:rsidR="006057EF" w:rsidRPr="007506B0" w:rsidRDefault="000836A2" w:rsidP="00C4253A">
            <w:pPr>
              <w:pStyle w:val="TableText"/>
            </w:pPr>
            <w:r w:rsidRPr="007506B0">
              <w:t xml:space="preserve">Acute </w:t>
            </w:r>
          </w:p>
        </w:tc>
        <w:tc>
          <w:tcPr>
            <w:tcW w:w="534" w:type="pct"/>
            <w:shd w:val="clear" w:color="auto" w:fill="auto"/>
          </w:tcPr>
          <w:p w14:paraId="5E7F15C4" w14:textId="77777777" w:rsidR="006057EF" w:rsidRPr="007506B0" w:rsidRDefault="000836A2" w:rsidP="00C4253A">
            <w:pPr>
              <w:pStyle w:val="TableText"/>
            </w:pPr>
            <w:r w:rsidRPr="007506B0">
              <w:t>LC50</w:t>
            </w:r>
          </w:p>
        </w:tc>
        <w:tc>
          <w:tcPr>
            <w:tcW w:w="611" w:type="pct"/>
            <w:shd w:val="clear" w:color="auto" w:fill="auto"/>
          </w:tcPr>
          <w:p w14:paraId="5E7F15C5" w14:textId="77777777" w:rsidR="006057EF" w:rsidRPr="007506B0" w:rsidRDefault="000836A2" w:rsidP="00C4253A">
            <w:pPr>
              <w:pStyle w:val="TableText"/>
            </w:pPr>
            <w:r w:rsidRPr="007506B0">
              <w:t>0.952</w:t>
            </w:r>
          </w:p>
        </w:tc>
        <w:tc>
          <w:tcPr>
            <w:tcW w:w="668" w:type="pct"/>
            <w:shd w:val="clear" w:color="auto" w:fill="auto"/>
          </w:tcPr>
          <w:p w14:paraId="5E7F15C6" w14:textId="77777777" w:rsidR="006057EF" w:rsidRPr="007506B0" w:rsidRDefault="000836A2" w:rsidP="00C4253A">
            <w:pPr>
              <w:pStyle w:val="TableText"/>
            </w:pPr>
            <w:r w:rsidRPr="007506B0">
              <w:t>0.095</w:t>
            </w:r>
            <w:r>
              <w:t xml:space="preserve"> </w:t>
            </w:r>
            <w:r w:rsidRPr="00846C9A">
              <w:rPr>
                <w:rStyle w:val="Strong"/>
                <w:vertAlign w:val="superscript"/>
              </w:rPr>
              <w:t>c</w:t>
            </w:r>
          </w:p>
        </w:tc>
      </w:tr>
      <w:tr w:rsidR="00304BBF" w14:paraId="5E7F15D0" w14:textId="77777777" w:rsidTr="00C4253A">
        <w:trPr>
          <w:cantSplit/>
          <w:trHeight w:val="628"/>
        </w:trPr>
        <w:tc>
          <w:tcPr>
            <w:tcW w:w="764" w:type="pct"/>
            <w:vMerge/>
            <w:tcBorders>
              <w:top w:val="nil"/>
              <w:bottom w:val="single" w:sz="12" w:space="0" w:color="auto"/>
            </w:tcBorders>
            <w:shd w:val="clear" w:color="auto" w:fill="auto"/>
          </w:tcPr>
          <w:p w14:paraId="5E7F15C8" w14:textId="77777777" w:rsidR="006057EF" w:rsidRPr="007506B0" w:rsidRDefault="006057EF" w:rsidP="00C4253A">
            <w:pPr>
              <w:pStyle w:val="TableText"/>
            </w:pPr>
          </w:p>
        </w:tc>
        <w:tc>
          <w:tcPr>
            <w:tcW w:w="955" w:type="pct"/>
            <w:tcBorders>
              <w:bottom w:val="single" w:sz="4" w:space="0" w:color="auto"/>
            </w:tcBorders>
            <w:shd w:val="clear" w:color="auto" w:fill="auto"/>
          </w:tcPr>
          <w:p w14:paraId="5E7F15C9" w14:textId="77777777" w:rsidR="006057EF" w:rsidRPr="00120EF4" w:rsidRDefault="000836A2" w:rsidP="00C4253A">
            <w:pPr>
              <w:pStyle w:val="TableText"/>
              <w:rPr>
                <w:rStyle w:val="Emphasis"/>
              </w:rPr>
            </w:pPr>
            <w:r w:rsidRPr="00120EF4">
              <w:rPr>
                <w:rStyle w:val="Emphasis"/>
              </w:rPr>
              <w:t>Oreochromis niloticus</w:t>
            </w:r>
          </w:p>
        </w:tc>
        <w:tc>
          <w:tcPr>
            <w:tcW w:w="552" w:type="pct"/>
            <w:tcBorders>
              <w:bottom w:val="single" w:sz="4" w:space="0" w:color="auto"/>
            </w:tcBorders>
            <w:shd w:val="clear" w:color="auto" w:fill="auto"/>
          </w:tcPr>
          <w:p w14:paraId="5E7F15CA" w14:textId="77777777" w:rsidR="006057EF" w:rsidRPr="007506B0" w:rsidRDefault="000836A2" w:rsidP="00C4253A">
            <w:pPr>
              <w:pStyle w:val="TableText"/>
            </w:pPr>
            <w:r w:rsidRPr="007506B0">
              <w:t>Larvae</w:t>
            </w:r>
          </w:p>
        </w:tc>
        <w:tc>
          <w:tcPr>
            <w:tcW w:w="473" w:type="pct"/>
            <w:tcBorders>
              <w:bottom w:val="single" w:sz="4" w:space="0" w:color="auto"/>
            </w:tcBorders>
            <w:shd w:val="clear" w:color="auto" w:fill="auto"/>
          </w:tcPr>
          <w:p w14:paraId="5E7F15CB" w14:textId="77777777" w:rsidR="006057EF" w:rsidRPr="007506B0" w:rsidRDefault="000836A2" w:rsidP="00C4253A">
            <w:pPr>
              <w:pStyle w:val="TableText"/>
            </w:pPr>
            <w:r w:rsidRPr="007506B0">
              <w:t>96</w:t>
            </w:r>
          </w:p>
        </w:tc>
        <w:tc>
          <w:tcPr>
            <w:tcW w:w="443" w:type="pct"/>
            <w:tcBorders>
              <w:bottom w:val="single" w:sz="4" w:space="0" w:color="auto"/>
            </w:tcBorders>
            <w:shd w:val="clear" w:color="auto" w:fill="auto"/>
          </w:tcPr>
          <w:p w14:paraId="5E7F15CC" w14:textId="77777777" w:rsidR="006057EF" w:rsidRPr="007506B0" w:rsidRDefault="000836A2" w:rsidP="00C4253A">
            <w:pPr>
              <w:pStyle w:val="TableText"/>
            </w:pPr>
            <w:r w:rsidRPr="007506B0">
              <w:t>Acute</w:t>
            </w:r>
          </w:p>
        </w:tc>
        <w:tc>
          <w:tcPr>
            <w:tcW w:w="534" w:type="pct"/>
            <w:tcBorders>
              <w:bottom w:val="single" w:sz="4" w:space="0" w:color="auto"/>
            </w:tcBorders>
            <w:shd w:val="clear" w:color="auto" w:fill="auto"/>
          </w:tcPr>
          <w:p w14:paraId="5E7F15CD" w14:textId="77777777" w:rsidR="006057EF" w:rsidRPr="007506B0" w:rsidRDefault="000836A2" w:rsidP="00C4253A">
            <w:pPr>
              <w:pStyle w:val="TableText"/>
            </w:pPr>
            <w:r w:rsidRPr="007506B0">
              <w:t>LC50</w:t>
            </w:r>
          </w:p>
        </w:tc>
        <w:tc>
          <w:tcPr>
            <w:tcW w:w="611" w:type="pct"/>
            <w:tcBorders>
              <w:bottom w:val="single" w:sz="4" w:space="0" w:color="auto"/>
            </w:tcBorders>
            <w:shd w:val="clear" w:color="auto" w:fill="auto"/>
          </w:tcPr>
          <w:p w14:paraId="5E7F15CE" w14:textId="77777777" w:rsidR="006057EF" w:rsidRPr="007506B0" w:rsidRDefault="000836A2" w:rsidP="00C4253A">
            <w:pPr>
              <w:pStyle w:val="TableText"/>
            </w:pPr>
            <w:r w:rsidRPr="007506B0">
              <w:t>3.42</w:t>
            </w:r>
          </w:p>
        </w:tc>
        <w:tc>
          <w:tcPr>
            <w:tcW w:w="668" w:type="pct"/>
            <w:tcBorders>
              <w:bottom w:val="single" w:sz="4" w:space="0" w:color="auto"/>
            </w:tcBorders>
            <w:shd w:val="clear" w:color="auto" w:fill="auto"/>
          </w:tcPr>
          <w:p w14:paraId="5E7F15CF" w14:textId="77777777" w:rsidR="006057EF" w:rsidRPr="007506B0" w:rsidRDefault="000836A2" w:rsidP="00C4253A">
            <w:pPr>
              <w:pStyle w:val="TableText"/>
            </w:pPr>
            <w:r w:rsidRPr="007506B0">
              <w:t>0.342</w:t>
            </w:r>
            <w:r>
              <w:t xml:space="preserve"> </w:t>
            </w:r>
            <w:r w:rsidRPr="00846C9A">
              <w:rPr>
                <w:rStyle w:val="Strong"/>
                <w:vertAlign w:val="superscript"/>
              </w:rPr>
              <w:t>c</w:t>
            </w:r>
          </w:p>
        </w:tc>
      </w:tr>
      <w:tr w:rsidR="00304BBF" w14:paraId="5E7F15D9" w14:textId="77777777" w:rsidTr="00C4253A">
        <w:trPr>
          <w:cantSplit/>
          <w:trHeight w:val="329"/>
        </w:trPr>
        <w:tc>
          <w:tcPr>
            <w:tcW w:w="764" w:type="pct"/>
            <w:vMerge/>
            <w:tcBorders>
              <w:top w:val="nil"/>
              <w:bottom w:val="single" w:sz="12" w:space="0" w:color="auto"/>
            </w:tcBorders>
            <w:shd w:val="clear" w:color="auto" w:fill="auto"/>
          </w:tcPr>
          <w:p w14:paraId="5E7F15D1" w14:textId="77777777" w:rsidR="006057EF" w:rsidRPr="007506B0" w:rsidRDefault="006057EF" w:rsidP="00C4253A">
            <w:pPr>
              <w:pStyle w:val="TableText"/>
            </w:pPr>
          </w:p>
        </w:tc>
        <w:tc>
          <w:tcPr>
            <w:tcW w:w="955" w:type="pct"/>
            <w:tcBorders>
              <w:bottom w:val="single" w:sz="12" w:space="0" w:color="auto"/>
            </w:tcBorders>
            <w:shd w:val="clear" w:color="auto" w:fill="auto"/>
          </w:tcPr>
          <w:p w14:paraId="5E7F15D2" w14:textId="77777777" w:rsidR="006057EF" w:rsidRPr="00120EF4" w:rsidRDefault="000836A2" w:rsidP="00C4253A">
            <w:pPr>
              <w:pStyle w:val="TableText"/>
              <w:rPr>
                <w:rStyle w:val="Emphasis"/>
              </w:rPr>
            </w:pPr>
            <w:r w:rsidRPr="00120EF4">
              <w:rPr>
                <w:rStyle w:val="Emphasis"/>
              </w:rPr>
              <w:t>Poecilia reticulata</w:t>
            </w:r>
          </w:p>
        </w:tc>
        <w:tc>
          <w:tcPr>
            <w:tcW w:w="552" w:type="pct"/>
            <w:tcBorders>
              <w:bottom w:val="single" w:sz="12" w:space="0" w:color="auto"/>
            </w:tcBorders>
            <w:shd w:val="clear" w:color="auto" w:fill="auto"/>
          </w:tcPr>
          <w:p w14:paraId="5E7F15D3" w14:textId="77777777" w:rsidR="006057EF" w:rsidRPr="007506B0" w:rsidRDefault="000836A2" w:rsidP="00C4253A">
            <w:pPr>
              <w:pStyle w:val="TableText"/>
            </w:pPr>
            <w:r w:rsidRPr="007506B0">
              <w:t>Adults</w:t>
            </w:r>
          </w:p>
        </w:tc>
        <w:tc>
          <w:tcPr>
            <w:tcW w:w="473" w:type="pct"/>
            <w:tcBorders>
              <w:bottom w:val="single" w:sz="12" w:space="0" w:color="auto"/>
            </w:tcBorders>
            <w:shd w:val="clear" w:color="auto" w:fill="auto"/>
          </w:tcPr>
          <w:p w14:paraId="5E7F15D4" w14:textId="77777777" w:rsidR="006057EF" w:rsidRPr="007506B0" w:rsidRDefault="000836A2" w:rsidP="00C4253A">
            <w:pPr>
              <w:pStyle w:val="TableText"/>
            </w:pPr>
            <w:r w:rsidRPr="007506B0">
              <w:t>96</w:t>
            </w:r>
          </w:p>
        </w:tc>
        <w:tc>
          <w:tcPr>
            <w:tcW w:w="443" w:type="pct"/>
            <w:tcBorders>
              <w:bottom w:val="single" w:sz="12" w:space="0" w:color="auto"/>
            </w:tcBorders>
            <w:shd w:val="clear" w:color="auto" w:fill="auto"/>
          </w:tcPr>
          <w:p w14:paraId="5E7F15D5" w14:textId="77777777" w:rsidR="006057EF" w:rsidRPr="007506B0" w:rsidRDefault="000836A2" w:rsidP="00C4253A">
            <w:pPr>
              <w:pStyle w:val="TableText"/>
            </w:pPr>
            <w:r w:rsidRPr="007506B0">
              <w:t>Acute</w:t>
            </w:r>
          </w:p>
        </w:tc>
        <w:tc>
          <w:tcPr>
            <w:tcW w:w="534" w:type="pct"/>
            <w:tcBorders>
              <w:bottom w:val="single" w:sz="12" w:space="0" w:color="auto"/>
            </w:tcBorders>
            <w:shd w:val="clear" w:color="auto" w:fill="auto"/>
          </w:tcPr>
          <w:p w14:paraId="5E7F15D6" w14:textId="77777777" w:rsidR="006057EF" w:rsidRPr="007506B0" w:rsidRDefault="000836A2" w:rsidP="00C4253A">
            <w:pPr>
              <w:pStyle w:val="TableText"/>
            </w:pPr>
            <w:r w:rsidRPr="007506B0">
              <w:t>LC50</w:t>
            </w:r>
          </w:p>
        </w:tc>
        <w:tc>
          <w:tcPr>
            <w:tcW w:w="611" w:type="pct"/>
            <w:tcBorders>
              <w:bottom w:val="single" w:sz="12" w:space="0" w:color="auto"/>
            </w:tcBorders>
            <w:shd w:val="clear" w:color="auto" w:fill="auto"/>
          </w:tcPr>
          <w:p w14:paraId="5E7F15D7" w14:textId="77777777" w:rsidR="006057EF" w:rsidRPr="007506B0" w:rsidRDefault="000836A2" w:rsidP="00C4253A">
            <w:pPr>
              <w:pStyle w:val="TableText"/>
            </w:pPr>
            <w:r w:rsidRPr="007506B0">
              <w:t>9.43</w:t>
            </w:r>
          </w:p>
        </w:tc>
        <w:tc>
          <w:tcPr>
            <w:tcW w:w="668" w:type="pct"/>
            <w:tcBorders>
              <w:bottom w:val="single" w:sz="12" w:space="0" w:color="auto"/>
            </w:tcBorders>
            <w:shd w:val="clear" w:color="auto" w:fill="auto"/>
          </w:tcPr>
          <w:p w14:paraId="5E7F15D8" w14:textId="77777777" w:rsidR="006057EF" w:rsidRPr="007506B0" w:rsidRDefault="000836A2" w:rsidP="00C4253A">
            <w:pPr>
              <w:pStyle w:val="TableText"/>
            </w:pPr>
            <w:r w:rsidRPr="007506B0">
              <w:t>0.943</w:t>
            </w:r>
            <w:r>
              <w:t xml:space="preserve"> </w:t>
            </w:r>
            <w:r w:rsidRPr="00846C9A">
              <w:rPr>
                <w:rStyle w:val="Strong"/>
                <w:vertAlign w:val="superscript"/>
              </w:rPr>
              <w:t>c</w:t>
            </w:r>
          </w:p>
        </w:tc>
      </w:tr>
    </w:tbl>
    <w:p w14:paraId="5E7F15DA" w14:textId="77777777" w:rsidR="006057EF" w:rsidRDefault="000836A2" w:rsidP="006057EF">
      <w:pPr>
        <w:pStyle w:val="FigureTableNoteSource"/>
        <w:rPr>
          <w:rStyle w:val="Strong"/>
        </w:rPr>
      </w:pPr>
      <w:r>
        <w:t xml:space="preserve">Note: Final toxicity </w:t>
      </w:r>
      <w:r w:rsidRPr="00120EF4">
        <w:t>values</w:t>
      </w:r>
      <w:r w:rsidRPr="00996288">
        <w:t xml:space="preserve"> are reported to </w:t>
      </w:r>
      <w:r>
        <w:t>no more than three</w:t>
      </w:r>
      <w:r w:rsidRPr="00996288">
        <w:t xml:space="preserve"> significant figures</w:t>
      </w:r>
      <w:r>
        <w:t>.</w:t>
      </w:r>
    </w:p>
    <w:p w14:paraId="5E7F15DB" w14:textId="77777777" w:rsidR="006057EF" w:rsidRPr="00846C9A" w:rsidRDefault="000836A2" w:rsidP="006057EF">
      <w:pPr>
        <w:pStyle w:val="FigureTableNoteSource"/>
      </w:pPr>
      <w:r w:rsidRPr="00846C9A">
        <w:rPr>
          <w:rStyle w:val="Strong"/>
        </w:rPr>
        <w:t>a</w:t>
      </w:r>
      <w:r w:rsidRPr="00846C9A">
        <w:t xml:space="preserve"> The measure of toxicity being estimated/determined: LC50: median lethal concentration; NOEC: No observed effect concentration</w:t>
      </w:r>
      <w:r>
        <w:t>.</w:t>
      </w:r>
    </w:p>
    <w:p w14:paraId="5E7F15DC" w14:textId="77777777" w:rsidR="006057EF" w:rsidRPr="00846C9A" w:rsidRDefault="000836A2" w:rsidP="006057EF">
      <w:pPr>
        <w:pStyle w:val="FigureTableNoteSource"/>
      </w:pPr>
      <w:r w:rsidRPr="00846C9A">
        <w:rPr>
          <w:rStyle w:val="Strong"/>
        </w:rPr>
        <w:t>b</w:t>
      </w:r>
      <w:r w:rsidRPr="00846C9A">
        <w:t xml:space="preserve"> Actual chronic NOEC.</w:t>
      </w:r>
    </w:p>
    <w:p w14:paraId="5E7F15DD" w14:textId="77777777" w:rsidR="006057EF" w:rsidRPr="00846C9A" w:rsidRDefault="000836A2" w:rsidP="006057EF">
      <w:pPr>
        <w:pStyle w:val="FigureTableNoteSource"/>
      </w:pPr>
      <w:r w:rsidRPr="00846C9A">
        <w:rPr>
          <w:rStyle w:val="Strong"/>
        </w:rPr>
        <w:t>c</w:t>
      </w:r>
      <w:r w:rsidRPr="00846C9A">
        <w:t xml:space="preserve"> Default conversion from acute LC50 to chronic </w:t>
      </w:r>
      <w:r>
        <w:t>negligible effect (NOEC/EC10) concentration</w:t>
      </w:r>
      <w:r w:rsidRPr="00846C9A">
        <w:t>: Acute LC50/1</w:t>
      </w:r>
      <w:r w:rsidRPr="00846C9A">
        <w:t xml:space="preserve">0 = Chronic </w:t>
      </w:r>
      <w:r>
        <w:t>negligible effect concentration</w:t>
      </w:r>
      <w:r w:rsidRPr="00846C9A">
        <w:t>.</w:t>
      </w:r>
    </w:p>
    <w:p w14:paraId="5E7F15DE" w14:textId="77777777" w:rsidR="00A23A1D" w:rsidRPr="00C62C23" w:rsidRDefault="000836A2" w:rsidP="00542F9A">
      <w:r>
        <w:t xml:space="preserve">Toxicity data from studies that reported nominal alpha-cypermethrin concentrations (or did not state whether the test chemical was measured) were </w:t>
      </w:r>
      <w:r w:rsidR="00931CF0">
        <w:t>included</w:t>
      </w:r>
      <w:r>
        <w:t xml:space="preserve"> in the derivation. This was largely because several stud</w:t>
      </w:r>
      <w:r>
        <w:t xml:space="preserve">ies have assessed and reported toxicity at concentrations below current analytical reporting limits (e.g. Kumar et al. </w:t>
      </w:r>
      <w:r w:rsidR="00931CF0">
        <w:t>(</w:t>
      </w:r>
      <w:r>
        <w:t>2010</w:t>
      </w:r>
      <w:r w:rsidR="00931CF0">
        <w:t>)</w:t>
      </w:r>
      <w:r>
        <w:t xml:space="preserve"> for </w:t>
      </w:r>
      <w:r w:rsidRPr="00931CF0">
        <w:rPr>
          <w:rStyle w:val="Emphasis"/>
        </w:rPr>
        <w:t>P. australiensis</w:t>
      </w:r>
      <w:r>
        <w:t xml:space="preserve">, Shen et al. </w:t>
      </w:r>
      <w:r w:rsidR="00931CF0">
        <w:t>(</w:t>
      </w:r>
      <w:r>
        <w:t>2012</w:t>
      </w:r>
      <w:r w:rsidR="00931CF0">
        <w:t>)</w:t>
      </w:r>
      <w:r>
        <w:t xml:space="preserve"> for </w:t>
      </w:r>
      <w:r w:rsidRPr="00931CF0">
        <w:rPr>
          <w:rStyle w:val="Emphasis"/>
        </w:rPr>
        <w:t>C. dubia</w:t>
      </w:r>
      <w:r>
        <w:t xml:space="preserve">), and to exclude them from the derivation would have potentially </w:t>
      </w:r>
      <w:r>
        <w:t>resulted in under-protective DGVs.</w:t>
      </w:r>
    </w:p>
    <w:p w14:paraId="5E7F15DF" w14:textId="77777777" w:rsidR="00542F9A" w:rsidRPr="00190508" w:rsidRDefault="000836A2" w:rsidP="00542F9A">
      <w:r>
        <w:t>W</w:t>
      </w:r>
      <w:r w:rsidRPr="00190508">
        <w:t xml:space="preserve">here only one </w:t>
      </w:r>
      <w:r w:rsidR="008B22E7">
        <w:t>value</w:t>
      </w:r>
      <w:r w:rsidR="008B22E7" w:rsidRPr="00190508">
        <w:t xml:space="preserve"> </w:t>
      </w:r>
      <w:r w:rsidRPr="00190508">
        <w:t xml:space="preserve">was available for a species, that </w:t>
      </w:r>
      <w:r w:rsidR="008B22E7">
        <w:t>value</w:t>
      </w:r>
      <w:r w:rsidR="008B22E7" w:rsidRPr="00190508">
        <w:t xml:space="preserve"> </w:t>
      </w:r>
      <w:r w:rsidRPr="00190508">
        <w:t xml:space="preserve">was used for the calculation of the </w:t>
      </w:r>
      <w:r w:rsidR="009C5B7B">
        <w:t>species sensitivity distribution (</w:t>
      </w:r>
      <w:r w:rsidRPr="00190508">
        <w:t>SSD</w:t>
      </w:r>
      <w:r w:rsidR="009C5B7B">
        <w:t>)</w:t>
      </w:r>
      <w:r w:rsidRPr="00190508">
        <w:t xml:space="preserve">. </w:t>
      </w:r>
      <w:r w:rsidRPr="00DA457B">
        <w:t xml:space="preserve">For species with more than one </w:t>
      </w:r>
      <w:r w:rsidR="008B22E7">
        <w:t>value</w:t>
      </w:r>
      <w:r w:rsidR="008B22E7" w:rsidRPr="00DA457B">
        <w:t xml:space="preserve"> </w:t>
      </w:r>
      <w:r w:rsidRPr="00DA457B">
        <w:t xml:space="preserve">available, </w:t>
      </w:r>
      <w:r>
        <w:t>the data selected for the SSD was in</w:t>
      </w:r>
      <w:r>
        <w:t xml:space="preserve"> accordance to </w:t>
      </w:r>
      <w:r w:rsidRPr="00DA457B">
        <w:t xml:space="preserve">Warne </w:t>
      </w:r>
      <w:r w:rsidRPr="00931CF0">
        <w:t>et al.</w:t>
      </w:r>
      <w:r w:rsidR="00F952B5">
        <w:rPr>
          <w:i/>
        </w:rPr>
        <w:t xml:space="preserve"> </w:t>
      </w:r>
      <w:r w:rsidR="00F952B5">
        <w:t>(</w:t>
      </w:r>
      <w:r w:rsidRPr="00DA457B">
        <w:t>2018</w:t>
      </w:r>
      <w:r w:rsidR="00F952B5">
        <w:t>)</w:t>
      </w:r>
      <w:r w:rsidRPr="00190508">
        <w:t>. Overall</w:t>
      </w:r>
      <w:r>
        <w:t>,</w:t>
      </w:r>
      <w:r w:rsidRPr="00190508">
        <w:t xml:space="preserve"> </w:t>
      </w:r>
      <w:r w:rsidR="00931CF0">
        <w:t>14</w:t>
      </w:r>
      <w:r w:rsidR="00931CF0" w:rsidRPr="00190508">
        <w:t xml:space="preserve"> </w:t>
      </w:r>
      <w:r w:rsidR="00F952B5">
        <w:t>species</w:t>
      </w:r>
      <w:r w:rsidRPr="00190508">
        <w:t xml:space="preserve"> </w:t>
      </w:r>
      <w:r w:rsidR="00C66BF0">
        <w:t xml:space="preserve">from seven taxonomic groups </w:t>
      </w:r>
      <w:r w:rsidRPr="00190508">
        <w:t xml:space="preserve">were considered for the SSD. </w:t>
      </w:r>
      <w:r>
        <w:t xml:space="preserve">These species included: one </w:t>
      </w:r>
      <w:r w:rsidR="00FF1507">
        <w:t xml:space="preserve">cyanobacterium </w:t>
      </w:r>
      <w:r>
        <w:t>(</w:t>
      </w:r>
      <w:r w:rsidR="000B3E00" w:rsidRPr="00786970">
        <w:rPr>
          <w:rStyle w:val="Emphasis"/>
        </w:rPr>
        <w:t xml:space="preserve">A. </w:t>
      </w:r>
      <w:r w:rsidRPr="00786970">
        <w:rPr>
          <w:rStyle w:val="Emphasis"/>
        </w:rPr>
        <w:t>flos-aquae</w:t>
      </w:r>
      <w:r w:rsidR="000B3E00">
        <w:t xml:space="preserve">); </w:t>
      </w:r>
      <w:r>
        <w:t>one diatom (</w:t>
      </w:r>
      <w:r w:rsidR="000B3E00" w:rsidRPr="00786970">
        <w:rPr>
          <w:rStyle w:val="Emphasis"/>
        </w:rPr>
        <w:t xml:space="preserve">N. </w:t>
      </w:r>
      <w:r w:rsidRPr="00786970">
        <w:rPr>
          <w:rStyle w:val="Emphasis"/>
        </w:rPr>
        <w:t>pelliculosa</w:t>
      </w:r>
      <w:r w:rsidR="000B3E00">
        <w:t xml:space="preserve">); </w:t>
      </w:r>
      <w:r>
        <w:t>one macrophyte (</w:t>
      </w:r>
      <w:r w:rsidR="000B3E00" w:rsidRPr="00786970">
        <w:rPr>
          <w:rStyle w:val="Emphasis"/>
        </w:rPr>
        <w:t xml:space="preserve">L. </w:t>
      </w:r>
      <w:r w:rsidRPr="00786970">
        <w:rPr>
          <w:rStyle w:val="Emphasis"/>
        </w:rPr>
        <w:t>gibba</w:t>
      </w:r>
      <w:r w:rsidR="000B3E00">
        <w:t xml:space="preserve">); </w:t>
      </w:r>
      <w:r>
        <w:t xml:space="preserve">one microinvertebrate </w:t>
      </w:r>
      <w:r w:rsidR="009C5B7B">
        <w:t xml:space="preserve">crustacean </w:t>
      </w:r>
      <w:r>
        <w:t>(</w:t>
      </w:r>
      <w:r w:rsidR="000B3E00" w:rsidRPr="00786970">
        <w:rPr>
          <w:rStyle w:val="Emphasis"/>
        </w:rPr>
        <w:t xml:space="preserve">C. </w:t>
      </w:r>
      <w:r w:rsidRPr="00786970">
        <w:rPr>
          <w:rStyle w:val="Emphasis"/>
        </w:rPr>
        <w:t>dubia</w:t>
      </w:r>
      <w:r w:rsidR="000B3E00">
        <w:t xml:space="preserve">); </w:t>
      </w:r>
      <w:r>
        <w:t xml:space="preserve">two macroinvertebrate </w:t>
      </w:r>
      <w:r w:rsidR="009C5B7B">
        <w:t>crustacean</w:t>
      </w:r>
      <w:r w:rsidR="000B3E00">
        <w:t>s</w:t>
      </w:r>
      <w:r w:rsidR="009C5B7B">
        <w:t xml:space="preserve"> </w:t>
      </w:r>
      <w:r>
        <w:t>(</w:t>
      </w:r>
      <w:r w:rsidR="000B3E00" w:rsidRPr="00786970">
        <w:rPr>
          <w:rStyle w:val="Emphasis"/>
        </w:rPr>
        <w:t xml:space="preserve">P. </w:t>
      </w:r>
      <w:r w:rsidRPr="00786970">
        <w:rPr>
          <w:rStyle w:val="Emphasis"/>
        </w:rPr>
        <w:t xml:space="preserve">australiensis </w:t>
      </w:r>
      <w:r>
        <w:t xml:space="preserve">and </w:t>
      </w:r>
      <w:r w:rsidR="000B3E00" w:rsidRPr="00786970">
        <w:rPr>
          <w:rStyle w:val="Emphasis"/>
        </w:rPr>
        <w:t xml:space="preserve">D. </w:t>
      </w:r>
      <w:r w:rsidRPr="00786970">
        <w:rPr>
          <w:rStyle w:val="Emphasis"/>
        </w:rPr>
        <w:t>magna</w:t>
      </w:r>
      <w:r w:rsidR="000B3E00">
        <w:t xml:space="preserve">); </w:t>
      </w:r>
      <w:r>
        <w:t>two insects (</w:t>
      </w:r>
      <w:r w:rsidRPr="00786970">
        <w:rPr>
          <w:rStyle w:val="Emphasis"/>
        </w:rPr>
        <w:t>Culex tritaeniorhynchus</w:t>
      </w:r>
      <w:r>
        <w:t xml:space="preserve"> and </w:t>
      </w:r>
      <w:r w:rsidR="000B3E00" w:rsidRPr="00786970">
        <w:rPr>
          <w:rStyle w:val="Emphasis"/>
        </w:rPr>
        <w:t xml:space="preserve">A. </w:t>
      </w:r>
      <w:r w:rsidRPr="00786970">
        <w:rPr>
          <w:rStyle w:val="Emphasis"/>
        </w:rPr>
        <w:t>sinensis</w:t>
      </w:r>
      <w:r w:rsidR="000B3E00">
        <w:t xml:space="preserve">); </w:t>
      </w:r>
      <w:r>
        <w:t>one amphibian (</w:t>
      </w:r>
      <w:r w:rsidRPr="00786970">
        <w:rPr>
          <w:rStyle w:val="Emphasis"/>
        </w:rPr>
        <w:t>Xenopus laevis</w:t>
      </w:r>
      <w:r>
        <w:t>)</w:t>
      </w:r>
      <w:r w:rsidR="000B3E00">
        <w:t>;</w:t>
      </w:r>
      <w:r>
        <w:t xml:space="preserve"> and five fish (</w:t>
      </w:r>
      <w:r w:rsidRPr="00786970">
        <w:rPr>
          <w:rStyle w:val="Emphasis"/>
        </w:rPr>
        <w:t>Rutilus rutilus caspicus</w:t>
      </w:r>
      <w:r>
        <w:t xml:space="preserve">, </w:t>
      </w:r>
      <w:r w:rsidRPr="00786970">
        <w:rPr>
          <w:rStyle w:val="Emphasis"/>
        </w:rPr>
        <w:t>Hypophthalmicthys molitrix</w:t>
      </w:r>
      <w:r>
        <w:t xml:space="preserve">, </w:t>
      </w:r>
      <w:r w:rsidRPr="00786970">
        <w:rPr>
          <w:rStyle w:val="Emphasis"/>
        </w:rPr>
        <w:t>Huso huso</w:t>
      </w:r>
      <w:r>
        <w:t xml:space="preserve">, </w:t>
      </w:r>
      <w:r w:rsidRPr="00786970">
        <w:rPr>
          <w:rStyle w:val="Emphasis"/>
        </w:rPr>
        <w:t>Oreochromis niloticus</w:t>
      </w:r>
      <w:r>
        <w:t xml:space="preserve"> and </w:t>
      </w:r>
      <w:r w:rsidRPr="00786970">
        <w:rPr>
          <w:rStyle w:val="Emphasis"/>
        </w:rPr>
        <w:t>Poecilia reticulata</w:t>
      </w:r>
      <w:r>
        <w:t xml:space="preserve">). </w:t>
      </w:r>
      <w:r w:rsidR="00C62C23">
        <w:t xml:space="preserve">Of the toxicity data used for these </w:t>
      </w:r>
      <w:r w:rsidR="00D25907">
        <w:t xml:space="preserve">14 </w:t>
      </w:r>
      <w:r w:rsidR="00C62C23">
        <w:t xml:space="preserve">species, five were </w:t>
      </w:r>
      <w:r w:rsidR="004B65E5">
        <w:t xml:space="preserve">from </w:t>
      </w:r>
      <w:r w:rsidR="00C62C23">
        <w:t>chronic exposures</w:t>
      </w:r>
      <w:r w:rsidR="000B3E00">
        <w:t xml:space="preserve"> (reported as NOECs)</w:t>
      </w:r>
      <w:r w:rsidR="00C62C23">
        <w:t xml:space="preserve">, and nine </w:t>
      </w:r>
      <w:r w:rsidR="00D25907">
        <w:t xml:space="preserve">were </w:t>
      </w:r>
      <w:r w:rsidR="004B65E5">
        <w:t>from</w:t>
      </w:r>
      <w:r w:rsidR="00C62C23">
        <w:t xml:space="preserve"> acute exposures. The nine acute </w:t>
      </w:r>
      <w:r w:rsidR="00DF50CF">
        <w:t xml:space="preserve">toxicity values </w:t>
      </w:r>
      <w:r w:rsidR="00C62C23">
        <w:t xml:space="preserve">were all LC50 values </w:t>
      </w:r>
      <w:r w:rsidR="00FF1507">
        <w:t xml:space="preserve">and </w:t>
      </w:r>
      <w:r w:rsidR="00C62C23">
        <w:t xml:space="preserve">were converted to </w:t>
      </w:r>
      <w:r w:rsidR="00DF50CF">
        <w:t xml:space="preserve">estimated </w:t>
      </w:r>
      <w:r w:rsidR="00C62C23">
        <w:t xml:space="preserve">chronic </w:t>
      </w:r>
      <w:r w:rsidR="00C5521D">
        <w:t xml:space="preserve">negligible effect (e.g. NOEC/EC10) </w:t>
      </w:r>
      <w:r w:rsidR="008B22E7">
        <w:t xml:space="preserve">values </w:t>
      </w:r>
      <w:r w:rsidR="00C62C23">
        <w:t>using the default acute</w:t>
      </w:r>
      <w:r w:rsidR="00D25907">
        <w:t>-</w:t>
      </w:r>
      <w:r w:rsidR="00C62C23">
        <w:t>to</w:t>
      </w:r>
      <w:r w:rsidR="00D25907">
        <w:t>-</w:t>
      </w:r>
      <w:r w:rsidR="00C62C23">
        <w:t xml:space="preserve">chronic ratio of </w:t>
      </w:r>
      <w:r w:rsidR="003C5E11">
        <w:t>10</w:t>
      </w:r>
      <w:r w:rsidR="00C62C23">
        <w:t>.</w:t>
      </w:r>
    </w:p>
    <w:p w14:paraId="5E7F15E0" w14:textId="77777777" w:rsidR="00167FF3" w:rsidRDefault="000836A2" w:rsidP="00542F9A">
      <w:pPr>
        <w:spacing w:before="240"/>
        <w:rPr>
          <w:rFonts w:cs="Arial"/>
        </w:rPr>
      </w:pPr>
      <w:r>
        <w:t>M</w:t>
      </w:r>
      <w:r w:rsidRPr="00190508">
        <w:t>odal</w:t>
      </w:r>
      <w:r>
        <w:t xml:space="preserve">ity checks were performed according to the </w:t>
      </w:r>
      <w:r w:rsidRPr="00190508">
        <w:t xml:space="preserve">four questions stipulated in </w:t>
      </w:r>
      <w:r w:rsidRPr="002650E5">
        <w:t>Warne</w:t>
      </w:r>
      <w:r w:rsidRPr="008B22E7">
        <w:t xml:space="preserve"> et al.</w:t>
      </w:r>
      <w:r w:rsidRPr="002650E5">
        <w:t xml:space="preserve"> </w:t>
      </w:r>
      <w:r w:rsidR="00C62C23" w:rsidRPr="002650E5">
        <w:t>(</w:t>
      </w:r>
      <w:r w:rsidRPr="002650E5">
        <w:t>2018</w:t>
      </w:r>
      <w:r w:rsidR="00C62C23">
        <w:t xml:space="preserve">), with the details of the assessment provided in </w:t>
      </w:r>
      <w:r w:rsidR="00AF0F35">
        <w:fldChar w:fldCharType="begin"/>
      </w:r>
      <w:r w:rsidR="00AF0F35">
        <w:instrText xml:space="preserve"> REF _Ref50628967 \h </w:instrText>
      </w:r>
      <w:r w:rsidR="00AF0F35">
        <w:fldChar w:fldCharType="separate"/>
      </w:r>
      <w:r w:rsidR="00CC51D9">
        <w:t>Appendix </w:t>
      </w:r>
      <w:r w:rsidR="00CC51D9" w:rsidRPr="000C7ECF">
        <w:t xml:space="preserve">B: </w:t>
      </w:r>
      <w:r w:rsidR="00CC51D9">
        <w:t>Modality assessment for alpha-cypermethrin</w:t>
      </w:r>
      <w:r w:rsidR="00AF0F35">
        <w:fldChar w:fldCharType="end"/>
      </w:r>
      <w:r w:rsidR="003C5E11">
        <w:t>.</w:t>
      </w:r>
      <w:r w:rsidR="004D64F0">
        <w:t xml:space="preserve"> </w:t>
      </w:r>
      <w:r w:rsidR="004D64F0">
        <w:rPr>
          <w:rFonts w:cs="Arial"/>
        </w:rPr>
        <w:t>The weight of evidence assessment concluded that the dataset did not exhibit bi</w:t>
      </w:r>
      <w:r w:rsidR="00D25907">
        <w:rPr>
          <w:rFonts w:cs="Arial"/>
        </w:rPr>
        <w:t>modality</w:t>
      </w:r>
      <w:r w:rsidR="004D64F0">
        <w:rPr>
          <w:rFonts w:cs="Arial"/>
        </w:rPr>
        <w:t xml:space="preserve"> or multimodality and, hence, supported use of the data for </w:t>
      </w:r>
      <w:r w:rsidR="00D25907">
        <w:rPr>
          <w:rFonts w:cs="Arial"/>
        </w:rPr>
        <w:t xml:space="preserve">the </w:t>
      </w:r>
      <w:r w:rsidR="004D64F0">
        <w:rPr>
          <w:rFonts w:cs="Arial"/>
        </w:rPr>
        <w:t>14 species for derivation of the DGVs.</w:t>
      </w:r>
    </w:p>
    <w:p w14:paraId="5E7F15E1" w14:textId="77777777" w:rsidR="00167FF3" w:rsidRDefault="000836A2" w:rsidP="00167FF3">
      <w:pPr>
        <w:pStyle w:val="Heading3"/>
      </w:pPr>
      <w:bookmarkStart w:id="16" w:name="_Toc56073293"/>
      <w:r>
        <w:t>S</w:t>
      </w:r>
      <w:r>
        <w:t>pecies sensitivity distribution</w:t>
      </w:r>
      <w:bookmarkEnd w:id="16"/>
    </w:p>
    <w:p w14:paraId="5E7F15E2" w14:textId="77777777" w:rsidR="00167FF3" w:rsidRDefault="000836A2" w:rsidP="00167FF3">
      <w:pPr>
        <w:spacing w:after="120"/>
      </w:pPr>
      <w:r w:rsidRPr="00F34FF6">
        <w:t>The cumulative frequency (species sensitivity) distribution</w:t>
      </w:r>
      <w:r>
        <w:t xml:space="preserve"> (SSD)</w:t>
      </w:r>
      <w:r w:rsidRPr="00F34FF6">
        <w:t xml:space="preserve"> of </w:t>
      </w:r>
      <w:r w:rsidRPr="000E0E28">
        <w:t xml:space="preserve">the </w:t>
      </w:r>
      <w:r>
        <w:t>14</w:t>
      </w:r>
      <w:r w:rsidRPr="000E0E28">
        <w:t xml:space="preserve"> </w:t>
      </w:r>
      <w:r w:rsidRPr="00AC0187">
        <w:t>chronic</w:t>
      </w:r>
      <w:r>
        <w:t xml:space="preserve"> and converted acute</w:t>
      </w:r>
      <w:r w:rsidRPr="000E0E28">
        <w:t xml:space="preserve"> </w:t>
      </w:r>
      <w:r>
        <w:t>alpha-cypermethrin</w:t>
      </w:r>
      <w:r w:rsidRPr="000E0E28">
        <w:t xml:space="preserve"> toxicity</w:t>
      </w:r>
      <w:r w:rsidRPr="00F34FF6">
        <w:t xml:space="preserve"> data reported in </w:t>
      </w:r>
      <w:r w:rsidR="00B36E5A">
        <w:fldChar w:fldCharType="begin"/>
      </w:r>
      <w:r w:rsidR="00B36E5A">
        <w:instrText xml:space="preserve"> REF _Ref50628758 \h </w:instrText>
      </w:r>
      <w:r w:rsidR="00B36E5A">
        <w:fldChar w:fldCharType="separate"/>
      </w:r>
      <w:r w:rsidR="00CC51D9">
        <w:t>Table </w:t>
      </w:r>
      <w:r w:rsidR="00CC51D9">
        <w:rPr>
          <w:noProof/>
        </w:rPr>
        <w:t>1</w:t>
      </w:r>
      <w:r w:rsidR="00B36E5A">
        <w:fldChar w:fldCharType="end"/>
      </w:r>
      <w:r w:rsidRPr="00F34FF6">
        <w:t xml:space="preserve"> is shown in </w:t>
      </w:r>
      <w:r w:rsidR="008F0AB1">
        <w:fldChar w:fldCharType="begin"/>
      </w:r>
      <w:r w:rsidR="008F0AB1">
        <w:instrText xml:space="preserve"> REF _Ref50628358 \h </w:instrText>
      </w:r>
      <w:r w:rsidR="008F0AB1">
        <w:fldChar w:fldCharType="separate"/>
      </w:r>
      <w:r w:rsidR="00CC51D9">
        <w:t>Figure </w:t>
      </w:r>
      <w:r w:rsidR="00CC51D9">
        <w:rPr>
          <w:noProof/>
        </w:rPr>
        <w:t>1</w:t>
      </w:r>
      <w:r w:rsidR="008F0AB1">
        <w:fldChar w:fldCharType="end"/>
      </w:r>
      <w:r w:rsidRPr="00F34FF6">
        <w:t>.</w:t>
      </w:r>
      <w:r>
        <w:t xml:space="preserve"> </w:t>
      </w:r>
      <w:r w:rsidR="00404915" w:rsidRPr="00404915">
        <w:t>The SSD was plotted using the Burrlioz 2.0 software.</w:t>
      </w:r>
      <w:r w:rsidR="00404915">
        <w:t xml:space="preserve"> </w:t>
      </w:r>
      <w:r>
        <w:rPr>
          <w:bCs/>
        </w:rPr>
        <w:t>The model was judged to provide a good fit to the data (</w:t>
      </w:r>
      <w:r w:rsidR="008F0AB1">
        <w:rPr>
          <w:bCs/>
        </w:rPr>
        <w:fldChar w:fldCharType="begin"/>
      </w:r>
      <w:r w:rsidR="008F0AB1">
        <w:rPr>
          <w:bCs/>
        </w:rPr>
        <w:instrText xml:space="preserve"> REF _Ref50628358 \h </w:instrText>
      </w:r>
      <w:r w:rsidR="008F0AB1">
        <w:rPr>
          <w:bCs/>
        </w:rPr>
      </w:r>
      <w:r w:rsidR="008F0AB1">
        <w:rPr>
          <w:bCs/>
        </w:rPr>
        <w:fldChar w:fldCharType="separate"/>
      </w:r>
      <w:r w:rsidR="00CC51D9">
        <w:t>Figure </w:t>
      </w:r>
      <w:r w:rsidR="00CC51D9">
        <w:rPr>
          <w:noProof/>
        </w:rPr>
        <w:t>1</w:t>
      </w:r>
      <w:r w:rsidR="008F0AB1">
        <w:rPr>
          <w:bCs/>
        </w:rPr>
        <w:fldChar w:fldCharType="end"/>
      </w:r>
      <w:r>
        <w:rPr>
          <w:bCs/>
        </w:rPr>
        <w:fldChar w:fldCharType="begin"/>
      </w:r>
      <w:r>
        <w:rPr>
          <w:bCs/>
        </w:rPr>
        <w:instrText xml:space="preserve"> REF _Ref6321769 \h </w:instrText>
      </w:r>
      <w:r>
        <w:rPr>
          <w:bCs/>
        </w:rPr>
      </w:r>
      <w:r>
        <w:rPr>
          <w:bCs/>
        </w:rPr>
        <w:fldChar w:fldCharType="separate"/>
      </w:r>
      <w:r w:rsidR="00CC51D9">
        <w:rPr>
          <w:b/>
          <w:lang w:val="en-US"/>
        </w:rPr>
        <w:t>Error! Reference source not found.</w:t>
      </w:r>
      <w:r>
        <w:rPr>
          <w:bCs/>
        </w:rPr>
        <w:fldChar w:fldCharType="end"/>
      </w:r>
      <w:r>
        <w:rPr>
          <w:bCs/>
        </w:rPr>
        <w:t>).</w:t>
      </w:r>
      <w:r w:rsidRPr="003413B2">
        <w:t xml:space="preserve"> </w:t>
      </w:r>
    </w:p>
    <w:p w14:paraId="5E7F15E3" w14:textId="77777777" w:rsidR="0059409D" w:rsidRPr="003B6184" w:rsidRDefault="0059409D" w:rsidP="00167FF3">
      <w:pPr>
        <w:spacing w:after="120"/>
        <w:rPr>
          <w:bCs/>
        </w:rPr>
      </w:pPr>
    </w:p>
    <w:p w14:paraId="5E7F15E4" w14:textId="77777777" w:rsidR="00167FF3" w:rsidRDefault="000836A2" w:rsidP="00167FF3">
      <w:pPr>
        <w:rPr>
          <w:lang w:bidi="en-US"/>
        </w:rPr>
      </w:pPr>
      <w:r>
        <w:rPr>
          <w:rFonts w:ascii="Myriad Pro" w:hAnsi="Myriad Pro"/>
          <w:b/>
          <w:noProof/>
          <w:sz w:val="18"/>
          <w:szCs w:val="18"/>
          <w:lang w:eastAsia="en-AU"/>
        </w:rPr>
        <w:drawing>
          <wp:inline distT="0" distB="0" distL="0" distR="0" wp14:anchorId="5E7F173A" wp14:editId="5E7F173B">
            <wp:extent cx="4060209" cy="3643953"/>
            <wp:effectExtent l="0" t="0" r="0" b="0"/>
            <wp:docPr id="8" name="Picture 8" descr="Figure is a species sensitivity distribution (SSD) that shows 14 species that are potentially affected by concentrations of alpha-cypermethrin (nanogram per litre). Acute LC50 (converted to chronic NOEC/EC10) data and chronic NOEC data are shown." title="Species sensitivity distribution, alpha-cypermethrin in freshwa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041934" name="Picture 8"/>
                    <pic:cNvPicPr/>
                  </pic:nvPicPr>
                  <pic:blipFill>
                    <a:blip r:embed="rId24">
                      <a:extLst>
                        <a:ext uri="{28A0092B-C50C-407E-A947-70E740481C1C}">
                          <a14:useLocalDpi xmlns:a14="http://schemas.microsoft.com/office/drawing/2010/main" val="0"/>
                        </a:ext>
                      </a:extLst>
                    </a:blip>
                    <a:srcRect t="12091" r="5854" b="3416"/>
                    <a:stretch>
                      <a:fillRect/>
                    </a:stretch>
                  </pic:blipFill>
                  <pic:spPr bwMode="auto">
                    <a:xfrm>
                      <a:off x="0" y="0"/>
                      <a:ext cx="4067088" cy="3650127"/>
                    </a:xfrm>
                    <a:prstGeom prst="rect">
                      <a:avLst/>
                    </a:prstGeom>
                    <a:ln>
                      <a:noFill/>
                    </a:ln>
                    <a:extLst>
                      <a:ext uri="{53640926-AAD7-44D8-BBD7-CCE9431645EC}">
                        <a14:shadowObscured xmlns:a14="http://schemas.microsoft.com/office/drawing/2010/main"/>
                      </a:ext>
                    </a:extLst>
                  </pic:spPr>
                </pic:pic>
              </a:graphicData>
            </a:graphic>
          </wp:inline>
        </w:drawing>
      </w:r>
    </w:p>
    <w:p w14:paraId="5E7F15E5" w14:textId="77777777" w:rsidR="00404915" w:rsidRDefault="000836A2" w:rsidP="006A5670">
      <w:pPr>
        <w:pStyle w:val="FigureTableNoteSource"/>
        <w:rPr>
          <w:lang w:bidi="en-US"/>
        </w:rPr>
      </w:pPr>
      <w:r>
        <w:rPr>
          <w:lang w:bidi="en-US"/>
        </w:rPr>
        <w:t>Note:</w:t>
      </w:r>
      <w:r w:rsidRPr="00404915">
        <w:rPr>
          <w:lang w:bidi="en-US"/>
        </w:rPr>
        <w:t xml:space="preserve"> </w:t>
      </w:r>
      <w:r w:rsidR="006A5670" w:rsidRPr="00404915">
        <w:rPr>
          <w:lang w:bidi="en-US"/>
        </w:rPr>
        <w:t xml:space="preserve">Units </w:t>
      </w:r>
      <w:r w:rsidR="006A5670">
        <w:rPr>
          <w:lang w:bidi="en-US"/>
        </w:rPr>
        <w:t xml:space="preserve">on the SSD </w:t>
      </w:r>
      <w:r w:rsidRPr="00404915">
        <w:rPr>
          <w:lang w:bidi="en-US"/>
        </w:rPr>
        <w:t xml:space="preserve">are </w:t>
      </w:r>
      <w:r w:rsidR="006A5670">
        <w:rPr>
          <w:lang w:bidi="en-US"/>
        </w:rPr>
        <w:t>ng/L;</w:t>
      </w:r>
      <w:r w:rsidRPr="00404915">
        <w:rPr>
          <w:lang w:bidi="en-US"/>
        </w:rPr>
        <w:t xml:space="preserve"> elsewhere in th</w:t>
      </w:r>
      <w:r w:rsidR="006A5670">
        <w:rPr>
          <w:lang w:bidi="en-US"/>
        </w:rPr>
        <w:t>is technical</w:t>
      </w:r>
      <w:r w:rsidRPr="00404915">
        <w:rPr>
          <w:lang w:bidi="en-US"/>
        </w:rPr>
        <w:t xml:space="preserve"> brief they are presented as µg/L.</w:t>
      </w:r>
    </w:p>
    <w:p w14:paraId="5E7F15E6" w14:textId="77777777" w:rsidR="00DF3898" w:rsidRDefault="000836A2" w:rsidP="008F0AB1">
      <w:pPr>
        <w:pStyle w:val="Caption"/>
        <w:rPr>
          <w:rStyle w:val="FigurecaptionChar"/>
          <w:rFonts w:asciiTheme="minorHAnsi" w:eastAsiaTheme="majorEastAsia" w:hAnsiTheme="minorHAnsi" w:cstheme="majorBidi"/>
          <w:sz w:val="22"/>
          <w:lang w:bidi="ar-SA"/>
        </w:rPr>
      </w:pPr>
      <w:bookmarkStart w:id="17" w:name="_Ref50628358"/>
      <w:bookmarkStart w:id="18" w:name="_Toc4497481"/>
      <w:bookmarkStart w:id="19" w:name="_Toc6322405"/>
      <w:bookmarkStart w:id="20" w:name="_Toc56073300"/>
      <w:r>
        <w:t>Figure </w:t>
      </w:r>
      <w:fldSimple w:instr=" SEQ Figure \* ARABIC ">
        <w:r w:rsidR="00CC51D9">
          <w:rPr>
            <w:noProof/>
          </w:rPr>
          <w:t>1</w:t>
        </w:r>
      </w:fldSimple>
      <w:bookmarkEnd w:id="17"/>
      <w:r w:rsidR="00414A32" w:rsidRPr="00846C9A">
        <w:t xml:space="preserve"> </w:t>
      </w:r>
      <w:bookmarkEnd w:id="18"/>
      <w:bookmarkEnd w:id="19"/>
      <w:r w:rsidR="00404915">
        <w:t>Species sensitivity distribution, alpha-cypermethrin in freshwater</w:t>
      </w:r>
      <w:bookmarkEnd w:id="20"/>
      <w:r w:rsidR="00414A32" w:rsidRPr="00846C9A">
        <w:rPr>
          <w:rStyle w:val="FigurecaptionChar"/>
          <w:rFonts w:asciiTheme="minorHAnsi" w:eastAsiaTheme="majorEastAsia" w:hAnsiTheme="minorHAnsi" w:cstheme="majorBidi"/>
          <w:sz w:val="22"/>
          <w:lang w:bidi="ar-SA"/>
        </w:rPr>
        <w:t xml:space="preserve"> </w:t>
      </w:r>
    </w:p>
    <w:p w14:paraId="5E7F15E7" w14:textId="77777777" w:rsidR="0059409D" w:rsidRPr="0059409D" w:rsidRDefault="0059409D" w:rsidP="0059409D"/>
    <w:p w14:paraId="5E7F15E8" w14:textId="77777777" w:rsidR="001303C0" w:rsidRDefault="000836A2" w:rsidP="001303C0">
      <w:pPr>
        <w:pStyle w:val="Heading3"/>
      </w:pPr>
      <w:bookmarkStart w:id="21" w:name="_Ref50628634"/>
      <w:bookmarkStart w:id="22" w:name="_Toc56073294"/>
      <w:r>
        <w:t>Default guideline values</w:t>
      </w:r>
      <w:bookmarkEnd w:id="21"/>
      <w:bookmarkEnd w:id="22"/>
    </w:p>
    <w:p w14:paraId="5E7F15E9" w14:textId="77777777" w:rsidR="001303C0" w:rsidRDefault="000836A2" w:rsidP="001303C0">
      <w:r w:rsidRPr="009D54BA">
        <w:t xml:space="preserve">It is important that the DGVs </w:t>
      </w:r>
      <w:r w:rsidR="009D54BA" w:rsidRPr="009D54BA">
        <w:t>(</w:t>
      </w:r>
      <w:r w:rsidR="00B36E5A">
        <w:fldChar w:fldCharType="begin"/>
      </w:r>
      <w:r w:rsidR="00B36E5A">
        <w:instrText xml:space="preserve"> REF _Ref50628801 \h </w:instrText>
      </w:r>
      <w:r w:rsidR="00B36E5A">
        <w:fldChar w:fldCharType="separate"/>
      </w:r>
      <w:r w:rsidR="00CC51D9">
        <w:t>Table </w:t>
      </w:r>
      <w:r w:rsidR="00CC51D9">
        <w:rPr>
          <w:noProof/>
        </w:rPr>
        <w:t>2</w:t>
      </w:r>
      <w:r w:rsidR="00B36E5A">
        <w:fldChar w:fldCharType="end"/>
      </w:r>
      <w:r w:rsidR="009D54BA" w:rsidRPr="009D54BA">
        <w:t xml:space="preserve">) </w:t>
      </w:r>
      <w:r w:rsidRPr="009D54BA">
        <w:t xml:space="preserve">and associated information in this technical brief are used in accordance with the detailed guidance provided in the Australian and New Zealand Guidelines for Fresh and Marine Water Quality </w:t>
      </w:r>
      <w:hyperlink r:id="rId25" w:history="1">
        <w:r w:rsidRPr="007311A8">
          <w:rPr>
            <w:rStyle w:val="Hyperlink"/>
          </w:rPr>
          <w:t>website</w:t>
        </w:r>
      </w:hyperlink>
      <w:r w:rsidR="00E02F1A" w:rsidRPr="00C35989">
        <w:rPr>
          <w:color w:val="000000" w:themeColor="text1"/>
        </w:rPr>
        <w:t xml:space="preserve"> (ANZG 2018)</w:t>
      </w:r>
      <w:r w:rsidRPr="00C35989">
        <w:rPr>
          <w:color w:val="000000" w:themeColor="text1"/>
        </w:rPr>
        <w:t xml:space="preserve">. </w:t>
      </w:r>
    </w:p>
    <w:p w14:paraId="5E7F15EA" w14:textId="77777777" w:rsidR="009359C8" w:rsidRDefault="000836A2" w:rsidP="009359C8">
      <w:pPr>
        <w:rPr>
          <w:rFonts w:cs="Arial"/>
        </w:rPr>
      </w:pPr>
      <w:r>
        <w:rPr>
          <w:bCs/>
        </w:rPr>
        <w:t xml:space="preserve">The </w:t>
      </w:r>
      <w:r w:rsidR="00375B3B">
        <w:rPr>
          <w:bCs/>
        </w:rPr>
        <w:t xml:space="preserve">alpha-cypermethrin </w:t>
      </w:r>
      <w:r>
        <w:rPr>
          <w:bCs/>
        </w:rPr>
        <w:t>DGVs for 99</w:t>
      </w:r>
      <w:r w:rsidR="0089046E">
        <w:rPr>
          <w:bCs/>
        </w:rPr>
        <w:t>%</w:t>
      </w:r>
      <w:r>
        <w:rPr>
          <w:bCs/>
        </w:rPr>
        <w:t>, 95</w:t>
      </w:r>
      <w:r w:rsidR="0089046E">
        <w:rPr>
          <w:bCs/>
        </w:rPr>
        <w:t>%</w:t>
      </w:r>
      <w:r>
        <w:rPr>
          <w:bCs/>
        </w:rPr>
        <w:t>, 90</w:t>
      </w:r>
      <w:r w:rsidR="0089046E">
        <w:rPr>
          <w:bCs/>
        </w:rPr>
        <w:t>%</w:t>
      </w:r>
      <w:r>
        <w:rPr>
          <w:bCs/>
        </w:rPr>
        <w:t xml:space="preserve"> and 80% species protection are shown in </w:t>
      </w:r>
      <w:r w:rsidR="00B36E5A">
        <w:rPr>
          <w:bCs/>
        </w:rPr>
        <w:fldChar w:fldCharType="begin"/>
      </w:r>
      <w:r w:rsidR="00B36E5A">
        <w:rPr>
          <w:bCs/>
        </w:rPr>
        <w:instrText xml:space="preserve"> REF _Ref50628801 \h </w:instrText>
      </w:r>
      <w:r w:rsidR="00B36E5A">
        <w:rPr>
          <w:bCs/>
        </w:rPr>
      </w:r>
      <w:r w:rsidR="00B36E5A">
        <w:rPr>
          <w:bCs/>
        </w:rPr>
        <w:fldChar w:fldCharType="separate"/>
      </w:r>
      <w:r w:rsidR="00CC51D9">
        <w:t>Table </w:t>
      </w:r>
      <w:r w:rsidR="00CC51D9">
        <w:rPr>
          <w:noProof/>
        </w:rPr>
        <w:t>2</w:t>
      </w:r>
      <w:r w:rsidR="00B36E5A">
        <w:rPr>
          <w:bCs/>
        </w:rPr>
        <w:fldChar w:fldCharType="end"/>
      </w:r>
      <w:r>
        <w:rPr>
          <w:bCs/>
        </w:rPr>
        <w:t xml:space="preserve">. The 95% species protection </w:t>
      </w:r>
      <w:r w:rsidR="00DD7301">
        <w:rPr>
          <w:bCs/>
        </w:rPr>
        <w:t xml:space="preserve">DGV </w:t>
      </w:r>
      <w:r>
        <w:rPr>
          <w:bCs/>
        </w:rPr>
        <w:t xml:space="preserve">of </w:t>
      </w:r>
      <w:r w:rsidR="00375B3B">
        <w:rPr>
          <w:bCs/>
        </w:rPr>
        <w:t>0.006</w:t>
      </w:r>
      <w:r w:rsidR="00051B2F">
        <w:rPr>
          <w:bCs/>
        </w:rPr>
        <w:t> </w:t>
      </w:r>
      <w:r>
        <w:rPr>
          <w:rFonts w:cstheme="minorHAnsi"/>
          <w:bCs/>
        </w:rPr>
        <w:t>µ</w:t>
      </w:r>
      <w:r>
        <w:rPr>
          <w:bCs/>
        </w:rPr>
        <w:t>g/L is recommended for application for slightly</w:t>
      </w:r>
      <w:r w:rsidR="00051B2F">
        <w:rPr>
          <w:bCs/>
        </w:rPr>
        <w:t>-</w:t>
      </w:r>
      <w:r>
        <w:rPr>
          <w:bCs/>
        </w:rPr>
        <w:t>to</w:t>
      </w:r>
      <w:r w:rsidR="00051B2F">
        <w:rPr>
          <w:bCs/>
        </w:rPr>
        <w:t>-</w:t>
      </w:r>
      <w:r>
        <w:rPr>
          <w:bCs/>
        </w:rPr>
        <w:t>moderate</w:t>
      </w:r>
      <w:r w:rsidR="00051B2F">
        <w:rPr>
          <w:bCs/>
        </w:rPr>
        <w:t>ly</w:t>
      </w:r>
      <w:r>
        <w:rPr>
          <w:bCs/>
        </w:rPr>
        <w:t xml:space="preserve"> disturbed ecosystems. </w:t>
      </w:r>
      <w:r>
        <w:rPr>
          <w:rFonts w:cs="Arial"/>
        </w:rPr>
        <w:t xml:space="preserve">It is important to note that the DGVs are below current analytical limits of reporting </w:t>
      </w:r>
      <w:r w:rsidR="00FB7890">
        <w:rPr>
          <w:rFonts w:cs="Arial"/>
        </w:rPr>
        <w:t>for alpha-</w:t>
      </w:r>
      <w:r w:rsidR="008642C8">
        <w:rPr>
          <w:rFonts w:cs="Arial"/>
        </w:rPr>
        <w:t>cypermethrin</w:t>
      </w:r>
      <w:r w:rsidR="00FB7890">
        <w:rPr>
          <w:rFonts w:cs="Arial"/>
        </w:rPr>
        <w:t xml:space="preserve"> </w:t>
      </w:r>
      <w:r w:rsidR="00051B2F">
        <w:rPr>
          <w:rFonts w:cs="Arial"/>
        </w:rPr>
        <w:t>(i.e.</w:t>
      </w:r>
      <w:r>
        <w:rPr>
          <w:rFonts w:cs="Arial"/>
        </w:rPr>
        <w:t xml:space="preserve"> 0.2</w:t>
      </w:r>
      <w:r w:rsidR="00051B2F">
        <w:rPr>
          <w:rFonts w:cs="Arial"/>
        </w:rPr>
        <w:t>–</w:t>
      </w:r>
      <w:r>
        <w:rPr>
          <w:rFonts w:cs="Arial"/>
        </w:rPr>
        <w:t>0.5</w:t>
      </w:r>
      <w:r w:rsidR="00051B2F">
        <w:rPr>
          <w:rFonts w:cs="Arial"/>
        </w:rPr>
        <w:t> </w:t>
      </w:r>
      <w:r>
        <w:rPr>
          <w:rFonts w:cstheme="minorHAnsi"/>
        </w:rPr>
        <w:t>µ</w:t>
      </w:r>
      <w:r>
        <w:rPr>
          <w:rFonts w:cs="Arial"/>
        </w:rPr>
        <w:t>g/L</w:t>
      </w:r>
      <w:r w:rsidR="00051B2F">
        <w:rPr>
          <w:rFonts w:cs="Arial"/>
        </w:rPr>
        <w:t>)</w:t>
      </w:r>
      <w:r>
        <w:rPr>
          <w:rFonts w:cs="Arial"/>
        </w:rPr>
        <w:t>.</w:t>
      </w:r>
      <w:r w:rsidR="00E02F1A">
        <w:rPr>
          <w:rFonts w:cs="Arial"/>
        </w:rPr>
        <w:t xml:space="preserve"> </w:t>
      </w:r>
      <w:r w:rsidR="00427D86">
        <w:rPr>
          <w:rFonts w:cs="Arial"/>
        </w:rPr>
        <w:t xml:space="preserve">However, the available toxicity data indicate that toxic effects can occur below the current limits of reporting. </w:t>
      </w:r>
      <w:r w:rsidR="00E02F1A">
        <w:rPr>
          <w:rFonts w:cs="Arial"/>
        </w:rPr>
        <w:t>ANZG (2018</w:t>
      </w:r>
      <w:r w:rsidR="00051B2F">
        <w:rPr>
          <w:rFonts w:cs="Arial"/>
        </w:rPr>
        <w:t>)</w:t>
      </w:r>
      <w:r w:rsidR="00E02F1A">
        <w:rPr>
          <w:rFonts w:cs="Arial"/>
        </w:rPr>
        <w:t xml:space="preserve"> provides guidance on what to do </w:t>
      </w:r>
      <w:r w:rsidR="00051B2F">
        <w:rPr>
          <w:rFonts w:cs="Arial"/>
        </w:rPr>
        <w:t>if</w:t>
      </w:r>
      <w:r w:rsidR="00E02F1A">
        <w:rPr>
          <w:rFonts w:cs="Arial"/>
        </w:rPr>
        <w:t xml:space="preserve"> </w:t>
      </w:r>
      <w:r w:rsidR="004A5480">
        <w:rPr>
          <w:rFonts w:cs="Arial"/>
        </w:rPr>
        <w:t>DGVs</w:t>
      </w:r>
      <w:r w:rsidR="00E02F1A">
        <w:rPr>
          <w:rFonts w:cs="Arial"/>
        </w:rPr>
        <w:t xml:space="preserve"> are below analytical detection limits</w:t>
      </w:r>
      <w:r w:rsidR="00051B2F">
        <w:rPr>
          <w:rFonts w:cs="Arial"/>
        </w:rPr>
        <w:t xml:space="preserve"> (see </w:t>
      </w:r>
      <w:hyperlink r:id="rId26" w:anchor="default-guideline-values-and-analytical-detection-limits" w:history="1">
        <w:r w:rsidR="00051B2F" w:rsidRPr="00547C40">
          <w:rPr>
            <w:rStyle w:val="Hyperlink"/>
            <w:rFonts w:cs="Arial"/>
          </w:rPr>
          <w:t>Accounting for local conditions</w:t>
        </w:r>
      </w:hyperlink>
      <w:r w:rsidR="00051B2F">
        <w:rPr>
          <w:rFonts w:cs="Arial"/>
        </w:rPr>
        <w:t>)</w:t>
      </w:r>
      <w:r w:rsidR="00E02F1A">
        <w:rPr>
          <w:rFonts w:cs="Arial"/>
        </w:rPr>
        <w:t>.</w:t>
      </w:r>
      <w:r w:rsidR="00427D86">
        <w:rPr>
          <w:rFonts w:cs="Arial"/>
        </w:rPr>
        <w:t xml:space="preserve"> </w:t>
      </w:r>
    </w:p>
    <w:p w14:paraId="5E7F15EB" w14:textId="77777777" w:rsidR="0059409D" w:rsidRDefault="000836A2" w:rsidP="0059409D">
      <w:pPr>
        <w:pStyle w:val="Caption"/>
      </w:pPr>
      <w:bookmarkStart w:id="23" w:name="_Ref50628801"/>
      <w:bookmarkStart w:id="24" w:name="_Toc56073302"/>
      <w:r>
        <w:t>Table </w:t>
      </w:r>
      <w:fldSimple w:instr=" SEQ Table \* ARABIC ">
        <w:r w:rsidR="00CC51D9">
          <w:rPr>
            <w:noProof/>
          </w:rPr>
          <w:t>2</w:t>
        </w:r>
      </w:fldSimple>
      <w:bookmarkEnd w:id="23"/>
      <w:r>
        <w:t xml:space="preserve"> </w:t>
      </w:r>
      <w:r w:rsidRPr="00520F65">
        <w:rPr>
          <w:noProof/>
        </w:rPr>
        <w:t xml:space="preserve">Toxicant default guideline values, </w:t>
      </w:r>
      <w:r>
        <w:rPr>
          <w:noProof/>
        </w:rPr>
        <w:t>alpha-cypermethrin</w:t>
      </w:r>
      <w:r w:rsidRPr="00520F65">
        <w:rPr>
          <w:noProof/>
        </w:rPr>
        <w:t xml:space="preserve"> in freshwater, moderate reliability</w:t>
      </w:r>
      <w:bookmarkEnd w:id="2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oxicant default guideline values, alpha-cypermethrin in freshwater, moderate reliability"/>
        <w:tblDescription w:val="Table shows the guideline values for a range of protection levels for alpha-cypermethrin in freshwater. The four levels of species protection are 99, 95, 90 and 80%. The corresponding default guideline values are 0.001, 0.006, 0.013 and 0.037 (microgram per litre), respectively."/>
      </w:tblPr>
      <w:tblGrid>
        <w:gridCol w:w="4535"/>
        <w:gridCol w:w="4535"/>
      </w:tblGrid>
      <w:tr w:rsidR="00304BBF" w14:paraId="5E7F15EE" w14:textId="77777777" w:rsidTr="00C4253A">
        <w:trPr>
          <w:cantSplit/>
          <w:tblHeader/>
        </w:trPr>
        <w:tc>
          <w:tcPr>
            <w:tcW w:w="2500" w:type="pct"/>
            <w:tcBorders>
              <w:top w:val="single" w:sz="12" w:space="0" w:color="auto"/>
              <w:bottom w:val="single" w:sz="12" w:space="0" w:color="auto"/>
            </w:tcBorders>
          </w:tcPr>
          <w:p w14:paraId="5E7F15EC" w14:textId="77777777" w:rsidR="0059409D" w:rsidRPr="00295D89" w:rsidRDefault="000836A2" w:rsidP="00C4253A">
            <w:pPr>
              <w:pStyle w:val="TableHeading"/>
            </w:pPr>
            <w:r>
              <w:t>Level of</w:t>
            </w:r>
            <w:r w:rsidRPr="00295D89">
              <w:t xml:space="preserve"> species protection (%)</w:t>
            </w:r>
          </w:p>
        </w:tc>
        <w:tc>
          <w:tcPr>
            <w:tcW w:w="2500" w:type="pct"/>
            <w:tcBorders>
              <w:top w:val="single" w:sz="12" w:space="0" w:color="auto"/>
              <w:bottom w:val="single" w:sz="12" w:space="0" w:color="auto"/>
            </w:tcBorders>
          </w:tcPr>
          <w:p w14:paraId="5E7F15ED" w14:textId="77777777" w:rsidR="0059409D" w:rsidRPr="00295D89" w:rsidRDefault="000836A2" w:rsidP="00C4253A">
            <w:pPr>
              <w:pStyle w:val="TableHeading"/>
              <w:jc w:val="right"/>
            </w:pPr>
            <w:r w:rsidRPr="00295D89">
              <w:t>D</w:t>
            </w:r>
            <w:r>
              <w:t>GV for alpha-cypermethrin in freshwater</w:t>
            </w:r>
            <w:r w:rsidRPr="00295D89">
              <w:t xml:space="preserve"> (</w:t>
            </w:r>
            <w:r w:rsidRPr="00C3671C">
              <w:rPr>
                <w:rFonts w:ascii="Symbol" w:hAnsi="Symbol"/>
                <w:bCs/>
              </w:rPr>
              <w:sym w:font="Symbol" w:char="F06D"/>
            </w:r>
            <w:r w:rsidRPr="00295D89">
              <w:t>g/L)</w:t>
            </w:r>
            <w:r w:rsidRPr="0059409D">
              <w:rPr>
                <w:vertAlign w:val="superscript"/>
              </w:rPr>
              <w:t>a</w:t>
            </w:r>
          </w:p>
        </w:tc>
      </w:tr>
      <w:tr w:rsidR="00304BBF" w14:paraId="5E7F15F1" w14:textId="77777777" w:rsidTr="00C4253A">
        <w:trPr>
          <w:cantSplit/>
          <w:trHeight w:val="284"/>
        </w:trPr>
        <w:tc>
          <w:tcPr>
            <w:tcW w:w="2500" w:type="pct"/>
            <w:tcBorders>
              <w:top w:val="single" w:sz="12" w:space="0" w:color="auto"/>
              <w:bottom w:val="single" w:sz="4" w:space="0" w:color="auto"/>
            </w:tcBorders>
          </w:tcPr>
          <w:p w14:paraId="5E7F15EF" w14:textId="77777777" w:rsidR="0059409D" w:rsidRPr="00295D89" w:rsidRDefault="000836A2" w:rsidP="00C4253A">
            <w:pPr>
              <w:pStyle w:val="TableText"/>
              <w:ind w:firstLine="459"/>
            </w:pPr>
            <w:r w:rsidRPr="00295D89">
              <w:t>99</w:t>
            </w:r>
          </w:p>
        </w:tc>
        <w:tc>
          <w:tcPr>
            <w:tcW w:w="2500" w:type="pct"/>
            <w:tcBorders>
              <w:top w:val="single" w:sz="12" w:space="0" w:color="auto"/>
              <w:bottom w:val="single" w:sz="4" w:space="0" w:color="auto"/>
            </w:tcBorders>
          </w:tcPr>
          <w:p w14:paraId="5E7F15F0" w14:textId="77777777" w:rsidR="0059409D" w:rsidRPr="00295D89" w:rsidRDefault="000836A2" w:rsidP="00C4253A">
            <w:pPr>
              <w:pStyle w:val="TableText"/>
              <w:ind w:right="457"/>
              <w:jc w:val="right"/>
            </w:pPr>
            <w:r>
              <w:t>0.001</w:t>
            </w:r>
          </w:p>
        </w:tc>
      </w:tr>
      <w:tr w:rsidR="00304BBF" w14:paraId="5E7F15F4" w14:textId="77777777" w:rsidTr="00C4253A">
        <w:trPr>
          <w:cantSplit/>
          <w:trHeight w:val="284"/>
        </w:trPr>
        <w:tc>
          <w:tcPr>
            <w:tcW w:w="2500" w:type="pct"/>
            <w:tcBorders>
              <w:top w:val="single" w:sz="4" w:space="0" w:color="auto"/>
              <w:bottom w:val="single" w:sz="4" w:space="0" w:color="auto"/>
            </w:tcBorders>
          </w:tcPr>
          <w:p w14:paraId="5E7F15F2" w14:textId="77777777" w:rsidR="0059409D" w:rsidRPr="00295D89" w:rsidRDefault="000836A2" w:rsidP="00C4253A">
            <w:pPr>
              <w:pStyle w:val="TableText"/>
              <w:ind w:firstLine="459"/>
            </w:pPr>
            <w:r w:rsidRPr="00295D89">
              <w:t>95</w:t>
            </w:r>
          </w:p>
        </w:tc>
        <w:tc>
          <w:tcPr>
            <w:tcW w:w="2500" w:type="pct"/>
            <w:tcBorders>
              <w:top w:val="single" w:sz="4" w:space="0" w:color="auto"/>
              <w:bottom w:val="single" w:sz="4" w:space="0" w:color="auto"/>
            </w:tcBorders>
          </w:tcPr>
          <w:p w14:paraId="5E7F15F3" w14:textId="77777777" w:rsidR="0059409D" w:rsidRPr="00295D89" w:rsidRDefault="000836A2" w:rsidP="00C4253A">
            <w:pPr>
              <w:pStyle w:val="TableText"/>
              <w:ind w:right="457"/>
              <w:jc w:val="right"/>
            </w:pPr>
            <w:r>
              <w:t>0.006</w:t>
            </w:r>
          </w:p>
        </w:tc>
      </w:tr>
      <w:tr w:rsidR="00304BBF" w14:paraId="5E7F15F7" w14:textId="77777777" w:rsidTr="00C4253A">
        <w:trPr>
          <w:cantSplit/>
          <w:trHeight w:val="284"/>
        </w:trPr>
        <w:tc>
          <w:tcPr>
            <w:tcW w:w="2500" w:type="pct"/>
            <w:tcBorders>
              <w:top w:val="single" w:sz="4" w:space="0" w:color="auto"/>
              <w:bottom w:val="single" w:sz="4" w:space="0" w:color="auto"/>
            </w:tcBorders>
          </w:tcPr>
          <w:p w14:paraId="5E7F15F5" w14:textId="77777777" w:rsidR="0059409D" w:rsidRPr="00295D89" w:rsidRDefault="000836A2" w:rsidP="00C4253A">
            <w:pPr>
              <w:pStyle w:val="TableText"/>
              <w:ind w:firstLine="459"/>
            </w:pPr>
            <w:r w:rsidRPr="00295D89">
              <w:t>90</w:t>
            </w:r>
          </w:p>
        </w:tc>
        <w:tc>
          <w:tcPr>
            <w:tcW w:w="2500" w:type="pct"/>
            <w:tcBorders>
              <w:top w:val="single" w:sz="4" w:space="0" w:color="auto"/>
              <w:bottom w:val="single" w:sz="4" w:space="0" w:color="auto"/>
            </w:tcBorders>
          </w:tcPr>
          <w:p w14:paraId="5E7F15F6" w14:textId="77777777" w:rsidR="0059409D" w:rsidRPr="00295D89" w:rsidRDefault="000836A2" w:rsidP="00C4253A">
            <w:pPr>
              <w:pStyle w:val="TableText"/>
              <w:ind w:right="457"/>
              <w:jc w:val="right"/>
            </w:pPr>
            <w:r>
              <w:t>0.013</w:t>
            </w:r>
          </w:p>
        </w:tc>
      </w:tr>
      <w:tr w:rsidR="00304BBF" w14:paraId="5E7F15FA" w14:textId="77777777" w:rsidTr="00C4253A">
        <w:trPr>
          <w:cantSplit/>
          <w:trHeight w:val="284"/>
        </w:trPr>
        <w:tc>
          <w:tcPr>
            <w:tcW w:w="2500" w:type="pct"/>
            <w:tcBorders>
              <w:top w:val="single" w:sz="4" w:space="0" w:color="auto"/>
              <w:bottom w:val="single" w:sz="12" w:space="0" w:color="auto"/>
            </w:tcBorders>
          </w:tcPr>
          <w:p w14:paraId="5E7F15F8" w14:textId="77777777" w:rsidR="0059409D" w:rsidRPr="00295D89" w:rsidRDefault="000836A2" w:rsidP="00C4253A">
            <w:pPr>
              <w:pStyle w:val="TableText"/>
              <w:ind w:firstLine="459"/>
            </w:pPr>
            <w:r w:rsidRPr="00295D89">
              <w:t>80</w:t>
            </w:r>
          </w:p>
        </w:tc>
        <w:tc>
          <w:tcPr>
            <w:tcW w:w="2500" w:type="pct"/>
            <w:tcBorders>
              <w:top w:val="single" w:sz="4" w:space="0" w:color="auto"/>
              <w:bottom w:val="single" w:sz="12" w:space="0" w:color="auto"/>
            </w:tcBorders>
          </w:tcPr>
          <w:p w14:paraId="5E7F15F9" w14:textId="77777777" w:rsidR="0059409D" w:rsidRPr="00295D89" w:rsidRDefault="000836A2" w:rsidP="00C4253A">
            <w:pPr>
              <w:pStyle w:val="TableText"/>
              <w:ind w:right="457"/>
              <w:jc w:val="right"/>
            </w:pPr>
            <w:r>
              <w:t>0.037</w:t>
            </w:r>
          </w:p>
        </w:tc>
      </w:tr>
    </w:tbl>
    <w:p w14:paraId="5E7F15FB" w14:textId="77777777" w:rsidR="0059409D" w:rsidRDefault="000836A2" w:rsidP="0059409D">
      <w:pPr>
        <w:rPr>
          <w:rFonts w:cs="Arial"/>
        </w:rPr>
      </w:pPr>
      <w:r w:rsidRPr="003B13B6">
        <w:rPr>
          <w:rStyle w:val="Strong"/>
          <w:sz w:val="16"/>
          <w:szCs w:val="16"/>
        </w:rPr>
        <w:t>a</w:t>
      </w:r>
      <w:r w:rsidRPr="00396EEE">
        <w:rPr>
          <w:rStyle w:val="Strong"/>
        </w:rPr>
        <w:t xml:space="preserve"> </w:t>
      </w:r>
      <w:r w:rsidRPr="00357CE9">
        <w:rPr>
          <w:rStyle w:val="Strong"/>
          <w:b w:val="0"/>
          <w:bCs w:val="0"/>
          <w:sz w:val="16"/>
          <w:szCs w:val="16"/>
        </w:rPr>
        <w:t xml:space="preserve">The </w:t>
      </w:r>
      <w:r w:rsidRPr="00357CE9">
        <w:rPr>
          <w:rStyle w:val="FigurecaptionChar"/>
          <w:rFonts w:asciiTheme="minorHAnsi" w:hAnsiTheme="minorHAnsi"/>
          <w:sz w:val="16"/>
          <w:szCs w:val="16"/>
        </w:rPr>
        <w:t xml:space="preserve">DGVs were derived </w:t>
      </w:r>
      <w:r w:rsidRPr="00357CE9">
        <w:rPr>
          <w:rFonts w:cstheme="minorHAnsi"/>
          <w:sz w:val="16"/>
          <w:szCs w:val="16"/>
        </w:rPr>
        <w:t xml:space="preserve">using </w:t>
      </w:r>
      <w:r w:rsidRPr="00357CE9">
        <w:rPr>
          <w:sz w:val="16"/>
          <w:szCs w:val="16"/>
        </w:rPr>
        <w:t xml:space="preserve">the </w:t>
      </w:r>
      <w:r w:rsidRPr="006A0DD2">
        <w:rPr>
          <w:sz w:val="16"/>
          <w:szCs w:val="16"/>
        </w:rPr>
        <w:t xml:space="preserve">Burrlioz 2.0 software </w:t>
      </w:r>
      <w:r>
        <w:rPr>
          <w:sz w:val="16"/>
          <w:szCs w:val="16"/>
        </w:rPr>
        <w:t>and</w:t>
      </w:r>
      <w:r w:rsidRPr="003559D7">
        <w:rPr>
          <w:sz w:val="16"/>
          <w:szCs w:val="16"/>
        </w:rPr>
        <w:t xml:space="preserve"> rounded</w:t>
      </w:r>
      <w:r>
        <w:rPr>
          <w:sz w:val="16"/>
          <w:szCs w:val="16"/>
        </w:rPr>
        <w:t xml:space="preserve"> to</w:t>
      </w:r>
      <w:r w:rsidR="00706184">
        <w:rPr>
          <w:sz w:val="16"/>
          <w:szCs w:val="16"/>
        </w:rPr>
        <w:t xml:space="preserve"> either </w:t>
      </w:r>
      <w:r>
        <w:rPr>
          <w:sz w:val="16"/>
          <w:szCs w:val="16"/>
        </w:rPr>
        <w:t>one or two significant figures.</w:t>
      </w:r>
    </w:p>
    <w:p w14:paraId="5E7F15FC" w14:textId="77777777" w:rsidR="0098705C" w:rsidRPr="007506B0" w:rsidRDefault="000836A2" w:rsidP="0098705C">
      <w:pPr>
        <w:rPr>
          <w:rFonts w:cs="Arial"/>
        </w:rPr>
      </w:pPr>
      <w:r w:rsidRPr="001C4E7A">
        <w:rPr>
          <w:rFonts w:cs="Arial"/>
        </w:rPr>
        <w:t>Given that routine pesticide analyses cannot discriminate between the two isomers that make up alpha-cypermethrin from the other six isomers of cypermethrin, it is recommended that the cypermethrin concentration of the sample, which represents the sum of a</w:t>
      </w:r>
      <w:r w:rsidRPr="001C4E7A">
        <w:rPr>
          <w:rFonts w:cs="Arial"/>
        </w:rPr>
        <w:t xml:space="preserve">ll isomers, is compared with the alpha-cypermethrin DGVs. If the cypermethrin concentration exceeds the relevant DGV, further investigation </w:t>
      </w:r>
      <w:r w:rsidR="00484668">
        <w:rPr>
          <w:rFonts w:cs="Arial"/>
        </w:rPr>
        <w:t>is</w:t>
      </w:r>
      <w:r w:rsidRPr="001C4E7A">
        <w:rPr>
          <w:rFonts w:cs="Arial"/>
        </w:rPr>
        <w:t xml:space="preserve"> required, which could include a more complex analysis </w:t>
      </w:r>
      <w:r>
        <w:rPr>
          <w:rFonts w:cs="Arial"/>
        </w:rPr>
        <w:t xml:space="preserve">specific </w:t>
      </w:r>
      <w:r w:rsidR="00484668">
        <w:rPr>
          <w:rFonts w:cs="Arial"/>
        </w:rPr>
        <w:t xml:space="preserve">to </w:t>
      </w:r>
      <w:r w:rsidRPr="001C4E7A">
        <w:rPr>
          <w:rFonts w:cs="Arial"/>
        </w:rPr>
        <w:t>alpha-cypermethrin.</w:t>
      </w:r>
      <w:r>
        <w:rPr>
          <w:rFonts w:cs="Arial"/>
        </w:rPr>
        <w:t xml:space="preserve"> </w:t>
      </w:r>
    </w:p>
    <w:p w14:paraId="5E7F15FD" w14:textId="77777777" w:rsidR="0098705C" w:rsidRDefault="000836A2" w:rsidP="00375B3B">
      <w:pPr>
        <w:rPr>
          <w:rFonts w:cs="Arial"/>
        </w:rPr>
      </w:pPr>
      <w:r>
        <w:rPr>
          <w:rFonts w:cs="Arial"/>
        </w:rPr>
        <w:t xml:space="preserve">The DGVs were compared to the raw chronic toxicity data compiled from the literature review </w:t>
      </w:r>
      <w:r>
        <w:t xml:space="preserve">(i.e. 11 chronic values for five species). </w:t>
      </w:r>
      <w:r>
        <w:rPr>
          <w:rFonts w:cs="Arial"/>
        </w:rPr>
        <w:t>This check confirmed that the theoretical protection offered by the DGVs is expected to be adequate.</w:t>
      </w:r>
    </w:p>
    <w:p w14:paraId="5E7F15FE" w14:textId="77777777" w:rsidR="001303C0" w:rsidRDefault="000836A2" w:rsidP="001303C0">
      <w:pPr>
        <w:pStyle w:val="Heading3"/>
      </w:pPr>
      <w:bookmarkStart w:id="25" w:name="_Toc56073295"/>
      <w:r>
        <w:t>Reliability classifi</w:t>
      </w:r>
      <w:r>
        <w:t>cation</w:t>
      </w:r>
      <w:bookmarkEnd w:id="25"/>
      <w:r>
        <w:t xml:space="preserve"> </w:t>
      </w:r>
    </w:p>
    <w:p w14:paraId="5E7F15FF" w14:textId="77777777" w:rsidR="001303C0" w:rsidRDefault="000836A2" w:rsidP="001303C0">
      <w:pPr>
        <w:rPr>
          <w:lang w:eastAsia="ja-JP"/>
        </w:rPr>
      </w:pPr>
      <w:r>
        <w:rPr>
          <w:lang w:eastAsia="ja-JP"/>
        </w:rPr>
        <w:t xml:space="preserve">The </w:t>
      </w:r>
      <w:r w:rsidR="00923ACD">
        <w:rPr>
          <w:lang w:eastAsia="ja-JP"/>
        </w:rPr>
        <w:t>alpha-cypermethrin</w:t>
      </w:r>
      <w:r>
        <w:rPr>
          <w:lang w:eastAsia="ja-JP"/>
        </w:rPr>
        <w:t xml:space="preserve"> freshwater DGVs have a moderate reliability classification (Warne et al. 2018) based on the outcomes for the following three criteria:</w:t>
      </w:r>
    </w:p>
    <w:p w14:paraId="5E7F1600" w14:textId="77777777" w:rsidR="001303C0" w:rsidRPr="00583D6D" w:rsidRDefault="000836A2" w:rsidP="001303C0">
      <w:pPr>
        <w:pStyle w:val="ListBullet"/>
        <w:rPr>
          <w:lang w:eastAsia="ja-JP"/>
        </w:rPr>
      </w:pPr>
      <w:r w:rsidRPr="00583D6D">
        <w:rPr>
          <w:lang w:eastAsia="ja-JP"/>
        </w:rPr>
        <w:t>Sample size—1</w:t>
      </w:r>
      <w:r w:rsidR="00F43CCC">
        <w:rPr>
          <w:lang w:eastAsia="ja-JP"/>
        </w:rPr>
        <w:t>4</w:t>
      </w:r>
      <w:r>
        <w:rPr>
          <w:lang w:eastAsia="ja-JP"/>
        </w:rPr>
        <w:t xml:space="preserve"> (good)</w:t>
      </w:r>
    </w:p>
    <w:p w14:paraId="5E7F1601" w14:textId="77777777" w:rsidR="001303C0" w:rsidRPr="00583D6D" w:rsidRDefault="000836A2" w:rsidP="001303C0">
      <w:pPr>
        <w:pStyle w:val="ListBullet"/>
        <w:rPr>
          <w:lang w:eastAsia="ja-JP"/>
        </w:rPr>
      </w:pPr>
      <w:r w:rsidRPr="00583D6D">
        <w:rPr>
          <w:lang w:eastAsia="ja-JP"/>
        </w:rPr>
        <w:t xml:space="preserve">Type of toxicity data—chronic </w:t>
      </w:r>
      <w:r w:rsidR="00F43CCC">
        <w:rPr>
          <w:lang w:eastAsia="ja-JP"/>
        </w:rPr>
        <w:t>and converted acute data</w:t>
      </w:r>
    </w:p>
    <w:p w14:paraId="5E7F1602" w14:textId="77777777" w:rsidR="001303C0" w:rsidRDefault="000836A2" w:rsidP="001303C0">
      <w:pPr>
        <w:pStyle w:val="ListBullet"/>
        <w:rPr>
          <w:lang w:eastAsia="ja-JP"/>
        </w:rPr>
      </w:pPr>
      <w:r w:rsidRPr="00583D6D">
        <w:rPr>
          <w:lang w:eastAsia="ja-JP"/>
        </w:rPr>
        <w:t>SSD model fit</w:t>
      </w:r>
      <w:r w:rsidRPr="00583D6D">
        <w:rPr>
          <w:lang w:eastAsia="ja-JP"/>
        </w:rPr>
        <w:t>—</w:t>
      </w:r>
      <w:r w:rsidR="00F43CCC">
        <w:rPr>
          <w:lang w:eastAsia="ja-JP"/>
        </w:rPr>
        <w:t>good</w:t>
      </w:r>
      <w:r w:rsidRPr="00583D6D">
        <w:rPr>
          <w:lang w:eastAsia="ja-JP"/>
        </w:rPr>
        <w:t xml:space="preserve"> (</w:t>
      </w:r>
      <w:r w:rsidR="00235417">
        <w:rPr>
          <w:lang w:eastAsia="ja-JP"/>
        </w:rPr>
        <w:t>Burr Type III</w:t>
      </w:r>
      <w:r w:rsidRPr="00583D6D">
        <w:rPr>
          <w:lang w:eastAsia="ja-JP"/>
        </w:rPr>
        <w:t xml:space="preserve"> model).</w:t>
      </w:r>
    </w:p>
    <w:p w14:paraId="5E7F1603" w14:textId="77777777" w:rsidR="00846C9A" w:rsidRDefault="000836A2">
      <w:pPr>
        <w:spacing w:after="0" w:line="240" w:lineRule="auto"/>
        <w:rPr>
          <w:lang w:eastAsia="ja-JP"/>
        </w:rPr>
      </w:pPr>
      <w:r>
        <w:rPr>
          <w:lang w:eastAsia="ja-JP"/>
        </w:rPr>
        <w:br w:type="page"/>
      </w:r>
    </w:p>
    <w:p w14:paraId="5E7F1604" w14:textId="77777777" w:rsidR="000756BD" w:rsidRDefault="000836A2" w:rsidP="001303C0">
      <w:pPr>
        <w:pStyle w:val="Heading2"/>
        <w:numPr>
          <w:ilvl w:val="0"/>
          <w:numId w:val="0"/>
        </w:numPr>
      </w:pPr>
      <w:bookmarkStart w:id="26" w:name="_Toc56073296"/>
      <w:r>
        <w:t>Glossary</w:t>
      </w:r>
      <w:bookmarkEnd w:id="26"/>
    </w:p>
    <w:tbl>
      <w:tblPr>
        <w:tblW w:w="5000" w:type="pct"/>
        <w:tblBorders>
          <w:top w:val="single" w:sz="4" w:space="0" w:color="auto"/>
          <w:bottom w:val="single" w:sz="4" w:space="0" w:color="auto"/>
        </w:tblBorders>
        <w:tblLook w:val="04A0" w:firstRow="1" w:lastRow="0" w:firstColumn="1" w:lastColumn="0" w:noHBand="0" w:noVBand="1"/>
      </w:tblPr>
      <w:tblGrid>
        <w:gridCol w:w="2737"/>
        <w:gridCol w:w="6333"/>
      </w:tblGrid>
      <w:tr w:rsidR="00304BBF" w14:paraId="5E7F1607" w14:textId="77777777" w:rsidTr="00846C9A">
        <w:trPr>
          <w:cantSplit/>
          <w:tblHeader/>
        </w:trPr>
        <w:tc>
          <w:tcPr>
            <w:tcW w:w="1509" w:type="pct"/>
            <w:tcBorders>
              <w:top w:val="single" w:sz="12" w:space="0" w:color="auto"/>
              <w:bottom w:val="single" w:sz="12" w:space="0" w:color="auto"/>
            </w:tcBorders>
          </w:tcPr>
          <w:p w14:paraId="5E7F1605" w14:textId="77777777" w:rsidR="001303C0" w:rsidRPr="00585FD8" w:rsidRDefault="000836A2" w:rsidP="007336AC">
            <w:pPr>
              <w:pStyle w:val="TableHeading"/>
              <w:rPr>
                <w:lang w:eastAsia="ja-JP"/>
              </w:rPr>
            </w:pPr>
            <w:r w:rsidRPr="00585FD8">
              <w:rPr>
                <w:lang w:eastAsia="ja-JP"/>
              </w:rPr>
              <w:t>Term</w:t>
            </w:r>
          </w:p>
        </w:tc>
        <w:tc>
          <w:tcPr>
            <w:tcW w:w="3491" w:type="pct"/>
            <w:tcBorders>
              <w:top w:val="single" w:sz="12" w:space="0" w:color="auto"/>
              <w:bottom w:val="single" w:sz="12" w:space="0" w:color="auto"/>
            </w:tcBorders>
          </w:tcPr>
          <w:p w14:paraId="5E7F1606" w14:textId="77777777" w:rsidR="001303C0" w:rsidRPr="00585FD8" w:rsidRDefault="000836A2" w:rsidP="007336AC">
            <w:pPr>
              <w:pStyle w:val="TableHeading"/>
              <w:rPr>
                <w:lang w:eastAsia="ja-JP"/>
              </w:rPr>
            </w:pPr>
            <w:r w:rsidRPr="00585FD8">
              <w:rPr>
                <w:lang w:eastAsia="ja-JP"/>
              </w:rPr>
              <w:t>Definition</w:t>
            </w:r>
          </w:p>
        </w:tc>
      </w:tr>
      <w:tr w:rsidR="00304BBF" w14:paraId="5E7F160A" w14:textId="77777777" w:rsidTr="00846C9A">
        <w:trPr>
          <w:cantSplit/>
        </w:trPr>
        <w:tc>
          <w:tcPr>
            <w:tcW w:w="1509" w:type="pct"/>
            <w:tcBorders>
              <w:top w:val="single" w:sz="12" w:space="0" w:color="auto"/>
              <w:bottom w:val="single" w:sz="4" w:space="0" w:color="auto"/>
            </w:tcBorders>
          </w:tcPr>
          <w:p w14:paraId="5E7F1608" w14:textId="77777777" w:rsidR="001303C0" w:rsidRPr="00585FD8" w:rsidRDefault="000836A2" w:rsidP="007336AC">
            <w:pPr>
              <w:pStyle w:val="TableText"/>
              <w:rPr>
                <w:lang w:eastAsia="ja-JP"/>
              </w:rPr>
            </w:pPr>
            <w:r w:rsidRPr="00585FD8">
              <w:rPr>
                <w:lang w:eastAsia="ja-JP"/>
              </w:rPr>
              <w:t>acute toxicity</w:t>
            </w:r>
          </w:p>
        </w:tc>
        <w:tc>
          <w:tcPr>
            <w:tcW w:w="3491" w:type="pct"/>
            <w:tcBorders>
              <w:top w:val="single" w:sz="12" w:space="0" w:color="auto"/>
              <w:bottom w:val="single" w:sz="4" w:space="0" w:color="auto"/>
            </w:tcBorders>
          </w:tcPr>
          <w:p w14:paraId="5E7F1609" w14:textId="77777777" w:rsidR="001303C0" w:rsidRPr="00585FD8" w:rsidRDefault="000836A2" w:rsidP="00B661E1">
            <w:pPr>
              <w:pStyle w:val="TableText"/>
              <w:rPr>
                <w:lang w:eastAsia="ja-JP"/>
              </w:rPr>
            </w:pPr>
            <w:r>
              <w:rPr>
                <w:lang w:eastAsia="ja-JP"/>
              </w:rPr>
              <w:t>A</w:t>
            </w:r>
            <w:r w:rsidRPr="008A7ACC">
              <w:rPr>
                <w:lang w:eastAsia="ja-JP"/>
              </w:rPr>
              <w:t xml:space="preserve"> lethal or adverse sublethal effect that occurs as the result of a short exposure period to a chemical relative to the organism’s life span</w:t>
            </w:r>
            <w:r w:rsidRPr="005B156B">
              <w:rPr>
                <w:lang w:eastAsia="ja-JP"/>
              </w:rPr>
              <w:t>.</w:t>
            </w:r>
          </w:p>
        </w:tc>
      </w:tr>
      <w:tr w:rsidR="00304BBF" w14:paraId="5E7F160D" w14:textId="77777777" w:rsidTr="00846C9A">
        <w:trPr>
          <w:cantSplit/>
        </w:trPr>
        <w:tc>
          <w:tcPr>
            <w:tcW w:w="1509" w:type="pct"/>
            <w:tcBorders>
              <w:top w:val="single" w:sz="4" w:space="0" w:color="auto"/>
              <w:bottom w:val="single" w:sz="4" w:space="0" w:color="auto"/>
            </w:tcBorders>
          </w:tcPr>
          <w:p w14:paraId="5E7F160B" w14:textId="77777777" w:rsidR="001303C0" w:rsidRPr="00585FD8" w:rsidRDefault="000836A2" w:rsidP="00B661E1">
            <w:pPr>
              <w:pStyle w:val="TableText"/>
              <w:rPr>
                <w:lang w:eastAsia="ja-JP"/>
              </w:rPr>
            </w:pPr>
            <w:r w:rsidRPr="00585FD8">
              <w:rPr>
                <w:lang w:eastAsia="ja-JP"/>
              </w:rPr>
              <w:t>acute</w:t>
            </w:r>
            <w:r w:rsidR="00B661E1">
              <w:rPr>
                <w:lang w:eastAsia="ja-JP"/>
              </w:rPr>
              <w:t>-</w:t>
            </w:r>
            <w:r w:rsidRPr="00585FD8">
              <w:rPr>
                <w:lang w:eastAsia="ja-JP"/>
              </w:rPr>
              <w:t>to</w:t>
            </w:r>
            <w:r w:rsidR="00B661E1">
              <w:rPr>
                <w:lang w:eastAsia="ja-JP"/>
              </w:rPr>
              <w:t>-</w:t>
            </w:r>
            <w:r w:rsidRPr="00585FD8">
              <w:rPr>
                <w:lang w:eastAsia="ja-JP"/>
              </w:rPr>
              <w:t>chronic ratio</w:t>
            </w:r>
            <w:r>
              <w:rPr>
                <w:lang w:eastAsia="ja-JP"/>
              </w:rPr>
              <w:t xml:space="preserve"> </w:t>
            </w:r>
          </w:p>
        </w:tc>
        <w:tc>
          <w:tcPr>
            <w:tcW w:w="3491" w:type="pct"/>
            <w:tcBorders>
              <w:top w:val="single" w:sz="4" w:space="0" w:color="auto"/>
              <w:bottom w:val="single" w:sz="4" w:space="0" w:color="auto"/>
            </w:tcBorders>
          </w:tcPr>
          <w:p w14:paraId="5E7F160C" w14:textId="77777777" w:rsidR="001303C0" w:rsidRPr="00585FD8" w:rsidRDefault="000836A2" w:rsidP="007336AC">
            <w:pPr>
              <w:pStyle w:val="TableText"/>
              <w:rPr>
                <w:lang w:eastAsia="ja-JP"/>
              </w:rPr>
            </w:pPr>
            <w:r>
              <w:rPr>
                <w:lang w:eastAsia="ja-JP"/>
              </w:rPr>
              <w:t>T</w:t>
            </w:r>
            <w:r w:rsidRPr="008A7ACC">
              <w:rPr>
                <w:lang w:eastAsia="ja-JP"/>
              </w:rPr>
              <w:t xml:space="preserve">he species mean acute value (LC/EC50) divided by the chronic value (e.g. NOEC or </w:t>
            </w:r>
            <w:r w:rsidRPr="008A7ACC">
              <w:rPr>
                <w:lang w:eastAsia="ja-JP"/>
              </w:rPr>
              <w:t>EC10) for the same species</w:t>
            </w:r>
            <w:r w:rsidRPr="005B156B">
              <w:rPr>
                <w:lang w:eastAsia="ja-JP"/>
              </w:rPr>
              <w:t>.</w:t>
            </w:r>
          </w:p>
        </w:tc>
      </w:tr>
      <w:tr w:rsidR="00304BBF" w14:paraId="5E7F1610" w14:textId="77777777" w:rsidTr="00846C9A">
        <w:trPr>
          <w:cantSplit/>
        </w:trPr>
        <w:tc>
          <w:tcPr>
            <w:tcW w:w="1509" w:type="pct"/>
            <w:tcBorders>
              <w:top w:val="single" w:sz="4" w:space="0" w:color="auto"/>
              <w:bottom w:val="single" w:sz="4" w:space="0" w:color="auto"/>
            </w:tcBorders>
          </w:tcPr>
          <w:p w14:paraId="5E7F160E" w14:textId="77777777" w:rsidR="00620280" w:rsidRDefault="000836A2" w:rsidP="007336AC">
            <w:pPr>
              <w:pStyle w:val="TableText"/>
              <w:rPr>
                <w:lang w:eastAsia="ja-JP"/>
              </w:rPr>
            </w:pPr>
            <w:r>
              <w:rPr>
                <w:lang w:eastAsia="ja-JP"/>
              </w:rPr>
              <w:t>bioaccumulation</w:t>
            </w:r>
          </w:p>
        </w:tc>
        <w:tc>
          <w:tcPr>
            <w:tcW w:w="3491" w:type="pct"/>
            <w:tcBorders>
              <w:top w:val="single" w:sz="4" w:space="0" w:color="auto"/>
              <w:bottom w:val="single" w:sz="4" w:space="0" w:color="auto"/>
            </w:tcBorders>
          </w:tcPr>
          <w:p w14:paraId="5E7F160F" w14:textId="77777777" w:rsidR="00620280" w:rsidRPr="00620280" w:rsidRDefault="000836A2" w:rsidP="00620280">
            <w:pPr>
              <w:pStyle w:val="TableText"/>
            </w:pPr>
            <w:r w:rsidRPr="00620280">
              <w:t>The process by which chemical substances are accumulated by aquatic organisms by all routes of exposures (dietary and the ambient environment).</w:t>
            </w:r>
          </w:p>
        </w:tc>
      </w:tr>
      <w:tr w:rsidR="00304BBF" w14:paraId="5E7F1613" w14:textId="77777777" w:rsidTr="00846C9A">
        <w:trPr>
          <w:cantSplit/>
        </w:trPr>
        <w:tc>
          <w:tcPr>
            <w:tcW w:w="1509" w:type="pct"/>
            <w:tcBorders>
              <w:top w:val="single" w:sz="4" w:space="0" w:color="auto"/>
              <w:bottom w:val="single" w:sz="4" w:space="0" w:color="auto"/>
            </w:tcBorders>
          </w:tcPr>
          <w:p w14:paraId="5E7F1611" w14:textId="77777777" w:rsidR="001303C0" w:rsidRPr="00585FD8" w:rsidRDefault="000836A2" w:rsidP="007336AC">
            <w:pPr>
              <w:pStyle w:val="TableText"/>
              <w:rPr>
                <w:lang w:eastAsia="ja-JP"/>
              </w:rPr>
            </w:pPr>
            <w:r w:rsidRPr="00585FD8">
              <w:rPr>
                <w:lang w:eastAsia="ja-JP"/>
              </w:rPr>
              <w:t>chronic toxicity</w:t>
            </w:r>
          </w:p>
        </w:tc>
        <w:tc>
          <w:tcPr>
            <w:tcW w:w="3491" w:type="pct"/>
            <w:tcBorders>
              <w:top w:val="single" w:sz="4" w:space="0" w:color="auto"/>
              <w:bottom w:val="single" w:sz="4" w:space="0" w:color="auto"/>
            </w:tcBorders>
          </w:tcPr>
          <w:p w14:paraId="5E7F1612" w14:textId="77777777" w:rsidR="001303C0" w:rsidRPr="00585FD8" w:rsidRDefault="000836A2" w:rsidP="00846C9A">
            <w:pPr>
              <w:pStyle w:val="TableText"/>
              <w:rPr>
                <w:lang w:eastAsia="ja-JP"/>
              </w:rPr>
            </w:pPr>
            <w:r w:rsidRPr="008A7ACC">
              <w:rPr>
                <w:lang w:eastAsia="ja-JP"/>
              </w:rPr>
              <w:t xml:space="preserve">A lethal or sublethal adverse effect that </w:t>
            </w:r>
            <w:r w:rsidRPr="008A7ACC">
              <w:rPr>
                <w:lang w:eastAsia="ja-JP"/>
              </w:rPr>
              <w:t>occurs after exposure to a chemical for a period of time that is a substantial portion of the organism</w:t>
            </w:r>
            <w:r w:rsidR="00846C9A">
              <w:rPr>
                <w:lang w:eastAsia="ja-JP"/>
              </w:rPr>
              <w:t>’</w:t>
            </w:r>
            <w:r w:rsidRPr="008A7ACC">
              <w:rPr>
                <w:lang w:eastAsia="ja-JP"/>
              </w:rPr>
              <w:t>s life span or an adverse effect on a sensitive early life stage</w:t>
            </w:r>
            <w:r w:rsidRPr="005B156B">
              <w:rPr>
                <w:lang w:eastAsia="ja-JP"/>
              </w:rPr>
              <w:t>.</w:t>
            </w:r>
          </w:p>
        </w:tc>
      </w:tr>
      <w:tr w:rsidR="00304BBF" w14:paraId="5E7F1616" w14:textId="77777777" w:rsidTr="00846C9A">
        <w:trPr>
          <w:cantSplit/>
        </w:trPr>
        <w:tc>
          <w:tcPr>
            <w:tcW w:w="1509" w:type="pct"/>
            <w:tcBorders>
              <w:top w:val="single" w:sz="4" w:space="0" w:color="auto"/>
              <w:bottom w:val="single" w:sz="4" w:space="0" w:color="auto"/>
            </w:tcBorders>
          </w:tcPr>
          <w:p w14:paraId="5E7F1614" w14:textId="77777777" w:rsidR="001303C0" w:rsidRPr="00585FD8" w:rsidRDefault="000836A2" w:rsidP="007336AC">
            <w:pPr>
              <w:pStyle w:val="TableText"/>
              <w:rPr>
                <w:lang w:eastAsia="ja-JP"/>
              </w:rPr>
            </w:pPr>
            <w:r w:rsidRPr="00585FD8">
              <w:rPr>
                <w:lang w:eastAsia="ja-JP"/>
              </w:rPr>
              <w:t>default guideline value (DGV)</w:t>
            </w:r>
          </w:p>
        </w:tc>
        <w:tc>
          <w:tcPr>
            <w:tcW w:w="3491" w:type="pct"/>
            <w:tcBorders>
              <w:top w:val="single" w:sz="4" w:space="0" w:color="auto"/>
              <w:bottom w:val="single" w:sz="4" w:space="0" w:color="auto"/>
            </w:tcBorders>
          </w:tcPr>
          <w:p w14:paraId="5E7F1615" w14:textId="77777777" w:rsidR="001303C0" w:rsidRPr="00846C9A" w:rsidRDefault="000836A2" w:rsidP="007336AC">
            <w:pPr>
              <w:pStyle w:val="TableText"/>
              <w:rPr>
                <w:lang w:val="en-US" w:eastAsia="ja-JP"/>
              </w:rPr>
            </w:pPr>
            <w:r w:rsidRPr="008A7ACC">
              <w:rPr>
                <w:lang w:eastAsia="ja-JP"/>
              </w:rPr>
              <w:t>A guideline value recommended for generic application in</w:t>
            </w:r>
            <w:r w:rsidRPr="008A7ACC">
              <w:rPr>
                <w:lang w:eastAsia="ja-JP"/>
              </w:rPr>
              <w:t xml:space="preserve"> the absence of a more specific guideline value (e.g. a site-specific guideline value) in the Australian and New Zealand Guidelines for Fresh and Marine Water Quality. Formerly known as </w:t>
            </w:r>
            <w:r w:rsidR="00846C9A">
              <w:rPr>
                <w:lang w:val="en-US" w:eastAsia="ja-JP"/>
              </w:rPr>
              <w:t>‘</w:t>
            </w:r>
            <w:r w:rsidRPr="008A7ACC">
              <w:rPr>
                <w:lang w:eastAsia="ja-JP"/>
              </w:rPr>
              <w:t>trigger values</w:t>
            </w:r>
            <w:r w:rsidR="00846C9A">
              <w:rPr>
                <w:lang w:val="en-US" w:eastAsia="ja-JP"/>
              </w:rPr>
              <w:t>’.</w:t>
            </w:r>
          </w:p>
        </w:tc>
      </w:tr>
      <w:tr w:rsidR="00304BBF" w14:paraId="5E7F1619" w14:textId="77777777" w:rsidTr="00846C9A">
        <w:trPr>
          <w:cantSplit/>
        </w:trPr>
        <w:tc>
          <w:tcPr>
            <w:tcW w:w="1509" w:type="pct"/>
            <w:tcBorders>
              <w:top w:val="single" w:sz="4" w:space="0" w:color="auto"/>
              <w:bottom w:val="single" w:sz="4" w:space="0" w:color="auto"/>
            </w:tcBorders>
          </w:tcPr>
          <w:p w14:paraId="5E7F1617" w14:textId="77777777" w:rsidR="001303C0" w:rsidRPr="00585FD8" w:rsidRDefault="000836A2" w:rsidP="007336AC">
            <w:pPr>
              <w:pStyle w:val="TableText"/>
              <w:rPr>
                <w:lang w:eastAsia="ja-JP"/>
              </w:rPr>
            </w:pPr>
            <w:r w:rsidRPr="00585FD8">
              <w:rPr>
                <w:lang w:eastAsia="ja-JP"/>
              </w:rPr>
              <w:t>EC50 (median effective concentration)</w:t>
            </w:r>
          </w:p>
        </w:tc>
        <w:tc>
          <w:tcPr>
            <w:tcW w:w="3491" w:type="pct"/>
            <w:tcBorders>
              <w:top w:val="single" w:sz="4" w:space="0" w:color="auto"/>
              <w:bottom w:val="single" w:sz="4" w:space="0" w:color="auto"/>
            </w:tcBorders>
          </w:tcPr>
          <w:p w14:paraId="5E7F1618" w14:textId="77777777" w:rsidR="001303C0" w:rsidRPr="00585FD8" w:rsidRDefault="000836A2" w:rsidP="007336AC">
            <w:pPr>
              <w:pStyle w:val="TableText"/>
              <w:rPr>
                <w:lang w:eastAsia="ja-JP"/>
              </w:rPr>
            </w:pPr>
            <w:r>
              <w:rPr>
                <w:lang w:eastAsia="ja-JP"/>
              </w:rPr>
              <w:t>T</w:t>
            </w:r>
            <w:r w:rsidRPr="008B22E7">
              <w:rPr>
                <w:lang w:eastAsia="ja-JP"/>
              </w:rPr>
              <w:t>he concentra</w:t>
            </w:r>
            <w:r w:rsidRPr="008B22E7">
              <w:rPr>
                <w:lang w:eastAsia="ja-JP"/>
              </w:rPr>
              <w:t>tion of a substance in water or sediment that is estimated to produce a 50% change in the response being measured or a certain effect in 50% of the test organisms relative to the control response, under specified conditions.</w:t>
            </w:r>
          </w:p>
        </w:tc>
      </w:tr>
      <w:tr w:rsidR="00304BBF" w14:paraId="5E7F161C" w14:textId="77777777" w:rsidTr="00846C9A">
        <w:trPr>
          <w:cantSplit/>
        </w:trPr>
        <w:tc>
          <w:tcPr>
            <w:tcW w:w="1509" w:type="pct"/>
            <w:tcBorders>
              <w:top w:val="single" w:sz="4" w:space="0" w:color="auto"/>
              <w:bottom w:val="single" w:sz="4" w:space="0" w:color="auto"/>
            </w:tcBorders>
          </w:tcPr>
          <w:p w14:paraId="5E7F161A" w14:textId="77777777" w:rsidR="001303C0" w:rsidRPr="00585FD8" w:rsidRDefault="000836A2" w:rsidP="007336AC">
            <w:pPr>
              <w:pStyle w:val="TableText"/>
              <w:rPr>
                <w:lang w:eastAsia="ja-JP"/>
              </w:rPr>
            </w:pPr>
            <w:r w:rsidRPr="00585FD8">
              <w:rPr>
                <w:lang w:eastAsia="ja-JP"/>
              </w:rPr>
              <w:t>endpoint</w:t>
            </w:r>
          </w:p>
        </w:tc>
        <w:tc>
          <w:tcPr>
            <w:tcW w:w="3491" w:type="pct"/>
            <w:tcBorders>
              <w:top w:val="single" w:sz="4" w:space="0" w:color="auto"/>
              <w:bottom w:val="single" w:sz="4" w:space="0" w:color="auto"/>
            </w:tcBorders>
          </w:tcPr>
          <w:p w14:paraId="5E7F161B" w14:textId="77777777" w:rsidR="001303C0" w:rsidRPr="00585FD8" w:rsidRDefault="000836A2" w:rsidP="007336AC">
            <w:pPr>
              <w:pStyle w:val="TableText"/>
              <w:rPr>
                <w:lang w:eastAsia="ja-JP"/>
              </w:rPr>
            </w:pPr>
            <w:r>
              <w:rPr>
                <w:lang w:eastAsia="ja-JP"/>
              </w:rPr>
              <w:t>T</w:t>
            </w:r>
            <w:r w:rsidRPr="008B22E7">
              <w:rPr>
                <w:lang w:eastAsia="ja-JP"/>
              </w:rPr>
              <w:t>he specific response</w:t>
            </w:r>
            <w:r w:rsidRPr="008B22E7">
              <w:rPr>
                <w:lang w:eastAsia="ja-JP"/>
              </w:rPr>
              <w:t xml:space="preserve"> of an organism that is measured in a toxicity test (e.g. mortality, growth, a particular biomarker).</w:t>
            </w:r>
          </w:p>
        </w:tc>
      </w:tr>
      <w:tr w:rsidR="00304BBF" w14:paraId="5E7F161F" w14:textId="77777777" w:rsidTr="00846C9A">
        <w:trPr>
          <w:cantSplit/>
        </w:trPr>
        <w:tc>
          <w:tcPr>
            <w:tcW w:w="1509" w:type="pct"/>
            <w:tcBorders>
              <w:top w:val="single" w:sz="4" w:space="0" w:color="auto"/>
              <w:bottom w:val="single" w:sz="4" w:space="0" w:color="auto"/>
            </w:tcBorders>
          </w:tcPr>
          <w:p w14:paraId="5E7F161D" w14:textId="77777777" w:rsidR="001303C0" w:rsidRPr="00585FD8" w:rsidRDefault="000836A2" w:rsidP="007336AC">
            <w:pPr>
              <w:pStyle w:val="TableText"/>
              <w:rPr>
                <w:lang w:eastAsia="ja-JP"/>
              </w:rPr>
            </w:pPr>
            <w:r w:rsidRPr="00585FD8">
              <w:rPr>
                <w:lang w:eastAsia="ja-JP"/>
              </w:rPr>
              <w:t>guideline value (GV)</w:t>
            </w:r>
          </w:p>
        </w:tc>
        <w:tc>
          <w:tcPr>
            <w:tcW w:w="3491" w:type="pct"/>
            <w:tcBorders>
              <w:top w:val="single" w:sz="4" w:space="0" w:color="auto"/>
              <w:bottom w:val="single" w:sz="4" w:space="0" w:color="auto"/>
            </w:tcBorders>
          </w:tcPr>
          <w:p w14:paraId="5E7F161E" w14:textId="77777777" w:rsidR="001303C0" w:rsidRPr="00585FD8" w:rsidRDefault="000836A2" w:rsidP="007336AC">
            <w:pPr>
              <w:pStyle w:val="TableText"/>
              <w:rPr>
                <w:lang w:eastAsia="ja-JP"/>
              </w:rPr>
            </w:pPr>
            <w:r w:rsidRPr="008B22E7">
              <w:rPr>
                <w:lang w:eastAsia="ja-JP"/>
              </w:rPr>
              <w:t xml:space="preserve">A measurable quantity (e.g. concentration) or condition of an indicator for a specific community value below which (or above which, in the case of stressors such as pH, dissolved oxygen and many biodiversity responses) there is considered to be a low risk </w:t>
            </w:r>
            <w:r w:rsidRPr="008B22E7">
              <w:rPr>
                <w:lang w:eastAsia="ja-JP"/>
              </w:rPr>
              <w:t xml:space="preserve">of unacceptable effects occurring to that community value. Guideline values for more than one indicator should be used simultaneously in a multiple lines of evidence approach. (Also refer to </w:t>
            </w:r>
            <w:hyperlink r:id="rId27" w:anchor="default-guideline-value" w:history="1">
              <w:r w:rsidRPr="008B22E7">
                <w:rPr>
                  <w:lang w:eastAsia="ja-JP"/>
                </w:rPr>
                <w:t>default guideline value</w:t>
              </w:r>
            </w:hyperlink>
            <w:r w:rsidRPr="008B22E7">
              <w:rPr>
                <w:lang w:eastAsia="ja-JP"/>
              </w:rPr>
              <w:t xml:space="preserve"> and </w:t>
            </w:r>
            <w:hyperlink r:id="rId28" w:anchor="site-specific-guideline-value" w:history="1">
              <w:r w:rsidRPr="008B22E7">
                <w:rPr>
                  <w:lang w:eastAsia="ja-JP"/>
                </w:rPr>
                <w:t>site-specific guideline value</w:t>
              </w:r>
            </w:hyperlink>
            <w:r w:rsidRPr="008B22E7">
              <w:rPr>
                <w:lang w:eastAsia="ja-JP"/>
              </w:rPr>
              <w:t>.)</w:t>
            </w:r>
          </w:p>
        </w:tc>
      </w:tr>
      <w:tr w:rsidR="00304BBF" w14:paraId="5E7F1622" w14:textId="77777777" w:rsidTr="00846C9A">
        <w:trPr>
          <w:cantSplit/>
        </w:trPr>
        <w:tc>
          <w:tcPr>
            <w:tcW w:w="1509" w:type="pct"/>
            <w:tcBorders>
              <w:top w:val="single" w:sz="4" w:space="0" w:color="auto"/>
              <w:bottom w:val="single" w:sz="4" w:space="0" w:color="auto"/>
            </w:tcBorders>
          </w:tcPr>
          <w:p w14:paraId="5E7F1620" w14:textId="77777777" w:rsidR="00620280" w:rsidRPr="00585FD8" w:rsidRDefault="000836A2" w:rsidP="007336AC">
            <w:pPr>
              <w:pStyle w:val="TableText"/>
              <w:rPr>
                <w:lang w:eastAsia="ja-JP"/>
              </w:rPr>
            </w:pPr>
            <w:r>
              <w:rPr>
                <w:lang w:eastAsia="ja-JP"/>
              </w:rPr>
              <w:t xml:space="preserve">humic </w:t>
            </w:r>
            <w:r w:rsidR="00414A32">
              <w:rPr>
                <w:lang w:eastAsia="ja-JP"/>
              </w:rPr>
              <w:t>substances</w:t>
            </w:r>
          </w:p>
        </w:tc>
        <w:tc>
          <w:tcPr>
            <w:tcW w:w="3491" w:type="pct"/>
            <w:tcBorders>
              <w:top w:val="single" w:sz="4" w:space="0" w:color="auto"/>
              <w:bottom w:val="single" w:sz="4" w:space="0" w:color="auto"/>
            </w:tcBorders>
          </w:tcPr>
          <w:p w14:paraId="5E7F1621" w14:textId="77777777" w:rsidR="00620280" w:rsidRPr="00620280" w:rsidRDefault="000836A2" w:rsidP="00620280">
            <w:pPr>
              <w:pStyle w:val="TableText"/>
              <w:rPr>
                <w:shd w:val="clear" w:color="auto" w:fill="FFFFFF"/>
              </w:rPr>
            </w:pPr>
            <w:r>
              <w:rPr>
                <w:shd w:val="clear" w:color="auto" w:fill="FFFFFF"/>
              </w:rPr>
              <w:t>Organic substances only partially broken down that occur in water mainly in a colloidal state. Humic acids are large-molecule organic acids that dissolve in water.</w:t>
            </w:r>
          </w:p>
        </w:tc>
      </w:tr>
      <w:tr w:rsidR="00304BBF" w14:paraId="5E7F1625" w14:textId="77777777" w:rsidTr="00846C9A">
        <w:trPr>
          <w:cantSplit/>
        </w:trPr>
        <w:tc>
          <w:tcPr>
            <w:tcW w:w="1509" w:type="pct"/>
            <w:tcBorders>
              <w:top w:val="single" w:sz="4" w:space="0" w:color="auto"/>
              <w:bottom w:val="single" w:sz="4" w:space="0" w:color="auto"/>
            </w:tcBorders>
          </w:tcPr>
          <w:p w14:paraId="5E7F1623" w14:textId="77777777" w:rsidR="001303C0" w:rsidRPr="00585FD8" w:rsidRDefault="000836A2" w:rsidP="007336AC">
            <w:pPr>
              <w:pStyle w:val="TableText"/>
              <w:rPr>
                <w:lang w:eastAsia="ja-JP"/>
              </w:rPr>
            </w:pPr>
            <w:r w:rsidRPr="00585FD8">
              <w:rPr>
                <w:lang w:eastAsia="ja-JP"/>
              </w:rPr>
              <w:t xml:space="preserve">LC50 (median lethal </w:t>
            </w:r>
            <w:r w:rsidRPr="00585FD8">
              <w:rPr>
                <w:lang w:eastAsia="ja-JP"/>
              </w:rPr>
              <w:t>concentration)</w:t>
            </w:r>
          </w:p>
        </w:tc>
        <w:tc>
          <w:tcPr>
            <w:tcW w:w="3491" w:type="pct"/>
            <w:tcBorders>
              <w:top w:val="single" w:sz="4" w:space="0" w:color="auto"/>
              <w:bottom w:val="single" w:sz="4" w:space="0" w:color="auto"/>
            </w:tcBorders>
          </w:tcPr>
          <w:p w14:paraId="5E7F1624" w14:textId="77777777" w:rsidR="001303C0" w:rsidRPr="008B22E7" w:rsidRDefault="000836A2" w:rsidP="007336AC">
            <w:pPr>
              <w:pStyle w:val="TableText"/>
              <w:rPr>
                <w:shd w:val="clear" w:color="auto" w:fill="FFFFFF"/>
              </w:rPr>
            </w:pPr>
            <w:r w:rsidRPr="008B22E7">
              <w:rPr>
                <w:shd w:val="clear" w:color="auto" w:fill="FFFFFF"/>
              </w:rPr>
              <w:t>The concentration of a substance in water or sediment that is estimated to be lethal to 50% of a group of test organisms, relative to the control response, under specified conditions.</w:t>
            </w:r>
          </w:p>
        </w:tc>
      </w:tr>
      <w:tr w:rsidR="00304BBF" w14:paraId="5E7F1628" w14:textId="77777777" w:rsidTr="00846C9A">
        <w:trPr>
          <w:cantSplit/>
        </w:trPr>
        <w:tc>
          <w:tcPr>
            <w:tcW w:w="1509" w:type="pct"/>
            <w:tcBorders>
              <w:top w:val="single" w:sz="4" w:space="0" w:color="auto"/>
              <w:bottom w:val="single" w:sz="4" w:space="0" w:color="auto"/>
            </w:tcBorders>
          </w:tcPr>
          <w:p w14:paraId="5E7F1626" w14:textId="77777777" w:rsidR="001303C0" w:rsidRPr="00585FD8" w:rsidRDefault="000836A2" w:rsidP="007336AC">
            <w:pPr>
              <w:pStyle w:val="TableText"/>
              <w:rPr>
                <w:lang w:eastAsia="ja-JP"/>
              </w:rPr>
            </w:pPr>
            <w:r w:rsidRPr="00585FD8">
              <w:rPr>
                <w:lang w:eastAsia="ja-JP"/>
              </w:rPr>
              <w:t>LOEC (</w:t>
            </w:r>
            <w:r>
              <w:rPr>
                <w:lang w:eastAsia="ja-JP"/>
              </w:rPr>
              <w:t>l</w:t>
            </w:r>
            <w:r w:rsidRPr="00585FD8">
              <w:rPr>
                <w:lang w:eastAsia="ja-JP"/>
              </w:rPr>
              <w:t>owest observed effect concentration)</w:t>
            </w:r>
          </w:p>
        </w:tc>
        <w:tc>
          <w:tcPr>
            <w:tcW w:w="3491" w:type="pct"/>
            <w:tcBorders>
              <w:top w:val="single" w:sz="4" w:space="0" w:color="auto"/>
              <w:bottom w:val="single" w:sz="4" w:space="0" w:color="auto"/>
            </w:tcBorders>
          </w:tcPr>
          <w:p w14:paraId="5E7F1627" w14:textId="77777777" w:rsidR="001303C0" w:rsidRPr="008B22E7" w:rsidRDefault="000836A2" w:rsidP="007336AC">
            <w:pPr>
              <w:pStyle w:val="TableText"/>
              <w:rPr>
                <w:shd w:val="clear" w:color="auto" w:fill="FFFFFF"/>
              </w:rPr>
            </w:pPr>
            <w:r w:rsidRPr="008B22E7">
              <w:rPr>
                <w:shd w:val="clear" w:color="auto" w:fill="FFFFFF"/>
              </w:rPr>
              <w:t xml:space="preserve">The </w:t>
            </w:r>
            <w:r w:rsidR="00DE4E4D" w:rsidRPr="008B22E7">
              <w:rPr>
                <w:shd w:val="clear" w:color="auto" w:fill="FFFFFF"/>
              </w:rPr>
              <w:t>lowest concentration of a material used in a toxicity test that has a statistically significant adverse effect on the exposed population of test organisms as compared with the controls.</w:t>
            </w:r>
          </w:p>
        </w:tc>
      </w:tr>
      <w:tr w:rsidR="00304BBF" w14:paraId="5E7F162B" w14:textId="77777777" w:rsidTr="00846C9A">
        <w:trPr>
          <w:cantSplit/>
        </w:trPr>
        <w:tc>
          <w:tcPr>
            <w:tcW w:w="1509" w:type="pct"/>
            <w:tcBorders>
              <w:top w:val="single" w:sz="4" w:space="0" w:color="auto"/>
              <w:bottom w:val="single" w:sz="4" w:space="0" w:color="auto"/>
            </w:tcBorders>
          </w:tcPr>
          <w:p w14:paraId="5E7F1629" w14:textId="77777777" w:rsidR="00620280" w:rsidRPr="00585FD8" w:rsidRDefault="000836A2" w:rsidP="007336AC">
            <w:pPr>
              <w:pStyle w:val="TableText"/>
              <w:rPr>
                <w:lang w:eastAsia="ja-JP"/>
              </w:rPr>
            </w:pPr>
            <w:r>
              <w:rPr>
                <w:lang w:eastAsia="ja-JP"/>
              </w:rPr>
              <w:t>macrophyte</w:t>
            </w:r>
          </w:p>
        </w:tc>
        <w:tc>
          <w:tcPr>
            <w:tcW w:w="3491" w:type="pct"/>
            <w:tcBorders>
              <w:top w:val="single" w:sz="4" w:space="0" w:color="auto"/>
              <w:bottom w:val="single" w:sz="4" w:space="0" w:color="auto"/>
            </w:tcBorders>
          </w:tcPr>
          <w:p w14:paraId="5E7F162A" w14:textId="77777777" w:rsidR="00620280" w:rsidRPr="008B22E7" w:rsidRDefault="000836A2" w:rsidP="00620280">
            <w:pPr>
              <w:pStyle w:val="TableText"/>
              <w:rPr>
                <w:shd w:val="clear" w:color="auto" w:fill="FFFFFF"/>
              </w:rPr>
            </w:pPr>
            <w:r w:rsidRPr="008B22E7">
              <w:rPr>
                <w:shd w:val="clear" w:color="auto" w:fill="FFFFFF"/>
              </w:rPr>
              <w:t>A member of the macroscopic plant life of an area, especially of a</w:t>
            </w:r>
            <w:r w:rsidRPr="008B22E7">
              <w:rPr>
                <w:shd w:val="clear" w:color="auto" w:fill="FFFFFF"/>
              </w:rPr>
              <w:t xml:space="preserve"> body of water; large aquatic plant.</w:t>
            </w:r>
          </w:p>
        </w:tc>
      </w:tr>
      <w:tr w:rsidR="00304BBF" w14:paraId="5E7F162E" w14:textId="77777777" w:rsidTr="00846C9A">
        <w:trPr>
          <w:cantSplit/>
        </w:trPr>
        <w:tc>
          <w:tcPr>
            <w:tcW w:w="1509" w:type="pct"/>
            <w:tcBorders>
              <w:top w:val="single" w:sz="4" w:space="0" w:color="auto"/>
              <w:bottom w:val="single" w:sz="4" w:space="0" w:color="auto"/>
            </w:tcBorders>
          </w:tcPr>
          <w:p w14:paraId="5E7F162C" w14:textId="77777777" w:rsidR="001303C0" w:rsidRPr="00585FD8" w:rsidRDefault="000836A2" w:rsidP="007336AC">
            <w:pPr>
              <w:pStyle w:val="TableText"/>
              <w:rPr>
                <w:lang w:eastAsia="ja-JP"/>
              </w:rPr>
            </w:pPr>
            <w:r w:rsidRPr="00585FD8">
              <w:rPr>
                <w:lang w:eastAsia="ja-JP"/>
              </w:rPr>
              <w:t>NOEC (</w:t>
            </w:r>
            <w:r>
              <w:rPr>
                <w:lang w:eastAsia="ja-JP"/>
              </w:rPr>
              <w:t>n</w:t>
            </w:r>
            <w:r w:rsidRPr="00585FD8">
              <w:rPr>
                <w:lang w:eastAsia="ja-JP"/>
              </w:rPr>
              <w:t>o observed effect concentration)</w:t>
            </w:r>
          </w:p>
        </w:tc>
        <w:tc>
          <w:tcPr>
            <w:tcW w:w="3491" w:type="pct"/>
            <w:tcBorders>
              <w:top w:val="single" w:sz="4" w:space="0" w:color="auto"/>
              <w:bottom w:val="single" w:sz="4" w:space="0" w:color="auto"/>
            </w:tcBorders>
          </w:tcPr>
          <w:p w14:paraId="5E7F162D" w14:textId="77777777" w:rsidR="001303C0" w:rsidRPr="008B22E7" w:rsidRDefault="000836A2" w:rsidP="007336AC">
            <w:pPr>
              <w:pStyle w:val="TableText"/>
              <w:rPr>
                <w:shd w:val="clear" w:color="auto" w:fill="FFFFFF"/>
              </w:rPr>
            </w:pPr>
            <w:r w:rsidRPr="008B22E7">
              <w:rPr>
                <w:shd w:val="clear" w:color="auto" w:fill="FFFFFF"/>
              </w:rPr>
              <w:t xml:space="preserve">The </w:t>
            </w:r>
            <w:r w:rsidR="00DE4E4D" w:rsidRPr="008B22E7">
              <w:rPr>
                <w:shd w:val="clear" w:color="auto" w:fill="FFFFFF"/>
              </w:rPr>
              <w:t>highest concentration of a material used in a toxicity test that has no statistically significant adverse effect on the exposed population of test organisms as compared with the controls.</w:t>
            </w:r>
          </w:p>
        </w:tc>
      </w:tr>
      <w:tr w:rsidR="00304BBF" w14:paraId="5E7F1631" w14:textId="77777777" w:rsidTr="00846C9A">
        <w:trPr>
          <w:cantSplit/>
        </w:trPr>
        <w:tc>
          <w:tcPr>
            <w:tcW w:w="1509" w:type="pct"/>
            <w:tcBorders>
              <w:top w:val="single" w:sz="4" w:space="0" w:color="auto"/>
              <w:bottom w:val="single" w:sz="4" w:space="0" w:color="auto"/>
            </w:tcBorders>
          </w:tcPr>
          <w:p w14:paraId="5E7F162F" w14:textId="77777777" w:rsidR="00620280" w:rsidRPr="00620280" w:rsidRDefault="000836A2" w:rsidP="00620280">
            <w:pPr>
              <w:pStyle w:val="TableText"/>
            </w:pPr>
            <w:r w:rsidRPr="00620280">
              <w:t>periphyton</w:t>
            </w:r>
          </w:p>
        </w:tc>
        <w:tc>
          <w:tcPr>
            <w:tcW w:w="3491" w:type="pct"/>
            <w:tcBorders>
              <w:top w:val="single" w:sz="4" w:space="0" w:color="auto"/>
              <w:bottom w:val="single" w:sz="4" w:space="0" w:color="auto"/>
            </w:tcBorders>
          </w:tcPr>
          <w:p w14:paraId="5E7F1630" w14:textId="77777777" w:rsidR="00620280" w:rsidRPr="00620280" w:rsidRDefault="000836A2" w:rsidP="00620280">
            <w:pPr>
              <w:pStyle w:val="TableText"/>
            </w:pPr>
            <w:r w:rsidRPr="00620280">
              <w:t>The organisms attached to submerged plants.</w:t>
            </w:r>
          </w:p>
        </w:tc>
      </w:tr>
      <w:tr w:rsidR="00304BBF" w14:paraId="5E7F1634" w14:textId="77777777" w:rsidTr="00846C9A">
        <w:trPr>
          <w:cantSplit/>
        </w:trPr>
        <w:tc>
          <w:tcPr>
            <w:tcW w:w="1509" w:type="pct"/>
            <w:tcBorders>
              <w:top w:val="single" w:sz="4" w:space="0" w:color="auto"/>
              <w:bottom w:val="single" w:sz="4" w:space="0" w:color="auto"/>
            </w:tcBorders>
          </w:tcPr>
          <w:p w14:paraId="5E7F1632" w14:textId="77777777" w:rsidR="001303C0" w:rsidRPr="00585FD8" w:rsidRDefault="000836A2" w:rsidP="007336AC">
            <w:pPr>
              <w:pStyle w:val="TableText"/>
              <w:rPr>
                <w:lang w:eastAsia="ja-JP"/>
              </w:rPr>
            </w:pPr>
            <w:r w:rsidRPr="00585FD8">
              <w:rPr>
                <w:lang w:eastAsia="ja-JP"/>
              </w:rPr>
              <w:t>site-specific</w:t>
            </w:r>
            <w:r w:rsidR="00032CBD">
              <w:rPr>
                <w:lang w:eastAsia="ja-JP"/>
              </w:rPr>
              <w:t xml:space="preserve"> guideline value</w:t>
            </w:r>
          </w:p>
        </w:tc>
        <w:tc>
          <w:tcPr>
            <w:tcW w:w="3491" w:type="pct"/>
            <w:tcBorders>
              <w:top w:val="single" w:sz="4" w:space="0" w:color="auto"/>
              <w:bottom w:val="single" w:sz="4" w:space="0" w:color="auto"/>
            </w:tcBorders>
          </w:tcPr>
          <w:p w14:paraId="5E7F1633" w14:textId="77777777" w:rsidR="001303C0" w:rsidRPr="00585FD8" w:rsidRDefault="000836A2" w:rsidP="007336AC">
            <w:pPr>
              <w:pStyle w:val="TableText"/>
            </w:pPr>
            <w:r w:rsidRPr="008B22E7">
              <w:t>A guideline value that is relevant to the specific location or conditions that are the focus of a given assessment or issue.</w:t>
            </w:r>
          </w:p>
        </w:tc>
      </w:tr>
      <w:tr w:rsidR="00304BBF" w14:paraId="5E7F1637" w14:textId="77777777" w:rsidTr="00846C9A">
        <w:trPr>
          <w:cantSplit/>
        </w:trPr>
        <w:tc>
          <w:tcPr>
            <w:tcW w:w="1509" w:type="pct"/>
            <w:tcBorders>
              <w:top w:val="single" w:sz="4" w:space="0" w:color="auto"/>
              <w:bottom w:val="single" w:sz="4" w:space="0" w:color="auto"/>
            </w:tcBorders>
          </w:tcPr>
          <w:p w14:paraId="5E7F1635" w14:textId="77777777" w:rsidR="001303C0" w:rsidRPr="00585FD8" w:rsidRDefault="000836A2" w:rsidP="007336AC">
            <w:pPr>
              <w:pStyle w:val="TableText"/>
              <w:rPr>
                <w:lang w:eastAsia="ja-JP"/>
              </w:rPr>
            </w:pPr>
            <w:r w:rsidRPr="00585FD8">
              <w:rPr>
                <w:lang w:eastAsia="ja-JP"/>
              </w:rPr>
              <w:t>species</w:t>
            </w:r>
            <w:r>
              <w:rPr>
                <w:lang w:eastAsia="ja-JP"/>
              </w:rPr>
              <w:t xml:space="preserve"> </w:t>
            </w:r>
            <w:r w:rsidR="00414A32">
              <w:rPr>
                <w:lang w:eastAsia="ja-JP"/>
              </w:rPr>
              <w:t>(biological)</w:t>
            </w:r>
          </w:p>
        </w:tc>
        <w:tc>
          <w:tcPr>
            <w:tcW w:w="3491" w:type="pct"/>
            <w:tcBorders>
              <w:top w:val="single" w:sz="4" w:space="0" w:color="auto"/>
              <w:bottom w:val="single" w:sz="4" w:space="0" w:color="auto"/>
            </w:tcBorders>
          </w:tcPr>
          <w:p w14:paraId="5E7F1636" w14:textId="77777777" w:rsidR="001303C0" w:rsidRPr="00585FD8" w:rsidRDefault="000836A2" w:rsidP="007336AC">
            <w:pPr>
              <w:pStyle w:val="TableText"/>
              <w:rPr>
                <w:lang w:eastAsia="ja-JP"/>
              </w:rPr>
            </w:pPr>
            <w:r w:rsidRPr="00585FD8">
              <w:rPr>
                <w:lang w:eastAsia="ja-JP"/>
              </w:rPr>
              <w:t>A group of organisms that resemble each other to a greater degree than members of other groups and that form a reproductively isolated group that will not produce viable offspring if bred with members of another group.</w:t>
            </w:r>
          </w:p>
        </w:tc>
      </w:tr>
      <w:tr w:rsidR="00304BBF" w14:paraId="5E7F163A" w14:textId="77777777" w:rsidTr="00846C9A">
        <w:trPr>
          <w:cantSplit/>
        </w:trPr>
        <w:tc>
          <w:tcPr>
            <w:tcW w:w="1509" w:type="pct"/>
            <w:tcBorders>
              <w:top w:val="single" w:sz="4" w:space="0" w:color="auto"/>
              <w:bottom w:val="single" w:sz="4" w:space="0" w:color="auto"/>
            </w:tcBorders>
          </w:tcPr>
          <w:p w14:paraId="5E7F1638" w14:textId="77777777" w:rsidR="001303C0" w:rsidRPr="00585FD8" w:rsidRDefault="000836A2" w:rsidP="007336AC">
            <w:pPr>
              <w:pStyle w:val="TableText"/>
              <w:rPr>
                <w:lang w:eastAsia="ja-JP"/>
              </w:rPr>
            </w:pPr>
            <w:r>
              <w:rPr>
                <w:lang w:eastAsia="ja-JP"/>
              </w:rPr>
              <w:t>s</w:t>
            </w:r>
            <w:r w:rsidRPr="00585FD8">
              <w:rPr>
                <w:lang w:eastAsia="ja-JP"/>
              </w:rPr>
              <w:t>pecies sensitivity dis</w:t>
            </w:r>
            <w:r w:rsidRPr="00585FD8">
              <w:rPr>
                <w:lang w:eastAsia="ja-JP"/>
              </w:rPr>
              <w:t xml:space="preserve">tribution </w:t>
            </w:r>
            <w:r>
              <w:rPr>
                <w:lang w:eastAsia="ja-JP"/>
              </w:rPr>
              <w:t>(</w:t>
            </w:r>
            <w:r w:rsidRPr="00585FD8">
              <w:rPr>
                <w:lang w:eastAsia="ja-JP"/>
              </w:rPr>
              <w:t>SSD</w:t>
            </w:r>
            <w:r>
              <w:rPr>
                <w:lang w:eastAsia="ja-JP"/>
              </w:rPr>
              <w:t>)</w:t>
            </w:r>
            <w:r w:rsidRPr="00585FD8">
              <w:rPr>
                <w:lang w:eastAsia="ja-JP"/>
              </w:rPr>
              <w:t xml:space="preserve"> </w:t>
            </w:r>
          </w:p>
        </w:tc>
        <w:tc>
          <w:tcPr>
            <w:tcW w:w="3491" w:type="pct"/>
            <w:tcBorders>
              <w:top w:val="single" w:sz="4" w:space="0" w:color="auto"/>
              <w:bottom w:val="single" w:sz="4" w:space="0" w:color="auto"/>
            </w:tcBorders>
          </w:tcPr>
          <w:p w14:paraId="5E7F1639" w14:textId="77777777" w:rsidR="001303C0" w:rsidRPr="00585FD8" w:rsidRDefault="000836A2" w:rsidP="009E49ED">
            <w:pPr>
              <w:pStyle w:val="TableText"/>
              <w:rPr>
                <w:lang w:eastAsia="ja-JP"/>
              </w:rPr>
            </w:pPr>
            <w:r w:rsidRPr="00585FD8">
              <w:rPr>
                <w:lang w:eastAsia="ja-JP"/>
              </w:rPr>
              <w:t>A method that plots the cumulative frequency of species</w:t>
            </w:r>
            <w:r w:rsidR="009E49ED">
              <w:rPr>
                <w:lang w:eastAsia="ja-JP"/>
              </w:rPr>
              <w:t>’</w:t>
            </w:r>
            <w:r w:rsidRPr="00585FD8">
              <w:rPr>
                <w:lang w:eastAsia="ja-JP"/>
              </w:rPr>
              <w:t xml:space="preserve"> sensitivit</w:t>
            </w:r>
            <w:r w:rsidR="009E49ED">
              <w:rPr>
                <w:lang w:eastAsia="ja-JP"/>
              </w:rPr>
              <w:t>ies to a toxicant</w:t>
            </w:r>
            <w:r w:rsidRPr="00585FD8">
              <w:rPr>
                <w:lang w:eastAsia="ja-JP"/>
              </w:rPr>
              <w:t xml:space="preserve"> and fits </w:t>
            </w:r>
            <w:r>
              <w:rPr>
                <w:lang w:eastAsia="ja-JP"/>
              </w:rPr>
              <w:t>a</w:t>
            </w:r>
            <w:r w:rsidRPr="00585FD8">
              <w:rPr>
                <w:lang w:eastAsia="ja-JP"/>
              </w:rPr>
              <w:t xml:space="preserve"> statistical distribution to the data. From the distribution</w:t>
            </w:r>
            <w:r>
              <w:rPr>
                <w:lang w:eastAsia="ja-JP"/>
              </w:rPr>
              <w:t>,</w:t>
            </w:r>
            <w:r w:rsidRPr="00585FD8">
              <w:rPr>
                <w:lang w:eastAsia="ja-JP"/>
              </w:rPr>
              <w:t xml:space="preserve"> the concentration that should theoretically protect a selected percentage of speci</w:t>
            </w:r>
            <w:r w:rsidRPr="00585FD8">
              <w:rPr>
                <w:lang w:eastAsia="ja-JP"/>
              </w:rPr>
              <w:t>es can be determined.</w:t>
            </w:r>
          </w:p>
        </w:tc>
      </w:tr>
      <w:tr w:rsidR="00304BBF" w14:paraId="5E7F163D" w14:textId="77777777" w:rsidTr="00846C9A">
        <w:trPr>
          <w:cantSplit/>
        </w:trPr>
        <w:tc>
          <w:tcPr>
            <w:tcW w:w="1509" w:type="pct"/>
            <w:tcBorders>
              <w:top w:val="single" w:sz="4" w:space="0" w:color="auto"/>
              <w:bottom w:val="single" w:sz="4" w:space="0" w:color="auto"/>
            </w:tcBorders>
          </w:tcPr>
          <w:p w14:paraId="5E7F163B" w14:textId="77777777" w:rsidR="001303C0" w:rsidRPr="00585FD8" w:rsidRDefault="000836A2" w:rsidP="007336AC">
            <w:pPr>
              <w:pStyle w:val="TableText"/>
              <w:rPr>
                <w:lang w:eastAsia="ja-JP"/>
              </w:rPr>
            </w:pPr>
            <w:r w:rsidRPr="00585FD8">
              <w:rPr>
                <w:lang w:eastAsia="ja-JP"/>
              </w:rPr>
              <w:t>toxicity</w:t>
            </w:r>
          </w:p>
        </w:tc>
        <w:tc>
          <w:tcPr>
            <w:tcW w:w="3491" w:type="pct"/>
            <w:tcBorders>
              <w:top w:val="single" w:sz="4" w:space="0" w:color="auto"/>
              <w:bottom w:val="single" w:sz="4" w:space="0" w:color="auto"/>
            </w:tcBorders>
          </w:tcPr>
          <w:p w14:paraId="5E7F163C" w14:textId="77777777" w:rsidR="001303C0" w:rsidRPr="00585FD8" w:rsidRDefault="000836A2" w:rsidP="007336AC">
            <w:pPr>
              <w:pStyle w:val="TableText"/>
              <w:rPr>
                <w:lang w:eastAsia="ja-JP"/>
              </w:rPr>
            </w:pPr>
            <w:r w:rsidRPr="00585FD8">
              <w:rPr>
                <w:lang w:eastAsia="ja-JP"/>
              </w:rPr>
              <w:t>The inherent potential or capacity of a material to cause adverse effects in a living organism.</w:t>
            </w:r>
          </w:p>
        </w:tc>
      </w:tr>
      <w:tr w:rsidR="00304BBF" w14:paraId="5E7F1640" w14:textId="77777777" w:rsidTr="00846C9A">
        <w:trPr>
          <w:cantSplit/>
        </w:trPr>
        <w:tc>
          <w:tcPr>
            <w:tcW w:w="1509" w:type="pct"/>
            <w:tcBorders>
              <w:top w:val="single" w:sz="4" w:space="0" w:color="auto"/>
              <w:bottom w:val="single" w:sz="12" w:space="0" w:color="auto"/>
            </w:tcBorders>
          </w:tcPr>
          <w:p w14:paraId="5E7F163E" w14:textId="77777777" w:rsidR="001303C0" w:rsidRPr="00585FD8" w:rsidRDefault="000836A2" w:rsidP="007336AC">
            <w:pPr>
              <w:pStyle w:val="TableText"/>
              <w:rPr>
                <w:lang w:eastAsia="ja-JP"/>
              </w:rPr>
            </w:pPr>
            <w:r w:rsidRPr="00585FD8">
              <w:rPr>
                <w:lang w:eastAsia="ja-JP"/>
              </w:rPr>
              <w:t>toxicity test</w:t>
            </w:r>
          </w:p>
        </w:tc>
        <w:tc>
          <w:tcPr>
            <w:tcW w:w="3491" w:type="pct"/>
            <w:tcBorders>
              <w:top w:val="single" w:sz="4" w:space="0" w:color="auto"/>
              <w:bottom w:val="single" w:sz="12" w:space="0" w:color="auto"/>
            </w:tcBorders>
          </w:tcPr>
          <w:p w14:paraId="5E7F163F" w14:textId="77777777" w:rsidR="001303C0" w:rsidRPr="00585FD8" w:rsidRDefault="000836A2" w:rsidP="007336AC">
            <w:pPr>
              <w:pStyle w:val="TableText"/>
              <w:rPr>
                <w:lang w:eastAsia="ja-JP"/>
              </w:rPr>
            </w:pPr>
            <w:r w:rsidRPr="008B22E7">
              <w:rPr>
                <w:lang w:eastAsia="ja-JP"/>
              </w:rPr>
              <w:t xml:space="preserve">The means by which the toxicity of a chemical or other test material is determined. A toxicity test is used to </w:t>
            </w:r>
            <w:r w:rsidRPr="008B22E7">
              <w:rPr>
                <w:lang w:eastAsia="ja-JP"/>
              </w:rPr>
              <w:t>measure the degree of response produced by exposure to a specific level of stimulus (or concentration of chemical) for a specified test period.</w:t>
            </w:r>
          </w:p>
        </w:tc>
      </w:tr>
    </w:tbl>
    <w:p w14:paraId="5E7F1641" w14:textId="77777777" w:rsidR="001303C0" w:rsidRPr="00585FD8" w:rsidRDefault="001303C0" w:rsidP="001303C0">
      <w:pPr>
        <w:rPr>
          <w:lang w:eastAsia="ja-JP"/>
        </w:rPr>
      </w:pPr>
    </w:p>
    <w:p w14:paraId="5E7F1642" w14:textId="77777777" w:rsidR="00606A7B" w:rsidRDefault="00606A7B" w:rsidP="001303C0">
      <w:pPr>
        <w:rPr>
          <w:lang w:eastAsia="ja-JP"/>
        </w:rPr>
        <w:sectPr w:rsidR="00606A7B" w:rsidSect="00414A32">
          <w:headerReference w:type="default" r:id="rId29"/>
          <w:headerReference w:type="first" r:id="rId30"/>
          <w:footerReference w:type="first" r:id="rId31"/>
          <w:pgSz w:w="11906" w:h="16838"/>
          <w:pgMar w:top="1418" w:right="1418" w:bottom="1418" w:left="1418" w:header="567" w:footer="283" w:gutter="0"/>
          <w:pgNumType w:start="1"/>
          <w:cols w:space="708"/>
          <w:titlePg/>
          <w:docGrid w:linePitch="360"/>
        </w:sectPr>
      </w:pPr>
    </w:p>
    <w:p w14:paraId="5E7F1643" w14:textId="77777777" w:rsidR="00606A7B" w:rsidRDefault="000836A2" w:rsidP="00C35989">
      <w:pPr>
        <w:pStyle w:val="Heading2"/>
        <w:numPr>
          <w:ilvl w:val="0"/>
          <w:numId w:val="0"/>
        </w:numPr>
      </w:pPr>
      <w:bookmarkStart w:id="27" w:name="_Ref50628887"/>
      <w:bookmarkStart w:id="28" w:name="_Toc56073297"/>
      <w:r>
        <w:t>Appendix</w:t>
      </w:r>
      <w:r w:rsidR="0089046E">
        <w:t> </w:t>
      </w:r>
      <w:r>
        <w:t xml:space="preserve">A: </w:t>
      </w:r>
      <w:r w:rsidR="0028085F">
        <w:t>T</w:t>
      </w:r>
      <w:r w:rsidR="0028085F" w:rsidRPr="000C7ECF">
        <w:t>oxicity data that passed the screening and quality assessment</w:t>
      </w:r>
      <w:r w:rsidR="008336F0">
        <w:t xml:space="preserve"> and used to derive the default guideline values</w:t>
      </w:r>
      <w:bookmarkEnd w:id="27"/>
      <w:bookmarkEnd w:id="28"/>
    </w:p>
    <w:p w14:paraId="5E7F1644" w14:textId="77777777" w:rsidR="00456F73" w:rsidRPr="00456F73" w:rsidRDefault="000836A2" w:rsidP="00456F73">
      <w:pPr>
        <w:pStyle w:val="Caption"/>
        <w:rPr>
          <w:lang w:eastAsia="ja-JP"/>
        </w:rPr>
      </w:pPr>
      <w:bookmarkStart w:id="29" w:name="_Ref50628904"/>
      <w:bookmarkStart w:id="30" w:name="_Toc56073306"/>
      <w:r>
        <w:t>Table</w:t>
      </w:r>
      <w:r>
        <w:rPr>
          <w:lang w:val="en-US"/>
        </w:rPr>
        <w:t> </w:t>
      </w:r>
      <w:r>
        <w:t>A </w:t>
      </w:r>
      <w:fldSimple w:instr=" SEQ Table_A \* ARABIC ">
        <w:r w:rsidR="00CC51D9">
          <w:rPr>
            <w:noProof/>
          </w:rPr>
          <w:t>1</w:t>
        </w:r>
      </w:fldSimple>
      <w:bookmarkEnd w:id="29"/>
      <w:r>
        <w:t xml:space="preserve"> </w:t>
      </w:r>
      <w:r w:rsidRPr="00456F73">
        <w:rPr>
          <w:lang w:eastAsia="ja-JP"/>
        </w:rPr>
        <w:t xml:space="preserve">Summary, toxicity data that passed the screening and quality assurance processes, </w:t>
      </w:r>
      <w:r>
        <w:rPr>
          <w:lang w:eastAsia="ja-JP"/>
        </w:rPr>
        <w:t xml:space="preserve">alpha-cypermethrin </w:t>
      </w:r>
      <w:r w:rsidRPr="00456F73">
        <w:rPr>
          <w:lang w:eastAsia="ja-JP"/>
        </w:rPr>
        <w:t>in freshwater</w:t>
      </w:r>
      <w:bookmarkEnd w:id="30"/>
    </w:p>
    <w:tbl>
      <w:tblPr>
        <w:tblW w:w="5000" w:type="pct"/>
        <w:tblBorders>
          <w:top w:val="single" w:sz="6" w:space="0" w:color="auto"/>
          <w:bottom w:val="single" w:sz="4" w:space="0" w:color="auto"/>
          <w:insideH w:val="single" w:sz="4" w:space="0" w:color="auto"/>
        </w:tblBorders>
        <w:tblLook w:val="0000" w:firstRow="0" w:lastRow="0" w:firstColumn="0" w:lastColumn="0" w:noHBand="0" w:noVBand="0"/>
        <w:tblCaption w:val="Summary, toxicity data that passed the screening and quality assurance processes, alpha-cypermethrin in freshwater"/>
        <w:tblDescription w:val="Table lists 14 species with their taxonomic group and species name. The different life stages for each species are provided with the following test information: exposure duration, test type, toxicity measure (test endpoint), test medium, temperature, pH, concentration (microgram per litre) and reference."/>
      </w:tblPr>
      <w:tblGrid>
        <w:gridCol w:w="1419"/>
        <w:gridCol w:w="1798"/>
        <w:gridCol w:w="955"/>
        <w:gridCol w:w="942"/>
        <w:gridCol w:w="844"/>
        <w:gridCol w:w="1393"/>
        <w:gridCol w:w="1668"/>
        <w:gridCol w:w="1196"/>
        <w:gridCol w:w="909"/>
        <w:gridCol w:w="1283"/>
        <w:gridCol w:w="1595"/>
      </w:tblGrid>
      <w:tr w:rsidR="00304BBF" w14:paraId="5E7F1651" w14:textId="77777777" w:rsidTr="00BF4B64">
        <w:trPr>
          <w:cantSplit/>
          <w:tblHeader/>
        </w:trPr>
        <w:tc>
          <w:tcPr>
            <w:tcW w:w="499" w:type="pct"/>
            <w:tcBorders>
              <w:top w:val="single" w:sz="12" w:space="0" w:color="auto"/>
              <w:bottom w:val="single" w:sz="12" w:space="0" w:color="auto"/>
            </w:tcBorders>
            <w:shd w:val="clear" w:color="auto" w:fill="auto"/>
          </w:tcPr>
          <w:p w14:paraId="5E7F1645" w14:textId="77777777" w:rsidR="00B50845" w:rsidRPr="00651B6C" w:rsidRDefault="000836A2" w:rsidP="00BD1FD5">
            <w:pPr>
              <w:pStyle w:val="TableHeading"/>
            </w:pPr>
            <w:r>
              <w:t>Taxonomic group</w:t>
            </w:r>
          </w:p>
        </w:tc>
        <w:tc>
          <w:tcPr>
            <w:tcW w:w="645" w:type="pct"/>
            <w:tcBorders>
              <w:top w:val="single" w:sz="12" w:space="0" w:color="auto"/>
              <w:bottom w:val="single" w:sz="12" w:space="0" w:color="auto"/>
            </w:tcBorders>
            <w:shd w:val="clear" w:color="auto" w:fill="auto"/>
          </w:tcPr>
          <w:p w14:paraId="5E7F1646" w14:textId="77777777" w:rsidR="00B50845" w:rsidRPr="00651B6C" w:rsidRDefault="000836A2" w:rsidP="00846C9A">
            <w:pPr>
              <w:pStyle w:val="TableHeading"/>
            </w:pPr>
            <w:r w:rsidRPr="00651B6C">
              <w:t>Species</w:t>
            </w:r>
          </w:p>
        </w:tc>
        <w:tc>
          <w:tcPr>
            <w:tcW w:w="344" w:type="pct"/>
            <w:tcBorders>
              <w:top w:val="single" w:sz="12" w:space="0" w:color="auto"/>
              <w:bottom w:val="single" w:sz="12" w:space="0" w:color="auto"/>
            </w:tcBorders>
            <w:shd w:val="clear" w:color="auto" w:fill="auto"/>
          </w:tcPr>
          <w:p w14:paraId="5E7F1647" w14:textId="77777777" w:rsidR="00B50845" w:rsidRPr="00651B6C" w:rsidRDefault="000836A2" w:rsidP="00846C9A">
            <w:pPr>
              <w:pStyle w:val="TableHeading"/>
            </w:pPr>
            <w:r w:rsidRPr="00651B6C">
              <w:t>Life stage</w:t>
            </w:r>
          </w:p>
        </w:tc>
        <w:tc>
          <w:tcPr>
            <w:tcW w:w="339" w:type="pct"/>
            <w:tcBorders>
              <w:top w:val="single" w:sz="12" w:space="0" w:color="auto"/>
              <w:bottom w:val="single" w:sz="12" w:space="0" w:color="auto"/>
            </w:tcBorders>
            <w:shd w:val="clear" w:color="auto" w:fill="auto"/>
          </w:tcPr>
          <w:p w14:paraId="5E7F1648" w14:textId="77777777" w:rsidR="00B50845" w:rsidRPr="00651B6C" w:rsidRDefault="000836A2" w:rsidP="00846C9A">
            <w:pPr>
              <w:pStyle w:val="TableHeading"/>
            </w:pPr>
            <w:r w:rsidRPr="00651B6C">
              <w:t>Exposure duration (h)</w:t>
            </w:r>
          </w:p>
        </w:tc>
        <w:tc>
          <w:tcPr>
            <w:tcW w:w="304" w:type="pct"/>
            <w:tcBorders>
              <w:top w:val="single" w:sz="12" w:space="0" w:color="auto"/>
              <w:bottom w:val="single" w:sz="12" w:space="0" w:color="auto"/>
            </w:tcBorders>
            <w:shd w:val="clear" w:color="auto" w:fill="auto"/>
          </w:tcPr>
          <w:p w14:paraId="5E7F1649" w14:textId="77777777" w:rsidR="00B50845" w:rsidRPr="00651B6C" w:rsidRDefault="000836A2" w:rsidP="00846C9A">
            <w:pPr>
              <w:pStyle w:val="TableHeading"/>
            </w:pPr>
            <w:r w:rsidRPr="00651B6C">
              <w:t>Test type</w:t>
            </w:r>
          </w:p>
        </w:tc>
        <w:tc>
          <w:tcPr>
            <w:tcW w:w="500" w:type="pct"/>
            <w:tcBorders>
              <w:top w:val="single" w:sz="12" w:space="0" w:color="auto"/>
              <w:bottom w:val="single" w:sz="12" w:space="0" w:color="auto"/>
            </w:tcBorders>
            <w:shd w:val="clear" w:color="auto" w:fill="auto"/>
          </w:tcPr>
          <w:p w14:paraId="5E7F164A" w14:textId="77777777" w:rsidR="00491062" w:rsidRDefault="000836A2" w:rsidP="00491062">
            <w:pPr>
              <w:pStyle w:val="TableHeading"/>
            </w:pPr>
            <w:r w:rsidRPr="00651B6C">
              <w:t xml:space="preserve">Toxicity measure </w:t>
            </w:r>
            <w:r w:rsidRPr="00651B6C">
              <w:rPr>
                <w:vertAlign w:val="superscript"/>
              </w:rPr>
              <w:t>a</w:t>
            </w:r>
          </w:p>
          <w:p w14:paraId="5E7F164B" w14:textId="77777777" w:rsidR="00B50845" w:rsidRPr="00651B6C" w:rsidRDefault="000836A2" w:rsidP="00491062">
            <w:pPr>
              <w:pStyle w:val="TableHeading"/>
            </w:pPr>
            <w:r w:rsidRPr="00651B6C">
              <w:t>(test endpoint)</w:t>
            </w:r>
          </w:p>
        </w:tc>
        <w:tc>
          <w:tcPr>
            <w:tcW w:w="598" w:type="pct"/>
            <w:tcBorders>
              <w:top w:val="single" w:sz="12" w:space="0" w:color="auto"/>
              <w:bottom w:val="single" w:sz="12" w:space="0" w:color="auto"/>
            </w:tcBorders>
            <w:shd w:val="clear" w:color="auto" w:fill="auto"/>
          </w:tcPr>
          <w:p w14:paraId="5E7F164C" w14:textId="77777777" w:rsidR="00B50845" w:rsidRPr="00651B6C" w:rsidRDefault="000836A2" w:rsidP="00846C9A">
            <w:pPr>
              <w:pStyle w:val="TableHeading"/>
            </w:pPr>
            <w:r w:rsidRPr="00651B6C">
              <w:t>Test medium</w:t>
            </w:r>
          </w:p>
        </w:tc>
        <w:tc>
          <w:tcPr>
            <w:tcW w:w="421" w:type="pct"/>
            <w:tcBorders>
              <w:top w:val="single" w:sz="12" w:space="0" w:color="auto"/>
              <w:bottom w:val="single" w:sz="12" w:space="0" w:color="auto"/>
            </w:tcBorders>
            <w:shd w:val="clear" w:color="auto" w:fill="auto"/>
          </w:tcPr>
          <w:p w14:paraId="5E7F164D" w14:textId="77777777" w:rsidR="00B50845" w:rsidRPr="00651B6C" w:rsidRDefault="000836A2" w:rsidP="00BD1FD5">
            <w:pPr>
              <w:pStyle w:val="TableHeading"/>
            </w:pPr>
            <w:r w:rsidRPr="00651B6C">
              <w:t>Temp</w:t>
            </w:r>
            <w:r>
              <w:t>erature</w:t>
            </w:r>
            <w:r w:rsidRPr="00651B6C">
              <w:t xml:space="preserve"> (</w:t>
            </w:r>
            <w:r w:rsidRPr="00651B6C">
              <w:rPr>
                <w:rFonts w:ascii="Symbol" w:hAnsi="Symbol"/>
              </w:rPr>
              <w:sym w:font="Symbol" w:char="F0B0"/>
            </w:r>
            <w:r w:rsidRPr="00651B6C">
              <w:t>C)</w:t>
            </w:r>
          </w:p>
        </w:tc>
        <w:tc>
          <w:tcPr>
            <w:tcW w:w="327" w:type="pct"/>
            <w:tcBorders>
              <w:top w:val="single" w:sz="12" w:space="0" w:color="auto"/>
              <w:bottom w:val="single" w:sz="12" w:space="0" w:color="auto"/>
            </w:tcBorders>
            <w:shd w:val="clear" w:color="auto" w:fill="auto"/>
          </w:tcPr>
          <w:p w14:paraId="5E7F164E" w14:textId="77777777" w:rsidR="00B50845" w:rsidRPr="00651B6C" w:rsidRDefault="000836A2" w:rsidP="00846C9A">
            <w:pPr>
              <w:pStyle w:val="TableHeading"/>
            </w:pPr>
            <w:r w:rsidRPr="00651B6C">
              <w:t>pH</w:t>
            </w:r>
          </w:p>
        </w:tc>
        <w:tc>
          <w:tcPr>
            <w:tcW w:w="451" w:type="pct"/>
            <w:tcBorders>
              <w:top w:val="single" w:sz="12" w:space="0" w:color="auto"/>
              <w:bottom w:val="single" w:sz="12" w:space="0" w:color="auto"/>
            </w:tcBorders>
            <w:shd w:val="clear" w:color="auto" w:fill="auto"/>
          </w:tcPr>
          <w:p w14:paraId="5E7F164F" w14:textId="77777777" w:rsidR="00B50845" w:rsidRPr="004C31C3" w:rsidRDefault="000836A2" w:rsidP="004C31C3">
            <w:pPr>
              <w:pStyle w:val="TableHeading"/>
            </w:pPr>
            <w:r w:rsidRPr="004C31C3">
              <w:t>Conc</w:t>
            </w:r>
            <w:r>
              <w:t>ent</w:t>
            </w:r>
            <w:r>
              <w:t>ration</w:t>
            </w:r>
            <w:r w:rsidRPr="004C31C3">
              <w:t xml:space="preserve"> (µg/L)</w:t>
            </w:r>
            <w:r>
              <w:t xml:space="preserve"> </w:t>
            </w:r>
          </w:p>
        </w:tc>
        <w:tc>
          <w:tcPr>
            <w:tcW w:w="572" w:type="pct"/>
            <w:tcBorders>
              <w:top w:val="single" w:sz="12" w:space="0" w:color="auto"/>
              <w:bottom w:val="single" w:sz="12" w:space="0" w:color="auto"/>
            </w:tcBorders>
            <w:shd w:val="clear" w:color="auto" w:fill="auto"/>
          </w:tcPr>
          <w:p w14:paraId="5E7F1650" w14:textId="77777777" w:rsidR="00B50845" w:rsidRPr="00651B6C" w:rsidRDefault="000836A2" w:rsidP="00846C9A">
            <w:pPr>
              <w:pStyle w:val="TableHeading"/>
            </w:pPr>
            <w:r w:rsidRPr="00651B6C">
              <w:t>Reference</w:t>
            </w:r>
          </w:p>
        </w:tc>
      </w:tr>
      <w:tr w:rsidR="00304BBF" w14:paraId="5E7F165D" w14:textId="77777777" w:rsidTr="00BF4B64">
        <w:trPr>
          <w:cantSplit/>
        </w:trPr>
        <w:tc>
          <w:tcPr>
            <w:tcW w:w="499" w:type="pct"/>
            <w:tcBorders>
              <w:top w:val="single" w:sz="12" w:space="0" w:color="auto"/>
            </w:tcBorders>
            <w:shd w:val="clear" w:color="auto" w:fill="auto"/>
          </w:tcPr>
          <w:p w14:paraId="5E7F1652" w14:textId="77777777" w:rsidR="00B50845" w:rsidRPr="00204B41" w:rsidRDefault="000836A2" w:rsidP="00846C9A">
            <w:pPr>
              <w:pStyle w:val="TableText"/>
            </w:pPr>
            <w:r>
              <w:t>Cyanobacterium</w:t>
            </w:r>
          </w:p>
        </w:tc>
        <w:tc>
          <w:tcPr>
            <w:tcW w:w="645" w:type="pct"/>
            <w:tcBorders>
              <w:top w:val="single" w:sz="12" w:space="0" w:color="auto"/>
            </w:tcBorders>
            <w:shd w:val="clear" w:color="auto" w:fill="auto"/>
          </w:tcPr>
          <w:p w14:paraId="5E7F1653" w14:textId="77777777" w:rsidR="00B50845" w:rsidRPr="00846C9A" w:rsidRDefault="000836A2" w:rsidP="00846C9A">
            <w:pPr>
              <w:pStyle w:val="TableText"/>
              <w:rPr>
                <w:rStyle w:val="Emphasis"/>
              </w:rPr>
            </w:pPr>
            <w:r w:rsidRPr="00846C9A">
              <w:rPr>
                <w:rStyle w:val="Emphasis"/>
              </w:rPr>
              <w:t>Anabaena flos-aquae</w:t>
            </w:r>
          </w:p>
        </w:tc>
        <w:tc>
          <w:tcPr>
            <w:tcW w:w="344" w:type="pct"/>
            <w:tcBorders>
              <w:top w:val="single" w:sz="12" w:space="0" w:color="auto"/>
            </w:tcBorders>
            <w:shd w:val="clear" w:color="auto" w:fill="auto"/>
          </w:tcPr>
          <w:p w14:paraId="5E7F1654" w14:textId="77777777" w:rsidR="00B50845" w:rsidRPr="00204B41" w:rsidRDefault="000836A2" w:rsidP="00846C9A">
            <w:pPr>
              <w:pStyle w:val="TableText"/>
            </w:pPr>
            <w:r>
              <w:t>–</w:t>
            </w:r>
          </w:p>
        </w:tc>
        <w:tc>
          <w:tcPr>
            <w:tcW w:w="339" w:type="pct"/>
            <w:tcBorders>
              <w:top w:val="single" w:sz="12" w:space="0" w:color="auto"/>
            </w:tcBorders>
            <w:shd w:val="clear" w:color="auto" w:fill="auto"/>
          </w:tcPr>
          <w:p w14:paraId="5E7F1655" w14:textId="77777777" w:rsidR="00B50845" w:rsidRPr="00204B41" w:rsidRDefault="000836A2" w:rsidP="00846C9A">
            <w:pPr>
              <w:pStyle w:val="TableText"/>
            </w:pPr>
            <w:r>
              <w:t>96</w:t>
            </w:r>
          </w:p>
        </w:tc>
        <w:tc>
          <w:tcPr>
            <w:tcW w:w="304" w:type="pct"/>
            <w:tcBorders>
              <w:top w:val="single" w:sz="12" w:space="0" w:color="auto"/>
            </w:tcBorders>
            <w:shd w:val="clear" w:color="auto" w:fill="auto"/>
          </w:tcPr>
          <w:p w14:paraId="5E7F1656" w14:textId="77777777" w:rsidR="00B50845" w:rsidRPr="00204B41" w:rsidRDefault="000836A2" w:rsidP="00846C9A">
            <w:pPr>
              <w:pStyle w:val="TableText"/>
            </w:pPr>
            <w:r>
              <w:t>Chronic</w:t>
            </w:r>
          </w:p>
        </w:tc>
        <w:tc>
          <w:tcPr>
            <w:tcW w:w="500" w:type="pct"/>
            <w:tcBorders>
              <w:top w:val="single" w:sz="12" w:space="0" w:color="auto"/>
            </w:tcBorders>
            <w:shd w:val="clear" w:color="auto" w:fill="auto"/>
          </w:tcPr>
          <w:p w14:paraId="5E7F1657" w14:textId="77777777" w:rsidR="00B50845" w:rsidRPr="00204B41" w:rsidRDefault="000836A2" w:rsidP="00846C9A">
            <w:pPr>
              <w:pStyle w:val="TableText"/>
            </w:pPr>
            <w:r>
              <w:t>NOEC (Growth)</w:t>
            </w:r>
          </w:p>
        </w:tc>
        <w:tc>
          <w:tcPr>
            <w:tcW w:w="598" w:type="pct"/>
            <w:tcBorders>
              <w:top w:val="single" w:sz="12" w:space="0" w:color="auto"/>
            </w:tcBorders>
            <w:shd w:val="clear" w:color="auto" w:fill="auto"/>
          </w:tcPr>
          <w:p w14:paraId="5E7F1658" w14:textId="77777777" w:rsidR="00B50845" w:rsidRPr="00D23AFB" w:rsidRDefault="000836A2" w:rsidP="00846C9A">
            <w:pPr>
              <w:pStyle w:val="TableText"/>
            </w:pPr>
            <w:r>
              <w:t>–</w:t>
            </w:r>
          </w:p>
        </w:tc>
        <w:tc>
          <w:tcPr>
            <w:tcW w:w="421" w:type="pct"/>
            <w:tcBorders>
              <w:top w:val="single" w:sz="12" w:space="0" w:color="auto"/>
            </w:tcBorders>
            <w:shd w:val="clear" w:color="auto" w:fill="auto"/>
          </w:tcPr>
          <w:p w14:paraId="5E7F1659" w14:textId="77777777" w:rsidR="00B50845" w:rsidRPr="00D23AFB" w:rsidRDefault="000836A2" w:rsidP="00846C9A">
            <w:pPr>
              <w:pStyle w:val="TableText"/>
            </w:pPr>
            <w:r>
              <w:t>–</w:t>
            </w:r>
          </w:p>
        </w:tc>
        <w:tc>
          <w:tcPr>
            <w:tcW w:w="327" w:type="pct"/>
            <w:tcBorders>
              <w:top w:val="single" w:sz="12" w:space="0" w:color="auto"/>
            </w:tcBorders>
            <w:shd w:val="clear" w:color="auto" w:fill="auto"/>
          </w:tcPr>
          <w:p w14:paraId="5E7F165A" w14:textId="77777777" w:rsidR="00B50845" w:rsidRPr="00D23AFB" w:rsidRDefault="000836A2" w:rsidP="00846C9A">
            <w:pPr>
              <w:pStyle w:val="TableText"/>
            </w:pPr>
            <w:r>
              <w:t>–</w:t>
            </w:r>
          </w:p>
        </w:tc>
        <w:tc>
          <w:tcPr>
            <w:tcW w:w="451" w:type="pct"/>
            <w:tcBorders>
              <w:top w:val="single" w:sz="12" w:space="0" w:color="auto"/>
            </w:tcBorders>
            <w:shd w:val="clear" w:color="auto" w:fill="auto"/>
          </w:tcPr>
          <w:p w14:paraId="5E7F165B" w14:textId="77777777" w:rsidR="00B50845" w:rsidRDefault="000836A2" w:rsidP="00846C9A">
            <w:pPr>
              <w:pStyle w:val="TableText"/>
            </w:pPr>
            <w:r>
              <w:t xml:space="preserve">27.2 </w:t>
            </w:r>
            <w:r w:rsidRPr="00156A95">
              <w:rPr>
                <w:rStyle w:val="Strong"/>
                <w:vertAlign w:val="superscript"/>
              </w:rPr>
              <w:t>b</w:t>
            </w:r>
          </w:p>
        </w:tc>
        <w:tc>
          <w:tcPr>
            <w:tcW w:w="572" w:type="pct"/>
            <w:tcBorders>
              <w:top w:val="single" w:sz="12" w:space="0" w:color="auto"/>
            </w:tcBorders>
            <w:shd w:val="clear" w:color="auto" w:fill="auto"/>
          </w:tcPr>
          <w:p w14:paraId="5E7F165C" w14:textId="77777777" w:rsidR="00B50845" w:rsidRPr="00D23AFB" w:rsidRDefault="000836A2" w:rsidP="00BD1FD5">
            <w:pPr>
              <w:pStyle w:val="TableText"/>
            </w:pPr>
            <w:r>
              <w:t>USEPA (2019)</w:t>
            </w:r>
          </w:p>
        </w:tc>
      </w:tr>
      <w:tr w:rsidR="00304BBF" w14:paraId="5E7F1669" w14:textId="77777777" w:rsidTr="00BF4B64">
        <w:trPr>
          <w:cantSplit/>
        </w:trPr>
        <w:tc>
          <w:tcPr>
            <w:tcW w:w="499" w:type="pct"/>
            <w:shd w:val="clear" w:color="auto" w:fill="auto"/>
          </w:tcPr>
          <w:p w14:paraId="5E7F165E" w14:textId="77777777" w:rsidR="00B50845" w:rsidRDefault="000836A2" w:rsidP="00846C9A">
            <w:pPr>
              <w:pStyle w:val="TableText"/>
            </w:pPr>
            <w:r>
              <w:t>Diatom</w:t>
            </w:r>
          </w:p>
        </w:tc>
        <w:tc>
          <w:tcPr>
            <w:tcW w:w="645" w:type="pct"/>
            <w:shd w:val="clear" w:color="auto" w:fill="auto"/>
          </w:tcPr>
          <w:p w14:paraId="5E7F165F" w14:textId="77777777" w:rsidR="00B50845" w:rsidRPr="00846C9A" w:rsidRDefault="000836A2" w:rsidP="00846C9A">
            <w:pPr>
              <w:pStyle w:val="TableText"/>
              <w:rPr>
                <w:rStyle w:val="Emphasis"/>
              </w:rPr>
            </w:pPr>
            <w:r w:rsidRPr="00846C9A">
              <w:rPr>
                <w:rStyle w:val="Emphasis"/>
              </w:rPr>
              <w:t>Navicula pelliculosa</w:t>
            </w:r>
          </w:p>
        </w:tc>
        <w:tc>
          <w:tcPr>
            <w:tcW w:w="344" w:type="pct"/>
            <w:shd w:val="clear" w:color="auto" w:fill="auto"/>
          </w:tcPr>
          <w:p w14:paraId="5E7F1660" w14:textId="77777777" w:rsidR="00B50845" w:rsidRDefault="000836A2" w:rsidP="00846C9A">
            <w:pPr>
              <w:pStyle w:val="TableText"/>
            </w:pPr>
            <w:r>
              <w:t>–</w:t>
            </w:r>
          </w:p>
        </w:tc>
        <w:tc>
          <w:tcPr>
            <w:tcW w:w="339" w:type="pct"/>
            <w:shd w:val="clear" w:color="auto" w:fill="auto"/>
          </w:tcPr>
          <w:p w14:paraId="5E7F1661" w14:textId="77777777" w:rsidR="00B50845" w:rsidRDefault="000836A2" w:rsidP="00846C9A">
            <w:pPr>
              <w:pStyle w:val="TableText"/>
            </w:pPr>
            <w:r>
              <w:t>96</w:t>
            </w:r>
          </w:p>
        </w:tc>
        <w:tc>
          <w:tcPr>
            <w:tcW w:w="304" w:type="pct"/>
            <w:shd w:val="clear" w:color="auto" w:fill="auto"/>
          </w:tcPr>
          <w:p w14:paraId="5E7F1662" w14:textId="77777777" w:rsidR="00B50845" w:rsidRDefault="000836A2" w:rsidP="00846C9A">
            <w:pPr>
              <w:pStyle w:val="TableText"/>
            </w:pPr>
            <w:r>
              <w:t>Chronic</w:t>
            </w:r>
          </w:p>
        </w:tc>
        <w:tc>
          <w:tcPr>
            <w:tcW w:w="500" w:type="pct"/>
            <w:shd w:val="clear" w:color="auto" w:fill="auto"/>
          </w:tcPr>
          <w:p w14:paraId="5E7F1663" w14:textId="77777777" w:rsidR="00B50845" w:rsidRDefault="000836A2" w:rsidP="00846C9A">
            <w:pPr>
              <w:pStyle w:val="TableText"/>
            </w:pPr>
            <w:r>
              <w:t>NOEC (Growth)</w:t>
            </w:r>
          </w:p>
        </w:tc>
        <w:tc>
          <w:tcPr>
            <w:tcW w:w="598" w:type="pct"/>
            <w:shd w:val="clear" w:color="auto" w:fill="auto"/>
          </w:tcPr>
          <w:p w14:paraId="5E7F1664" w14:textId="77777777" w:rsidR="00B50845" w:rsidRDefault="000836A2" w:rsidP="00846C9A">
            <w:pPr>
              <w:pStyle w:val="TableText"/>
            </w:pPr>
            <w:r>
              <w:t>–</w:t>
            </w:r>
          </w:p>
        </w:tc>
        <w:tc>
          <w:tcPr>
            <w:tcW w:w="421" w:type="pct"/>
            <w:shd w:val="clear" w:color="auto" w:fill="auto"/>
          </w:tcPr>
          <w:p w14:paraId="5E7F1665" w14:textId="77777777" w:rsidR="00B50845" w:rsidRDefault="000836A2" w:rsidP="00846C9A">
            <w:pPr>
              <w:pStyle w:val="TableText"/>
            </w:pPr>
            <w:r>
              <w:t>–</w:t>
            </w:r>
          </w:p>
        </w:tc>
        <w:tc>
          <w:tcPr>
            <w:tcW w:w="327" w:type="pct"/>
            <w:shd w:val="clear" w:color="auto" w:fill="auto"/>
          </w:tcPr>
          <w:p w14:paraId="5E7F1666" w14:textId="77777777" w:rsidR="00B50845" w:rsidRDefault="000836A2" w:rsidP="00846C9A">
            <w:pPr>
              <w:pStyle w:val="TableText"/>
            </w:pPr>
            <w:r>
              <w:t>–</w:t>
            </w:r>
          </w:p>
        </w:tc>
        <w:tc>
          <w:tcPr>
            <w:tcW w:w="451" w:type="pct"/>
            <w:shd w:val="clear" w:color="auto" w:fill="auto"/>
          </w:tcPr>
          <w:p w14:paraId="5E7F1667" w14:textId="77777777" w:rsidR="00B50845" w:rsidRDefault="000836A2" w:rsidP="00846C9A">
            <w:pPr>
              <w:pStyle w:val="TableText"/>
            </w:pPr>
            <w:r>
              <w:t>72</w:t>
            </w:r>
            <w:r w:rsidRPr="00156A95">
              <w:t xml:space="preserve"> </w:t>
            </w:r>
            <w:r w:rsidRPr="00156A95">
              <w:rPr>
                <w:rStyle w:val="Strong"/>
                <w:vertAlign w:val="superscript"/>
              </w:rPr>
              <w:t>b</w:t>
            </w:r>
          </w:p>
        </w:tc>
        <w:tc>
          <w:tcPr>
            <w:tcW w:w="572" w:type="pct"/>
            <w:shd w:val="clear" w:color="auto" w:fill="auto"/>
          </w:tcPr>
          <w:p w14:paraId="5E7F1668" w14:textId="77777777" w:rsidR="00B50845" w:rsidRDefault="000836A2" w:rsidP="00846C9A">
            <w:pPr>
              <w:pStyle w:val="TableText"/>
            </w:pPr>
            <w:r>
              <w:t>USEPA (2019)</w:t>
            </w:r>
          </w:p>
        </w:tc>
      </w:tr>
      <w:tr w:rsidR="00304BBF" w14:paraId="5E7F1675" w14:textId="77777777" w:rsidTr="00BF4B64">
        <w:trPr>
          <w:cantSplit/>
        </w:trPr>
        <w:tc>
          <w:tcPr>
            <w:tcW w:w="499" w:type="pct"/>
            <w:shd w:val="clear" w:color="auto" w:fill="auto"/>
          </w:tcPr>
          <w:p w14:paraId="5E7F166A" w14:textId="77777777" w:rsidR="00B50845" w:rsidRDefault="000836A2" w:rsidP="00846C9A">
            <w:pPr>
              <w:pStyle w:val="TableText"/>
            </w:pPr>
            <w:r>
              <w:t>Macrophyte</w:t>
            </w:r>
          </w:p>
        </w:tc>
        <w:tc>
          <w:tcPr>
            <w:tcW w:w="645" w:type="pct"/>
            <w:shd w:val="clear" w:color="auto" w:fill="auto"/>
          </w:tcPr>
          <w:p w14:paraId="5E7F166B" w14:textId="77777777" w:rsidR="00B50845" w:rsidRPr="00846C9A" w:rsidRDefault="000836A2" w:rsidP="00846C9A">
            <w:pPr>
              <w:pStyle w:val="TableText"/>
              <w:rPr>
                <w:rStyle w:val="Emphasis"/>
              </w:rPr>
            </w:pPr>
            <w:r w:rsidRPr="00846C9A">
              <w:rPr>
                <w:rStyle w:val="Emphasis"/>
              </w:rPr>
              <w:t>Lemna gibba</w:t>
            </w:r>
          </w:p>
        </w:tc>
        <w:tc>
          <w:tcPr>
            <w:tcW w:w="344" w:type="pct"/>
            <w:shd w:val="clear" w:color="auto" w:fill="auto"/>
          </w:tcPr>
          <w:p w14:paraId="5E7F166C" w14:textId="77777777" w:rsidR="00B50845" w:rsidRDefault="000836A2" w:rsidP="00846C9A">
            <w:pPr>
              <w:pStyle w:val="TableText"/>
            </w:pPr>
            <w:r>
              <w:t>–</w:t>
            </w:r>
          </w:p>
        </w:tc>
        <w:tc>
          <w:tcPr>
            <w:tcW w:w="339" w:type="pct"/>
            <w:shd w:val="clear" w:color="auto" w:fill="auto"/>
          </w:tcPr>
          <w:p w14:paraId="5E7F166D" w14:textId="77777777" w:rsidR="00B50845" w:rsidRDefault="000836A2" w:rsidP="00846C9A">
            <w:pPr>
              <w:pStyle w:val="TableText"/>
            </w:pPr>
            <w:r>
              <w:t>168</w:t>
            </w:r>
          </w:p>
        </w:tc>
        <w:tc>
          <w:tcPr>
            <w:tcW w:w="304" w:type="pct"/>
            <w:shd w:val="clear" w:color="auto" w:fill="auto"/>
          </w:tcPr>
          <w:p w14:paraId="5E7F166E" w14:textId="77777777" w:rsidR="00B50845" w:rsidRDefault="000836A2" w:rsidP="00846C9A">
            <w:pPr>
              <w:pStyle w:val="TableText"/>
            </w:pPr>
            <w:r>
              <w:t>Chronic</w:t>
            </w:r>
          </w:p>
        </w:tc>
        <w:tc>
          <w:tcPr>
            <w:tcW w:w="500" w:type="pct"/>
            <w:shd w:val="clear" w:color="auto" w:fill="auto"/>
          </w:tcPr>
          <w:p w14:paraId="5E7F166F" w14:textId="77777777" w:rsidR="00B50845" w:rsidRDefault="000836A2" w:rsidP="00846C9A">
            <w:pPr>
              <w:pStyle w:val="TableText"/>
            </w:pPr>
            <w:r>
              <w:t>NOEC (Growth)</w:t>
            </w:r>
          </w:p>
        </w:tc>
        <w:tc>
          <w:tcPr>
            <w:tcW w:w="598" w:type="pct"/>
            <w:shd w:val="clear" w:color="auto" w:fill="auto"/>
          </w:tcPr>
          <w:p w14:paraId="5E7F1670" w14:textId="77777777" w:rsidR="00B50845" w:rsidRDefault="000836A2" w:rsidP="00846C9A">
            <w:pPr>
              <w:pStyle w:val="TableText"/>
            </w:pPr>
            <w:r>
              <w:t>–</w:t>
            </w:r>
          </w:p>
        </w:tc>
        <w:tc>
          <w:tcPr>
            <w:tcW w:w="421" w:type="pct"/>
            <w:shd w:val="clear" w:color="auto" w:fill="auto"/>
          </w:tcPr>
          <w:p w14:paraId="5E7F1671" w14:textId="77777777" w:rsidR="00B50845" w:rsidRDefault="000836A2" w:rsidP="00846C9A">
            <w:pPr>
              <w:pStyle w:val="TableText"/>
            </w:pPr>
            <w:r>
              <w:t>–</w:t>
            </w:r>
          </w:p>
        </w:tc>
        <w:tc>
          <w:tcPr>
            <w:tcW w:w="327" w:type="pct"/>
            <w:shd w:val="clear" w:color="auto" w:fill="auto"/>
          </w:tcPr>
          <w:p w14:paraId="5E7F1672" w14:textId="77777777" w:rsidR="00B50845" w:rsidRDefault="000836A2" w:rsidP="00846C9A">
            <w:pPr>
              <w:pStyle w:val="TableText"/>
            </w:pPr>
            <w:r>
              <w:t>–</w:t>
            </w:r>
          </w:p>
        </w:tc>
        <w:tc>
          <w:tcPr>
            <w:tcW w:w="451" w:type="pct"/>
            <w:shd w:val="clear" w:color="auto" w:fill="auto"/>
          </w:tcPr>
          <w:p w14:paraId="5E7F1673" w14:textId="77777777" w:rsidR="00B50845" w:rsidRDefault="000836A2" w:rsidP="00846C9A">
            <w:pPr>
              <w:pStyle w:val="TableText"/>
            </w:pPr>
            <w:r>
              <w:t>1.39</w:t>
            </w:r>
            <w:r w:rsidRPr="00156A95">
              <w:t xml:space="preserve"> </w:t>
            </w:r>
            <w:r w:rsidRPr="00156A95">
              <w:rPr>
                <w:rStyle w:val="Strong"/>
                <w:vertAlign w:val="superscript"/>
              </w:rPr>
              <w:t>b</w:t>
            </w:r>
          </w:p>
        </w:tc>
        <w:tc>
          <w:tcPr>
            <w:tcW w:w="572" w:type="pct"/>
            <w:shd w:val="clear" w:color="auto" w:fill="auto"/>
          </w:tcPr>
          <w:p w14:paraId="5E7F1674" w14:textId="77777777" w:rsidR="00B50845" w:rsidRDefault="000836A2" w:rsidP="00846C9A">
            <w:pPr>
              <w:pStyle w:val="TableText"/>
            </w:pPr>
            <w:r>
              <w:t>USEPA (2019)</w:t>
            </w:r>
          </w:p>
        </w:tc>
      </w:tr>
      <w:tr w:rsidR="00304BBF" w14:paraId="5E7F1681" w14:textId="77777777" w:rsidTr="00BF4B64">
        <w:trPr>
          <w:cantSplit/>
        </w:trPr>
        <w:tc>
          <w:tcPr>
            <w:tcW w:w="499" w:type="pct"/>
            <w:vMerge w:val="restart"/>
            <w:shd w:val="clear" w:color="auto" w:fill="auto"/>
          </w:tcPr>
          <w:p w14:paraId="5E7F1676" w14:textId="77777777" w:rsidR="00B50845" w:rsidRPr="00204B41" w:rsidRDefault="000836A2" w:rsidP="00846C9A">
            <w:pPr>
              <w:pStyle w:val="TableText"/>
            </w:pPr>
            <w:r w:rsidRPr="00204B41">
              <w:t>Crustacean</w:t>
            </w:r>
          </w:p>
        </w:tc>
        <w:tc>
          <w:tcPr>
            <w:tcW w:w="645" w:type="pct"/>
            <w:shd w:val="clear" w:color="auto" w:fill="auto"/>
          </w:tcPr>
          <w:p w14:paraId="5E7F1677" w14:textId="77777777" w:rsidR="00B50845" w:rsidRPr="00846C9A" w:rsidRDefault="000836A2" w:rsidP="00846C9A">
            <w:pPr>
              <w:pStyle w:val="TableText"/>
              <w:rPr>
                <w:rStyle w:val="Emphasis"/>
              </w:rPr>
            </w:pPr>
            <w:r w:rsidRPr="00846C9A">
              <w:rPr>
                <w:rStyle w:val="Emphasis"/>
              </w:rPr>
              <w:t>Paratya australiensis</w:t>
            </w:r>
          </w:p>
        </w:tc>
        <w:tc>
          <w:tcPr>
            <w:tcW w:w="344" w:type="pct"/>
            <w:shd w:val="clear" w:color="auto" w:fill="auto"/>
          </w:tcPr>
          <w:p w14:paraId="5E7F1678" w14:textId="77777777" w:rsidR="00B50845" w:rsidRPr="00204B41" w:rsidRDefault="000836A2" w:rsidP="00846C9A">
            <w:pPr>
              <w:pStyle w:val="TableText"/>
            </w:pPr>
            <w:r w:rsidRPr="00204B41">
              <w:t>Adults</w:t>
            </w:r>
          </w:p>
        </w:tc>
        <w:tc>
          <w:tcPr>
            <w:tcW w:w="339" w:type="pct"/>
            <w:shd w:val="clear" w:color="auto" w:fill="auto"/>
          </w:tcPr>
          <w:p w14:paraId="5E7F1679" w14:textId="77777777" w:rsidR="00B50845" w:rsidRPr="00204B41" w:rsidRDefault="000836A2" w:rsidP="00846C9A">
            <w:pPr>
              <w:pStyle w:val="TableText"/>
            </w:pPr>
            <w:r w:rsidRPr="00204B41">
              <w:t>96</w:t>
            </w:r>
          </w:p>
        </w:tc>
        <w:tc>
          <w:tcPr>
            <w:tcW w:w="304" w:type="pct"/>
            <w:shd w:val="clear" w:color="auto" w:fill="auto"/>
          </w:tcPr>
          <w:p w14:paraId="5E7F167A" w14:textId="77777777" w:rsidR="00B50845" w:rsidRPr="00204B41" w:rsidRDefault="000836A2" w:rsidP="00846C9A">
            <w:pPr>
              <w:pStyle w:val="TableText"/>
            </w:pPr>
            <w:r w:rsidRPr="00204B41">
              <w:t>Acute</w:t>
            </w:r>
          </w:p>
        </w:tc>
        <w:tc>
          <w:tcPr>
            <w:tcW w:w="500" w:type="pct"/>
            <w:shd w:val="clear" w:color="auto" w:fill="auto"/>
          </w:tcPr>
          <w:p w14:paraId="5E7F167B" w14:textId="77777777" w:rsidR="00B50845" w:rsidRPr="00204B41" w:rsidRDefault="000836A2" w:rsidP="00846C9A">
            <w:pPr>
              <w:pStyle w:val="TableText"/>
            </w:pPr>
            <w:r w:rsidRPr="00204B41">
              <w:t>LC50 (Survival)</w:t>
            </w:r>
          </w:p>
        </w:tc>
        <w:tc>
          <w:tcPr>
            <w:tcW w:w="598" w:type="pct"/>
            <w:shd w:val="clear" w:color="auto" w:fill="auto"/>
          </w:tcPr>
          <w:p w14:paraId="5E7F167C" w14:textId="77777777" w:rsidR="00B50845" w:rsidRPr="00D23AFB" w:rsidRDefault="000836A2" w:rsidP="00846C9A">
            <w:pPr>
              <w:pStyle w:val="TableText"/>
            </w:pPr>
            <w:r w:rsidRPr="00D23AFB">
              <w:t>Water</w:t>
            </w:r>
          </w:p>
        </w:tc>
        <w:tc>
          <w:tcPr>
            <w:tcW w:w="421" w:type="pct"/>
            <w:shd w:val="clear" w:color="auto" w:fill="auto"/>
          </w:tcPr>
          <w:p w14:paraId="5E7F167D" w14:textId="77777777" w:rsidR="00B50845" w:rsidRPr="00D23AFB" w:rsidRDefault="000836A2" w:rsidP="00846C9A">
            <w:pPr>
              <w:pStyle w:val="TableText"/>
            </w:pPr>
            <w:r>
              <w:t>22.6–</w:t>
            </w:r>
            <w:r w:rsidRPr="00D23AFB">
              <w:t>24.2</w:t>
            </w:r>
          </w:p>
        </w:tc>
        <w:tc>
          <w:tcPr>
            <w:tcW w:w="327" w:type="pct"/>
            <w:shd w:val="clear" w:color="auto" w:fill="auto"/>
          </w:tcPr>
          <w:p w14:paraId="5E7F167E" w14:textId="77777777" w:rsidR="00B50845" w:rsidRPr="00D23AFB" w:rsidRDefault="000836A2" w:rsidP="00AA31B0">
            <w:pPr>
              <w:pStyle w:val="TableText"/>
            </w:pPr>
            <w:r w:rsidRPr="00D23AFB">
              <w:t>7.7</w:t>
            </w:r>
            <w:r>
              <w:t>–</w:t>
            </w:r>
            <w:r w:rsidRPr="00D23AFB">
              <w:t>7.9</w:t>
            </w:r>
          </w:p>
        </w:tc>
        <w:tc>
          <w:tcPr>
            <w:tcW w:w="451" w:type="pct"/>
            <w:shd w:val="clear" w:color="auto" w:fill="auto"/>
          </w:tcPr>
          <w:p w14:paraId="5E7F167F" w14:textId="77777777" w:rsidR="00B50845" w:rsidRDefault="000836A2" w:rsidP="00846C9A">
            <w:pPr>
              <w:pStyle w:val="TableText"/>
            </w:pPr>
            <w:r>
              <w:t xml:space="preserve">0.019 </w:t>
            </w:r>
            <w:r w:rsidRPr="00156A95">
              <w:rPr>
                <w:rStyle w:val="Strong"/>
                <w:vertAlign w:val="superscript"/>
              </w:rPr>
              <w:t>c</w:t>
            </w:r>
          </w:p>
        </w:tc>
        <w:tc>
          <w:tcPr>
            <w:tcW w:w="572" w:type="pct"/>
            <w:shd w:val="clear" w:color="auto" w:fill="auto"/>
          </w:tcPr>
          <w:p w14:paraId="5E7F1680" w14:textId="77777777" w:rsidR="00B50845" w:rsidRPr="00D23AFB" w:rsidRDefault="000836A2" w:rsidP="00846C9A">
            <w:pPr>
              <w:pStyle w:val="TableText"/>
            </w:pPr>
            <w:r w:rsidRPr="00D23AFB">
              <w:t xml:space="preserve">Kumar et al. </w:t>
            </w:r>
            <w:r>
              <w:t>(</w:t>
            </w:r>
            <w:r w:rsidRPr="00D23AFB">
              <w:t>2010</w:t>
            </w:r>
            <w:r>
              <w:t>)</w:t>
            </w:r>
          </w:p>
        </w:tc>
      </w:tr>
      <w:tr w:rsidR="00304BBF" w14:paraId="5E7F168D" w14:textId="77777777" w:rsidTr="00BF4B64">
        <w:trPr>
          <w:cantSplit/>
        </w:trPr>
        <w:tc>
          <w:tcPr>
            <w:tcW w:w="499" w:type="pct"/>
            <w:vMerge/>
            <w:shd w:val="clear" w:color="auto" w:fill="auto"/>
          </w:tcPr>
          <w:p w14:paraId="5E7F1682" w14:textId="77777777" w:rsidR="00B50845" w:rsidRPr="00204B41" w:rsidRDefault="00B50845" w:rsidP="00846C9A">
            <w:pPr>
              <w:pStyle w:val="TableText"/>
            </w:pPr>
          </w:p>
        </w:tc>
        <w:tc>
          <w:tcPr>
            <w:tcW w:w="645" w:type="pct"/>
            <w:shd w:val="clear" w:color="auto" w:fill="auto"/>
          </w:tcPr>
          <w:p w14:paraId="5E7F1683" w14:textId="77777777" w:rsidR="00B50845" w:rsidRPr="00846C9A" w:rsidRDefault="000836A2" w:rsidP="00846C9A">
            <w:pPr>
              <w:pStyle w:val="TableText"/>
              <w:rPr>
                <w:rStyle w:val="Emphasis"/>
              </w:rPr>
            </w:pPr>
            <w:r w:rsidRPr="00846C9A">
              <w:rPr>
                <w:rStyle w:val="Emphasis"/>
              </w:rPr>
              <w:t>Ceriodaphnia dubia</w:t>
            </w:r>
          </w:p>
        </w:tc>
        <w:tc>
          <w:tcPr>
            <w:tcW w:w="344" w:type="pct"/>
            <w:shd w:val="clear" w:color="auto" w:fill="auto"/>
          </w:tcPr>
          <w:p w14:paraId="5E7F1684" w14:textId="77777777" w:rsidR="00B50845" w:rsidRPr="00204B41" w:rsidRDefault="000836A2" w:rsidP="00846C9A">
            <w:pPr>
              <w:pStyle w:val="TableText"/>
            </w:pPr>
            <w:r w:rsidRPr="00204B41">
              <w:t>Neonates</w:t>
            </w:r>
          </w:p>
        </w:tc>
        <w:tc>
          <w:tcPr>
            <w:tcW w:w="339" w:type="pct"/>
            <w:shd w:val="clear" w:color="auto" w:fill="auto"/>
          </w:tcPr>
          <w:p w14:paraId="5E7F1685" w14:textId="77777777" w:rsidR="00B50845" w:rsidRPr="00204B41" w:rsidRDefault="000836A2" w:rsidP="00846C9A">
            <w:pPr>
              <w:pStyle w:val="TableText"/>
            </w:pPr>
            <w:r w:rsidRPr="00204B41">
              <w:t>192</w:t>
            </w:r>
          </w:p>
        </w:tc>
        <w:tc>
          <w:tcPr>
            <w:tcW w:w="304" w:type="pct"/>
            <w:shd w:val="clear" w:color="auto" w:fill="auto"/>
          </w:tcPr>
          <w:p w14:paraId="5E7F1686" w14:textId="77777777" w:rsidR="00B50845" w:rsidRPr="00204B41" w:rsidRDefault="000836A2" w:rsidP="00846C9A">
            <w:pPr>
              <w:pStyle w:val="TableText"/>
            </w:pPr>
            <w:r w:rsidRPr="00204B41">
              <w:t>Chronic</w:t>
            </w:r>
          </w:p>
        </w:tc>
        <w:tc>
          <w:tcPr>
            <w:tcW w:w="500" w:type="pct"/>
            <w:shd w:val="clear" w:color="auto" w:fill="auto"/>
          </w:tcPr>
          <w:p w14:paraId="5E7F1687" w14:textId="77777777" w:rsidR="00B50845" w:rsidRPr="00204B41" w:rsidRDefault="000836A2" w:rsidP="00846C9A">
            <w:pPr>
              <w:pStyle w:val="TableText"/>
            </w:pPr>
            <w:r w:rsidRPr="00204B41">
              <w:t>NOEC (</w:t>
            </w:r>
            <w:r>
              <w:t>Growth</w:t>
            </w:r>
            <w:r w:rsidRPr="00204B41">
              <w:t>)</w:t>
            </w:r>
          </w:p>
        </w:tc>
        <w:tc>
          <w:tcPr>
            <w:tcW w:w="598" w:type="pct"/>
            <w:shd w:val="clear" w:color="auto" w:fill="auto"/>
          </w:tcPr>
          <w:p w14:paraId="5E7F1688" w14:textId="77777777" w:rsidR="00B50845" w:rsidRPr="00204B41" w:rsidRDefault="000836A2" w:rsidP="00846C9A">
            <w:pPr>
              <w:pStyle w:val="TableText"/>
            </w:pPr>
            <w:r w:rsidRPr="00204B41">
              <w:t>Moderately hard water</w:t>
            </w:r>
          </w:p>
        </w:tc>
        <w:tc>
          <w:tcPr>
            <w:tcW w:w="421" w:type="pct"/>
            <w:shd w:val="clear" w:color="auto" w:fill="auto"/>
          </w:tcPr>
          <w:p w14:paraId="5E7F1689" w14:textId="77777777" w:rsidR="00B50845" w:rsidRPr="00204B41" w:rsidRDefault="000836A2" w:rsidP="00AA31B0">
            <w:pPr>
              <w:pStyle w:val="TableText"/>
            </w:pPr>
            <w:r w:rsidRPr="00204B41">
              <w:t>23</w:t>
            </w:r>
            <w:r>
              <w:t>–</w:t>
            </w:r>
            <w:r w:rsidRPr="00204B41">
              <w:t>25</w:t>
            </w:r>
          </w:p>
        </w:tc>
        <w:tc>
          <w:tcPr>
            <w:tcW w:w="327" w:type="pct"/>
            <w:shd w:val="clear" w:color="auto" w:fill="auto"/>
          </w:tcPr>
          <w:p w14:paraId="5E7F168A" w14:textId="77777777" w:rsidR="00B50845" w:rsidRPr="00204B41" w:rsidRDefault="000836A2" w:rsidP="00AA31B0">
            <w:pPr>
              <w:pStyle w:val="TableText"/>
            </w:pPr>
            <w:r w:rsidRPr="00204B41">
              <w:t>8.0</w:t>
            </w:r>
            <w:r>
              <w:t>–</w:t>
            </w:r>
            <w:r w:rsidRPr="00204B41">
              <w:t>8.1</w:t>
            </w:r>
          </w:p>
        </w:tc>
        <w:tc>
          <w:tcPr>
            <w:tcW w:w="451" w:type="pct"/>
            <w:shd w:val="clear" w:color="auto" w:fill="auto"/>
          </w:tcPr>
          <w:p w14:paraId="5E7F168B" w14:textId="77777777" w:rsidR="00B50845" w:rsidRDefault="000836A2" w:rsidP="00846C9A">
            <w:pPr>
              <w:pStyle w:val="TableText"/>
            </w:pPr>
            <w:r>
              <w:t>0.025</w:t>
            </w:r>
            <w:r w:rsidRPr="00156A95">
              <w:t xml:space="preserve"> </w:t>
            </w:r>
            <w:r w:rsidRPr="00156A95">
              <w:rPr>
                <w:rStyle w:val="Strong"/>
                <w:vertAlign w:val="superscript"/>
              </w:rPr>
              <w:t>b</w:t>
            </w:r>
          </w:p>
        </w:tc>
        <w:tc>
          <w:tcPr>
            <w:tcW w:w="572" w:type="pct"/>
            <w:shd w:val="clear" w:color="auto" w:fill="auto"/>
          </w:tcPr>
          <w:p w14:paraId="5E7F168C" w14:textId="77777777" w:rsidR="00B50845" w:rsidRPr="005E5AC2" w:rsidRDefault="000836A2" w:rsidP="00846C9A">
            <w:pPr>
              <w:pStyle w:val="TableText"/>
            </w:pPr>
            <w:r w:rsidRPr="00204B41">
              <w:t>Shen</w:t>
            </w:r>
            <w:r>
              <w:t xml:space="preserve"> </w:t>
            </w:r>
            <w:r w:rsidRPr="00204B41">
              <w:t xml:space="preserve">et al. </w:t>
            </w:r>
            <w:r>
              <w:t>(</w:t>
            </w:r>
            <w:r w:rsidRPr="00204B41">
              <w:t>2012</w:t>
            </w:r>
            <w:r>
              <w:t>)</w:t>
            </w:r>
          </w:p>
        </w:tc>
      </w:tr>
      <w:tr w:rsidR="00304BBF" w14:paraId="5E7F1699" w14:textId="77777777" w:rsidTr="00BF4B64">
        <w:trPr>
          <w:cantSplit/>
        </w:trPr>
        <w:tc>
          <w:tcPr>
            <w:tcW w:w="499" w:type="pct"/>
            <w:vMerge/>
            <w:shd w:val="clear" w:color="auto" w:fill="auto"/>
          </w:tcPr>
          <w:p w14:paraId="5E7F168E" w14:textId="77777777" w:rsidR="00B50845" w:rsidRPr="00204B41" w:rsidRDefault="00B50845" w:rsidP="00846C9A">
            <w:pPr>
              <w:pStyle w:val="TableText"/>
            </w:pPr>
          </w:p>
        </w:tc>
        <w:tc>
          <w:tcPr>
            <w:tcW w:w="645" w:type="pct"/>
            <w:shd w:val="clear" w:color="auto" w:fill="auto"/>
          </w:tcPr>
          <w:p w14:paraId="5E7F168F" w14:textId="77777777" w:rsidR="00B50845" w:rsidRPr="00846C9A" w:rsidRDefault="000836A2" w:rsidP="00846C9A">
            <w:pPr>
              <w:pStyle w:val="TableText"/>
              <w:rPr>
                <w:rStyle w:val="Emphasis"/>
              </w:rPr>
            </w:pPr>
            <w:r w:rsidRPr="00846C9A">
              <w:rPr>
                <w:rStyle w:val="Emphasis"/>
              </w:rPr>
              <w:t>Daphnia magna</w:t>
            </w:r>
          </w:p>
        </w:tc>
        <w:tc>
          <w:tcPr>
            <w:tcW w:w="344" w:type="pct"/>
            <w:shd w:val="clear" w:color="auto" w:fill="auto"/>
          </w:tcPr>
          <w:p w14:paraId="5E7F1690" w14:textId="77777777" w:rsidR="00B50845" w:rsidRPr="00204B41" w:rsidRDefault="000836A2" w:rsidP="00846C9A">
            <w:pPr>
              <w:pStyle w:val="TableText"/>
            </w:pPr>
            <w:r>
              <w:t>Neonates</w:t>
            </w:r>
          </w:p>
        </w:tc>
        <w:tc>
          <w:tcPr>
            <w:tcW w:w="339" w:type="pct"/>
            <w:shd w:val="clear" w:color="auto" w:fill="auto"/>
          </w:tcPr>
          <w:p w14:paraId="5E7F1691" w14:textId="77777777" w:rsidR="00B50845" w:rsidRPr="00204B41" w:rsidRDefault="000836A2" w:rsidP="00846C9A">
            <w:pPr>
              <w:pStyle w:val="TableText"/>
            </w:pPr>
            <w:r>
              <w:t>504</w:t>
            </w:r>
          </w:p>
        </w:tc>
        <w:tc>
          <w:tcPr>
            <w:tcW w:w="304" w:type="pct"/>
            <w:shd w:val="clear" w:color="auto" w:fill="auto"/>
          </w:tcPr>
          <w:p w14:paraId="5E7F1692" w14:textId="77777777" w:rsidR="00B50845" w:rsidRPr="00204B41" w:rsidRDefault="000836A2" w:rsidP="00846C9A">
            <w:pPr>
              <w:pStyle w:val="TableText"/>
            </w:pPr>
            <w:r>
              <w:t>Chronic</w:t>
            </w:r>
          </w:p>
        </w:tc>
        <w:tc>
          <w:tcPr>
            <w:tcW w:w="500" w:type="pct"/>
            <w:shd w:val="clear" w:color="auto" w:fill="auto"/>
          </w:tcPr>
          <w:p w14:paraId="5E7F1693" w14:textId="77777777" w:rsidR="00B50845" w:rsidRPr="00204B41" w:rsidRDefault="000836A2" w:rsidP="00846C9A">
            <w:pPr>
              <w:pStyle w:val="TableText"/>
            </w:pPr>
            <w:r>
              <w:t>NOEC (Reproduction)</w:t>
            </w:r>
          </w:p>
        </w:tc>
        <w:tc>
          <w:tcPr>
            <w:tcW w:w="598" w:type="pct"/>
            <w:shd w:val="clear" w:color="auto" w:fill="auto"/>
          </w:tcPr>
          <w:p w14:paraId="5E7F1694" w14:textId="77777777" w:rsidR="00B50845" w:rsidRPr="00204B41" w:rsidRDefault="000836A2" w:rsidP="00846C9A">
            <w:pPr>
              <w:pStyle w:val="TableText"/>
            </w:pPr>
            <w:r>
              <w:t>–</w:t>
            </w:r>
          </w:p>
        </w:tc>
        <w:tc>
          <w:tcPr>
            <w:tcW w:w="421" w:type="pct"/>
            <w:shd w:val="clear" w:color="auto" w:fill="auto"/>
          </w:tcPr>
          <w:p w14:paraId="5E7F1695" w14:textId="77777777" w:rsidR="00B50845" w:rsidRPr="00204B41" w:rsidRDefault="000836A2" w:rsidP="00846C9A">
            <w:pPr>
              <w:pStyle w:val="TableText"/>
            </w:pPr>
            <w:r>
              <w:t>–</w:t>
            </w:r>
          </w:p>
        </w:tc>
        <w:tc>
          <w:tcPr>
            <w:tcW w:w="327" w:type="pct"/>
            <w:shd w:val="clear" w:color="auto" w:fill="auto"/>
          </w:tcPr>
          <w:p w14:paraId="5E7F1696" w14:textId="77777777" w:rsidR="00B50845" w:rsidRPr="00204B41" w:rsidRDefault="000836A2" w:rsidP="00846C9A">
            <w:pPr>
              <w:pStyle w:val="TableText"/>
            </w:pPr>
            <w:r>
              <w:t>–</w:t>
            </w:r>
          </w:p>
        </w:tc>
        <w:tc>
          <w:tcPr>
            <w:tcW w:w="451" w:type="pct"/>
            <w:shd w:val="clear" w:color="auto" w:fill="auto"/>
          </w:tcPr>
          <w:p w14:paraId="5E7F1697" w14:textId="77777777" w:rsidR="00B50845" w:rsidRDefault="000836A2" w:rsidP="00846C9A">
            <w:pPr>
              <w:pStyle w:val="TableText"/>
            </w:pPr>
            <w:r>
              <w:t>0.037</w:t>
            </w:r>
            <w:r w:rsidRPr="00156A95">
              <w:t xml:space="preserve"> </w:t>
            </w:r>
            <w:r w:rsidRPr="00156A95">
              <w:rPr>
                <w:rStyle w:val="Strong"/>
                <w:vertAlign w:val="superscript"/>
              </w:rPr>
              <w:t>b</w:t>
            </w:r>
          </w:p>
        </w:tc>
        <w:tc>
          <w:tcPr>
            <w:tcW w:w="572" w:type="pct"/>
            <w:shd w:val="clear" w:color="auto" w:fill="auto"/>
          </w:tcPr>
          <w:p w14:paraId="5E7F1698" w14:textId="77777777" w:rsidR="00B50845" w:rsidRPr="00204B41" w:rsidRDefault="000836A2" w:rsidP="00846C9A">
            <w:pPr>
              <w:pStyle w:val="TableText"/>
            </w:pPr>
            <w:r>
              <w:t>USEPA (2019)</w:t>
            </w:r>
          </w:p>
        </w:tc>
      </w:tr>
      <w:tr w:rsidR="00304BBF" w14:paraId="5E7F16A5" w14:textId="77777777" w:rsidTr="00BF4B64">
        <w:trPr>
          <w:cantSplit/>
        </w:trPr>
        <w:tc>
          <w:tcPr>
            <w:tcW w:w="499" w:type="pct"/>
            <w:vMerge w:val="restart"/>
            <w:shd w:val="clear" w:color="auto" w:fill="auto"/>
          </w:tcPr>
          <w:p w14:paraId="5E7F169A" w14:textId="77777777" w:rsidR="00B50845" w:rsidRPr="00204B41" w:rsidRDefault="000836A2" w:rsidP="00846C9A">
            <w:pPr>
              <w:pStyle w:val="TableText"/>
            </w:pPr>
            <w:r>
              <w:t>Insect</w:t>
            </w:r>
          </w:p>
        </w:tc>
        <w:tc>
          <w:tcPr>
            <w:tcW w:w="645" w:type="pct"/>
            <w:shd w:val="clear" w:color="auto" w:fill="auto"/>
          </w:tcPr>
          <w:p w14:paraId="5E7F169B" w14:textId="77777777" w:rsidR="00B50845" w:rsidRPr="00846C9A" w:rsidRDefault="000836A2" w:rsidP="00846C9A">
            <w:pPr>
              <w:pStyle w:val="TableText"/>
              <w:rPr>
                <w:rStyle w:val="Emphasis"/>
              </w:rPr>
            </w:pPr>
            <w:r w:rsidRPr="00846C9A">
              <w:rPr>
                <w:rStyle w:val="Emphasis"/>
              </w:rPr>
              <w:t>Culex tritaeniorhynchus</w:t>
            </w:r>
          </w:p>
        </w:tc>
        <w:tc>
          <w:tcPr>
            <w:tcW w:w="344" w:type="pct"/>
            <w:shd w:val="clear" w:color="auto" w:fill="auto"/>
          </w:tcPr>
          <w:p w14:paraId="5E7F169C" w14:textId="77777777" w:rsidR="00B50845" w:rsidRPr="00204B41" w:rsidRDefault="000836A2" w:rsidP="00846C9A">
            <w:pPr>
              <w:pStyle w:val="TableText"/>
            </w:pPr>
            <w:r>
              <w:t>Larvae</w:t>
            </w:r>
          </w:p>
        </w:tc>
        <w:tc>
          <w:tcPr>
            <w:tcW w:w="339" w:type="pct"/>
            <w:shd w:val="clear" w:color="auto" w:fill="auto"/>
          </w:tcPr>
          <w:p w14:paraId="5E7F169D" w14:textId="77777777" w:rsidR="00B50845" w:rsidRPr="00204B41" w:rsidRDefault="000836A2" w:rsidP="00846C9A">
            <w:pPr>
              <w:pStyle w:val="TableText"/>
            </w:pPr>
            <w:r>
              <w:t>24</w:t>
            </w:r>
          </w:p>
        </w:tc>
        <w:tc>
          <w:tcPr>
            <w:tcW w:w="304" w:type="pct"/>
            <w:shd w:val="clear" w:color="auto" w:fill="auto"/>
          </w:tcPr>
          <w:p w14:paraId="5E7F169E" w14:textId="77777777" w:rsidR="00B50845" w:rsidRPr="00204B41" w:rsidRDefault="000836A2" w:rsidP="00846C9A">
            <w:pPr>
              <w:pStyle w:val="TableText"/>
            </w:pPr>
            <w:r>
              <w:t>Acute</w:t>
            </w:r>
          </w:p>
        </w:tc>
        <w:tc>
          <w:tcPr>
            <w:tcW w:w="500" w:type="pct"/>
            <w:shd w:val="clear" w:color="auto" w:fill="auto"/>
          </w:tcPr>
          <w:p w14:paraId="5E7F169F" w14:textId="77777777" w:rsidR="00B50845" w:rsidRPr="00204B41" w:rsidRDefault="000836A2" w:rsidP="00846C9A">
            <w:pPr>
              <w:pStyle w:val="TableText"/>
            </w:pPr>
            <w:r w:rsidRPr="00204B41">
              <w:t>LC50 (Survival)</w:t>
            </w:r>
          </w:p>
        </w:tc>
        <w:tc>
          <w:tcPr>
            <w:tcW w:w="598" w:type="pct"/>
            <w:shd w:val="clear" w:color="auto" w:fill="auto"/>
          </w:tcPr>
          <w:p w14:paraId="5E7F16A0" w14:textId="77777777" w:rsidR="00B50845" w:rsidRPr="005E5AC2" w:rsidRDefault="000836A2" w:rsidP="00846C9A">
            <w:pPr>
              <w:pStyle w:val="TableText"/>
            </w:pPr>
            <w:r>
              <w:t>Dechlorinated water</w:t>
            </w:r>
          </w:p>
        </w:tc>
        <w:tc>
          <w:tcPr>
            <w:tcW w:w="421" w:type="pct"/>
            <w:shd w:val="clear" w:color="auto" w:fill="auto"/>
          </w:tcPr>
          <w:p w14:paraId="5E7F16A1" w14:textId="77777777" w:rsidR="00B50845" w:rsidRPr="005E5AC2" w:rsidRDefault="000836A2" w:rsidP="00846C9A">
            <w:pPr>
              <w:pStyle w:val="TableText"/>
            </w:pPr>
            <w:r>
              <w:t>22–</w:t>
            </w:r>
            <w:r w:rsidRPr="005E5AC2">
              <w:t>24</w:t>
            </w:r>
          </w:p>
        </w:tc>
        <w:tc>
          <w:tcPr>
            <w:tcW w:w="327" w:type="pct"/>
            <w:shd w:val="clear" w:color="auto" w:fill="auto"/>
          </w:tcPr>
          <w:p w14:paraId="5E7F16A2" w14:textId="77777777" w:rsidR="00B50845" w:rsidRPr="005E5AC2" w:rsidRDefault="000836A2" w:rsidP="00AA31B0">
            <w:pPr>
              <w:pStyle w:val="TableText"/>
            </w:pPr>
            <w:r>
              <w:t>7.0–7.4</w:t>
            </w:r>
          </w:p>
        </w:tc>
        <w:tc>
          <w:tcPr>
            <w:tcW w:w="451" w:type="pct"/>
            <w:shd w:val="clear" w:color="auto" w:fill="auto"/>
          </w:tcPr>
          <w:p w14:paraId="5E7F16A3" w14:textId="77777777" w:rsidR="00B50845" w:rsidRDefault="000836A2" w:rsidP="00846C9A">
            <w:pPr>
              <w:pStyle w:val="TableText"/>
            </w:pPr>
            <w:r>
              <w:t xml:space="preserve">1.43 </w:t>
            </w:r>
            <w:r w:rsidRPr="00156A95">
              <w:rPr>
                <w:rStyle w:val="Strong"/>
                <w:vertAlign w:val="superscript"/>
              </w:rPr>
              <w:t>c</w:t>
            </w:r>
          </w:p>
        </w:tc>
        <w:tc>
          <w:tcPr>
            <w:tcW w:w="572" w:type="pct"/>
            <w:shd w:val="clear" w:color="auto" w:fill="auto"/>
          </w:tcPr>
          <w:p w14:paraId="5E7F16A4" w14:textId="77777777" w:rsidR="00B50845" w:rsidRPr="005E5AC2" w:rsidRDefault="000836A2" w:rsidP="00846C9A">
            <w:pPr>
              <w:pStyle w:val="TableText"/>
            </w:pPr>
            <w:r w:rsidRPr="005E5AC2">
              <w:t xml:space="preserve">Tripathi and Singh </w:t>
            </w:r>
            <w:r>
              <w:t>(</w:t>
            </w:r>
            <w:r w:rsidRPr="005E5AC2">
              <w:t>2004</w:t>
            </w:r>
            <w:r>
              <w:t>)</w:t>
            </w:r>
          </w:p>
        </w:tc>
      </w:tr>
      <w:tr w:rsidR="00304BBF" w14:paraId="5E7F16B1" w14:textId="77777777" w:rsidTr="00BF4B64">
        <w:trPr>
          <w:cantSplit/>
        </w:trPr>
        <w:tc>
          <w:tcPr>
            <w:tcW w:w="499" w:type="pct"/>
            <w:vMerge/>
            <w:shd w:val="clear" w:color="auto" w:fill="auto"/>
          </w:tcPr>
          <w:p w14:paraId="5E7F16A6" w14:textId="77777777" w:rsidR="00B50845" w:rsidRPr="00204B41" w:rsidRDefault="00B50845" w:rsidP="00846C9A">
            <w:pPr>
              <w:pStyle w:val="TableText"/>
            </w:pPr>
          </w:p>
        </w:tc>
        <w:tc>
          <w:tcPr>
            <w:tcW w:w="645" w:type="pct"/>
            <w:shd w:val="clear" w:color="auto" w:fill="auto"/>
          </w:tcPr>
          <w:p w14:paraId="5E7F16A7" w14:textId="77777777" w:rsidR="00B50845" w:rsidRPr="00846C9A" w:rsidRDefault="000836A2" w:rsidP="00846C9A">
            <w:pPr>
              <w:pStyle w:val="TableText"/>
              <w:rPr>
                <w:rStyle w:val="Emphasis"/>
              </w:rPr>
            </w:pPr>
            <w:r w:rsidRPr="00846C9A">
              <w:rPr>
                <w:rStyle w:val="Emphasis"/>
              </w:rPr>
              <w:t xml:space="preserve">Anopheles </w:t>
            </w:r>
            <w:r w:rsidRPr="00846C9A">
              <w:rPr>
                <w:rStyle w:val="Emphasis"/>
              </w:rPr>
              <w:t>sinensis</w:t>
            </w:r>
          </w:p>
        </w:tc>
        <w:tc>
          <w:tcPr>
            <w:tcW w:w="344" w:type="pct"/>
            <w:shd w:val="clear" w:color="auto" w:fill="auto"/>
          </w:tcPr>
          <w:p w14:paraId="5E7F16A8" w14:textId="77777777" w:rsidR="00B50845" w:rsidRPr="00204B41" w:rsidRDefault="000836A2" w:rsidP="00846C9A">
            <w:pPr>
              <w:pStyle w:val="TableText"/>
            </w:pPr>
            <w:r>
              <w:t>Larvae</w:t>
            </w:r>
          </w:p>
        </w:tc>
        <w:tc>
          <w:tcPr>
            <w:tcW w:w="339" w:type="pct"/>
            <w:shd w:val="clear" w:color="auto" w:fill="auto"/>
          </w:tcPr>
          <w:p w14:paraId="5E7F16A9" w14:textId="77777777" w:rsidR="00B50845" w:rsidRPr="00204B41" w:rsidRDefault="000836A2" w:rsidP="00846C9A">
            <w:pPr>
              <w:pStyle w:val="TableText"/>
            </w:pPr>
            <w:r>
              <w:t>24</w:t>
            </w:r>
          </w:p>
        </w:tc>
        <w:tc>
          <w:tcPr>
            <w:tcW w:w="304" w:type="pct"/>
            <w:shd w:val="clear" w:color="auto" w:fill="auto"/>
          </w:tcPr>
          <w:p w14:paraId="5E7F16AA" w14:textId="77777777" w:rsidR="00B50845" w:rsidRPr="00204B41" w:rsidRDefault="000836A2" w:rsidP="00846C9A">
            <w:pPr>
              <w:pStyle w:val="TableText"/>
            </w:pPr>
            <w:r>
              <w:t>Acute</w:t>
            </w:r>
          </w:p>
        </w:tc>
        <w:tc>
          <w:tcPr>
            <w:tcW w:w="500" w:type="pct"/>
            <w:shd w:val="clear" w:color="auto" w:fill="auto"/>
          </w:tcPr>
          <w:p w14:paraId="5E7F16AB" w14:textId="77777777" w:rsidR="00B50845" w:rsidRPr="00204B41" w:rsidRDefault="000836A2" w:rsidP="00846C9A">
            <w:pPr>
              <w:pStyle w:val="TableText"/>
            </w:pPr>
            <w:r w:rsidRPr="00204B41">
              <w:t>LC50 (Survival)</w:t>
            </w:r>
          </w:p>
        </w:tc>
        <w:tc>
          <w:tcPr>
            <w:tcW w:w="598" w:type="pct"/>
            <w:shd w:val="clear" w:color="auto" w:fill="auto"/>
          </w:tcPr>
          <w:p w14:paraId="5E7F16AC" w14:textId="77777777" w:rsidR="00B50845" w:rsidRPr="005E5AC2" w:rsidRDefault="000836A2" w:rsidP="00846C9A">
            <w:pPr>
              <w:pStyle w:val="TableText"/>
            </w:pPr>
            <w:r>
              <w:t>Dechlorinated tap water</w:t>
            </w:r>
          </w:p>
        </w:tc>
        <w:tc>
          <w:tcPr>
            <w:tcW w:w="421" w:type="pct"/>
            <w:shd w:val="clear" w:color="auto" w:fill="auto"/>
          </w:tcPr>
          <w:p w14:paraId="5E7F16AD" w14:textId="77777777" w:rsidR="00B50845" w:rsidRPr="005E5AC2" w:rsidRDefault="000836A2" w:rsidP="00846C9A">
            <w:pPr>
              <w:pStyle w:val="TableText"/>
            </w:pPr>
            <w:r>
              <w:t>–</w:t>
            </w:r>
          </w:p>
        </w:tc>
        <w:tc>
          <w:tcPr>
            <w:tcW w:w="327" w:type="pct"/>
            <w:shd w:val="clear" w:color="auto" w:fill="auto"/>
          </w:tcPr>
          <w:p w14:paraId="5E7F16AE" w14:textId="77777777" w:rsidR="00B50845" w:rsidRPr="005E5AC2" w:rsidRDefault="000836A2" w:rsidP="00846C9A">
            <w:pPr>
              <w:pStyle w:val="TableText"/>
            </w:pPr>
            <w:r>
              <w:t>–</w:t>
            </w:r>
          </w:p>
        </w:tc>
        <w:tc>
          <w:tcPr>
            <w:tcW w:w="451" w:type="pct"/>
            <w:shd w:val="clear" w:color="auto" w:fill="auto"/>
          </w:tcPr>
          <w:p w14:paraId="5E7F16AF" w14:textId="77777777" w:rsidR="00B50845" w:rsidRPr="00495E3C" w:rsidRDefault="000836A2" w:rsidP="00846C9A">
            <w:pPr>
              <w:pStyle w:val="TableText"/>
            </w:pPr>
            <w:r>
              <w:t xml:space="preserve">60 </w:t>
            </w:r>
            <w:r w:rsidRPr="00156A95">
              <w:rPr>
                <w:rStyle w:val="Strong"/>
                <w:vertAlign w:val="superscript"/>
              </w:rPr>
              <w:t>c</w:t>
            </w:r>
          </w:p>
        </w:tc>
        <w:tc>
          <w:tcPr>
            <w:tcW w:w="572" w:type="pct"/>
            <w:shd w:val="clear" w:color="auto" w:fill="auto"/>
          </w:tcPr>
          <w:p w14:paraId="5E7F16B0" w14:textId="77777777" w:rsidR="00B50845" w:rsidRPr="005E5AC2" w:rsidRDefault="000836A2" w:rsidP="00846C9A">
            <w:pPr>
              <w:pStyle w:val="TableText"/>
            </w:pPr>
            <w:r>
              <w:t>Chang et al. (2009)</w:t>
            </w:r>
          </w:p>
        </w:tc>
      </w:tr>
      <w:tr w:rsidR="00304BBF" w14:paraId="5E7F16BD" w14:textId="77777777" w:rsidTr="00BF4B64">
        <w:trPr>
          <w:cantSplit/>
        </w:trPr>
        <w:tc>
          <w:tcPr>
            <w:tcW w:w="499" w:type="pct"/>
            <w:shd w:val="clear" w:color="auto" w:fill="auto"/>
          </w:tcPr>
          <w:p w14:paraId="5E7F16B2" w14:textId="77777777" w:rsidR="00B50845" w:rsidRPr="00204B41" w:rsidRDefault="000836A2" w:rsidP="00846C9A">
            <w:pPr>
              <w:pStyle w:val="TableText"/>
            </w:pPr>
            <w:r w:rsidRPr="00204B41">
              <w:t>Amphibian</w:t>
            </w:r>
          </w:p>
        </w:tc>
        <w:tc>
          <w:tcPr>
            <w:tcW w:w="645" w:type="pct"/>
            <w:shd w:val="clear" w:color="auto" w:fill="auto"/>
          </w:tcPr>
          <w:p w14:paraId="5E7F16B3" w14:textId="77777777" w:rsidR="00B50845" w:rsidRPr="00846C9A" w:rsidRDefault="000836A2" w:rsidP="00846C9A">
            <w:pPr>
              <w:pStyle w:val="TableText"/>
              <w:rPr>
                <w:rStyle w:val="Emphasis"/>
              </w:rPr>
            </w:pPr>
            <w:r w:rsidRPr="00846C9A">
              <w:rPr>
                <w:rStyle w:val="Emphasis"/>
              </w:rPr>
              <w:t>Xenopus laevis</w:t>
            </w:r>
          </w:p>
        </w:tc>
        <w:tc>
          <w:tcPr>
            <w:tcW w:w="344" w:type="pct"/>
            <w:shd w:val="clear" w:color="auto" w:fill="auto"/>
          </w:tcPr>
          <w:p w14:paraId="5E7F16B4" w14:textId="77777777" w:rsidR="00B50845" w:rsidRPr="00204B41" w:rsidRDefault="000836A2" w:rsidP="00846C9A">
            <w:pPr>
              <w:pStyle w:val="TableText"/>
            </w:pPr>
            <w:r w:rsidRPr="00204B41">
              <w:t>Larvae</w:t>
            </w:r>
          </w:p>
        </w:tc>
        <w:tc>
          <w:tcPr>
            <w:tcW w:w="339" w:type="pct"/>
            <w:shd w:val="clear" w:color="auto" w:fill="auto"/>
          </w:tcPr>
          <w:p w14:paraId="5E7F16B5" w14:textId="77777777" w:rsidR="00B50845" w:rsidRPr="00204B41" w:rsidRDefault="000836A2" w:rsidP="00846C9A">
            <w:pPr>
              <w:pStyle w:val="TableText"/>
            </w:pPr>
            <w:r w:rsidRPr="00204B41">
              <w:t>96</w:t>
            </w:r>
          </w:p>
        </w:tc>
        <w:tc>
          <w:tcPr>
            <w:tcW w:w="304" w:type="pct"/>
            <w:shd w:val="clear" w:color="auto" w:fill="auto"/>
          </w:tcPr>
          <w:p w14:paraId="5E7F16B6" w14:textId="77777777" w:rsidR="00B50845" w:rsidRPr="00204B41" w:rsidRDefault="000836A2" w:rsidP="00846C9A">
            <w:pPr>
              <w:pStyle w:val="TableText"/>
            </w:pPr>
            <w:r w:rsidRPr="00204B41">
              <w:t>Acute</w:t>
            </w:r>
          </w:p>
        </w:tc>
        <w:tc>
          <w:tcPr>
            <w:tcW w:w="500" w:type="pct"/>
            <w:shd w:val="clear" w:color="auto" w:fill="auto"/>
          </w:tcPr>
          <w:p w14:paraId="5E7F16B7" w14:textId="77777777" w:rsidR="00B50845" w:rsidRPr="00204B41" w:rsidRDefault="000836A2" w:rsidP="00846C9A">
            <w:pPr>
              <w:pStyle w:val="TableText"/>
            </w:pPr>
            <w:r w:rsidRPr="00204B41">
              <w:t>LC50 (Survival)</w:t>
            </w:r>
          </w:p>
        </w:tc>
        <w:tc>
          <w:tcPr>
            <w:tcW w:w="598" w:type="pct"/>
            <w:shd w:val="clear" w:color="auto" w:fill="auto"/>
          </w:tcPr>
          <w:p w14:paraId="5E7F16B8" w14:textId="77777777" w:rsidR="00B50845" w:rsidRPr="005E5AC2" w:rsidRDefault="000836A2" w:rsidP="00846C9A">
            <w:pPr>
              <w:pStyle w:val="TableText"/>
            </w:pPr>
            <w:r w:rsidRPr="005E5AC2">
              <w:t>FETAX Solution</w:t>
            </w:r>
          </w:p>
        </w:tc>
        <w:tc>
          <w:tcPr>
            <w:tcW w:w="421" w:type="pct"/>
            <w:shd w:val="clear" w:color="auto" w:fill="auto"/>
          </w:tcPr>
          <w:p w14:paraId="5E7F16B9" w14:textId="77777777" w:rsidR="00B50845" w:rsidRPr="005E5AC2" w:rsidRDefault="000836A2" w:rsidP="00AA31B0">
            <w:pPr>
              <w:pStyle w:val="TableText"/>
            </w:pPr>
            <w:r w:rsidRPr="005E5AC2">
              <w:t>22</w:t>
            </w:r>
            <w:r>
              <w:t>–</w:t>
            </w:r>
            <w:r w:rsidRPr="005E5AC2">
              <w:t>24</w:t>
            </w:r>
          </w:p>
        </w:tc>
        <w:tc>
          <w:tcPr>
            <w:tcW w:w="327" w:type="pct"/>
            <w:shd w:val="clear" w:color="auto" w:fill="auto"/>
          </w:tcPr>
          <w:p w14:paraId="5E7F16BA" w14:textId="77777777" w:rsidR="00B50845" w:rsidRPr="005E5AC2" w:rsidRDefault="000836A2" w:rsidP="00AA31B0">
            <w:pPr>
              <w:pStyle w:val="TableText"/>
            </w:pPr>
            <w:r w:rsidRPr="005E5AC2">
              <w:t>6.5</w:t>
            </w:r>
            <w:r>
              <w:t>–</w:t>
            </w:r>
            <w:r w:rsidRPr="005E5AC2">
              <w:t>8.0</w:t>
            </w:r>
          </w:p>
        </w:tc>
        <w:tc>
          <w:tcPr>
            <w:tcW w:w="451" w:type="pct"/>
            <w:shd w:val="clear" w:color="auto" w:fill="auto"/>
          </w:tcPr>
          <w:p w14:paraId="5E7F16BB" w14:textId="77777777" w:rsidR="00B50845" w:rsidRPr="00495E3C" w:rsidRDefault="000836A2" w:rsidP="00846C9A">
            <w:pPr>
              <w:pStyle w:val="TableText"/>
            </w:pPr>
            <w:r w:rsidRPr="00495E3C">
              <w:t>6.</w:t>
            </w:r>
            <w:r>
              <w:t xml:space="preserve">9 </w:t>
            </w:r>
            <w:r w:rsidRPr="00156A95">
              <w:rPr>
                <w:rStyle w:val="Strong"/>
                <w:vertAlign w:val="superscript"/>
              </w:rPr>
              <w:t>c</w:t>
            </w:r>
          </w:p>
        </w:tc>
        <w:tc>
          <w:tcPr>
            <w:tcW w:w="572" w:type="pct"/>
            <w:shd w:val="clear" w:color="auto" w:fill="auto"/>
          </w:tcPr>
          <w:p w14:paraId="5E7F16BC" w14:textId="77777777" w:rsidR="00B50845" w:rsidRPr="005E5AC2" w:rsidRDefault="000836A2" w:rsidP="00846C9A">
            <w:pPr>
              <w:pStyle w:val="TableText"/>
            </w:pPr>
            <w:r w:rsidRPr="005E5AC2">
              <w:t xml:space="preserve">Yu et al. </w:t>
            </w:r>
            <w:r>
              <w:t>(</w:t>
            </w:r>
            <w:r w:rsidRPr="005E5AC2">
              <w:t>2013</w:t>
            </w:r>
            <w:r>
              <w:t>)</w:t>
            </w:r>
          </w:p>
        </w:tc>
      </w:tr>
      <w:tr w:rsidR="00304BBF" w14:paraId="5E7F16C9" w14:textId="77777777" w:rsidTr="00BF4B64">
        <w:trPr>
          <w:cantSplit/>
        </w:trPr>
        <w:tc>
          <w:tcPr>
            <w:tcW w:w="499" w:type="pct"/>
            <w:vMerge w:val="restart"/>
            <w:shd w:val="clear" w:color="auto" w:fill="auto"/>
          </w:tcPr>
          <w:p w14:paraId="5E7F16BE" w14:textId="77777777" w:rsidR="00B50845" w:rsidRPr="00204B41" w:rsidRDefault="000836A2" w:rsidP="00846C9A">
            <w:pPr>
              <w:pStyle w:val="TableText"/>
            </w:pPr>
            <w:r w:rsidRPr="00204B41">
              <w:t>Fish</w:t>
            </w:r>
          </w:p>
        </w:tc>
        <w:tc>
          <w:tcPr>
            <w:tcW w:w="645" w:type="pct"/>
            <w:shd w:val="clear" w:color="auto" w:fill="auto"/>
          </w:tcPr>
          <w:p w14:paraId="5E7F16BF" w14:textId="77777777" w:rsidR="00B50845" w:rsidRPr="00846C9A" w:rsidRDefault="000836A2" w:rsidP="00846C9A">
            <w:pPr>
              <w:pStyle w:val="TableText"/>
              <w:rPr>
                <w:rStyle w:val="Emphasis"/>
              </w:rPr>
            </w:pPr>
            <w:r w:rsidRPr="00846C9A">
              <w:rPr>
                <w:rStyle w:val="Emphasis"/>
              </w:rPr>
              <w:t>Rutilus rutilus caspicus</w:t>
            </w:r>
          </w:p>
        </w:tc>
        <w:tc>
          <w:tcPr>
            <w:tcW w:w="344" w:type="pct"/>
            <w:shd w:val="clear" w:color="auto" w:fill="auto"/>
          </w:tcPr>
          <w:p w14:paraId="5E7F16C0" w14:textId="77777777" w:rsidR="00B50845" w:rsidRPr="00204B41" w:rsidRDefault="000836A2" w:rsidP="00846C9A">
            <w:pPr>
              <w:pStyle w:val="TableText"/>
            </w:pPr>
            <w:r>
              <w:t>Juveniles</w:t>
            </w:r>
          </w:p>
        </w:tc>
        <w:tc>
          <w:tcPr>
            <w:tcW w:w="339" w:type="pct"/>
            <w:shd w:val="clear" w:color="auto" w:fill="auto"/>
          </w:tcPr>
          <w:p w14:paraId="5E7F16C1" w14:textId="77777777" w:rsidR="00B50845" w:rsidRPr="00204B41" w:rsidRDefault="000836A2" w:rsidP="00846C9A">
            <w:pPr>
              <w:pStyle w:val="TableText"/>
            </w:pPr>
            <w:r>
              <w:t>96</w:t>
            </w:r>
          </w:p>
        </w:tc>
        <w:tc>
          <w:tcPr>
            <w:tcW w:w="304" w:type="pct"/>
            <w:shd w:val="clear" w:color="auto" w:fill="auto"/>
          </w:tcPr>
          <w:p w14:paraId="5E7F16C2" w14:textId="77777777" w:rsidR="00B50845" w:rsidRPr="00204B41" w:rsidRDefault="000836A2" w:rsidP="00846C9A">
            <w:pPr>
              <w:pStyle w:val="TableText"/>
            </w:pPr>
            <w:r>
              <w:t>Acute</w:t>
            </w:r>
          </w:p>
        </w:tc>
        <w:tc>
          <w:tcPr>
            <w:tcW w:w="500" w:type="pct"/>
            <w:shd w:val="clear" w:color="auto" w:fill="auto"/>
          </w:tcPr>
          <w:p w14:paraId="5E7F16C3" w14:textId="77777777" w:rsidR="00B50845" w:rsidRPr="00204B41" w:rsidRDefault="000836A2" w:rsidP="00846C9A">
            <w:pPr>
              <w:pStyle w:val="TableText"/>
            </w:pPr>
            <w:r w:rsidRPr="00204B41">
              <w:t>LC50 (Survival)</w:t>
            </w:r>
          </w:p>
        </w:tc>
        <w:tc>
          <w:tcPr>
            <w:tcW w:w="598" w:type="pct"/>
            <w:shd w:val="clear" w:color="auto" w:fill="auto"/>
          </w:tcPr>
          <w:p w14:paraId="5E7F16C4" w14:textId="77777777" w:rsidR="00B50845" w:rsidRPr="005E5AC2" w:rsidRDefault="000836A2" w:rsidP="00846C9A">
            <w:pPr>
              <w:pStyle w:val="TableText"/>
            </w:pPr>
            <w:r w:rsidRPr="005E5AC2">
              <w:t xml:space="preserve">Dechlorinated </w:t>
            </w:r>
            <w:r>
              <w:t xml:space="preserve">tap </w:t>
            </w:r>
            <w:r w:rsidRPr="005E5AC2">
              <w:t>water</w:t>
            </w:r>
          </w:p>
        </w:tc>
        <w:tc>
          <w:tcPr>
            <w:tcW w:w="421" w:type="pct"/>
            <w:shd w:val="clear" w:color="auto" w:fill="auto"/>
          </w:tcPr>
          <w:p w14:paraId="5E7F16C5" w14:textId="77777777" w:rsidR="00B50845" w:rsidRPr="005E5AC2" w:rsidRDefault="000836A2" w:rsidP="00AA31B0">
            <w:pPr>
              <w:pStyle w:val="TableText"/>
            </w:pPr>
            <w:r w:rsidRPr="005E5AC2">
              <w:t>22</w:t>
            </w:r>
            <w:r>
              <w:t>–</w:t>
            </w:r>
            <w:r w:rsidRPr="005E5AC2">
              <w:t>24</w:t>
            </w:r>
          </w:p>
        </w:tc>
        <w:tc>
          <w:tcPr>
            <w:tcW w:w="327" w:type="pct"/>
            <w:shd w:val="clear" w:color="auto" w:fill="auto"/>
          </w:tcPr>
          <w:p w14:paraId="5E7F16C6" w14:textId="77777777" w:rsidR="00B50845" w:rsidRPr="005E5AC2" w:rsidRDefault="000836A2" w:rsidP="00846C9A">
            <w:pPr>
              <w:pStyle w:val="TableText"/>
            </w:pPr>
            <w:r>
              <w:t>7.0–7.4</w:t>
            </w:r>
          </w:p>
        </w:tc>
        <w:tc>
          <w:tcPr>
            <w:tcW w:w="451" w:type="pct"/>
            <w:shd w:val="clear" w:color="auto" w:fill="auto"/>
          </w:tcPr>
          <w:p w14:paraId="5E7F16C7" w14:textId="77777777" w:rsidR="00B50845" w:rsidRPr="00495E3C" w:rsidRDefault="000836A2" w:rsidP="00846C9A">
            <w:pPr>
              <w:pStyle w:val="TableText"/>
            </w:pPr>
            <w:r>
              <w:t xml:space="preserve">0.627 </w:t>
            </w:r>
            <w:r w:rsidRPr="00156A95">
              <w:rPr>
                <w:rStyle w:val="Strong"/>
                <w:vertAlign w:val="superscript"/>
              </w:rPr>
              <w:t>c</w:t>
            </w:r>
          </w:p>
        </w:tc>
        <w:tc>
          <w:tcPr>
            <w:tcW w:w="572" w:type="pct"/>
            <w:shd w:val="clear" w:color="auto" w:fill="auto"/>
          </w:tcPr>
          <w:p w14:paraId="5E7F16C8" w14:textId="77777777" w:rsidR="00B50845" w:rsidRPr="005E5AC2" w:rsidRDefault="000836A2" w:rsidP="00846C9A">
            <w:pPr>
              <w:pStyle w:val="TableText"/>
            </w:pPr>
            <w:r>
              <w:t>Shaluei et al. (2012)</w:t>
            </w:r>
          </w:p>
        </w:tc>
      </w:tr>
      <w:tr w:rsidR="00304BBF" w14:paraId="5E7F16D5" w14:textId="77777777" w:rsidTr="00BF4B64">
        <w:trPr>
          <w:cantSplit/>
        </w:trPr>
        <w:tc>
          <w:tcPr>
            <w:tcW w:w="499" w:type="pct"/>
            <w:vMerge/>
            <w:shd w:val="clear" w:color="auto" w:fill="auto"/>
          </w:tcPr>
          <w:p w14:paraId="5E7F16CA" w14:textId="77777777" w:rsidR="00B50845" w:rsidRPr="00204B41" w:rsidRDefault="00B50845" w:rsidP="00846C9A">
            <w:pPr>
              <w:pStyle w:val="TableText"/>
            </w:pPr>
          </w:p>
        </w:tc>
        <w:tc>
          <w:tcPr>
            <w:tcW w:w="645" w:type="pct"/>
            <w:shd w:val="clear" w:color="auto" w:fill="auto"/>
          </w:tcPr>
          <w:p w14:paraId="5E7F16CB" w14:textId="77777777" w:rsidR="00B50845" w:rsidRPr="00846C9A" w:rsidRDefault="000836A2" w:rsidP="00846C9A">
            <w:pPr>
              <w:pStyle w:val="TableText"/>
              <w:rPr>
                <w:rStyle w:val="Emphasis"/>
              </w:rPr>
            </w:pPr>
            <w:r w:rsidRPr="00846C9A">
              <w:rPr>
                <w:rStyle w:val="Emphasis"/>
              </w:rPr>
              <w:t>Hypophthalmicthys molitrix</w:t>
            </w:r>
          </w:p>
        </w:tc>
        <w:tc>
          <w:tcPr>
            <w:tcW w:w="344" w:type="pct"/>
            <w:shd w:val="clear" w:color="auto" w:fill="auto"/>
          </w:tcPr>
          <w:p w14:paraId="5E7F16CC" w14:textId="77777777" w:rsidR="00B50845" w:rsidRPr="00204B41" w:rsidRDefault="000836A2" w:rsidP="00846C9A">
            <w:pPr>
              <w:pStyle w:val="TableText"/>
            </w:pPr>
            <w:r>
              <w:t>Juveniles</w:t>
            </w:r>
          </w:p>
        </w:tc>
        <w:tc>
          <w:tcPr>
            <w:tcW w:w="339" w:type="pct"/>
            <w:shd w:val="clear" w:color="auto" w:fill="auto"/>
          </w:tcPr>
          <w:p w14:paraId="5E7F16CD" w14:textId="77777777" w:rsidR="00B50845" w:rsidRPr="00204B41" w:rsidRDefault="000836A2" w:rsidP="00846C9A">
            <w:pPr>
              <w:pStyle w:val="TableText"/>
            </w:pPr>
            <w:r w:rsidRPr="00204B41">
              <w:t>96</w:t>
            </w:r>
          </w:p>
        </w:tc>
        <w:tc>
          <w:tcPr>
            <w:tcW w:w="304" w:type="pct"/>
            <w:shd w:val="clear" w:color="auto" w:fill="auto"/>
          </w:tcPr>
          <w:p w14:paraId="5E7F16CE" w14:textId="77777777" w:rsidR="00B50845" w:rsidRPr="00204B41" w:rsidRDefault="000836A2" w:rsidP="00846C9A">
            <w:pPr>
              <w:pStyle w:val="TableText"/>
            </w:pPr>
            <w:r w:rsidRPr="00204B41">
              <w:t>Acute</w:t>
            </w:r>
          </w:p>
        </w:tc>
        <w:tc>
          <w:tcPr>
            <w:tcW w:w="500" w:type="pct"/>
            <w:shd w:val="clear" w:color="auto" w:fill="auto"/>
          </w:tcPr>
          <w:p w14:paraId="5E7F16CF" w14:textId="77777777" w:rsidR="00B50845" w:rsidRPr="00204B41" w:rsidRDefault="000836A2" w:rsidP="00846C9A">
            <w:pPr>
              <w:pStyle w:val="TableText"/>
            </w:pPr>
            <w:r w:rsidRPr="00204B41">
              <w:t>LC50 (Survival)</w:t>
            </w:r>
          </w:p>
        </w:tc>
        <w:tc>
          <w:tcPr>
            <w:tcW w:w="598" w:type="pct"/>
            <w:shd w:val="clear" w:color="auto" w:fill="auto"/>
          </w:tcPr>
          <w:p w14:paraId="5E7F16D0" w14:textId="77777777" w:rsidR="00B50845" w:rsidRPr="00EC726F" w:rsidRDefault="000836A2" w:rsidP="00846C9A">
            <w:pPr>
              <w:pStyle w:val="TableText"/>
            </w:pPr>
            <w:r w:rsidRPr="005E5AC2">
              <w:t xml:space="preserve">Dechlorinated </w:t>
            </w:r>
            <w:r>
              <w:t xml:space="preserve">tap </w:t>
            </w:r>
            <w:r w:rsidRPr="005E5AC2">
              <w:t>water</w:t>
            </w:r>
          </w:p>
        </w:tc>
        <w:tc>
          <w:tcPr>
            <w:tcW w:w="421" w:type="pct"/>
            <w:shd w:val="clear" w:color="auto" w:fill="auto"/>
          </w:tcPr>
          <w:p w14:paraId="5E7F16D1" w14:textId="77777777" w:rsidR="00B50845" w:rsidRPr="00EC726F" w:rsidRDefault="000836A2" w:rsidP="00846C9A">
            <w:pPr>
              <w:pStyle w:val="TableText"/>
            </w:pPr>
            <w:r w:rsidRPr="00EC726F">
              <w:t>1</w:t>
            </w:r>
            <w:r>
              <w:t>8.5–21.5</w:t>
            </w:r>
          </w:p>
        </w:tc>
        <w:tc>
          <w:tcPr>
            <w:tcW w:w="327" w:type="pct"/>
            <w:shd w:val="clear" w:color="auto" w:fill="auto"/>
          </w:tcPr>
          <w:p w14:paraId="5E7F16D2" w14:textId="77777777" w:rsidR="00B50845" w:rsidRPr="00EC726F" w:rsidRDefault="000836A2" w:rsidP="00846C9A">
            <w:pPr>
              <w:pStyle w:val="TableText"/>
            </w:pPr>
            <w:r>
              <w:t>7.1–8.6</w:t>
            </w:r>
          </w:p>
        </w:tc>
        <w:tc>
          <w:tcPr>
            <w:tcW w:w="451" w:type="pct"/>
            <w:shd w:val="clear" w:color="auto" w:fill="auto"/>
          </w:tcPr>
          <w:p w14:paraId="5E7F16D3" w14:textId="77777777" w:rsidR="00B50845" w:rsidRPr="00495E3C" w:rsidRDefault="000836A2" w:rsidP="00846C9A">
            <w:pPr>
              <w:pStyle w:val="TableText"/>
            </w:pPr>
            <w:r>
              <w:t xml:space="preserve">0.917 </w:t>
            </w:r>
            <w:r w:rsidRPr="00156A95">
              <w:rPr>
                <w:rStyle w:val="Strong"/>
                <w:vertAlign w:val="superscript"/>
              </w:rPr>
              <w:t>c</w:t>
            </w:r>
          </w:p>
        </w:tc>
        <w:tc>
          <w:tcPr>
            <w:tcW w:w="572" w:type="pct"/>
            <w:shd w:val="clear" w:color="auto" w:fill="auto"/>
          </w:tcPr>
          <w:p w14:paraId="5E7F16D4" w14:textId="77777777" w:rsidR="00B50845" w:rsidRPr="00EC726F" w:rsidRDefault="000836A2" w:rsidP="00846C9A">
            <w:pPr>
              <w:pStyle w:val="TableText"/>
            </w:pPr>
            <w:r w:rsidRPr="00EC726F">
              <w:t xml:space="preserve">Stephenson </w:t>
            </w:r>
            <w:r>
              <w:t>(</w:t>
            </w:r>
            <w:r w:rsidRPr="00EC726F">
              <w:t>1990</w:t>
            </w:r>
            <w:r>
              <w:t>)</w:t>
            </w:r>
          </w:p>
        </w:tc>
      </w:tr>
      <w:tr w:rsidR="00304BBF" w14:paraId="5E7F16E1" w14:textId="77777777" w:rsidTr="00BF4B64">
        <w:trPr>
          <w:cantSplit/>
        </w:trPr>
        <w:tc>
          <w:tcPr>
            <w:tcW w:w="499" w:type="pct"/>
            <w:vMerge/>
            <w:shd w:val="clear" w:color="auto" w:fill="auto"/>
          </w:tcPr>
          <w:p w14:paraId="5E7F16D6" w14:textId="77777777" w:rsidR="00B50845" w:rsidRPr="00204B41" w:rsidRDefault="00B50845" w:rsidP="00846C9A">
            <w:pPr>
              <w:pStyle w:val="TableText"/>
            </w:pPr>
          </w:p>
        </w:tc>
        <w:tc>
          <w:tcPr>
            <w:tcW w:w="645" w:type="pct"/>
            <w:shd w:val="clear" w:color="auto" w:fill="auto"/>
          </w:tcPr>
          <w:p w14:paraId="5E7F16D7" w14:textId="77777777" w:rsidR="00B50845" w:rsidRPr="00846C9A" w:rsidRDefault="000836A2" w:rsidP="00846C9A">
            <w:pPr>
              <w:pStyle w:val="TableText"/>
              <w:rPr>
                <w:rStyle w:val="Emphasis"/>
              </w:rPr>
            </w:pPr>
            <w:r w:rsidRPr="00846C9A">
              <w:rPr>
                <w:rStyle w:val="Emphasis"/>
              </w:rPr>
              <w:t>Huso huso</w:t>
            </w:r>
          </w:p>
        </w:tc>
        <w:tc>
          <w:tcPr>
            <w:tcW w:w="344" w:type="pct"/>
            <w:shd w:val="clear" w:color="auto" w:fill="auto"/>
          </w:tcPr>
          <w:p w14:paraId="5E7F16D8" w14:textId="77777777" w:rsidR="00B50845" w:rsidRDefault="000836A2" w:rsidP="00846C9A">
            <w:pPr>
              <w:pStyle w:val="TableText"/>
            </w:pPr>
            <w:r>
              <w:t>Juveniles</w:t>
            </w:r>
          </w:p>
        </w:tc>
        <w:tc>
          <w:tcPr>
            <w:tcW w:w="339" w:type="pct"/>
            <w:shd w:val="clear" w:color="auto" w:fill="auto"/>
          </w:tcPr>
          <w:p w14:paraId="5E7F16D9" w14:textId="77777777" w:rsidR="00B50845" w:rsidRPr="00204B41" w:rsidRDefault="000836A2" w:rsidP="00846C9A">
            <w:pPr>
              <w:pStyle w:val="TableText"/>
            </w:pPr>
            <w:r>
              <w:t>96</w:t>
            </w:r>
          </w:p>
        </w:tc>
        <w:tc>
          <w:tcPr>
            <w:tcW w:w="304" w:type="pct"/>
            <w:shd w:val="clear" w:color="auto" w:fill="auto"/>
          </w:tcPr>
          <w:p w14:paraId="5E7F16DA" w14:textId="77777777" w:rsidR="00B50845" w:rsidRPr="00204B41" w:rsidRDefault="000836A2" w:rsidP="00846C9A">
            <w:pPr>
              <w:pStyle w:val="TableText"/>
            </w:pPr>
            <w:r>
              <w:t>Acute</w:t>
            </w:r>
          </w:p>
        </w:tc>
        <w:tc>
          <w:tcPr>
            <w:tcW w:w="500" w:type="pct"/>
            <w:shd w:val="clear" w:color="auto" w:fill="auto"/>
          </w:tcPr>
          <w:p w14:paraId="5E7F16DB" w14:textId="77777777" w:rsidR="00B50845" w:rsidRPr="00204B41" w:rsidRDefault="000836A2" w:rsidP="00846C9A">
            <w:pPr>
              <w:pStyle w:val="TableText"/>
            </w:pPr>
            <w:r w:rsidRPr="00204B41">
              <w:t>LC50 (Survival)</w:t>
            </w:r>
          </w:p>
        </w:tc>
        <w:tc>
          <w:tcPr>
            <w:tcW w:w="598" w:type="pct"/>
            <w:shd w:val="clear" w:color="auto" w:fill="auto"/>
          </w:tcPr>
          <w:p w14:paraId="5E7F16DC" w14:textId="77777777" w:rsidR="00B50845" w:rsidRPr="005E5AC2" w:rsidRDefault="000836A2" w:rsidP="00846C9A">
            <w:pPr>
              <w:pStyle w:val="TableText"/>
            </w:pPr>
            <w:r>
              <w:t xml:space="preserve">Tap </w:t>
            </w:r>
            <w:r w:rsidRPr="005E5AC2">
              <w:t>water</w:t>
            </w:r>
          </w:p>
        </w:tc>
        <w:tc>
          <w:tcPr>
            <w:tcW w:w="421" w:type="pct"/>
            <w:shd w:val="clear" w:color="auto" w:fill="auto"/>
          </w:tcPr>
          <w:p w14:paraId="5E7F16DD" w14:textId="77777777" w:rsidR="00B50845" w:rsidRPr="00EC726F" w:rsidRDefault="000836A2" w:rsidP="00846C9A">
            <w:pPr>
              <w:pStyle w:val="TableText"/>
            </w:pPr>
            <w:r>
              <w:t>22–</w:t>
            </w:r>
            <w:r w:rsidRPr="005E5AC2">
              <w:t>24</w:t>
            </w:r>
          </w:p>
        </w:tc>
        <w:tc>
          <w:tcPr>
            <w:tcW w:w="327" w:type="pct"/>
            <w:shd w:val="clear" w:color="auto" w:fill="auto"/>
          </w:tcPr>
          <w:p w14:paraId="5E7F16DE" w14:textId="77777777" w:rsidR="00B50845" w:rsidRDefault="000836A2" w:rsidP="00846C9A">
            <w:pPr>
              <w:pStyle w:val="TableText"/>
            </w:pPr>
            <w:r>
              <w:t>7.8–8.0</w:t>
            </w:r>
          </w:p>
        </w:tc>
        <w:tc>
          <w:tcPr>
            <w:tcW w:w="451" w:type="pct"/>
            <w:shd w:val="clear" w:color="auto" w:fill="auto"/>
          </w:tcPr>
          <w:p w14:paraId="5E7F16DF" w14:textId="77777777" w:rsidR="00B50845" w:rsidRDefault="000836A2" w:rsidP="00846C9A">
            <w:pPr>
              <w:pStyle w:val="TableText"/>
            </w:pPr>
            <w:r>
              <w:t xml:space="preserve">0.952 </w:t>
            </w:r>
            <w:r w:rsidRPr="00156A95">
              <w:rPr>
                <w:rStyle w:val="Strong"/>
                <w:vertAlign w:val="superscript"/>
              </w:rPr>
              <w:t>c</w:t>
            </w:r>
          </w:p>
        </w:tc>
        <w:tc>
          <w:tcPr>
            <w:tcW w:w="572" w:type="pct"/>
            <w:shd w:val="clear" w:color="auto" w:fill="auto"/>
          </w:tcPr>
          <w:p w14:paraId="5E7F16E0" w14:textId="77777777" w:rsidR="00B50845" w:rsidRPr="00EC726F" w:rsidRDefault="000836A2" w:rsidP="00846C9A">
            <w:pPr>
              <w:pStyle w:val="TableText"/>
            </w:pPr>
            <w:r>
              <w:t>Jahanbakhshi et al. (2012)</w:t>
            </w:r>
          </w:p>
        </w:tc>
      </w:tr>
      <w:tr w:rsidR="00304BBF" w14:paraId="5E7F16ED" w14:textId="77777777" w:rsidTr="00BF4B64">
        <w:trPr>
          <w:cantSplit/>
        </w:trPr>
        <w:tc>
          <w:tcPr>
            <w:tcW w:w="499" w:type="pct"/>
            <w:vMerge/>
            <w:shd w:val="clear" w:color="auto" w:fill="auto"/>
          </w:tcPr>
          <w:p w14:paraId="5E7F16E2" w14:textId="77777777" w:rsidR="00B50845" w:rsidRPr="00204B41" w:rsidRDefault="00B50845" w:rsidP="00846C9A">
            <w:pPr>
              <w:pStyle w:val="TableText"/>
            </w:pPr>
          </w:p>
        </w:tc>
        <w:tc>
          <w:tcPr>
            <w:tcW w:w="645" w:type="pct"/>
            <w:shd w:val="clear" w:color="auto" w:fill="auto"/>
          </w:tcPr>
          <w:p w14:paraId="5E7F16E3" w14:textId="77777777" w:rsidR="00B50845" w:rsidRPr="00846C9A" w:rsidRDefault="000836A2" w:rsidP="00846C9A">
            <w:pPr>
              <w:pStyle w:val="TableText"/>
              <w:rPr>
                <w:rStyle w:val="Emphasis"/>
              </w:rPr>
            </w:pPr>
            <w:r w:rsidRPr="00846C9A">
              <w:rPr>
                <w:rStyle w:val="Emphasis"/>
              </w:rPr>
              <w:t>Oreochromis niloticus</w:t>
            </w:r>
          </w:p>
        </w:tc>
        <w:tc>
          <w:tcPr>
            <w:tcW w:w="344" w:type="pct"/>
            <w:shd w:val="clear" w:color="auto" w:fill="auto"/>
          </w:tcPr>
          <w:p w14:paraId="5E7F16E4" w14:textId="77777777" w:rsidR="00B50845" w:rsidRPr="00204B41" w:rsidRDefault="000836A2" w:rsidP="00846C9A">
            <w:pPr>
              <w:pStyle w:val="TableText"/>
            </w:pPr>
            <w:r w:rsidRPr="00204B41">
              <w:t>Larvae</w:t>
            </w:r>
          </w:p>
        </w:tc>
        <w:tc>
          <w:tcPr>
            <w:tcW w:w="339" w:type="pct"/>
            <w:shd w:val="clear" w:color="auto" w:fill="auto"/>
          </w:tcPr>
          <w:p w14:paraId="5E7F16E5" w14:textId="77777777" w:rsidR="00B50845" w:rsidRPr="00204B41" w:rsidRDefault="000836A2" w:rsidP="00846C9A">
            <w:pPr>
              <w:pStyle w:val="TableText"/>
            </w:pPr>
            <w:r w:rsidRPr="00204B41">
              <w:t>96</w:t>
            </w:r>
          </w:p>
        </w:tc>
        <w:tc>
          <w:tcPr>
            <w:tcW w:w="304" w:type="pct"/>
            <w:shd w:val="clear" w:color="auto" w:fill="auto"/>
          </w:tcPr>
          <w:p w14:paraId="5E7F16E6" w14:textId="77777777" w:rsidR="00B50845" w:rsidRPr="00204B41" w:rsidRDefault="000836A2" w:rsidP="00846C9A">
            <w:pPr>
              <w:pStyle w:val="TableText"/>
            </w:pPr>
            <w:r w:rsidRPr="00204B41">
              <w:t>Acute</w:t>
            </w:r>
          </w:p>
        </w:tc>
        <w:tc>
          <w:tcPr>
            <w:tcW w:w="500" w:type="pct"/>
            <w:shd w:val="clear" w:color="auto" w:fill="auto"/>
          </w:tcPr>
          <w:p w14:paraId="5E7F16E7" w14:textId="77777777" w:rsidR="00B50845" w:rsidRPr="00204B41" w:rsidRDefault="000836A2" w:rsidP="00846C9A">
            <w:pPr>
              <w:pStyle w:val="TableText"/>
            </w:pPr>
            <w:r w:rsidRPr="00204B41">
              <w:t>LC50 (Survival)</w:t>
            </w:r>
          </w:p>
        </w:tc>
        <w:tc>
          <w:tcPr>
            <w:tcW w:w="598" w:type="pct"/>
            <w:shd w:val="clear" w:color="auto" w:fill="auto"/>
          </w:tcPr>
          <w:p w14:paraId="5E7F16E8" w14:textId="77777777" w:rsidR="00B50845" w:rsidRPr="00EC726F" w:rsidRDefault="000836A2" w:rsidP="00846C9A">
            <w:pPr>
              <w:pStyle w:val="TableText"/>
            </w:pPr>
            <w:r w:rsidRPr="00EC726F">
              <w:t>Aquarium water</w:t>
            </w:r>
          </w:p>
        </w:tc>
        <w:tc>
          <w:tcPr>
            <w:tcW w:w="421" w:type="pct"/>
            <w:shd w:val="clear" w:color="auto" w:fill="auto"/>
          </w:tcPr>
          <w:p w14:paraId="5E7F16E9" w14:textId="77777777" w:rsidR="00B50845" w:rsidRPr="00EC726F" w:rsidRDefault="000836A2" w:rsidP="00AA31B0">
            <w:pPr>
              <w:pStyle w:val="TableText"/>
            </w:pPr>
            <w:r w:rsidRPr="00EC726F">
              <w:t>22</w:t>
            </w:r>
            <w:r>
              <w:t>–</w:t>
            </w:r>
            <w:r w:rsidRPr="00EC726F">
              <w:t>24</w:t>
            </w:r>
          </w:p>
        </w:tc>
        <w:tc>
          <w:tcPr>
            <w:tcW w:w="327" w:type="pct"/>
            <w:shd w:val="clear" w:color="auto" w:fill="auto"/>
          </w:tcPr>
          <w:p w14:paraId="5E7F16EA" w14:textId="77777777" w:rsidR="00B50845" w:rsidRPr="00EC726F" w:rsidRDefault="000836A2" w:rsidP="00AA31B0">
            <w:pPr>
              <w:pStyle w:val="TableText"/>
            </w:pPr>
            <w:r w:rsidRPr="00EC726F">
              <w:t>7.1</w:t>
            </w:r>
            <w:r>
              <w:t>–</w:t>
            </w:r>
            <w:r w:rsidRPr="00EC726F">
              <w:t>7.3</w:t>
            </w:r>
          </w:p>
        </w:tc>
        <w:tc>
          <w:tcPr>
            <w:tcW w:w="451" w:type="pct"/>
            <w:shd w:val="clear" w:color="auto" w:fill="auto"/>
          </w:tcPr>
          <w:p w14:paraId="5E7F16EB" w14:textId="77777777" w:rsidR="00B50845" w:rsidRPr="00495E3C" w:rsidRDefault="000836A2" w:rsidP="00846C9A">
            <w:pPr>
              <w:pStyle w:val="TableText"/>
            </w:pPr>
            <w:r w:rsidRPr="00495E3C">
              <w:t>3.</w:t>
            </w:r>
            <w:r>
              <w:t xml:space="preserve">42 </w:t>
            </w:r>
            <w:r w:rsidRPr="00156A95">
              <w:rPr>
                <w:rStyle w:val="Strong"/>
                <w:vertAlign w:val="superscript"/>
              </w:rPr>
              <w:t>c</w:t>
            </w:r>
          </w:p>
        </w:tc>
        <w:tc>
          <w:tcPr>
            <w:tcW w:w="572" w:type="pct"/>
            <w:shd w:val="clear" w:color="auto" w:fill="auto"/>
          </w:tcPr>
          <w:p w14:paraId="5E7F16EC" w14:textId="77777777" w:rsidR="00B50845" w:rsidRPr="00EC726F" w:rsidRDefault="000836A2" w:rsidP="00846C9A">
            <w:pPr>
              <w:pStyle w:val="TableText"/>
            </w:pPr>
            <w:r w:rsidRPr="00EC726F">
              <w:t xml:space="preserve">Yilmaz </w:t>
            </w:r>
            <w:r>
              <w:t>(</w:t>
            </w:r>
            <w:r w:rsidRPr="00EC726F">
              <w:t>2005</w:t>
            </w:r>
            <w:r>
              <w:t>)</w:t>
            </w:r>
          </w:p>
        </w:tc>
      </w:tr>
      <w:tr w:rsidR="00304BBF" w14:paraId="5E7F16F9" w14:textId="77777777" w:rsidTr="00BF4B64">
        <w:trPr>
          <w:cantSplit/>
        </w:trPr>
        <w:tc>
          <w:tcPr>
            <w:tcW w:w="499" w:type="pct"/>
            <w:vMerge/>
            <w:tcBorders>
              <w:bottom w:val="single" w:sz="12" w:space="0" w:color="auto"/>
            </w:tcBorders>
            <w:shd w:val="clear" w:color="auto" w:fill="auto"/>
          </w:tcPr>
          <w:p w14:paraId="5E7F16EE" w14:textId="77777777" w:rsidR="00B50845" w:rsidRPr="00204B41" w:rsidRDefault="00B50845" w:rsidP="00846C9A">
            <w:pPr>
              <w:pStyle w:val="TableText"/>
            </w:pPr>
          </w:p>
        </w:tc>
        <w:tc>
          <w:tcPr>
            <w:tcW w:w="645" w:type="pct"/>
            <w:tcBorders>
              <w:bottom w:val="single" w:sz="12" w:space="0" w:color="auto"/>
            </w:tcBorders>
            <w:shd w:val="clear" w:color="auto" w:fill="auto"/>
          </w:tcPr>
          <w:p w14:paraId="5E7F16EF" w14:textId="77777777" w:rsidR="00B50845" w:rsidRPr="00846C9A" w:rsidRDefault="000836A2" w:rsidP="00846C9A">
            <w:pPr>
              <w:pStyle w:val="TableText"/>
              <w:rPr>
                <w:rStyle w:val="Emphasis"/>
              </w:rPr>
            </w:pPr>
            <w:r w:rsidRPr="00846C9A">
              <w:rPr>
                <w:rStyle w:val="Emphasis"/>
              </w:rPr>
              <w:t>Poecilia reticulat</w:t>
            </w:r>
            <w:r>
              <w:rPr>
                <w:rStyle w:val="Emphasis"/>
              </w:rPr>
              <w:t>a</w:t>
            </w:r>
          </w:p>
        </w:tc>
        <w:tc>
          <w:tcPr>
            <w:tcW w:w="344" w:type="pct"/>
            <w:tcBorders>
              <w:bottom w:val="single" w:sz="12" w:space="0" w:color="auto"/>
            </w:tcBorders>
            <w:shd w:val="clear" w:color="auto" w:fill="auto"/>
          </w:tcPr>
          <w:p w14:paraId="5E7F16F0" w14:textId="77777777" w:rsidR="00B50845" w:rsidRPr="00204B41" w:rsidRDefault="000836A2" w:rsidP="00846C9A">
            <w:pPr>
              <w:pStyle w:val="TableText"/>
            </w:pPr>
            <w:r>
              <w:t>Adults</w:t>
            </w:r>
          </w:p>
        </w:tc>
        <w:tc>
          <w:tcPr>
            <w:tcW w:w="339" w:type="pct"/>
            <w:tcBorders>
              <w:bottom w:val="single" w:sz="12" w:space="0" w:color="auto"/>
            </w:tcBorders>
            <w:shd w:val="clear" w:color="auto" w:fill="auto"/>
          </w:tcPr>
          <w:p w14:paraId="5E7F16F1" w14:textId="77777777" w:rsidR="00B50845" w:rsidRPr="00204B41" w:rsidRDefault="000836A2" w:rsidP="00846C9A">
            <w:pPr>
              <w:pStyle w:val="TableText"/>
            </w:pPr>
            <w:r w:rsidRPr="00204B41">
              <w:t>96</w:t>
            </w:r>
          </w:p>
        </w:tc>
        <w:tc>
          <w:tcPr>
            <w:tcW w:w="304" w:type="pct"/>
            <w:tcBorders>
              <w:bottom w:val="single" w:sz="12" w:space="0" w:color="auto"/>
            </w:tcBorders>
            <w:shd w:val="clear" w:color="auto" w:fill="auto"/>
          </w:tcPr>
          <w:p w14:paraId="5E7F16F2" w14:textId="77777777" w:rsidR="00B50845" w:rsidRPr="00204B41" w:rsidRDefault="000836A2" w:rsidP="00846C9A">
            <w:pPr>
              <w:pStyle w:val="TableText"/>
            </w:pPr>
            <w:r w:rsidRPr="00204B41">
              <w:t>Acute</w:t>
            </w:r>
          </w:p>
        </w:tc>
        <w:tc>
          <w:tcPr>
            <w:tcW w:w="500" w:type="pct"/>
            <w:tcBorders>
              <w:bottom w:val="single" w:sz="12" w:space="0" w:color="auto"/>
            </w:tcBorders>
            <w:shd w:val="clear" w:color="auto" w:fill="auto"/>
          </w:tcPr>
          <w:p w14:paraId="5E7F16F3" w14:textId="77777777" w:rsidR="00B50845" w:rsidRPr="00204B41" w:rsidRDefault="000836A2" w:rsidP="00846C9A">
            <w:pPr>
              <w:pStyle w:val="TableText"/>
            </w:pPr>
            <w:r w:rsidRPr="00204B41">
              <w:t>LC50 (Survival)</w:t>
            </w:r>
          </w:p>
        </w:tc>
        <w:tc>
          <w:tcPr>
            <w:tcW w:w="598" w:type="pct"/>
            <w:tcBorders>
              <w:bottom w:val="single" w:sz="12" w:space="0" w:color="auto"/>
            </w:tcBorders>
            <w:shd w:val="clear" w:color="auto" w:fill="auto"/>
          </w:tcPr>
          <w:p w14:paraId="5E7F16F4" w14:textId="77777777" w:rsidR="00B50845" w:rsidRPr="00B21B4E" w:rsidRDefault="000836A2" w:rsidP="00846C9A">
            <w:pPr>
              <w:pStyle w:val="TableText"/>
            </w:pPr>
            <w:r w:rsidRPr="00B21B4E">
              <w:t>Well water</w:t>
            </w:r>
          </w:p>
        </w:tc>
        <w:tc>
          <w:tcPr>
            <w:tcW w:w="421" w:type="pct"/>
            <w:tcBorders>
              <w:bottom w:val="single" w:sz="12" w:space="0" w:color="auto"/>
            </w:tcBorders>
            <w:shd w:val="clear" w:color="auto" w:fill="auto"/>
          </w:tcPr>
          <w:p w14:paraId="5E7F16F5" w14:textId="77777777" w:rsidR="00B50845" w:rsidRPr="00B21B4E" w:rsidRDefault="000836A2" w:rsidP="00491062">
            <w:pPr>
              <w:pStyle w:val="TableText"/>
            </w:pPr>
            <w:r w:rsidRPr="00B21B4E">
              <w:t>20</w:t>
            </w:r>
            <w:r>
              <w:t>–</w:t>
            </w:r>
            <w:r w:rsidRPr="00B21B4E">
              <w:t>25</w:t>
            </w:r>
          </w:p>
        </w:tc>
        <w:tc>
          <w:tcPr>
            <w:tcW w:w="327" w:type="pct"/>
            <w:tcBorders>
              <w:bottom w:val="single" w:sz="12" w:space="0" w:color="auto"/>
            </w:tcBorders>
            <w:shd w:val="clear" w:color="auto" w:fill="auto"/>
          </w:tcPr>
          <w:p w14:paraId="5E7F16F6" w14:textId="77777777" w:rsidR="00B50845" w:rsidRPr="00B21B4E" w:rsidRDefault="000836A2" w:rsidP="00846C9A">
            <w:pPr>
              <w:pStyle w:val="TableText"/>
            </w:pPr>
            <w:r w:rsidRPr="00B21B4E">
              <w:t>7.2</w:t>
            </w:r>
          </w:p>
        </w:tc>
        <w:tc>
          <w:tcPr>
            <w:tcW w:w="451" w:type="pct"/>
            <w:tcBorders>
              <w:bottom w:val="single" w:sz="12" w:space="0" w:color="auto"/>
            </w:tcBorders>
            <w:shd w:val="clear" w:color="auto" w:fill="auto"/>
          </w:tcPr>
          <w:p w14:paraId="5E7F16F7" w14:textId="77777777" w:rsidR="00B50845" w:rsidRPr="00495E3C" w:rsidRDefault="000836A2" w:rsidP="00846C9A">
            <w:pPr>
              <w:pStyle w:val="TableText"/>
            </w:pPr>
            <w:r w:rsidRPr="00495E3C">
              <w:t>9.</w:t>
            </w:r>
            <w:r>
              <w:t>43</w:t>
            </w:r>
            <w:r w:rsidRPr="00156A95">
              <w:t xml:space="preserve"> </w:t>
            </w:r>
            <w:r w:rsidRPr="00156A95">
              <w:rPr>
                <w:rStyle w:val="Strong"/>
                <w:vertAlign w:val="superscript"/>
              </w:rPr>
              <w:t>c</w:t>
            </w:r>
          </w:p>
        </w:tc>
        <w:tc>
          <w:tcPr>
            <w:tcW w:w="572" w:type="pct"/>
            <w:tcBorders>
              <w:bottom w:val="single" w:sz="12" w:space="0" w:color="auto"/>
            </w:tcBorders>
            <w:shd w:val="clear" w:color="auto" w:fill="auto"/>
          </w:tcPr>
          <w:p w14:paraId="5E7F16F8" w14:textId="77777777" w:rsidR="00B50845" w:rsidRPr="00B21B4E" w:rsidRDefault="000836A2" w:rsidP="00BD1FD5">
            <w:pPr>
              <w:pStyle w:val="TableText"/>
            </w:pPr>
            <w:r w:rsidRPr="00B21B4E">
              <w:t>Yilmaz et al.</w:t>
            </w:r>
            <w:r>
              <w:t>(</w:t>
            </w:r>
            <w:r w:rsidRPr="00B21B4E">
              <w:t>2004</w:t>
            </w:r>
            <w:r>
              <w:t>)</w:t>
            </w:r>
          </w:p>
        </w:tc>
      </w:tr>
    </w:tbl>
    <w:p w14:paraId="5E7F16FA" w14:textId="77777777" w:rsidR="00201048" w:rsidRDefault="000836A2" w:rsidP="00846C9A">
      <w:pPr>
        <w:pStyle w:val="FigureTableNoteSource"/>
      </w:pPr>
      <w:r w:rsidRPr="00846C9A">
        <w:rPr>
          <w:rStyle w:val="Strong"/>
        </w:rPr>
        <w:t>a</w:t>
      </w:r>
      <w:r w:rsidR="00846C9A" w:rsidRPr="00846C9A">
        <w:rPr>
          <w:rStyle w:val="Strong"/>
        </w:rPr>
        <w:t xml:space="preserve"> </w:t>
      </w:r>
      <w:r w:rsidRPr="004911C0">
        <w:t>The measure of toxicity being estimated/determined: LC50: the lethal concentration for 50% of the test organisms; NOEC: No observed effect concentration</w:t>
      </w:r>
      <w:r w:rsidR="00C311B0">
        <w:t>.</w:t>
      </w:r>
    </w:p>
    <w:p w14:paraId="5E7F16FB" w14:textId="77777777" w:rsidR="00530EA5" w:rsidRDefault="000836A2" w:rsidP="00530EA5">
      <w:pPr>
        <w:pStyle w:val="FigureTableNoteSource"/>
      </w:pPr>
      <w:r w:rsidRPr="001A3936">
        <w:rPr>
          <w:rStyle w:val="Strong"/>
        </w:rPr>
        <w:t>b</w:t>
      </w:r>
      <w:r>
        <w:t xml:space="preserve"> </w:t>
      </w:r>
      <w:r w:rsidR="00FF1507">
        <w:t>V</w:t>
      </w:r>
      <w:r>
        <w:t>alue w</w:t>
      </w:r>
      <w:r w:rsidR="00FF1507">
        <w:t>as</w:t>
      </w:r>
      <w:r>
        <w:t xml:space="preserve"> used as is for the DGV derivation.</w:t>
      </w:r>
    </w:p>
    <w:p w14:paraId="5E7F16FC" w14:textId="77777777" w:rsidR="00530EA5" w:rsidRPr="00530EA5" w:rsidRDefault="000836A2" w:rsidP="00530EA5">
      <w:pPr>
        <w:pStyle w:val="FigureTableNoteSource"/>
      </w:pPr>
      <w:r w:rsidRPr="001A3936">
        <w:rPr>
          <w:rStyle w:val="Strong"/>
        </w:rPr>
        <w:t>c</w:t>
      </w:r>
      <w:r>
        <w:t xml:space="preserve"> Value</w:t>
      </w:r>
      <w:r w:rsidRPr="00530EA5">
        <w:t xml:space="preserve"> was divided by default </w:t>
      </w:r>
      <w:r>
        <w:t>acute</w:t>
      </w:r>
      <w:r w:rsidR="00D12172">
        <w:t>-</w:t>
      </w:r>
      <w:r>
        <w:t>to</w:t>
      </w:r>
      <w:r w:rsidR="00D12172">
        <w:t>-</w:t>
      </w:r>
      <w:r>
        <w:t>chronic ratio of 10 to</w:t>
      </w:r>
      <w:r w:rsidRPr="00530EA5">
        <w:t xml:space="preserve"> </w:t>
      </w:r>
      <w:r>
        <w:t>estim</w:t>
      </w:r>
      <w:r w:rsidRPr="00530EA5">
        <w:t xml:space="preserve">ate </w:t>
      </w:r>
      <w:r w:rsidR="001A3936">
        <w:t xml:space="preserve">the </w:t>
      </w:r>
      <w:r w:rsidRPr="00530EA5">
        <w:t xml:space="preserve">chronic </w:t>
      </w:r>
      <w:r>
        <w:t>negligible effect</w:t>
      </w:r>
      <w:r w:rsidRPr="00530EA5">
        <w:t xml:space="preserve"> </w:t>
      </w:r>
      <w:r w:rsidR="00A94115">
        <w:t xml:space="preserve">(NOEC/EC10) </w:t>
      </w:r>
      <w:r w:rsidRPr="00530EA5">
        <w:t>value for use in DGV derivation</w:t>
      </w:r>
      <w:r>
        <w:t>.</w:t>
      </w:r>
    </w:p>
    <w:p w14:paraId="5E7F16FD" w14:textId="77777777" w:rsidR="00846C9A" w:rsidRDefault="00846C9A" w:rsidP="00846C9A"/>
    <w:p w14:paraId="5E7F16FE" w14:textId="77777777" w:rsidR="00846C9A" w:rsidRPr="00846C9A" w:rsidRDefault="00846C9A" w:rsidP="00846C9A">
      <w:pPr>
        <w:sectPr w:rsidR="00846C9A" w:rsidRPr="00846C9A" w:rsidSect="007336AC">
          <w:headerReference w:type="default" r:id="rId32"/>
          <w:headerReference w:type="first" r:id="rId33"/>
          <w:footerReference w:type="first" r:id="rId34"/>
          <w:pgSz w:w="16838" w:h="11906" w:orient="landscape"/>
          <w:pgMar w:top="1418" w:right="1418" w:bottom="1418" w:left="1418" w:header="567" w:footer="283" w:gutter="0"/>
          <w:cols w:space="708"/>
          <w:docGrid w:linePitch="360"/>
        </w:sectPr>
      </w:pPr>
    </w:p>
    <w:p w14:paraId="5E7F16FF" w14:textId="77777777" w:rsidR="00606A7B" w:rsidRDefault="000836A2" w:rsidP="00606A7B">
      <w:pPr>
        <w:pStyle w:val="Heading2"/>
        <w:numPr>
          <w:ilvl w:val="0"/>
          <w:numId w:val="0"/>
        </w:numPr>
      </w:pPr>
      <w:bookmarkStart w:id="31" w:name="_Ref528068779"/>
      <w:bookmarkStart w:id="32" w:name="_Ref528068976"/>
      <w:bookmarkStart w:id="33" w:name="_Toc4498837"/>
      <w:bookmarkStart w:id="34" w:name="_Ref50628967"/>
      <w:bookmarkStart w:id="35" w:name="_Toc56073298"/>
      <w:r>
        <w:t>Appendix </w:t>
      </w:r>
      <w:r w:rsidR="00414A32" w:rsidRPr="000C7ECF">
        <w:t xml:space="preserve">B: </w:t>
      </w:r>
      <w:bookmarkEnd w:id="31"/>
      <w:bookmarkEnd w:id="32"/>
      <w:bookmarkEnd w:id="33"/>
      <w:r w:rsidR="00515821">
        <w:t>Modality assessment for alpha-cypermethrin</w:t>
      </w:r>
      <w:bookmarkEnd w:id="34"/>
      <w:bookmarkEnd w:id="35"/>
    </w:p>
    <w:p w14:paraId="5E7F1700" w14:textId="77777777" w:rsidR="004D64F0" w:rsidRPr="00190508" w:rsidRDefault="000836A2" w:rsidP="00BF2354">
      <w:r>
        <w:t>A m</w:t>
      </w:r>
      <w:r w:rsidRPr="00190508">
        <w:t>odal</w:t>
      </w:r>
      <w:r>
        <w:t xml:space="preserve">ity assessment was undertaken for alpha-cypermethrin according to the </w:t>
      </w:r>
      <w:r w:rsidRPr="00190508">
        <w:t xml:space="preserve">four questions stipulated in </w:t>
      </w:r>
      <w:r w:rsidRPr="00032CBD">
        <w:t>Warne</w:t>
      </w:r>
      <w:r w:rsidRPr="008B22E7">
        <w:t xml:space="preserve"> et al.</w:t>
      </w:r>
      <w:r w:rsidRPr="00032CBD">
        <w:t xml:space="preserve"> </w:t>
      </w:r>
      <w:r w:rsidRPr="00190508">
        <w:t xml:space="preserve">2018. These questions and their answers </w:t>
      </w:r>
      <w:r>
        <w:t>are</w:t>
      </w:r>
      <w:r w:rsidRPr="00190508">
        <w:t xml:space="preserve"> </w:t>
      </w:r>
      <w:r w:rsidR="000D2785">
        <w:t>as follows.</w:t>
      </w:r>
    </w:p>
    <w:p w14:paraId="5E7F1701" w14:textId="77777777" w:rsidR="004D64F0" w:rsidRPr="00190508" w:rsidRDefault="000836A2" w:rsidP="00BF2354">
      <w:pPr>
        <w:pStyle w:val="Heading5"/>
      </w:pPr>
      <w:r w:rsidRPr="00190508">
        <w:t>Is there a specific mode of action that could result in taxa-specific sensitivity?</w:t>
      </w:r>
    </w:p>
    <w:p w14:paraId="5E7F1702" w14:textId="77777777" w:rsidR="004D64F0" w:rsidRPr="000761FF" w:rsidRDefault="000836A2" w:rsidP="004D64F0">
      <w:r w:rsidRPr="000761FF">
        <w:t>As discussed in Section</w:t>
      </w:r>
      <w:r w:rsidR="00B36E5A">
        <w:t> </w:t>
      </w:r>
      <w:r w:rsidR="00B36E5A">
        <w:fldChar w:fldCharType="begin"/>
      </w:r>
      <w:r w:rsidR="00B36E5A">
        <w:instrText xml:space="preserve"> REF _Ref50628691 \r \h </w:instrText>
      </w:r>
      <w:r w:rsidR="00B36E5A">
        <w:fldChar w:fldCharType="separate"/>
      </w:r>
      <w:r w:rsidR="00CC51D9">
        <w:t>1</w:t>
      </w:r>
      <w:r w:rsidR="00B36E5A">
        <w:fldChar w:fldCharType="end"/>
      </w:r>
      <w:r>
        <w:t>,</w:t>
      </w:r>
      <w:r w:rsidRPr="000761FF">
        <w:t xml:space="preserve"> alpha-cypermethrin</w:t>
      </w:r>
      <w:r>
        <w:t xml:space="preserve"> acts </w:t>
      </w:r>
      <w:r w:rsidRPr="000761FF">
        <w:t>on the central nervous system, specifically by causing delayed closure of the sodium channels, paralysis and eventual death. Given ion channels in plants are also important in plant survival</w:t>
      </w:r>
      <w:r>
        <w:t>,</w:t>
      </w:r>
      <w:r w:rsidRPr="000761FF">
        <w:t xml:space="preserve"> it is </w:t>
      </w:r>
      <w:r>
        <w:t>un</w:t>
      </w:r>
      <w:r w:rsidRPr="000761FF">
        <w:t>known if there would be taxa-sp</w:t>
      </w:r>
      <w:r w:rsidRPr="000761FF">
        <w:t xml:space="preserve">ecific sensitivity </w:t>
      </w:r>
      <w:r>
        <w:t xml:space="preserve">to alpha-cypermethrin. Therefore, </w:t>
      </w:r>
      <w:r w:rsidRPr="000761FF">
        <w:t xml:space="preserve">both plant and animal data were considered in the </w:t>
      </w:r>
      <w:r>
        <w:t>D</w:t>
      </w:r>
      <w:r w:rsidRPr="000761FF">
        <w:t>GV derivation.</w:t>
      </w:r>
    </w:p>
    <w:p w14:paraId="5E7F1703" w14:textId="77777777" w:rsidR="004D64F0" w:rsidRPr="00190508" w:rsidRDefault="000836A2" w:rsidP="00BF2354">
      <w:pPr>
        <w:pStyle w:val="Heading5"/>
      </w:pPr>
      <w:r w:rsidRPr="00190508">
        <w:t>Does the dataset suggest bimodality?</w:t>
      </w:r>
    </w:p>
    <w:p w14:paraId="5E7F1704" w14:textId="77777777" w:rsidR="004D64F0" w:rsidRPr="000761FF" w:rsidRDefault="000836A2" w:rsidP="004D64F0">
      <w:r w:rsidRPr="000761FF">
        <w:t>Visual representation of the data, calculation of the bimodality coefficient (BC), and consideration</w:t>
      </w:r>
      <w:r w:rsidRPr="000761FF">
        <w:t xml:space="preserve"> of the range in the effect concentrations are recommended lines of evidence </w:t>
      </w:r>
      <w:r w:rsidR="00201EAC">
        <w:t>for</w:t>
      </w:r>
      <w:r w:rsidR="00201EAC" w:rsidRPr="000761FF">
        <w:t xml:space="preserve"> </w:t>
      </w:r>
      <w:r w:rsidRPr="000761FF">
        <w:t>evaluating whether bi</w:t>
      </w:r>
      <w:r w:rsidR="00201EAC">
        <w:t>modality</w:t>
      </w:r>
      <w:r w:rsidRPr="000761FF">
        <w:t xml:space="preserve"> or multimodality of the dataset is apparent. </w:t>
      </w:r>
      <w:r w:rsidR="00201EAC">
        <w:t>For this assessment:</w:t>
      </w:r>
    </w:p>
    <w:p w14:paraId="5E7F1705" w14:textId="77777777" w:rsidR="004D64F0" w:rsidRPr="000761FF" w:rsidRDefault="000836A2" w:rsidP="00BF2354">
      <w:pPr>
        <w:pStyle w:val="ListBullet"/>
      </w:pPr>
      <w:r w:rsidRPr="000761FF">
        <w:t xml:space="preserve">the </w:t>
      </w:r>
      <w:r w:rsidR="00414A32" w:rsidRPr="000761FF">
        <w:t>histogram of the raw effect concentration SSD data (</w:t>
      </w:r>
      <w:r w:rsidR="008F0AB1">
        <w:fldChar w:fldCharType="begin"/>
      </w:r>
      <w:r w:rsidR="008F0AB1">
        <w:instrText xml:space="preserve"> REF _Ref50628426 \h </w:instrText>
      </w:r>
      <w:r w:rsidR="008F0AB1">
        <w:fldChar w:fldCharType="separate"/>
      </w:r>
      <w:r w:rsidR="00CC51D9">
        <w:t>Figure B </w:t>
      </w:r>
      <w:r w:rsidR="00CC51D9">
        <w:rPr>
          <w:noProof/>
        </w:rPr>
        <w:t>1</w:t>
      </w:r>
      <w:r w:rsidR="008F0AB1">
        <w:fldChar w:fldCharType="end"/>
      </w:r>
      <w:r w:rsidR="00414A32">
        <w:t>, the histogram on the left</w:t>
      </w:r>
      <w:r w:rsidR="00414A32" w:rsidRPr="000761FF">
        <w:t>) could be interpreted as positively right skewed</w:t>
      </w:r>
      <w:r w:rsidR="00B162A3">
        <w:t>,</w:t>
      </w:r>
      <w:r w:rsidR="00414A32" w:rsidRPr="000761FF">
        <w:t xml:space="preserve"> typical of concentration-based data (Warne</w:t>
      </w:r>
      <w:r w:rsidR="00414A32" w:rsidRPr="00BF2354">
        <w:t xml:space="preserve"> et al. </w:t>
      </w:r>
      <w:r w:rsidR="00414A32" w:rsidRPr="000761FF">
        <w:t>2018). The log transformed histogram generally follows a normal distribution (</w:t>
      </w:r>
      <w:r w:rsidR="008F0AB1">
        <w:fldChar w:fldCharType="begin"/>
      </w:r>
      <w:r w:rsidR="008F0AB1">
        <w:instrText xml:space="preserve"> REF _Ref50628426 \h </w:instrText>
      </w:r>
      <w:r w:rsidR="008F0AB1">
        <w:fldChar w:fldCharType="separate"/>
      </w:r>
      <w:r w:rsidR="00CC51D9">
        <w:t>Figure B </w:t>
      </w:r>
      <w:r w:rsidR="00CC51D9">
        <w:rPr>
          <w:noProof/>
        </w:rPr>
        <w:t>1</w:t>
      </w:r>
      <w:r w:rsidR="008F0AB1">
        <w:fldChar w:fldCharType="end"/>
      </w:r>
      <w:r w:rsidR="00414A32">
        <w:t>, the histogram on the right</w:t>
      </w:r>
      <w:r w:rsidR="00414A32" w:rsidRPr="000761FF">
        <w:t>)</w:t>
      </w:r>
    </w:p>
    <w:p w14:paraId="5E7F1706" w14:textId="77777777" w:rsidR="004D64F0" w:rsidRPr="000761FF" w:rsidRDefault="000836A2" w:rsidP="00BF2354">
      <w:pPr>
        <w:pStyle w:val="ListBullet"/>
      </w:pPr>
      <w:r w:rsidRPr="000761FF">
        <w:t xml:space="preserve">data </w:t>
      </w:r>
      <w:r w:rsidR="00B162A3">
        <w:t>that</w:t>
      </w:r>
      <w:r w:rsidR="00B162A3" w:rsidRPr="000761FF">
        <w:t xml:space="preserve"> </w:t>
      </w:r>
      <w:r w:rsidR="00414A32" w:rsidRPr="000761FF">
        <w:t>span large ranges (&gt;4 orders of magnitude) indicate potential for underlying bi</w:t>
      </w:r>
      <w:r w:rsidR="00B162A3">
        <w:t>modality</w:t>
      </w:r>
      <w:r w:rsidR="00414A32" w:rsidRPr="000761FF">
        <w:t xml:space="preserve"> or multimodality (Warne </w:t>
      </w:r>
      <w:r w:rsidR="00414A32" w:rsidRPr="008B22E7">
        <w:rPr>
          <w:iCs/>
        </w:rPr>
        <w:t>et al.</w:t>
      </w:r>
      <w:r w:rsidR="00414A32" w:rsidRPr="00032CBD">
        <w:rPr>
          <w:iCs/>
        </w:rPr>
        <w:t xml:space="preserve"> 2018</w:t>
      </w:r>
      <w:r w:rsidR="00414A32" w:rsidRPr="000761FF">
        <w:t xml:space="preserve">); the alpha-cypermethrin data span </w:t>
      </w:r>
      <w:r w:rsidR="00B162A3">
        <w:t>4</w:t>
      </w:r>
      <w:r w:rsidR="00B162A3" w:rsidRPr="000761FF">
        <w:t xml:space="preserve"> </w:t>
      </w:r>
      <w:r w:rsidR="00414A32" w:rsidRPr="000761FF">
        <w:t>orders of magnitude</w:t>
      </w:r>
    </w:p>
    <w:p w14:paraId="5E7F1707" w14:textId="77777777" w:rsidR="004D64F0" w:rsidRPr="000761FF" w:rsidRDefault="000836A2" w:rsidP="00BF2354">
      <w:pPr>
        <w:pStyle w:val="ListBullet"/>
      </w:pPr>
      <w:r w:rsidRPr="000761FF">
        <w:t xml:space="preserve">when </w:t>
      </w:r>
      <w:r w:rsidR="00414A32" w:rsidRPr="000761FF">
        <w:t>the BC is greater than 0.555</w:t>
      </w:r>
      <w:r w:rsidR="00B162A3">
        <w:t>,</w:t>
      </w:r>
      <w:r w:rsidR="00414A32" w:rsidRPr="000761FF">
        <w:t xml:space="preserve"> it indicates that the data do not follow a typical normal distribution and may be bimodal; the BC </w:t>
      </w:r>
      <w:r w:rsidR="00032CBD" w:rsidRPr="000761FF">
        <w:t xml:space="preserve">for the log transformed data </w:t>
      </w:r>
      <w:r w:rsidR="00414A32" w:rsidRPr="000761FF">
        <w:t xml:space="preserve">is </w:t>
      </w:r>
      <w:r w:rsidR="00032CBD" w:rsidRPr="000761FF">
        <w:t>0.2</w:t>
      </w:r>
      <w:r w:rsidR="00032CBD">
        <w:t>8</w:t>
      </w:r>
      <w:r w:rsidR="00032CBD" w:rsidRPr="000761FF">
        <w:t xml:space="preserve">5 </w:t>
      </w:r>
      <w:r w:rsidR="00B162A3">
        <w:t xml:space="preserve">and </w:t>
      </w:r>
      <w:r w:rsidR="00414A32" w:rsidRPr="000761FF">
        <w:t xml:space="preserve">does not support </w:t>
      </w:r>
      <w:r w:rsidR="00032CBD">
        <w:t>an</w:t>
      </w:r>
      <w:r w:rsidR="00032CBD" w:rsidRPr="000761FF">
        <w:t xml:space="preserve"> </w:t>
      </w:r>
      <w:r w:rsidR="00414A32" w:rsidRPr="000761FF">
        <w:t>assertion</w:t>
      </w:r>
      <w:r w:rsidR="00032CBD">
        <w:t xml:space="preserve"> of bimodality</w:t>
      </w:r>
      <w:r w:rsidR="00414A32" w:rsidRPr="000761FF">
        <w:t xml:space="preserve">. </w:t>
      </w:r>
    </w:p>
    <w:p w14:paraId="5E7F1708" w14:textId="77777777" w:rsidR="004D64F0" w:rsidRPr="000761FF" w:rsidRDefault="000836A2" w:rsidP="00BF2354">
      <w:r w:rsidRPr="000761FF">
        <w:t>Based on the lines of evidence described above, the distribution of the log transformed dataset is generally in accordance with a</w:t>
      </w:r>
      <w:r w:rsidR="00BF2354">
        <w:t xml:space="preserve"> unimodal normal distribution. </w:t>
      </w:r>
    </w:p>
    <w:p w14:paraId="5E7F1709" w14:textId="77777777" w:rsidR="004D64F0" w:rsidRDefault="000836A2" w:rsidP="00BF2354">
      <w:r>
        <w:rPr>
          <w:noProof/>
          <w:lang w:eastAsia="en-AU"/>
        </w:rPr>
        <w:drawing>
          <wp:inline distT="0" distB="0" distL="0" distR="0" wp14:anchorId="5E7F173C" wp14:editId="5E7F173D">
            <wp:extent cx="5213985" cy="2301098"/>
            <wp:effectExtent l="0" t="0" r="5715" b="4445"/>
            <wp:docPr id="6" name="Picture 5" descr="Figure shows two histograms: the left histogram shows raw effect concentration SSD data (x axis) against count and proportion per bar (y axes); the right histogram shows log transformed data (x axis) against count and proportion per bar (y axes). Concentration units are nanograms per litre." title="Histogram, raw data (left ) and log transformed data (right )">
              <a:extLst xmlns:a="http://schemas.openxmlformats.org/drawingml/2006/main">
                <a:ext uri="{FF2B5EF4-FFF2-40B4-BE49-F238E27FC236}">
                  <a16:creationId xmlns:a16="http://schemas.microsoft.com/office/drawing/2014/main" id="{4DF5568B-443A-43EE-A45E-D3EB1548E5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053675" name="Picture 5" descr="Figure shows two histograms: the left histogram shows raw effect concentration SSD data (x axis) against count and proportion per bar (y axes); the right histogram shows log transformed data (x axis) against count and proportion per bar (y axes). Concentration units are nanograms per litre.">
                      <a:extLst>
                        <a:ext uri="{FF2B5EF4-FFF2-40B4-BE49-F238E27FC236}">
                          <a16:creationId xmlns:a16="http://schemas.microsoft.com/office/drawing/2014/main" id="{4DF5568B-443A-43EE-A45E-D3EB1548E5E0}"/>
                        </a:ext>
                      </a:extLst>
                    </pic:cNvPr>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5241530" cy="2313255"/>
                    </a:xfrm>
                    <a:prstGeom prst="rect">
                      <a:avLst/>
                    </a:prstGeom>
                    <a:noFill/>
                  </pic:spPr>
                </pic:pic>
              </a:graphicData>
            </a:graphic>
          </wp:inline>
        </w:drawing>
      </w:r>
    </w:p>
    <w:p w14:paraId="5E7F170A" w14:textId="77777777" w:rsidR="004D64F0" w:rsidRDefault="000836A2" w:rsidP="00424657">
      <w:pPr>
        <w:pStyle w:val="Caption"/>
        <w:keepNext w:val="0"/>
      </w:pPr>
      <w:bookmarkStart w:id="36" w:name="_Ref50628426"/>
      <w:bookmarkStart w:id="37" w:name="_Toc56073303"/>
      <w:r>
        <w:t>Figure B </w:t>
      </w:r>
      <w:r w:rsidR="007618CD">
        <w:fldChar w:fldCharType="begin"/>
      </w:r>
      <w:r>
        <w:instrText xml:space="preserve"> SEQ Figure_B \</w:instrText>
      </w:r>
      <w:r>
        <w:instrText xml:space="preserve">* ARABIC </w:instrText>
      </w:r>
      <w:r w:rsidR="007618CD">
        <w:fldChar w:fldCharType="separate"/>
      </w:r>
      <w:r w:rsidR="00CC51D9">
        <w:rPr>
          <w:noProof/>
        </w:rPr>
        <w:t>1</w:t>
      </w:r>
      <w:r w:rsidR="007618CD">
        <w:rPr>
          <w:noProof/>
        </w:rPr>
        <w:fldChar w:fldCharType="end"/>
      </w:r>
      <w:bookmarkEnd w:id="36"/>
      <w:r>
        <w:t xml:space="preserve"> </w:t>
      </w:r>
      <w:r w:rsidR="00414A32" w:rsidRPr="005A5D8D">
        <w:t>Histogram</w:t>
      </w:r>
      <w:r w:rsidR="003510E3">
        <w:t>,</w:t>
      </w:r>
      <w:r w:rsidR="00414A32" w:rsidRPr="005A5D8D">
        <w:t xml:space="preserve"> raw data (left) and log transformed data (right)</w:t>
      </w:r>
      <w:bookmarkEnd w:id="37"/>
    </w:p>
    <w:p w14:paraId="5E7F170B" w14:textId="77777777" w:rsidR="004D64F0" w:rsidRPr="00190508" w:rsidRDefault="000836A2" w:rsidP="00BF2354">
      <w:pPr>
        <w:pStyle w:val="Heading5"/>
        <w:keepLines w:val="0"/>
      </w:pPr>
      <w:r w:rsidRPr="00190508">
        <w:t>Do data show taxa-specific sensitivity (i.e. through distinct groupings of different taxa types)?</w:t>
      </w:r>
    </w:p>
    <w:p w14:paraId="5E7F170C" w14:textId="77777777" w:rsidR="004D64F0" w:rsidRPr="005A5D8D" w:rsidRDefault="000836A2" w:rsidP="00BF2354">
      <w:r w:rsidRPr="005A5D8D">
        <w:t xml:space="preserve">As the mode of action of alpha-cypermethrin is likely to affect both </w:t>
      </w:r>
      <w:r>
        <w:t>plants</w:t>
      </w:r>
      <w:r w:rsidRPr="005A5D8D">
        <w:t xml:space="preserve"> and </w:t>
      </w:r>
      <w:r>
        <w:t>animals</w:t>
      </w:r>
      <w:r w:rsidRPr="005A5D8D">
        <w:t>, the potential for taxa</w:t>
      </w:r>
      <w:r w:rsidR="00900B60">
        <w:t>-</w:t>
      </w:r>
      <w:r w:rsidRPr="005A5D8D">
        <w:t xml:space="preserve">specific sensitivity in the data was examined using box plots of the SSD data with the grouping variable phyla, and </w:t>
      </w:r>
      <w:r>
        <w:t xml:space="preserve">major </w:t>
      </w:r>
      <w:r w:rsidRPr="005A5D8D">
        <w:t>organism type</w:t>
      </w:r>
      <w:r>
        <w:t>s</w:t>
      </w:r>
      <w:r w:rsidRPr="005A5D8D">
        <w:t xml:space="preserve"> (</w:t>
      </w:r>
      <w:r>
        <w:t xml:space="preserve">e.g. </w:t>
      </w:r>
      <w:r w:rsidRPr="005A5D8D">
        <w:t>p</w:t>
      </w:r>
      <w:r w:rsidRPr="005A5D8D">
        <w:t>lants, vertebrates)</w:t>
      </w:r>
      <w:r w:rsidR="00032CBD">
        <w:t xml:space="preserve"> </w:t>
      </w:r>
      <w:r w:rsidR="008F0AB1">
        <w:t>(</w:t>
      </w:r>
      <w:r w:rsidR="008F0AB1">
        <w:fldChar w:fldCharType="begin"/>
      </w:r>
      <w:r w:rsidR="008F0AB1">
        <w:instrText xml:space="preserve"> REF _Ref50628485 \h </w:instrText>
      </w:r>
      <w:r w:rsidR="008F0AB1">
        <w:fldChar w:fldCharType="separate"/>
      </w:r>
      <w:r w:rsidR="00CC51D9">
        <w:t>Figure B </w:t>
      </w:r>
      <w:r w:rsidR="00CC51D9">
        <w:rPr>
          <w:noProof/>
        </w:rPr>
        <w:t>2</w:t>
      </w:r>
      <w:r w:rsidR="008F0AB1">
        <w:fldChar w:fldCharType="end"/>
      </w:r>
      <w:r w:rsidR="00032CBD" w:rsidRPr="00B7164F">
        <w:t>)</w:t>
      </w:r>
      <w:r w:rsidRPr="005A5D8D">
        <w:t xml:space="preserve">. </w:t>
      </w:r>
    </w:p>
    <w:p w14:paraId="5E7F170D" w14:textId="77777777" w:rsidR="004D64F0" w:rsidRDefault="000836A2" w:rsidP="00BF2354">
      <w:r w:rsidRPr="005A5D8D">
        <w:t xml:space="preserve">As shown in </w:t>
      </w:r>
      <w:r w:rsidR="008F0AB1">
        <w:fldChar w:fldCharType="begin"/>
      </w:r>
      <w:r w:rsidR="008F0AB1">
        <w:instrText xml:space="preserve"> REF _Ref50628485 \h </w:instrText>
      </w:r>
      <w:r w:rsidR="008F0AB1">
        <w:fldChar w:fldCharType="separate"/>
      </w:r>
      <w:r w:rsidR="00CC51D9">
        <w:t>Figure B </w:t>
      </w:r>
      <w:r w:rsidR="00CC51D9">
        <w:rPr>
          <w:noProof/>
        </w:rPr>
        <w:t>2</w:t>
      </w:r>
      <w:r w:rsidR="008F0AB1">
        <w:fldChar w:fldCharType="end"/>
      </w:r>
      <w:r w:rsidRPr="005A5D8D">
        <w:t xml:space="preserve">, there is a trend for </w:t>
      </w:r>
      <w:r w:rsidRPr="005A5D8D">
        <w:t>macroinvertebrates (Arthropoda) to be more sensitive to alpha-cypermethrin than other taxonomic groups</w:t>
      </w:r>
      <w:r>
        <w:t xml:space="preserve">. </w:t>
      </w:r>
      <w:r w:rsidR="005A103A">
        <w:t>However</w:t>
      </w:r>
      <w:r>
        <w:t>,</w:t>
      </w:r>
      <w:r w:rsidRPr="005A5D8D">
        <w:t xml:space="preserve"> there </w:t>
      </w:r>
      <w:r>
        <w:t>are</w:t>
      </w:r>
      <w:r w:rsidRPr="005A5D8D">
        <w:t xml:space="preserve"> insufficient data for plants (Tracheophyta and </w:t>
      </w:r>
      <w:r w:rsidRPr="0011127B">
        <w:t>Bacillariophyta</w:t>
      </w:r>
      <w:r w:rsidRPr="005A5D8D">
        <w:t>) and Cyanobacteria</w:t>
      </w:r>
      <w:r w:rsidR="00F71101">
        <w:t xml:space="preserve"> </w:t>
      </w:r>
      <w:r w:rsidR="005A103A">
        <w:t xml:space="preserve">to </w:t>
      </w:r>
      <w:r w:rsidR="00F84F4C">
        <w:t>enable</w:t>
      </w:r>
      <w:r w:rsidR="005A103A">
        <w:t xml:space="preserve"> definitive conclusions</w:t>
      </w:r>
      <w:r w:rsidRPr="005A5D8D">
        <w:t xml:space="preserve">. </w:t>
      </w:r>
    </w:p>
    <w:p w14:paraId="5E7F170E" w14:textId="77777777" w:rsidR="00B61B4E" w:rsidRDefault="000836A2" w:rsidP="004636ED">
      <w:pPr>
        <w:spacing w:after="0"/>
      </w:pPr>
      <w:r>
        <w:rPr>
          <w:noProof/>
          <w:lang w:eastAsia="en-AU"/>
        </w:rPr>
        <w:drawing>
          <wp:inline distT="0" distB="0" distL="0" distR="0" wp14:anchorId="5E7F173E" wp14:editId="5E7F173F">
            <wp:extent cx="5216939" cy="2538375"/>
            <wp:effectExtent l="0" t="0" r="3175" b="0"/>
            <wp:docPr id="17" name="Picture 16" descr="Figure shows two box plots: the left box plot shows the raw concentration data against major types of organisms; the right box plot shows the log transformed concentration data against major types of organisms. Concentration units are nanograms per litre. Organisms are blue-green alga, plant, invertebrate and vertebrate." title="Box plots, raw (left) and log transformed (right) data grouped by major types of organisms">
              <a:extLst xmlns:a="http://schemas.openxmlformats.org/drawingml/2006/main">
                <a:ext uri="{FF2B5EF4-FFF2-40B4-BE49-F238E27FC236}">
                  <a16:creationId xmlns:a16="http://schemas.microsoft.com/office/drawing/2014/main" id="{6C10EBBE-2328-479E-8C71-CA20126C73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667454" name="Picture 16">
                      <a:extLst>
                        <a:ext uri="{FF2B5EF4-FFF2-40B4-BE49-F238E27FC236}">
                          <a16:creationId xmlns:a16="http://schemas.microsoft.com/office/drawing/2014/main" id="{6C10EBBE-2328-479E-8C71-CA20126C739A}"/>
                        </a:ext>
                      </a:extLst>
                    </pic:cNvPr>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5220586" cy="2540149"/>
                    </a:xfrm>
                    <a:prstGeom prst="rect">
                      <a:avLst/>
                    </a:prstGeom>
                    <a:noFill/>
                  </pic:spPr>
                </pic:pic>
              </a:graphicData>
            </a:graphic>
          </wp:inline>
        </w:drawing>
      </w:r>
    </w:p>
    <w:p w14:paraId="5E7F170F" w14:textId="77777777" w:rsidR="0089046E" w:rsidRPr="005A5D8D" w:rsidRDefault="000836A2" w:rsidP="0088427B">
      <w:pPr>
        <w:pStyle w:val="FigureTableNoteSource"/>
        <w:spacing w:before="0" w:after="60"/>
      </w:pPr>
      <w:r>
        <w:t xml:space="preserve">Note: </w:t>
      </w:r>
      <w:r w:rsidRPr="0089046E">
        <w:t xml:space="preserve">An </w:t>
      </w:r>
      <w:r w:rsidRPr="0089046E">
        <w:t>asterisk represents an outlying value &gt;1.5x the interquartile range</w:t>
      </w:r>
      <w:r>
        <w:t>.</w:t>
      </w:r>
      <w:r w:rsidRPr="0089046E">
        <w:t xml:space="preserve"> </w:t>
      </w:r>
      <w:r>
        <w:t>A</w:t>
      </w:r>
      <w:r w:rsidRPr="0089046E">
        <w:t>n open circle r</w:t>
      </w:r>
      <w:r>
        <w:t>epresents an outlying value &gt;3x </w:t>
      </w:r>
      <w:r w:rsidRPr="0089046E">
        <w:t xml:space="preserve">the interquartile range. </w:t>
      </w:r>
    </w:p>
    <w:p w14:paraId="5E7F1710" w14:textId="77777777" w:rsidR="004D64F0" w:rsidRPr="005A5D8D" w:rsidRDefault="000836A2" w:rsidP="00BF2354">
      <w:pPr>
        <w:pStyle w:val="Caption"/>
      </w:pPr>
      <w:bookmarkStart w:id="38" w:name="_Ref50628485"/>
      <w:bookmarkStart w:id="39" w:name="_Toc56073304"/>
      <w:r>
        <w:t>Figure B </w:t>
      </w:r>
      <w:r w:rsidR="007618CD">
        <w:fldChar w:fldCharType="begin"/>
      </w:r>
      <w:r>
        <w:instrText xml:space="preserve"> SEQ Figure_B \* ARABIC </w:instrText>
      </w:r>
      <w:r w:rsidR="007618CD">
        <w:fldChar w:fldCharType="separate"/>
      </w:r>
      <w:r w:rsidR="00CC51D9">
        <w:rPr>
          <w:noProof/>
        </w:rPr>
        <w:t>2</w:t>
      </w:r>
      <w:r w:rsidR="007618CD">
        <w:rPr>
          <w:noProof/>
        </w:rPr>
        <w:fldChar w:fldCharType="end"/>
      </w:r>
      <w:bookmarkEnd w:id="38"/>
      <w:r>
        <w:t xml:space="preserve"> </w:t>
      </w:r>
      <w:r w:rsidR="00414A32" w:rsidRPr="005A5D8D">
        <w:t>Box</w:t>
      </w:r>
      <w:r w:rsidR="00900B60">
        <w:t xml:space="preserve"> </w:t>
      </w:r>
      <w:r w:rsidR="00414A32" w:rsidRPr="005A5D8D">
        <w:t>plots</w:t>
      </w:r>
      <w:r w:rsidR="003510E3">
        <w:t>,</w:t>
      </w:r>
      <w:r w:rsidR="00414A32" w:rsidRPr="005A5D8D">
        <w:t xml:space="preserve"> </w:t>
      </w:r>
      <w:r w:rsidR="00B61B4E">
        <w:t xml:space="preserve">raw (left) and </w:t>
      </w:r>
      <w:r w:rsidR="00414A32" w:rsidRPr="005A5D8D">
        <w:t>log transformed (</w:t>
      </w:r>
      <w:r w:rsidR="00B61B4E">
        <w:t>right</w:t>
      </w:r>
      <w:r w:rsidR="00414A32" w:rsidRPr="005A5D8D">
        <w:t xml:space="preserve">) </w:t>
      </w:r>
      <w:r w:rsidR="00414A32">
        <w:t xml:space="preserve">data </w:t>
      </w:r>
      <w:r w:rsidR="00414A32" w:rsidRPr="005A5D8D">
        <w:t>grouped by major types of organisms</w:t>
      </w:r>
      <w:bookmarkEnd w:id="39"/>
    </w:p>
    <w:p w14:paraId="5E7F1711" w14:textId="77777777" w:rsidR="004D64F0" w:rsidRDefault="000836A2" w:rsidP="004D64F0">
      <w:pPr>
        <w:rPr>
          <w:rFonts w:cs="Arial"/>
        </w:rPr>
      </w:pPr>
      <w:r w:rsidRPr="005A5D8D">
        <w:rPr>
          <w:rFonts w:cs="Arial"/>
        </w:rPr>
        <w:t>Further investigation (</w:t>
      </w:r>
      <w:r w:rsidR="007618CD">
        <w:rPr>
          <w:rFonts w:cs="Arial"/>
        </w:rPr>
        <w:fldChar w:fldCharType="begin"/>
      </w:r>
      <w:r w:rsidR="007618CD">
        <w:rPr>
          <w:rFonts w:cs="Arial"/>
        </w:rPr>
        <w:instrText xml:space="preserve"> REF _Ref50628550 \h </w:instrText>
      </w:r>
      <w:r w:rsidR="007618CD">
        <w:rPr>
          <w:rFonts w:cs="Arial"/>
        </w:rPr>
      </w:r>
      <w:r w:rsidR="007618CD">
        <w:rPr>
          <w:rFonts w:cs="Arial"/>
        </w:rPr>
        <w:fldChar w:fldCharType="separate"/>
      </w:r>
      <w:r w:rsidR="00CC51D9">
        <w:t>Figure B </w:t>
      </w:r>
      <w:r w:rsidR="00CC51D9">
        <w:rPr>
          <w:noProof/>
        </w:rPr>
        <w:t>3</w:t>
      </w:r>
      <w:r w:rsidR="007618CD">
        <w:rPr>
          <w:rFonts w:cs="Arial"/>
        </w:rPr>
        <w:fldChar w:fldCharType="end"/>
      </w:r>
      <w:r w:rsidRPr="005A5D8D">
        <w:rPr>
          <w:rFonts w:cs="Arial"/>
        </w:rPr>
        <w:t>)</w:t>
      </w:r>
      <w:r w:rsidR="00471672">
        <w:rPr>
          <w:rFonts w:cs="Arial"/>
        </w:rPr>
        <w:t>, which</w:t>
      </w:r>
      <w:r>
        <w:rPr>
          <w:rFonts w:cs="Arial"/>
        </w:rPr>
        <w:t xml:space="preserve"> consider</w:t>
      </w:r>
      <w:r w:rsidR="00471672">
        <w:rPr>
          <w:rFonts w:cs="Arial"/>
        </w:rPr>
        <w:t>ed</w:t>
      </w:r>
      <w:r>
        <w:rPr>
          <w:rFonts w:cs="Arial"/>
        </w:rPr>
        <w:t xml:space="preserve"> organisms that are taxonomically distinct</w:t>
      </w:r>
      <w:r w:rsidRPr="005A5D8D">
        <w:rPr>
          <w:rFonts w:cs="Arial"/>
        </w:rPr>
        <w:t xml:space="preserve">, </w:t>
      </w:r>
      <w:r w:rsidR="000E11B7" w:rsidRPr="005A5D8D">
        <w:rPr>
          <w:rFonts w:cs="Arial"/>
        </w:rPr>
        <w:t>indicate</w:t>
      </w:r>
      <w:r w:rsidR="000E11B7">
        <w:rPr>
          <w:rFonts w:cs="Arial"/>
        </w:rPr>
        <w:t>d</w:t>
      </w:r>
      <w:r w:rsidR="000E11B7" w:rsidRPr="005A5D8D">
        <w:rPr>
          <w:rFonts w:cs="Arial"/>
        </w:rPr>
        <w:t xml:space="preserve"> </w:t>
      </w:r>
      <w:r w:rsidRPr="005A5D8D">
        <w:rPr>
          <w:rFonts w:cs="Arial"/>
        </w:rPr>
        <w:t>that crustaceans appear to be the most sensiti</w:t>
      </w:r>
      <w:r w:rsidRPr="005A5D8D">
        <w:rPr>
          <w:rFonts w:cs="Arial"/>
        </w:rPr>
        <w:t>ve group</w:t>
      </w:r>
      <w:r>
        <w:rPr>
          <w:rFonts w:cs="Arial"/>
        </w:rPr>
        <w:t xml:space="preserve">. </w:t>
      </w:r>
      <w:r w:rsidR="008642C8">
        <w:rPr>
          <w:rFonts w:cs="Arial"/>
        </w:rPr>
        <w:t>H</w:t>
      </w:r>
      <w:r w:rsidR="008642C8" w:rsidRPr="005A5D8D">
        <w:rPr>
          <w:rFonts w:cs="Arial"/>
        </w:rPr>
        <w:t>owever,</w:t>
      </w:r>
      <w:r w:rsidR="00471672">
        <w:rPr>
          <w:rFonts w:cs="Arial"/>
        </w:rPr>
        <w:t xml:space="preserve"> as</w:t>
      </w:r>
      <w:r w:rsidRPr="005A5D8D">
        <w:rPr>
          <w:rFonts w:cs="Arial"/>
        </w:rPr>
        <w:t xml:space="preserve"> there are only </w:t>
      </w:r>
      <w:r>
        <w:rPr>
          <w:rFonts w:cs="Arial"/>
        </w:rPr>
        <w:t>three</w:t>
      </w:r>
      <w:r w:rsidRPr="005A5D8D">
        <w:rPr>
          <w:rFonts w:cs="Arial"/>
        </w:rPr>
        <w:t xml:space="preserve"> species </w:t>
      </w:r>
      <w:r>
        <w:rPr>
          <w:rFonts w:cs="Arial"/>
        </w:rPr>
        <w:t>in this grouping</w:t>
      </w:r>
      <w:r w:rsidR="00471672">
        <w:rPr>
          <w:rFonts w:cs="Arial"/>
        </w:rPr>
        <w:t>,</w:t>
      </w:r>
      <w:r>
        <w:rPr>
          <w:rFonts w:cs="Arial"/>
        </w:rPr>
        <w:t xml:space="preserve"> </w:t>
      </w:r>
      <w:r w:rsidRPr="005A5D8D">
        <w:rPr>
          <w:rFonts w:cs="Arial"/>
        </w:rPr>
        <w:t xml:space="preserve">it </w:t>
      </w:r>
      <w:r w:rsidR="00471672">
        <w:rPr>
          <w:rFonts w:cs="Arial"/>
        </w:rPr>
        <w:t xml:space="preserve">is </w:t>
      </w:r>
      <w:r w:rsidRPr="005A5D8D">
        <w:rPr>
          <w:rFonts w:cs="Arial"/>
        </w:rPr>
        <w:t xml:space="preserve">difficult to draw </w:t>
      </w:r>
      <w:r w:rsidR="000E11B7">
        <w:rPr>
          <w:rFonts w:cs="Arial"/>
        </w:rPr>
        <w:t>definitive</w:t>
      </w:r>
      <w:r w:rsidR="000E11B7" w:rsidRPr="005A5D8D">
        <w:rPr>
          <w:rFonts w:cs="Arial"/>
        </w:rPr>
        <w:t xml:space="preserve"> </w:t>
      </w:r>
      <w:r w:rsidRPr="005A5D8D">
        <w:rPr>
          <w:rFonts w:cs="Arial"/>
        </w:rPr>
        <w:t>conclusions.</w:t>
      </w:r>
    </w:p>
    <w:p w14:paraId="5E7F1712" w14:textId="77777777" w:rsidR="00B61B4E" w:rsidRDefault="000836A2" w:rsidP="004636ED">
      <w:pPr>
        <w:spacing w:after="0"/>
        <w:rPr>
          <w:rFonts w:cs="Arial"/>
        </w:rPr>
      </w:pPr>
      <w:r>
        <w:rPr>
          <w:noProof/>
          <w:lang w:eastAsia="en-AU"/>
        </w:rPr>
        <w:drawing>
          <wp:inline distT="0" distB="0" distL="0" distR="0" wp14:anchorId="5E7F1740" wp14:editId="5E7F1741">
            <wp:extent cx="5220586" cy="2530549"/>
            <wp:effectExtent l="0" t="0" r="0" b="3175"/>
            <wp:docPr id="18" name="Picture 17" descr="Figure shows two box plots: the left box plot shows raw concentration data against taxonomically distinct organisms; the right box plot shows log transformed data against taxonomically distinct organisms. Concentration units are nanograms per litre. Organisms are cyanobacterium, diatom, macrophyte, crustacean, insect, amphibian, and fish." title="Box plots, raw (left) and log transformed (right) data grouped by taxonomically distinct organisms">
              <a:extLst xmlns:a="http://schemas.openxmlformats.org/drawingml/2006/main">
                <a:ext uri="{FF2B5EF4-FFF2-40B4-BE49-F238E27FC236}">
                  <a16:creationId xmlns:a16="http://schemas.microsoft.com/office/drawing/2014/main" id="{1AA39595-579B-4218-A77E-A01064331A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524745" name="Picture 17">
                      <a:extLst>
                        <a:ext uri="{FF2B5EF4-FFF2-40B4-BE49-F238E27FC236}">
                          <a16:creationId xmlns:a16="http://schemas.microsoft.com/office/drawing/2014/main" id="{1AA39595-579B-4218-A77E-A01064331AD4}"/>
                        </a:ext>
                      </a:extLst>
                    </pic:cNvPr>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5221766" cy="2531121"/>
                    </a:xfrm>
                    <a:prstGeom prst="rect">
                      <a:avLst/>
                    </a:prstGeom>
                    <a:noFill/>
                  </pic:spPr>
                </pic:pic>
              </a:graphicData>
            </a:graphic>
          </wp:inline>
        </w:drawing>
      </w:r>
    </w:p>
    <w:p w14:paraId="5E7F1713" w14:textId="77777777" w:rsidR="0089046E" w:rsidRPr="005A5D8D" w:rsidRDefault="000836A2" w:rsidP="0088427B">
      <w:pPr>
        <w:pStyle w:val="FigureTableNoteSource"/>
        <w:spacing w:before="0" w:after="60"/>
        <w:rPr>
          <w:rFonts w:cs="Arial"/>
        </w:rPr>
      </w:pPr>
      <w:r>
        <w:t xml:space="preserve">Note: </w:t>
      </w:r>
      <w:r w:rsidRPr="0089046E">
        <w:t>An asterisk represents an outlying value &gt;1.5x the interquartile range</w:t>
      </w:r>
      <w:r>
        <w:t>.</w:t>
      </w:r>
      <w:r w:rsidRPr="0089046E">
        <w:t xml:space="preserve"> </w:t>
      </w:r>
      <w:r>
        <w:t>A</w:t>
      </w:r>
      <w:r w:rsidRPr="0089046E">
        <w:t>n open circle r</w:t>
      </w:r>
      <w:r>
        <w:t>epresents an outlying value &gt;3x </w:t>
      </w:r>
      <w:r w:rsidRPr="0089046E">
        <w:t xml:space="preserve">the interquartile range. </w:t>
      </w:r>
    </w:p>
    <w:p w14:paraId="5E7F1714" w14:textId="77777777" w:rsidR="004D64F0" w:rsidRPr="005A5D8D" w:rsidRDefault="000836A2" w:rsidP="0089046E">
      <w:pPr>
        <w:pStyle w:val="Caption"/>
        <w:keepNext w:val="0"/>
      </w:pPr>
      <w:bookmarkStart w:id="40" w:name="_Ref50628550"/>
      <w:bookmarkStart w:id="41" w:name="_Toc56073305"/>
      <w:r>
        <w:t>Figure B </w:t>
      </w:r>
      <w:fldSimple w:instr=" SEQ Figure_B \* ARABIC ">
        <w:r w:rsidR="00CC51D9">
          <w:rPr>
            <w:noProof/>
          </w:rPr>
          <w:t>3</w:t>
        </w:r>
      </w:fldSimple>
      <w:bookmarkEnd w:id="40"/>
      <w:r>
        <w:t xml:space="preserve"> </w:t>
      </w:r>
      <w:r w:rsidR="00414A32" w:rsidRPr="005A5D8D">
        <w:t>Box</w:t>
      </w:r>
      <w:r w:rsidR="003510E3">
        <w:t xml:space="preserve"> </w:t>
      </w:r>
      <w:r w:rsidR="00414A32" w:rsidRPr="005A5D8D">
        <w:t>plots</w:t>
      </w:r>
      <w:r w:rsidR="003510E3">
        <w:t>,</w:t>
      </w:r>
      <w:r w:rsidR="00414A32" w:rsidRPr="005A5D8D">
        <w:t xml:space="preserve"> </w:t>
      </w:r>
      <w:r w:rsidR="00B61B4E">
        <w:t xml:space="preserve">raw (left) and </w:t>
      </w:r>
      <w:r w:rsidR="00414A32" w:rsidRPr="005A5D8D">
        <w:t xml:space="preserve">log transformed </w:t>
      </w:r>
      <w:r w:rsidR="00414A32">
        <w:t>(</w:t>
      </w:r>
      <w:r w:rsidR="00B61B4E">
        <w:t>right</w:t>
      </w:r>
      <w:r w:rsidR="00414A32">
        <w:t xml:space="preserve">) </w:t>
      </w:r>
      <w:r w:rsidR="00414A32" w:rsidRPr="005A5D8D">
        <w:t xml:space="preserve">data grouped by </w:t>
      </w:r>
      <w:r w:rsidR="003510E3">
        <w:t xml:space="preserve">taxonomically distinct </w:t>
      </w:r>
      <w:r w:rsidR="00414A32" w:rsidRPr="005A5D8D">
        <w:t>organisms</w:t>
      </w:r>
      <w:bookmarkEnd w:id="41"/>
    </w:p>
    <w:p w14:paraId="5E7F1715" w14:textId="77777777" w:rsidR="004D64F0" w:rsidRDefault="000836A2" w:rsidP="00BF2354">
      <w:pPr>
        <w:pStyle w:val="Heading5"/>
      </w:pPr>
      <w:r w:rsidRPr="00190508">
        <w:t>Is it likely that indications of bi</w:t>
      </w:r>
      <w:r w:rsidR="00422A84">
        <w:t>modality</w:t>
      </w:r>
      <w:r w:rsidRPr="00190508">
        <w:t xml:space="preserve"> or multimodality or distinct clustering of taxa groups are not due to artefacts of data selection, small sample size, test procedures, or other reasons unrelated to a specific mode of action?</w:t>
      </w:r>
    </w:p>
    <w:p w14:paraId="5E7F1716" w14:textId="77777777" w:rsidR="00032CBD" w:rsidRPr="00032CBD" w:rsidRDefault="000836A2" w:rsidP="008B22E7">
      <w:pPr>
        <w:rPr>
          <w:rFonts w:cs="Arial"/>
        </w:rPr>
      </w:pPr>
      <w:r>
        <w:rPr>
          <w:rFonts w:cs="Arial"/>
        </w:rPr>
        <w:t>T</w:t>
      </w:r>
      <w:r w:rsidR="00414A32" w:rsidRPr="00032CBD">
        <w:rPr>
          <w:rFonts w:cs="Arial"/>
        </w:rPr>
        <w:t xml:space="preserve">he data </w:t>
      </w:r>
      <w:r>
        <w:rPr>
          <w:rFonts w:cs="Arial"/>
        </w:rPr>
        <w:t>do</w:t>
      </w:r>
      <w:r w:rsidR="00414A32" w:rsidRPr="00032CBD">
        <w:rPr>
          <w:rFonts w:cs="Arial"/>
        </w:rPr>
        <w:t xml:space="preserve"> not show signs of bi</w:t>
      </w:r>
      <w:r>
        <w:rPr>
          <w:rFonts w:cs="Arial"/>
        </w:rPr>
        <w:t>modality</w:t>
      </w:r>
      <w:r w:rsidR="00414A32" w:rsidRPr="00032CBD">
        <w:rPr>
          <w:rFonts w:cs="Arial"/>
        </w:rPr>
        <w:t xml:space="preserve"> or multimodality. </w:t>
      </w:r>
      <w:r w:rsidR="00414A32">
        <w:rPr>
          <w:rFonts w:cs="Arial"/>
        </w:rPr>
        <w:t>C</w:t>
      </w:r>
      <w:r w:rsidR="00414A32" w:rsidRPr="005A5D8D">
        <w:rPr>
          <w:rFonts w:cs="Arial"/>
        </w:rPr>
        <w:t>rustaceans appear to be the most sensitive group</w:t>
      </w:r>
      <w:r>
        <w:rPr>
          <w:rFonts w:cs="Arial"/>
        </w:rPr>
        <w:t xml:space="preserve"> (</w:t>
      </w:r>
      <w:r w:rsidR="007618CD">
        <w:rPr>
          <w:rFonts w:cs="Arial"/>
        </w:rPr>
        <w:fldChar w:fldCharType="begin"/>
      </w:r>
      <w:r w:rsidR="007618CD">
        <w:rPr>
          <w:rFonts w:cs="Arial"/>
        </w:rPr>
        <w:instrText xml:space="preserve"> REF _Ref50628550 \h </w:instrText>
      </w:r>
      <w:r w:rsidR="007618CD">
        <w:rPr>
          <w:rFonts w:cs="Arial"/>
        </w:rPr>
      </w:r>
      <w:r w:rsidR="007618CD">
        <w:rPr>
          <w:rFonts w:cs="Arial"/>
        </w:rPr>
        <w:fldChar w:fldCharType="separate"/>
      </w:r>
      <w:r w:rsidR="00CC51D9">
        <w:t>Figure B </w:t>
      </w:r>
      <w:r w:rsidR="00CC51D9">
        <w:rPr>
          <w:noProof/>
        </w:rPr>
        <w:t>3</w:t>
      </w:r>
      <w:r w:rsidR="007618CD">
        <w:rPr>
          <w:rFonts w:cs="Arial"/>
        </w:rPr>
        <w:fldChar w:fldCharType="end"/>
      </w:r>
      <w:r>
        <w:rPr>
          <w:rFonts w:cs="Arial"/>
        </w:rPr>
        <w:t>)</w:t>
      </w:r>
      <w:r w:rsidR="00414A32">
        <w:rPr>
          <w:rFonts w:cs="Arial"/>
        </w:rPr>
        <w:t xml:space="preserve">. </w:t>
      </w:r>
      <w:r w:rsidR="008642C8">
        <w:rPr>
          <w:rFonts w:cs="Arial"/>
        </w:rPr>
        <w:t>H</w:t>
      </w:r>
      <w:r w:rsidR="008642C8" w:rsidRPr="005A5D8D">
        <w:rPr>
          <w:rFonts w:cs="Arial"/>
        </w:rPr>
        <w:t>owever,</w:t>
      </w:r>
      <w:r w:rsidR="00414A32" w:rsidRPr="005A5D8D">
        <w:rPr>
          <w:rFonts w:cs="Arial"/>
        </w:rPr>
        <w:t xml:space="preserve"> </w:t>
      </w:r>
      <w:r w:rsidR="00414A32">
        <w:rPr>
          <w:rFonts w:cs="Arial"/>
        </w:rPr>
        <w:t xml:space="preserve">this </w:t>
      </w:r>
      <w:r w:rsidR="00414A32" w:rsidRPr="00032CBD">
        <w:rPr>
          <w:rFonts w:cs="Arial"/>
        </w:rPr>
        <w:t>is potentially due to artefact</w:t>
      </w:r>
      <w:r w:rsidR="00414A32">
        <w:rPr>
          <w:rFonts w:cs="Arial"/>
        </w:rPr>
        <w:t>s</w:t>
      </w:r>
      <w:r w:rsidR="00414A32" w:rsidRPr="00032CBD">
        <w:rPr>
          <w:rFonts w:cs="Arial"/>
        </w:rPr>
        <w:t xml:space="preserve"> associated with the small sample size of the dataset. Thus, on the basis of the available evidence, the dataset appears to be</w:t>
      </w:r>
      <w:r w:rsidR="00414A32">
        <w:rPr>
          <w:rFonts w:cs="Arial"/>
        </w:rPr>
        <w:t xml:space="preserve"> unimodal</w:t>
      </w:r>
      <w:r w:rsidR="00414A32" w:rsidRPr="00032CBD">
        <w:rPr>
          <w:rFonts w:cs="Arial"/>
        </w:rPr>
        <w:t>.</w:t>
      </w:r>
    </w:p>
    <w:p w14:paraId="5E7F1717" w14:textId="77777777" w:rsidR="004D64F0" w:rsidRDefault="000836A2" w:rsidP="004D64F0">
      <w:pPr>
        <w:rPr>
          <w:rFonts w:cs="Arial"/>
        </w:rPr>
      </w:pPr>
      <w:r>
        <w:rPr>
          <w:rFonts w:cs="Arial"/>
        </w:rPr>
        <w:t xml:space="preserve">The weight of evidence supports use of the 14 species identified in </w:t>
      </w:r>
      <w:r w:rsidR="00192BFF">
        <w:rPr>
          <w:rFonts w:cs="Arial"/>
        </w:rPr>
        <w:t xml:space="preserve">the </w:t>
      </w:r>
      <w:r>
        <w:rPr>
          <w:rFonts w:cs="Arial"/>
        </w:rPr>
        <w:t>preparation of the SSD.</w:t>
      </w:r>
    </w:p>
    <w:p w14:paraId="5E7F1718" w14:textId="77777777" w:rsidR="00BF2354" w:rsidRDefault="000836A2" w:rsidP="004D64F0">
      <w:pPr>
        <w:rPr>
          <w:rFonts w:cs="Arial"/>
        </w:rPr>
      </w:pPr>
      <w:r>
        <w:rPr>
          <w:rFonts w:cs="Arial"/>
        </w:rPr>
        <w:br w:type="page"/>
      </w:r>
    </w:p>
    <w:p w14:paraId="5E7F1719" w14:textId="77777777" w:rsidR="00606A7B" w:rsidRDefault="000836A2" w:rsidP="00606A7B">
      <w:pPr>
        <w:pStyle w:val="Heading2"/>
        <w:numPr>
          <w:ilvl w:val="0"/>
          <w:numId w:val="0"/>
        </w:numPr>
        <w:ind w:left="680" w:hanging="680"/>
      </w:pPr>
      <w:bookmarkStart w:id="42" w:name="_Toc4498839"/>
      <w:bookmarkStart w:id="43" w:name="_Toc56073299"/>
      <w:r w:rsidRPr="00585FD8">
        <w:t>References</w:t>
      </w:r>
      <w:bookmarkEnd w:id="42"/>
      <w:bookmarkEnd w:id="43"/>
    </w:p>
    <w:p w14:paraId="5E7F171A" w14:textId="77777777" w:rsidR="0089046E" w:rsidRDefault="000836A2" w:rsidP="008233ED">
      <w:r w:rsidRPr="00E8382D">
        <w:t xml:space="preserve">ACVM 2020. </w:t>
      </w:r>
      <w:hyperlink r:id="rId38" w:history="1">
        <w:r w:rsidRPr="00BC46DD">
          <w:rPr>
            <w:rStyle w:val="Hyperlink"/>
          </w:rPr>
          <w:t>Agricultural Compounds and Veterinary Medicines (ACVM) register</w:t>
        </w:r>
      </w:hyperlink>
      <w:r w:rsidRPr="00E8382D">
        <w:t xml:space="preserve">. Minister for Primary Industries New Zealand. </w:t>
      </w:r>
    </w:p>
    <w:p w14:paraId="5E7F171B" w14:textId="77777777" w:rsidR="0089046E" w:rsidRDefault="000836A2" w:rsidP="00FD78E4">
      <w:r w:rsidRPr="008B22E7">
        <w:t>A</w:t>
      </w:r>
      <w:r>
        <w:t>nsari</w:t>
      </w:r>
      <w:r w:rsidRPr="008B22E7">
        <w:t>, S</w:t>
      </w:r>
      <w:r>
        <w:t xml:space="preserve"> &amp;</w:t>
      </w:r>
      <w:r w:rsidRPr="008B22E7">
        <w:t xml:space="preserve"> A</w:t>
      </w:r>
      <w:r>
        <w:t>nsari</w:t>
      </w:r>
      <w:r w:rsidRPr="008B22E7">
        <w:t>, BA 2012. A</w:t>
      </w:r>
      <w:r>
        <w:t xml:space="preserve">lphamethrin toxicity: Effect on the reproductive ability and the activities of phosphates in the tissues of zebrafish, </w:t>
      </w:r>
      <w:r w:rsidRPr="00BF0440">
        <w:rPr>
          <w:rStyle w:val="Emphasis"/>
        </w:rPr>
        <w:t>Danio rerio</w:t>
      </w:r>
      <w:r w:rsidRPr="008B22E7">
        <w:t xml:space="preserve">. </w:t>
      </w:r>
      <w:r w:rsidRPr="00BF0440">
        <w:rPr>
          <w:rStyle w:val="Emphasis"/>
        </w:rPr>
        <w:t>International Journal of Life Science and Pharma Research</w:t>
      </w:r>
      <w:r>
        <w:t>,</w:t>
      </w:r>
      <w:r w:rsidRPr="008B22E7">
        <w:t xml:space="preserve"> 2(1)</w:t>
      </w:r>
      <w:r>
        <w:t>,</w:t>
      </w:r>
      <w:r w:rsidRPr="008B22E7">
        <w:t xml:space="preserve"> 89</w:t>
      </w:r>
      <w:r>
        <w:t>–</w:t>
      </w:r>
      <w:r w:rsidRPr="008B22E7">
        <w:t>100</w:t>
      </w:r>
      <w:r>
        <w:t>.</w:t>
      </w:r>
    </w:p>
    <w:p w14:paraId="5E7F171C" w14:textId="77777777" w:rsidR="0089046E" w:rsidRDefault="000836A2" w:rsidP="00FD78E4">
      <w:r w:rsidRPr="00E02F1A">
        <w:t>ANZG 2018. Australian and New Zealand Guidelines fo</w:t>
      </w:r>
      <w:r w:rsidRPr="00E02F1A">
        <w:t>r Fresh and Marine Water Quality. Australian</w:t>
      </w:r>
      <w:r>
        <w:t xml:space="preserve"> </w:t>
      </w:r>
      <w:r w:rsidRPr="00E02F1A">
        <w:t>and New Zealand Governments and Australian state and territory governments, Canberra, ACT, Australia</w:t>
      </w:r>
      <w:r>
        <w:t xml:space="preserve">, </w:t>
      </w:r>
      <w:hyperlink r:id="rId39" w:history="1">
        <w:r w:rsidRPr="004849F8">
          <w:rPr>
            <w:rStyle w:val="Hyperlink"/>
          </w:rPr>
          <w:t>https://www.waterquality.gov.au/anz-guidelines</w:t>
        </w:r>
      </w:hyperlink>
      <w:r w:rsidRPr="00E02F1A">
        <w:t>.</w:t>
      </w:r>
    </w:p>
    <w:p w14:paraId="5E7F171D" w14:textId="77777777" w:rsidR="0089046E" w:rsidRDefault="000836A2" w:rsidP="008233ED">
      <w:r>
        <w:t xml:space="preserve">APVMA 2004. </w:t>
      </w:r>
      <w:hyperlink r:id="rId40" w:history="1">
        <w:r w:rsidRPr="00A65028">
          <w:rPr>
            <w:rStyle w:val="Hyperlink"/>
          </w:rPr>
          <w:t>Standard for alpha-cypermethrin active constituent</w:t>
        </w:r>
      </w:hyperlink>
      <w:r>
        <w:t>. Australian Pesticides and Veterinary Medicines Authority. Content last up</w:t>
      </w:r>
      <w:r>
        <w:t>dated 1 August 2004, content last reviewed 1 July 2014.</w:t>
      </w:r>
    </w:p>
    <w:p w14:paraId="5E7F171E" w14:textId="77777777" w:rsidR="0089046E" w:rsidRDefault="000836A2" w:rsidP="00972DA3">
      <w:pPr>
        <w:spacing w:after="160"/>
      </w:pPr>
      <w:r>
        <w:t xml:space="preserve">APVMA 2020. </w:t>
      </w:r>
      <w:hyperlink r:id="rId41" w:history="1">
        <w:r w:rsidRPr="0040495C">
          <w:rPr>
            <w:rStyle w:val="Hyperlink"/>
          </w:rPr>
          <w:t>Public Chemical Registration Information System Search</w:t>
        </w:r>
      </w:hyperlink>
      <w:r w:rsidRPr="009B390A">
        <w:t xml:space="preserve">. </w:t>
      </w:r>
      <w:r>
        <w:t xml:space="preserve">Australian Pesticide and Veterinary Medicine </w:t>
      </w:r>
      <w:r>
        <w:t>Authority</w:t>
      </w:r>
      <w:r>
        <w:rPr>
          <w:rFonts w:cstheme="minorHAnsi"/>
        </w:rPr>
        <w:t>.</w:t>
      </w:r>
    </w:p>
    <w:p w14:paraId="5E7F171F" w14:textId="77777777" w:rsidR="0089046E" w:rsidRDefault="000836A2" w:rsidP="008233ED">
      <w:r>
        <w:t>ATSDR 2003. Agency for Toxic Substances and Disease Registry, Toxicological Profile for pyrethrins and pyrethroids, tp155. United States Department of Health and Human Services, Public Health Service, September 2003.</w:t>
      </w:r>
    </w:p>
    <w:p w14:paraId="5E7F1720" w14:textId="77777777" w:rsidR="0089046E" w:rsidRDefault="000836A2" w:rsidP="008233ED">
      <w:r>
        <w:t>Chang, K-S, Jung, J-S, Park,</w:t>
      </w:r>
      <w:r>
        <w:t xml:space="preserve"> C, Lee, D-K &amp; Shin, E-H 2009. Insecticide susceptibility and resistance of larvae of the </w:t>
      </w:r>
      <w:r w:rsidRPr="00254686">
        <w:rPr>
          <w:rStyle w:val="Emphasis"/>
        </w:rPr>
        <w:t>Anopheles sinensis</w:t>
      </w:r>
      <w:r>
        <w:t xml:space="preserve"> group (Diptera: Culicidae) from Paju, Republic of Korea. </w:t>
      </w:r>
      <w:r w:rsidRPr="00254686">
        <w:rPr>
          <w:rStyle w:val="Emphasis"/>
        </w:rPr>
        <w:t>Entomological Research</w:t>
      </w:r>
      <w:r>
        <w:t>, 39, 196–200.</w:t>
      </w:r>
    </w:p>
    <w:p w14:paraId="5E7F1721" w14:textId="77777777" w:rsidR="0089046E" w:rsidRDefault="000836A2" w:rsidP="008233ED">
      <w:r>
        <w:t xml:space="preserve">Fishel, FM 2013. </w:t>
      </w:r>
      <w:hyperlink r:id="rId42" w:history="1">
        <w:r w:rsidRPr="005A4D0E">
          <w:rPr>
            <w:rStyle w:val="Hyperlink"/>
          </w:rPr>
          <w:t>Pesticide Formulations, document PI231</w:t>
        </w:r>
      </w:hyperlink>
      <w:r>
        <w:t xml:space="preserve">. Agronomy Department, Florida Cooperative Extension Service, Institute of Food and Agricultural Sciences (IFAS), University of Florida. </w:t>
      </w:r>
    </w:p>
    <w:p w14:paraId="5E7F1722" w14:textId="77777777" w:rsidR="0089046E" w:rsidRDefault="000836A2" w:rsidP="008233ED">
      <w:r>
        <w:t xml:space="preserve">Fojut, TL, </w:t>
      </w:r>
      <w:r>
        <w:t xml:space="preserve">Mulligan, R &amp; Tjeerdema, RS 2011. Water Quality Criteria Report for Cypermethrin, Phase III: Application of the pesticide water quality criteria methodology. Prepared for the Central Valley Regional Water Quality Control Board by University of California, </w:t>
      </w:r>
      <w:r>
        <w:t>Davis, September 2011.</w:t>
      </w:r>
    </w:p>
    <w:p w14:paraId="5E7F1723" w14:textId="77777777" w:rsidR="0089046E" w:rsidRPr="00407333" w:rsidRDefault="000836A2" w:rsidP="00201048">
      <w:r w:rsidRPr="00407333">
        <w:t>Jahanbakhshi, A, Shaluei</w:t>
      </w:r>
      <w:r>
        <w:t>,</w:t>
      </w:r>
      <w:r w:rsidRPr="00407333">
        <w:t xml:space="preserve"> F</w:t>
      </w:r>
      <w:r>
        <w:t xml:space="preserve"> &amp;</w:t>
      </w:r>
      <w:r w:rsidRPr="00407333">
        <w:t xml:space="preserve"> Baghfalaki</w:t>
      </w:r>
      <w:r>
        <w:t>,</w:t>
      </w:r>
      <w:r w:rsidRPr="00407333">
        <w:t xml:space="preserve"> M 2012. Acute toxicity of cypermethrin on the great sturgeon (</w:t>
      </w:r>
      <w:r w:rsidRPr="002033CE">
        <w:rPr>
          <w:rStyle w:val="Emphasis"/>
        </w:rPr>
        <w:t>Huso huso</w:t>
      </w:r>
      <w:r w:rsidRPr="00407333">
        <w:t xml:space="preserve">) juveniles. </w:t>
      </w:r>
      <w:r w:rsidRPr="002033CE">
        <w:rPr>
          <w:rStyle w:val="Emphasis"/>
        </w:rPr>
        <w:t>World Journal of Fish and Marine Sciences</w:t>
      </w:r>
      <w:r>
        <w:t>, 4,</w:t>
      </w:r>
      <w:r w:rsidRPr="00407333">
        <w:t xml:space="preserve"> 170</w:t>
      </w:r>
      <w:r>
        <w:t>–</w:t>
      </w:r>
      <w:r w:rsidRPr="00407333">
        <w:t>174</w:t>
      </w:r>
      <w:r>
        <w:t>.</w:t>
      </w:r>
    </w:p>
    <w:p w14:paraId="5E7F1724" w14:textId="77777777" w:rsidR="0089046E" w:rsidRDefault="000836A2" w:rsidP="008233ED">
      <w:r>
        <w:t xml:space="preserve">Kegley, SE, Hill, BR, Orme, S &amp; Choi, AH 2014. </w:t>
      </w:r>
      <w:hyperlink r:id="rId43" w:history="1">
        <w:r w:rsidRPr="00834E22">
          <w:rPr>
            <w:rStyle w:val="Hyperlink"/>
          </w:rPr>
          <w:t>Pesticide Database</w:t>
        </w:r>
      </w:hyperlink>
      <w:r>
        <w:t xml:space="preserve">. Pesticide Action Network (PAN), North America, Oakland, California. </w:t>
      </w:r>
    </w:p>
    <w:p w14:paraId="5E7F1725" w14:textId="77777777" w:rsidR="0089046E" w:rsidRDefault="000836A2" w:rsidP="008233ED">
      <w:r>
        <w:t>Kumar, A, Correll,</w:t>
      </w:r>
      <w:r w:rsidRPr="002033CE">
        <w:t xml:space="preserve"> </w:t>
      </w:r>
      <w:r>
        <w:t>R, Grocke, S &amp; Bajet,</w:t>
      </w:r>
      <w:r>
        <w:t xml:space="preserve"> C 2010. Toxicity of selected pesticides to freshwater shrimp, </w:t>
      </w:r>
      <w:r w:rsidRPr="00834E22">
        <w:rPr>
          <w:rStyle w:val="Emphasis"/>
        </w:rPr>
        <w:t>Paratya australiensis</w:t>
      </w:r>
      <w:r>
        <w:t xml:space="preserve"> (Decapoda: Atyidae): Use of time series toxicity data to predict chronic lethality. </w:t>
      </w:r>
      <w:r w:rsidRPr="00834E22">
        <w:rPr>
          <w:rStyle w:val="Emphasis"/>
        </w:rPr>
        <w:t>Ecotoxicology and Environmental Safety</w:t>
      </w:r>
      <w:r>
        <w:t>, 73, 360–369.</w:t>
      </w:r>
    </w:p>
    <w:p w14:paraId="5E7F1726" w14:textId="77777777" w:rsidR="0089046E" w:rsidRDefault="000836A2" w:rsidP="008233ED">
      <w:r>
        <w:t>NCBI 2020</w:t>
      </w:r>
      <w:r w:rsidRPr="00FE7A0A">
        <w:t xml:space="preserve">. </w:t>
      </w:r>
      <w:hyperlink r:id="rId44" w:history="1">
        <w:r w:rsidRPr="0044601B">
          <w:rPr>
            <w:rStyle w:val="Hyperlink"/>
          </w:rPr>
          <w:t>PubChem Compound Summary for CID 2912, Cypermethrin</w:t>
        </w:r>
      </w:hyperlink>
      <w:r>
        <w:t xml:space="preserve">. PubChem database, </w:t>
      </w:r>
      <w:r w:rsidRPr="0044601B">
        <w:t>National Center for Biotechnology Information</w:t>
      </w:r>
      <w:r>
        <w:t>, Bethesda, MD, USA.</w:t>
      </w:r>
    </w:p>
    <w:p w14:paraId="5E7F1727" w14:textId="77777777" w:rsidR="0089046E" w:rsidRDefault="000836A2" w:rsidP="008233ED">
      <w:r>
        <w:t xml:space="preserve">PPDB 2015. </w:t>
      </w:r>
      <w:hyperlink r:id="rId45" w:history="1">
        <w:r w:rsidRPr="00453CBB">
          <w:rPr>
            <w:rStyle w:val="Hyperlink"/>
          </w:rPr>
          <w:t>PPDB: Pesticide Properties DataBase, alpha-cypermethrin (Ref: OMS 3004)</w:t>
        </w:r>
      </w:hyperlink>
      <w:r>
        <w:t xml:space="preserve">. University of Hertfordshire, record last updated: Friday 19 June 2015. </w:t>
      </w:r>
    </w:p>
    <w:p w14:paraId="5E7F1728" w14:textId="77777777" w:rsidR="0089046E" w:rsidRPr="005E5AC2" w:rsidRDefault="000836A2" w:rsidP="00201048">
      <w:r w:rsidRPr="00407333">
        <w:t>Shaluei, F, Hedayati</w:t>
      </w:r>
      <w:r>
        <w:t>,</w:t>
      </w:r>
      <w:r w:rsidRPr="00407333">
        <w:t xml:space="preserve"> A, Kolang</w:t>
      </w:r>
      <w:r w:rsidRPr="00407333">
        <w:t>i</w:t>
      </w:r>
      <w:r>
        <w:t>,</w:t>
      </w:r>
      <w:r w:rsidRPr="00407333">
        <w:t xml:space="preserve"> H, Jahanbakhshi</w:t>
      </w:r>
      <w:r>
        <w:t>,</w:t>
      </w:r>
      <w:r w:rsidRPr="00407333">
        <w:t xml:space="preserve"> A</w:t>
      </w:r>
      <w:r>
        <w:t xml:space="preserve"> &amp;</w:t>
      </w:r>
      <w:r w:rsidRPr="00407333">
        <w:t xml:space="preserve"> Baghfalaki</w:t>
      </w:r>
      <w:r>
        <w:t>,</w:t>
      </w:r>
      <w:r w:rsidRPr="00407333">
        <w:t xml:space="preserve"> M 2012. Evalua</w:t>
      </w:r>
      <w:r>
        <w:t>ti</w:t>
      </w:r>
      <w:r w:rsidRPr="00407333">
        <w:t>on of the acute toxicity of cypermethrin and its effects on behavioural responses of caspian roach (</w:t>
      </w:r>
      <w:r w:rsidRPr="006626B3">
        <w:rPr>
          <w:rStyle w:val="Emphasis"/>
        </w:rPr>
        <w:t>Rutilus rutilus caspicus</w:t>
      </w:r>
      <w:r w:rsidRPr="00407333">
        <w:t>) and silver carp (</w:t>
      </w:r>
      <w:r w:rsidRPr="006626B3">
        <w:rPr>
          <w:rStyle w:val="Emphasis"/>
        </w:rPr>
        <w:t>Hypophthalmicthys molitrix</w:t>
      </w:r>
      <w:r w:rsidRPr="00407333">
        <w:t xml:space="preserve">). </w:t>
      </w:r>
      <w:r w:rsidRPr="006626B3">
        <w:rPr>
          <w:rStyle w:val="Emphasis"/>
        </w:rPr>
        <w:t>Global Veterinaria</w:t>
      </w:r>
      <w:r>
        <w:t>,</w:t>
      </w:r>
      <w:r w:rsidRPr="00407333">
        <w:t xml:space="preserve"> 9</w:t>
      </w:r>
      <w:r>
        <w:t>,</w:t>
      </w:r>
      <w:r w:rsidRPr="00407333">
        <w:t xml:space="preserve"> 215</w:t>
      </w:r>
      <w:r>
        <w:t>–</w:t>
      </w:r>
      <w:r w:rsidRPr="00407333">
        <w:t>219</w:t>
      </w:r>
      <w:r>
        <w:t>.</w:t>
      </w:r>
    </w:p>
    <w:p w14:paraId="5E7F1729" w14:textId="77777777" w:rsidR="0089046E" w:rsidRDefault="000836A2" w:rsidP="00201048">
      <w:r w:rsidRPr="005E5AC2">
        <w:t>Shen, MF, Kumar</w:t>
      </w:r>
      <w:r>
        <w:t>,</w:t>
      </w:r>
      <w:r w:rsidRPr="005E5AC2">
        <w:t xml:space="preserve"> A, Ding</w:t>
      </w:r>
      <w:r>
        <w:t>,</w:t>
      </w:r>
      <w:r w:rsidRPr="005E5AC2">
        <w:t xml:space="preserve"> SY</w:t>
      </w:r>
      <w:r>
        <w:t xml:space="preserve"> &amp;</w:t>
      </w:r>
      <w:r w:rsidRPr="005E5AC2">
        <w:t xml:space="preserve"> Grocke</w:t>
      </w:r>
      <w:r>
        <w:t>,</w:t>
      </w:r>
      <w:r w:rsidRPr="005E5AC2">
        <w:t xml:space="preserve"> S 2012. Comparative study on the toxicity of pyrethroids, alpha-cypermethrin and deltamethrin to </w:t>
      </w:r>
      <w:r w:rsidRPr="0079031B">
        <w:rPr>
          <w:rStyle w:val="Emphasis"/>
        </w:rPr>
        <w:t>Ceriodaphnia dubia</w:t>
      </w:r>
      <w:r w:rsidRPr="005E5AC2">
        <w:t xml:space="preserve">. </w:t>
      </w:r>
      <w:r w:rsidRPr="0079031B">
        <w:rPr>
          <w:rStyle w:val="Emphasis"/>
        </w:rPr>
        <w:t>Ecotoxicology and Environmental Safety</w:t>
      </w:r>
      <w:r>
        <w:t>,</w:t>
      </w:r>
      <w:r w:rsidRPr="005E5AC2">
        <w:t xml:space="preserve"> 78</w:t>
      </w:r>
      <w:r>
        <w:t>,</w:t>
      </w:r>
      <w:r w:rsidRPr="005E5AC2">
        <w:t xml:space="preserve"> 9</w:t>
      </w:r>
      <w:r>
        <w:t>–</w:t>
      </w:r>
      <w:r w:rsidRPr="005E5AC2">
        <w:t>13</w:t>
      </w:r>
      <w:r>
        <w:t>.</w:t>
      </w:r>
    </w:p>
    <w:p w14:paraId="5E7F172A" w14:textId="77777777" w:rsidR="0089046E" w:rsidRDefault="000836A2" w:rsidP="008233ED">
      <w:r>
        <w:t>Stephenson, RR 1990. A pyrethroid insecticide</w:t>
      </w:r>
      <w:r>
        <w:t xml:space="preserve"> for use in rice - effects of formulation on fish toxicity and its assessment. In BT Grayson, MB Green &amp; LG Copping (eds.). </w:t>
      </w:r>
      <w:r w:rsidRPr="00B41845">
        <w:rPr>
          <w:rStyle w:val="Emphasis"/>
        </w:rPr>
        <w:t>Pest Management in Rice</w:t>
      </w:r>
      <w:r>
        <w:t>. Elsevier Applied Science, Essex, England.</w:t>
      </w:r>
    </w:p>
    <w:p w14:paraId="5E7F172B" w14:textId="77777777" w:rsidR="0089046E" w:rsidRDefault="000836A2" w:rsidP="00201048">
      <w:r w:rsidRPr="005E5AC2">
        <w:t>Tripathi, PK</w:t>
      </w:r>
      <w:r>
        <w:t xml:space="preserve"> &amp;</w:t>
      </w:r>
      <w:r w:rsidRPr="005E5AC2">
        <w:t xml:space="preserve"> Singh</w:t>
      </w:r>
      <w:r>
        <w:t>, A</w:t>
      </w:r>
      <w:r w:rsidRPr="005E5AC2">
        <w:t xml:space="preserve"> 2004. Toxic effects of cypermethrin and a</w:t>
      </w:r>
      <w:r w:rsidRPr="005E5AC2">
        <w:t>lphacypermethrin on reproduction and oxidative metabolism of the freshwater snail</w:t>
      </w:r>
      <w:r w:rsidRPr="006626B3">
        <w:t xml:space="preserve">, </w:t>
      </w:r>
      <w:r w:rsidRPr="006626B3">
        <w:rPr>
          <w:rStyle w:val="Emphasis"/>
        </w:rPr>
        <w:t>Lymnaea acuminata</w:t>
      </w:r>
      <w:r w:rsidRPr="005E5AC2">
        <w:t xml:space="preserve">. </w:t>
      </w:r>
      <w:r w:rsidRPr="006626B3">
        <w:rPr>
          <w:rStyle w:val="Emphasis"/>
        </w:rPr>
        <w:t>Ecotoxicology and Environmental Safety</w:t>
      </w:r>
      <w:r>
        <w:t>,</w:t>
      </w:r>
      <w:r w:rsidRPr="005E5AC2">
        <w:t xml:space="preserve"> 58</w:t>
      </w:r>
      <w:r>
        <w:t>,</w:t>
      </w:r>
      <w:r w:rsidRPr="005E5AC2">
        <w:t xml:space="preserve"> 227</w:t>
      </w:r>
      <w:r>
        <w:t>–</w:t>
      </w:r>
      <w:r w:rsidRPr="005E5AC2">
        <w:t>235</w:t>
      </w:r>
      <w:r>
        <w:t>.</w:t>
      </w:r>
    </w:p>
    <w:p w14:paraId="5E7F172C" w14:textId="77777777" w:rsidR="0089046E" w:rsidRDefault="000836A2" w:rsidP="00201048">
      <w:r>
        <w:t xml:space="preserve">USEPA 2019. </w:t>
      </w:r>
      <w:hyperlink r:id="rId46" w:history="1">
        <w:r w:rsidRPr="007150EA">
          <w:rPr>
            <w:rStyle w:val="Hyperlink"/>
          </w:rPr>
          <w:t>Office of Pesticide Programs Database</w:t>
        </w:r>
      </w:hyperlink>
      <w:r>
        <w:t>. United States Environmental Protection Agency, Office of Prevention, Pesticides, and Toxic Substances. Office of Pesticide Programs, Washington, DC.</w:t>
      </w:r>
    </w:p>
    <w:p w14:paraId="5E7F172D" w14:textId="77777777" w:rsidR="0089046E" w:rsidRDefault="000836A2" w:rsidP="00282C65">
      <w:r w:rsidRPr="00A40001">
        <w:t xml:space="preserve">Warne MStJ, Batley GE, van Dam RA, Chapman JC, Fox DR, Hickey CW </w:t>
      </w:r>
      <w:r>
        <w:t>&amp; Stauber</w:t>
      </w:r>
      <w:r>
        <w:t xml:space="preserve"> </w:t>
      </w:r>
      <w:r w:rsidRPr="009B2BC4">
        <w:t>JL</w:t>
      </w:r>
      <w:r w:rsidRPr="00E00D37">
        <w:t xml:space="preserve"> 2018. R</w:t>
      </w:r>
      <w:r>
        <w:t>evised Method for Deriving Australian and New Zealand Water Quality Guideline Values for Toxicants – update of 2015 version. Prepared for the revision of the Australian and New Zealand Guidelines for Fresh and Marine Water Quality. Australian an</w:t>
      </w:r>
      <w:r>
        <w:t>d New Zealand Governments and Australian state and territory governments, Canberra, 48 pp.</w:t>
      </w:r>
    </w:p>
    <w:p w14:paraId="5E7F172E" w14:textId="77777777" w:rsidR="0089046E" w:rsidRDefault="000836A2" w:rsidP="008233ED">
      <w:r>
        <w:t xml:space="preserve">WHO 1992. </w:t>
      </w:r>
      <w:hyperlink r:id="rId47" w:history="1">
        <w:r w:rsidRPr="00000C62">
          <w:rPr>
            <w:rStyle w:val="Hyperlink"/>
          </w:rPr>
          <w:t>Alpha-cypermethrin, Environmental Health Criteria 142, International Program on Chemical Sa</w:t>
        </w:r>
        <w:r w:rsidRPr="00000C62">
          <w:rPr>
            <w:rStyle w:val="Hyperlink"/>
          </w:rPr>
          <w:t>fety</w:t>
        </w:r>
      </w:hyperlink>
      <w:r>
        <w:t xml:space="preserve">. Published under the joint sponsorship of the United Nations Environment Programme, the International Labour Organisation, and the World Health Organization.  </w:t>
      </w:r>
    </w:p>
    <w:p w14:paraId="5E7F172F" w14:textId="77777777" w:rsidR="0089046E" w:rsidRDefault="000836A2" w:rsidP="008233ED">
      <w:r>
        <w:t xml:space="preserve">WHO 2009. Alpha-cypermethrin, A racemic </w:t>
      </w:r>
      <w:r>
        <w:t>mixture of: (S)-α-cyano-3-phenoxybenzyl-(1R,3R)-3-(2,2-dichlorovinyl)-2,2-dimethylcyclopropane-carboxylate and (R)-α-cyano-3-phenoxybenzyl-(1S,3S)-3-(2,2-dichlorovinyl)-2,2-dimethylcyclopropane-carboxylate. WHO Specifications and Evaluations for Public Hea</w:t>
      </w:r>
      <w:r>
        <w:t>lth Pesticides, World Health Organisation, September 2009.</w:t>
      </w:r>
    </w:p>
    <w:p w14:paraId="5E7F1730" w14:textId="77777777" w:rsidR="0089046E" w:rsidRDefault="000836A2" w:rsidP="008233ED">
      <w:r>
        <w:t>WHO 2013. Alpha-cypermethrin, A racemic mixture of: (S)-α-cyano-3-phenoxybenzyl-(1R,3R)-3-(2,2-dichlorovinyl)-2,2-dimethylcyclopropane-carboxylate and (R)-α-cyano-3-phenoxybenzyl-(1S,3S)-3-(2,2-dic</w:t>
      </w:r>
      <w:r>
        <w:t>hlorovinyl)-2,2-dimethylcyclopropane-carboxylate. WHO Specifications and Evaluations for Public Health Pesticides, World Health Organisation, January 2013.</w:t>
      </w:r>
    </w:p>
    <w:p w14:paraId="5E7F1731" w14:textId="77777777" w:rsidR="0089046E" w:rsidRDefault="000836A2" w:rsidP="008233ED">
      <w:r>
        <w:t>Yang, W, Spurlock, F, Liu, W &amp; Gan, J 2006, Inhibition of aquatic toxicity of pyrethroid insecticide</w:t>
      </w:r>
      <w:r>
        <w:t xml:space="preserve">s by suspended sediment. </w:t>
      </w:r>
      <w:r w:rsidRPr="00254686">
        <w:rPr>
          <w:rStyle w:val="Emphasis"/>
        </w:rPr>
        <w:t>Environmental Toxicology and Chemistry</w:t>
      </w:r>
      <w:r>
        <w:t>, 25, 1913–1919.</w:t>
      </w:r>
    </w:p>
    <w:p w14:paraId="5E7F1732" w14:textId="77777777" w:rsidR="0089046E" w:rsidRDefault="000836A2" w:rsidP="00201048">
      <w:r w:rsidRPr="00EC726F">
        <w:t>Yilmaz, M 2005. Acute toxicity of alpha-cypermethrin on tilapia (</w:t>
      </w:r>
      <w:r w:rsidRPr="0079031B">
        <w:rPr>
          <w:rStyle w:val="Emphasis"/>
        </w:rPr>
        <w:t>Oreochromis niloticus</w:t>
      </w:r>
      <w:r w:rsidRPr="0000478D">
        <w:rPr>
          <w:i/>
        </w:rPr>
        <w:t xml:space="preserve"> </w:t>
      </w:r>
      <w:r w:rsidRPr="00EC726F">
        <w:t xml:space="preserve">L.) larvae. </w:t>
      </w:r>
      <w:r w:rsidRPr="0079031B">
        <w:rPr>
          <w:rStyle w:val="Emphasis"/>
        </w:rPr>
        <w:t>Bulletin of Environmental Contamination and Toxicology</w:t>
      </w:r>
      <w:r>
        <w:t>, 74,</w:t>
      </w:r>
      <w:r w:rsidRPr="00EC726F">
        <w:t xml:space="preserve"> 880</w:t>
      </w:r>
      <w:r>
        <w:t>–</w:t>
      </w:r>
      <w:r w:rsidRPr="00EC726F">
        <w:t>885</w:t>
      </w:r>
      <w:r>
        <w:t>.</w:t>
      </w:r>
    </w:p>
    <w:p w14:paraId="5E7F1733" w14:textId="77777777" w:rsidR="0089046E" w:rsidRPr="005E5AC2" w:rsidRDefault="000836A2" w:rsidP="00201048">
      <w:r w:rsidRPr="00B21B4E">
        <w:t xml:space="preserve">Yilmaz, </w:t>
      </w:r>
      <w:r w:rsidRPr="00B21B4E">
        <w:t>M, Gul</w:t>
      </w:r>
      <w:r>
        <w:t>,</w:t>
      </w:r>
      <w:r w:rsidRPr="00B21B4E">
        <w:t xml:space="preserve"> </w:t>
      </w:r>
      <w:r>
        <w:t>A &amp;</w:t>
      </w:r>
      <w:r w:rsidRPr="00B21B4E">
        <w:t xml:space="preserve"> Erbasli</w:t>
      </w:r>
      <w:r>
        <w:t>,</w:t>
      </w:r>
      <w:r w:rsidRPr="00B21B4E">
        <w:t xml:space="preserve"> K 2004. Acute toxicity of alpha-cypermethrin to guppy (</w:t>
      </w:r>
      <w:r w:rsidRPr="0079031B">
        <w:rPr>
          <w:rStyle w:val="Emphasis"/>
        </w:rPr>
        <w:t>Poecilia reticulata</w:t>
      </w:r>
      <w:r w:rsidRPr="0000478D">
        <w:t>,</w:t>
      </w:r>
      <w:r w:rsidRPr="00B21B4E">
        <w:t xml:space="preserve"> Pallas, 1859). </w:t>
      </w:r>
      <w:r w:rsidRPr="0079031B">
        <w:rPr>
          <w:rStyle w:val="Emphasis"/>
        </w:rPr>
        <w:t>Chemosphere</w:t>
      </w:r>
      <w:r>
        <w:t>, 56,</w:t>
      </w:r>
      <w:r w:rsidRPr="00B21B4E">
        <w:t xml:space="preserve"> 381</w:t>
      </w:r>
      <w:r>
        <w:t>–</w:t>
      </w:r>
      <w:r w:rsidRPr="00B21B4E">
        <w:t>385</w:t>
      </w:r>
      <w:r>
        <w:t>.</w:t>
      </w:r>
    </w:p>
    <w:p w14:paraId="5E7F1734" w14:textId="77777777" w:rsidR="0089046E" w:rsidRDefault="000836A2" w:rsidP="008233ED">
      <w:r>
        <w:t>Yu, S, Wages, MR, Cai, Q, Maul, JD &amp; Cobb, GP 2013. Lethal and sublethal effects of three insecticides on two developm</w:t>
      </w:r>
      <w:r>
        <w:t xml:space="preserve">ental stages of </w:t>
      </w:r>
      <w:r w:rsidRPr="00717EA8">
        <w:rPr>
          <w:rStyle w:val="Emphasis"/>
        </w:rPr>
        <w:t>Xenopus laevis</w:t>
      </w:r>
      <w:r>
        <w:t xml:space="preserve"> and comparison with other amphibians. Environmental Toxicology and Chemistry, 32, 2056–2064.</w:t>
      </w:r>
    </w:p>
    <w:p w14:paraId="5E7F1735" w14:textId="77777777" w:rsidR="00201048" w:rsidRDefault="00201048" w:rsidP="00201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contextualSpacing/>
        <w:rPr>
          <w:noProof/>
        </w:rPr>
      </w:pPr>
    </w:p>
    <w:sectPr w:rsidR="00201048" w:rsidSect="00606A7B">
      <w:headerReference w:type="default" r:id="rId48"/>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F1750" w14:textId="77777777" w:rsidR="00000000" w:rsidRDefault="000836A2">
      <w:pPr>
        <w:spacing w:after="0" w:line="240" w:lineRule="auto"/>
      </w:pPr>
      <w:r>
        <w:separator/>
      </w:r>
    </w:p>
  </w:endnote>
  <w:endnote w:type="continuationSeparator" w:id="0">
    <w:p w14:paraId="5E7F1752" w14:textId="77777777" w:rsidR="00000000" w:rsidRDefault="00083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1743" w14:textId="77777777" w:rsidR="00B95659" w:rsidRDefault="000836A2" w:rsidP="00414A32">
    <w:pPr>
      <w:pStyle w:val="Footer"/>
      <w:tabs>
        <w:tab w:val="clear" w:pos="4536"/>
        <w:tab w:val="left" w:pos="8647"/>
        <w:tab w:val="left" w:pos="14034"/>
      </w:tabs>
      <w:spacing w:before="120"/>
    </w:pPr>
    <w:r>
      <w:t>Australian and New Zealand Guidelines for Fresh and Marine Water Quality</w:t>
    </w:r>
    <w:r>
      <w:tab/>
    </w:r>
    <w:r>
      <w:fldChar w:fldCharType="begin"/>
    </w:r>
    <w:r>
      <w:instrText xml:space="preserve"> PAGE   \* MERGEFORMAT </w:instrText>
    </w:r>
    <w: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1747" w14:textId="77777777" w:rsidR="00B95659" w:rsidRDefault="000836A2" w:rsidP="00414A32">
    <w:pPr>
      <w:pStyle w:val="Footer"/>
      <w:tabs>
        <w:tab w:val="clear" w:pos="4536"/>
        <w:tab w:val="left" w:pos="8647"/>
        <w:tab w:val="left" w:pos="14034"/>
      </w:tabs>
      <w:spacing w:before="120"/>
    </w:pPr>
    <w:r>
      <w:t>Australian and New Zealand Guidelines for Fresh and Marine Water Quality</w:t>
    </w:r>
    <w:r>
      <w:tab/>
    </w: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174A" w14:textId="77777777" w:rsidR="00B95659" w:rsidRDefault="000836A2" w:rsidP="00414A32">
    <w:pPr>
      <w:pStyle w:val="Footer"/>
      <w:tabs>
        <w:tab w:val="clear" w:pos="4536"/>
        <w:tab w:val="left" w:pos="8647"/>
        <w:tab w:val="left" w:pos="14034"/>
      </w:tabs>
      <w:spacing w:before="120"/>
    </w:pPr>
    <w:r>
      <w:t>Australian and New Zealand Guidelines for Fresh and Marine Water Quality</w:t>
    </w:r>
    <w:r>
      <w:tab/>
    </w:r>
    <w:r>
      <w:fldChar w:fldCharType="begin"/>
    </w:r>
    <w:r>
      <w:instrText xml:space="preserve"> PAGE   \* MERGEFORMAT </w:instrText>
    </w:r>
    <w:r>
      <w:fldChar w:fldCharType="separate"/>
    </w:r>
    <w:r>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F174C" w14:textId="77777777" w:rsidR="00000000" w:rsidRDefault="000836A2">
      <w:pPr>
        <w:spacing w:after="0" w:line="240" w:lineRule="auto"/>
      </w:pPr>
      <w:r>
        <w:separator/>
      </w:r>
    </w:p>
  </w:footnote>
  <w:footnote w:type="continuationSeparator" w:id="0">
    <w:p w14:paraId="5E7F174E" w14:textId="77777777" w:rsidR="00000000" w:rsidRDefault="00083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1742" w14:textId="77777777" w:rsidR="00B95659" w:rsidRDefault="000836A2">
    <w:pPr>
      <w:pStyle w:val="Header"/>
    </w:pPr>
    <w:r>
      <w:t xml:space="preserve">Toxicant default guideline values for aquatic ecosystem protection: </w:t>
    </w:r>
    <w:r w:rsidRPr="0013350A">
      <w:t>Alpha-cypermethrin in freshwater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1744" w14:textId="77777777" w:rsidR="00B95659" w:rsidRDefault="000836A2">
    <w:pPr>
      <w:pStyle w:val="Header"/>
    </w:pPr>
    <w:r>
      <w:rPr>
        <w:noProof/>
        <w:lang w:eastAsia="en-AU"/>
      </w:rPr>
      <w:drawing>
        <wp:anchor distT="0" distB="0" distL="114300" distR="114300" simplePos="0" relativeHeight="251658240" behindDoc="1" locked="0" layoutInCell="1" allowOverlap="1" wp14:anchorId="5E7F174C" wp14:editId="5E7F174D">
          <wp:simplePos x="0" y="0"/>
          <wp:positionH relativeFrom="column">
            <wp:posOffset>-895406</wp:posOffset>
          </wp:positionH>
          <wp:positionV relativeFrom="paragraph">
            <wp:posOffset>-355021</wp:posOffset>
          </wp:positionV>
          <wp:extent cx="7556361" cy="10687529"/>
          <wp:effectExtent l="0" t="0" r="6985" b="0"/>
          <wp:wrapNone/>
          <wp:docPr id="2" name="Picture 2" descr="Water Quality Guidelines is a joint initiative of the Australian and New Zealand governments, in partnership with the Australian states and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363296" name="DA2834_1216_Water Quality guidelines-blank-W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472" cy="1071031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1745" w14:textId="77777777" w:rsidR="00B95659" w:rsidRPr="001303C0" w:rsidRDefault="000836A2" w:rsidP="001303C0">
    <w:pPr>
      <w:pStyle w:val="Header"/>
    </w:pPr>
    <w:r w:rsidRPr="0013350A">
      <w:t>Toxicant default guideline values for aquatic ecosystem protection: Alpha-cypermethrin in freshwater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1746" w14:textId="77777777" w:rsidR="00B95659" w:rsidRPr="001303C0" w:rsidRDefault="000836A2" w:rsidP="001303C0">
    <w:pPr>
      <w:pStyle w:val="Header"/>
    </w:pPr>
    <w:r>
      <w:t xml:space="preserve">Toxicant default guideline values for aquatic ecosystem protection: </w:t>
    </w:r>
    <w:r w:rsidRPr="0013350A">
      <w:t>Alpha-cypermethrin in freshwater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1748" w14:textId="77777777" w:rsidR="00B95659" w:rsidRPr="000756BD" w:rsidRDefault="000836A2" w:rsidP="000756BD">
    <w:pPr>
      <w:pStyle w:val="Header"/>
    </w:pPr>
    <w:r>
      <w:t xml:space="preserve">Toxicant default guideline values for aquatic ecosystem </w:t>
    </w:r>
    <w:r>
      <w:t>protection</w:t>
    </w:r>
    <w:r w:rsidRPr="0028085F">
      <w:t xml:space="preserve">: </w:t>
    </w:r>
    <w:r>
      <w:t>Alpha-cypermethrin</w:t>
    </w:r>
    <w:r w:rsidRPr="0028085F">
      <w:t xml:space="preserve"> in freshwater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1749" w14:textId="77777777" w:rsidR="00B95659" w:rsidRPr="000756BD" w:rsidRDefault="000836A2" w:rsidP="000756BD">
    <w:pPr>
      <w:pStyle w:val="Header"/>
    </w:pPr>
    <w:r w:rsidRPr="0028085F">
      <w:t xml:space="preserve">Toxicant default guideline values for aquatic ecosystem protection: </w:t>
    </w:r>
    <w:r>
      <w:t>Alpha-cypermethrin</w:t>
    </w:r>
    <w:r w:rsidRPr="0028085F">
      <w:t xml:space="preserve"> in freshwater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174B" w14:textId="77777777" w:rsidR="00B95659" w:rsidRPr="000756BD" w:rsidRDefault="000836A2" w:rsidP="000756BD">
    <w:pPr>
      <w:pStyle w:val="Header"/>
    </w:pPr>
    <w:r w:rsidRPr="0028085F">
      <w:t xml:space="preserve">Toxicant default guideline values for aquatic ecosystem protection: </w:t>
    </w:r>
    <w:r>
      <w:t>Alpha-cypermethrin</w:t>
    </w:r>
    <w:r w:rsidRPr="0028085F">
      <w:t xml:space="preserve"> in freshwater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31E8"/>
    <w:multiLevelType w:val="multilevel"/>
    <w:tmpl w:val="88964F4C"/>
    <w:styleLink w:val="heading"/>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 w15:restartNumberingAfterBreak="0">
    <w:nsid w:val="0FF73C7F"/>
    <w:multiLevelType w:val="multilevel"/>
    <w:tmpl w:val="757ED760"/>
    <w:styleLink w:val="Style1"/>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680" w:hanging="680"/>
      </w:pPr>
      <w:rPr>
        <w:rFonts w:hint="default"/>
      </w:rPr>
    </w:lvl>
    <w:lvl w:ilvl="2">
      <w:start w:val="1"/>
      <w:numFmt w:val="decimal"/>
      <w:pStyle w:val="Heading4"/>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2" w15:restartNumberingAfterBreak="0">
    <w:nsid w:val="17FA091E"/>
    <w:multiLevelType w:val="multilevel"/>
    <w:tmpl w:val="757ED760"/>
    <w:numStyleLink w:val="Style1"/>
  </w:abstractNum>
  <w:abstractNum w:abstractNumId="3" w15:restartNumberingAfterBreak="0">
    <w:nsid w:val="196B606F"/>
    <w:multiLevelType w:val="hybridMultilevel"/>
    <w:tmpl w:val="E0560262"/>
    <w:lvl w:ilvl="0" w:tplc="75FE07AA">
      <w:start w:val="1"/>
      <w:numFmt w:val="bullet"/>
      <w:pStyle w:val="TableBullet"/>
      <w:lvlText w:val=""/>
      <w:lvlJc w:val="left"/>
      <w:pPr>
        <w:ind w:left="720" w:hanging="360"/>
      </w:pPr>
      <w:rPr>
        <w:rFonts w:ascii="Symbol" w:hAnsi="Symbol" w:hint="default"/>
      </w:rPr>
    </w:lvl>
    <w:lvl w:ilvl="1" w:tplc="83328FEE" w:tentative="1">
      <w:start w:val="1"/>
      <w:numFmt w:val="bullet"/>
      <w:lvlText w:val="o"/>
      <w:lvlJc w:val="left"/>
      <w:pPr>
        <w:ind w:left="1440" w:hanging="360"/>
      </w:pPr>
      <w:rPr>
        <w:rFonts w:ascii="Courier New" w:hAnsi="Courier New" w:cs="Courier New" w:hint="default"/>
      </w:rPr>
    </w:lvl>
    <w:lvl w:ilvl="2" w:tplc="3968A168" w:tentative="1">
      <w:start w:val="1"/>
      <w:numFmt w:val="bullet"/>
      <w:lvlText w:val=""/>
      <w:lvlJc w:val="left"/>
      <w:pPr>
        <w:ind w:left="2160" w:hanging="360"/>
      </w:pPr>
      <w:rPr>
        <w:rFonts w:ascii="Wingdings" w:hAnsi="Wingdings" w:hint="default"/>
      </w:rPr>
    </w:lvl>
    <w:lvl w:ilvl="3" w:tplc="86BC38E6" w:tentative="1">
      <w:start w:val="1"/>
      <w:numFmt w:val="bullet"/>
      <w:lvlText w:val=""/>
      <w:lvlJc w:val="left"/>
      <w:pPr>
        <w:ind w:left="2880" w:hanging="360"/>
      </w:pPr>
      <w:rPr>
        <w:rFonts w:ascii="Symbol" w:hAnsi="Symbol" w:hint="default"/>
      </w:rPr>
    </w:lvl>
    <w:lvl w:ilvl="4" w:tplc="3EF2576C" w:tentative="1">
      <w:start w:val="1"/>
      <w:numFmt w:val="bullet"/>
      <w:lvlText w:val="o"/>
      <w:lvlJc w:val="left"/>
      <w:pPr>
        <w:ind w:left="3600" w:hanging="360"/>
      </w:pPr>
      <w:rPr>
        <w:rFonts w:ascii="Courier New" w:hAnsi="Courier New" w:cs="Courier New" w:hint="default"/>
      </w:rPr>
    </w:lvl>
    <w:lvl w:ilvl="5" w:tplc="20C8FAA8" w:tentative="1">
      <w:start w:val="1"/>
      <w:numFmt w:val="bullet"/>
      <w:lvlText w:val=""/>
      <w:lvlJc w:val="left"/>
      <w:pPr>
        <w:ind w:left="4320" w:hanging="360"/>
      </w:pPr>
      <w:rPr>
        <w:rFonts w:ascii="Wingdings" w:hAnsi="Wingdings" w:hint="default"/>
      </w:rPr>
    </w:lvl>
    <w:lvl w:ilvl="6" w:tplc="C080702A" w:tentative="1">
      <w:start w:val="1"/>
      <w:numFmt w:val="bullet"/>
      <w:lvlText w:val=""/>
      <w:lvlJc w:val="left"/>
      <w:pPr>
        <w:ind w:left="5040" w:hanging="360"/>
      </w:pPr>
      <w:rPr>
        <w:rFonts w:ascii="Symbol" w:hAnsi="Symbol" w:hint="default"/>
      </w:rPr>
    </w:lvl>
    <w:lvl w:ilvl="7" w:tplc="75163D98" w:tentative="1">
      <w:start w:val="1"/>
      <w:numFmt w:val="bullet"/>
      <w:lvlText w:val="o"/>
      <w:lvlJc w:val="left"/>
      <w:pPr>
        <w:ind w:left="5760" w:hanging="360"/>
      </w:pPr>
      <w:rPr>
        <w:rFonts w:ascii="Courier New" w:hAnsi="Courier New" w:cs="Courier New" w:hint="default"/>
      </w:rPr>
    </w:lvl>
    <w:lvl w:ilvl="8" w:tplc="6144064C" w:tentative="1">
      <w:start w:val="1"/>
      <w:numFmt w:val="bullet"/>
      <w:lvlText w:val=""/>
      <w:lvlJc w:val="left"/>
      <w:pPr>
        <w:ind w:left="6480" w:hanging="360"/>
      </w:pPr>
      <w:rPr>
        <w:rFonts w:ascii="Wingdings" w:hAnsi="Wingdings" w:hint="default"/>
      </w:rPr>
    </w:lvl>
  </w:abstractNum>
  <w:abstractNum w:abstractNumId="4" w15:restartNumberingAfterBreak="0">
    <w:nsid w:val="2453399E"/>
    <w:multiLevelType w:val="multilevel"/>
    <w:tmpl w:val="88964F4C"/>
    <w:numStyleLink w:val="heading"/>
  </w:abstractNum>
  <w:abstractNum w:abstractNumId="5" w15:restartNumberingAfterBreak="0">
    <w:nsid w:val="29636E79"/>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6" w15:restartNumberingAfterBreak="0">
    <w:nsid w:val="2D595B46"/>
    <w:multiLevelType w:val="multilevel"/>
    <w:tmpl w:val="C32AB9AA"/>
    <w:numStyleLink w:val="ListNumber1"/>
  </w:abstractNum>
  <w:abstractNum w:abstractNumId="7"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8" w15:restartNumberingAfterBreak="0">
    <w:nsid w:val="35C62FCD"/>
    <w:multiLevelType w:val="hybridMultilevel"/>
    <w:tmpl w:val="0B4A6256"/>
    <w:lvl w:ilvl="0" w:tplc="212A97A8">
      <w:start w:val="1"/>
      <w:numFmt w:val="bullet"/>
      <w:lvlText w:val=""/>
      <w:lvlJc w:val="left"/>
      <w:pPr>
        <w:ind w:left="720" w:hanging="360"/>
      </w:pPr>
      <w:rPr>
        <w:rFonts w:ascii="Symbol" w:hAnsi="Symbol" w:hint="default"/>
      </w:rPr>
    </w:lvl>
    <w:lvl w:ilvl="1" w:tplc="764E209A" w:tentative="1">
      <w:start w:val="1"/>
      <w:numFmt w:val="bullet"/>
      <w:lvlText w:val="o"/>
      <w:lvlJc w:val="left"/>
      <w:pPr>
        <w:ind w:left="1440" w:hanging="360"/>
      </w:pPr>
      <w:rPr>
        <w:rFonts w:ascii="Courier New" w:hAnsi="Courier New" w:cs="Courier New" w:hint="default"/>
      </w:rPr>
    </w:lvl>
    <w:lvl w:ilvl="2" w:tplc="077210CC" w:tentative="1">
      <w:start w:val="1"/>
      <w:numFmt w:val="bullet"/>
      <w:lvlText w:val=""/>
      <w:lvlJc w:val="left"/>
      <w:pPr>
        <w:ind w:left="2160" w:hanging="360"/>
      </w:pPr>
      <w:rPr>
        <w:rFonts w:ascii="Wingdings" w:hAnsi="Wingdings" w:hint="default"/>
      </w:rPr>
    </w:lvl>
    <w:lvl w:ilvl="3" w:tplc="DBD2A07E" w:tentative="1">
      <w:start w:val="1"/>
      <w:numFmt w:val="bullet"/>
      <w:lvlText w:val=""/>
      <w:lvlJc w:val="left"/>
      <w:pPr>
        <w:ind w:left="2880" w:hanging="360"/>
      </w:pPr>
      <w:rPr>
        <w:rFonts w:ascii="Symbol" w:hAnsi="Symbol" w:hint="default"/>
      </w:rPr>
    </w:lvl>
    <w:lvl w:ilvl="4" w:tplc="7A9E6DF2" w:tentative="1">
      <w:start w:val="1"/>
      <w:numFmt w:val="bullet"/>
      <w:lvlText w:val="o"/>
      <w:lvlJc w:val="left"/>
      <w:pPr>
        <w:ind w:left="3600" w:hanging="360"/>
      </w:pPr>
      <w:rPr>
        <w:rFonts w:ascii="Courier New" w:hAnsi="Courier New" w:cs="Courier New" w:hint="default"/>
      </w:rPr>
    </w:lvl>
    <w:lvl w:ilvl="5" w:tplc="6C64B452" w:tentative="1">
      <w:start w:val="1"/>
      <w:numFmt w:val="bullet"/>
      <w:lvlText w:val=""/>
      <w:lvlJc w:val="left"/>
      <w:pPr>
        <w:ind w:left="4320" w:hanging="360"/>
      </w:pPr>
      <w:rPr>
        <w:rFonts w:ascii="Wingdings" w:hAnsi="Wingdings" w:hint="default"/>
      </w:rPr>
    </w:lvl>
    <w:lvl w:ilvl="6" w:tplc="4F9C87F4" w:tentative="1">
      <w:start w:val="1"/>
      <w:numFmt w:val="bullet"/>
      <w:lvlText w:val=""/>
      <w:lvlJc w:val="left"/>
      <w:pPr>
        <w:ind w:left="5040" w:hanging="360"/>
      </w:pPr>
      <w:rPr>
        <w:rFonts w:ascii="Symbol" w:hAnsi="Symbol" w:hint="default"/>
      </w:rPr>
    </w:lvl>
    <w:lvl w:ilvl="7" w:tplc="06BA5E76" w:tentative="1">
      <w:start w:val="1"/>
      <w:numFmt w:val="bullet"/>
      <w:lvlText w:val="o"/>
      <w:lvlJc w:val="left"/>
      <w:pPr>
        <w:ind w:left="5760" w:hanging="360"/>
      </w:pPr>
      <w:rPr>
        <w:rFonts w:ascii="Courier New" w:hAnsi="Courier New" w:cs="Courier New" w:hint="default"/>
      </w:rPr>
    </w:lvl>
    <w:lvl w:ilvl="8" w:tplc="35EC27F8" w:tentative="1">
      <w:start w:val="1"/>
      <w:numFmt w:val="bullet"/>
      <w:lvlText w:val=""/>
      <w:lvlJc w:val="left"/>
      <w:pPr>
        <w:ind w:left="6480" w:hanging="360"/>
      </w:pPr>
      <w:rPr>
        <w:rFonts w:ascii="Wingdings" w:hAnsi="Wingdings" w:hint="default"/>
      </w:rPr>
    </w:lvl>
  </w:abstractNum>
  <w:abstractNum w:abstractNumId="9" w15:restartNumberingAfterBreak="0">
    <w:nsid w:val="36D54222"/>
    <w:multiLevelType w:val="multilevel"/>
    <w:tmpl w:val="757ED760"/>
    <w:numStyleLink w:val="Style1"/>
  </w:abstractNum>
  <w:abstractNum w:abstractNumId="10" w15:restartNumberingAfterBreak="0">
    <w:nsid w:val="394A15FE"/>
    <w:multiLevelType w:val="multilevel"/>
    <w:tmpl w:val="F162D24E"/>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BB54DEF"/>
    <w:multiLevelType w:val="multilevel"/>
    <w:tmpl w:val="C32AB9AA"/>
    <w:styleLink w:val="ListNumber1"/>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2" w15:restartNumberingAfterBreak="0">
    <w:nsid w:val="426969BC"/>
    <w:multiLevelType w:val="hybridMultilevel"/>
    <w:tmpl w:val="3F700FBE"/>
    <w:lvl w:ilvl="0" w:tplc="53CE6B5E">
      <w:start w:val="1"/>
      <w:numFmt w:val="bullet"/>
      <w:lvlText w:val=""/>
      <w:lvlJc w:val="left"/>
      <w:pPr>
        <w:ind w:left="720" w:hanging="360"/>
      </w:pPr>
      <w:rPr>
        <w:rFonts w:ascii="Symbol" w:hAnsi="Symbol" w:hint="default"/>
      </w:rPr>
    </w:lvl>
    <w:lvl w:ilvl="1" w:tplc="90FEF102" w:tentative="1">
      <w:start w:val="1"/>
      <w:numFmt w:val="bullet"/>
      <w:lvlText w:val="o"/>
      <w:lvlJc w:val="left"/>
      <w:pPr>
        <w:ind w:left="1440" w:hanging="360"/>
      </w:pPr>
      <w:rPr>
        <w:rFonts w:ascii="Courier New" w:hAnsi="Courier New" w:cs="Courier New" w:hint="default"/>
      </w:rPr>
    </w:lvl>
    <w:lvl w:ilvl="2" w:tplc="7E10AD94" w:tentative="1">
      <w:start w:val="1"/>
      <w:numFmt w:val="bullet"/>
      <w:lvlText w:val=""/>
      <w:lvlJc w:val="left"/>
      <w:pPr>
        <w:ind w:left="2160" w:hanging="360"/>
      </w:pPr>
      <w:rPr>
        <w:rFonts w:ascii="Wingdings" w:hAnsi="Wingdings" w:hint="default"/>
      </w:rPr>
    </w:lvl>
    <w:lvl w:ilvl="3" w:tplc="A5BED8D0" w:tentative="1">
      <w:start w:val="1"/>
      <w:numFmt w:val="bullet"/>
      <w:lvlText w:val=""/>
      <w:lvlJc w:val="left"/>
      <w:pPr>
        <w:ind w:left="2880" w:hanging="360"/>
      </w:pPr>
      <w:rPr>
        <w:rFonts w:ascii="Symbol" w:hAnsi="Symbol" w:hint="default"/>
      </w:rPr>
    </w:lvl>
    <w:lvl w:ilvl="4" w:tplc="22A8EEE6" w:tentative="1">
      <w:start w:val="1"/>
      <w:numFmt w:val="bullet"/>
      <w:lvlText w:val="o"/>
      <w:lvlJc w:val="left"/>
      <w:pPr>
        <w:ind w:left="3600" w:hanging="360"/>
      </w:pPr>
      <w:rPr>
        <w:rFonts w:ascii="Courier New" w:hAnsi="Courier New" w:cs="Courier New" w:hint="default"/>
      </w:rPr>
    </w:lvl>
    <w:lvl w:ilvl="5" w:tplc="A1D28642" w:tentative="1">
      <w:start w:val="1"/>
      <w:numFmt w:val="bullet"/>
      <w:lvlText w:val=""/>
      <w:lvlJc w:val="left"/>
      <w:pPr>
        <w:ind w:left="4320" w:hanging="360"/>
      </w:pPr>
      <w:rPr>
        <w:rFonts w:ascii="Wingdings" w:hAnsi="Wingdings" w:hint="default"/>
      </w:rPr>
    </w:lvl>
    <w:lvl w:ilvl="6" w:tplc="1C286DAA" w:tentative="1">
      <w:start w:val="1"/>
      <w:numFmt w:val="bullet"/>
      <w:lvlText w:val=""/>
      <w:lvlJc w:val="left"/>
      <w:pPr>
        <w:ind w:left="5040" w:hanging="360"/>
      </w:pPr>
      <w:rPr>
        <w:rFonts w:ascii="Symbol" w:hAnsi="Symbol" w:hint="default"/>
      </w:rPr>
    </w:lvl>
    <w:lvl w:ilvl="7" w:tplc="AB4AA0CA" w:tentative="1">
      <w:start w:val="1"/>
      <w:numFmt w:val="bullet"/>
      <w:lvlText w:val="o"/>
      <w:lvlJc w:val="left"/>
      <w:pPr>
        <w:ind w:left="5760" w:hanging="360"/>
      </w:pPr>
      <w:rPr>
        <w:rFonts w:ascii="Courier New" w:hAnsi="Courier New" w:cs="Courier New" w:hint="default"/>
      </w:rPr>
    </w:lvl>
    <w:lvl w:ilvl="8" w:tplc="0D66888C" w:tentative="1">
      <w:start w:val="1"/>
      <w:numFmt w:val="bullet"/>
      <w:lvlText w:val=""/>
      <w:lvlJc w:val="left"/>
      <w:pPr>
        <w:ind w:left="6480" w:hanging="360"/>
      </w:pPr>
      <w:rPr>
        <w:rFonts w:ascii="Wingdings" w:hAnsi="Wingdings" w:hint="default"/>
      </w:rPr>
    </w:lvl>
  </w:abstractNum>
  <w:abstractNum w:abstractNumId="13" w15:restartNumberingAfterBreak="0">
    <w:nsid w:val="48DE2E4A"/>
    <w:multiLevelType w:val="hybridMultilevel"/>
    <w:tmpl w:val="B7086130"/>
    <w:lvl w:ilvl="0" w:tplc="1180DC02">
      <w:start w:val="1"/>
      <w:numFmt w:val="bullet"/>
      <w:pStyle w:val="BoxTextBullet"/>
      <w:lvlText w:val=""/>
      <w:lvlJc w:val="left"/>
      <w:pPr>
        <w:ind w:left="720" w:hanging="360"/>
      </w:pPr>
      <w:rPr>
        <w:rFonts w:ascii="Symbol" w:hAnsi="Symbol" w:hint="default"/>
      </w:rPr>
    </w:lvl>
    <w:lvl w:ilvl="1" w:tplc="BD423AAC" w:tentative="1">
      <w:start w:val="1"/>
      <w:numFmt w:val="bullet"/>
      <w:lvlText w:val="o"/>
      <w:lvlJc w:val="left"/>
      <w:pPr>
        <w:ind w:left="1440" w:hanging="360"/>
      </w:pPr>
      <w:rPr>
        <w:rFonts w:ascii="Courier New" w:hAnsi="Courier New" w:cs="Courier New" w:hint="default"/>
      </w:rPr>
    </w:lvl>
    <w:lvl w:ilvl="2" w:tplc="3880DA08" w:tentative="1">
      <w:start w:val="1"/>
      <w:numFmt w:val="bullet"/>
      <w:lvlText w:val=""/>
      <w:lvlJc w:val="left"/>
      <w:pPr>
        <w:ind w:left="2160" w:hanging="360"/>
      </w:pPr>
      <w:rPr>
        <w:rFonts w:ascii="Wingdings" w:hAnsi="Wingdings" w:hint="default"/>
      </w:rPr>
    </w:lvl>
    <w:lvl w:ilvl="3" w:tplc="DD0CAF68" w:tentative="1">
      <w:start w:val="1"/>
      <w:numFmt w:val="bullet"/>
      <w:lvlText w:val=""/>
      <w:lvlJc w:val="left"/>
      <w:pPr>
        <w:ind w:left="2880" w:hanging="360"/>
      </w:pPr>
      <w:rPr>
        <w:rFonts w:ascii="Symbol" w:hAnsi="Symbol" w:hint="default"/>
      </w:rPr>
    </w:lvl>
    <w:lvl w:ilvl="4" w:tplc="B73AD2C2" w:tentative="1">
      <w:start w:val="1"/>
      <w:numFmt w:val="bullet"/>
      <w:lvlText w:val="o"/>
      <w:lvlJc w:val="left"/>
      <w:pPr>
        <w:ind w:left="3600" w:hanging="360"/>
      </w:pPr>
      <w:rPr>
        <w:rFonts w:ascii="Courier New" w:hAnsi="Courier New" w:cs="Courier New" w:hint="default"/>
      </w:rPr>
    </w:lvl>
    <w:lvl w:ilvl="5" w:tplc="079404EA" w:tentative="1">
      <w:start w:val="1"/>
      <w:numFmt w:val="bullet"/>
      <w:lvlText w:val=""/>
      <w:lvlJc w:val="left"/>
      <w:pPr>
        <w:ind w:left="4320" w:hanging="360"/>
      </w:pPr>
      <w:rPr>
        <w:rFonts w:ascii="Wingdings" w:hAnsi="Wingdings" w:hint="default"/>
      </w:rPr>
    </w:lvl>
    <w:lvl w:ilvl="6" w:tplc="D6CC016E" w:tentative="1">
      <w:start w:val="1"/>
      <w:numFmt w:val="bullet"/>
      <w:lvlText w:val=""/>
      <w:lvlJc w:val="left"/>
      <w:pPr>
        <w:ind w:left="5040" w:hanging="360"/>
      </w:pPr>
      <w:rPr>
        <w:rFonts w:ascii="Symbol" w:hAnsi="Symbol" w:hint="default"/>
      </w:rPr>
    </w:lvl>
    <w:lvl w:ilvl="7" w:tplc="2ECA686C" w:tentative="1">
      <w:start w:val="1"/>
      <w:numFmt w:val="bullet"/>
      <w:lvlText w:val="o"/>
      <w:lvlJc w:val="left"/>
      <w:pPr>
        <w:ind w:left="5760" w:hanging="360"/>
      </w:pPr>
      <w:rPr>
        <w:rFonts w:ascii="Courier New" w:hAnsi="Courier New" w:cs="Courier New" w:hint="default"/>
      </w:rPr>
    </w:lvl>
    <w:lvl w:ilvl="8" w:tplc="6F4EA0FA" w:tentative="1">
      <w:start w:val="1"/>
      <w:numFmt w:val="bullet"/>
      <w:lvlText w:val=""/>
      <w:lvlJc w:val="left"/>
      <w:pPr>
        <w:ind w:left="6480" w:hanging="360"/>
      </w:pPr>
      <w:rPr>
        <w:rFonts w:ascii="Wingdings" w:hAnsi="Wingdings" w:hint="default"/>
      </w:rPr>
    </w:lvl>
  </w:abstractNum>
  <w:abstractNum w:abstractNumId="14" w15:restartNumberingAfterBreak="0">
    <w:nsid w:val="4B861DE6"/>
    <w:multiLevelType w:val="multilevel"/>
    <w:tmpl w:val="6346ED0E"/>
    <w:styleLink w:val="listbullets"/>
    <w:lvl w:ilvl="0">
      <w:start w:val="1"/>
      <w:numFmt w:val="bullet"/>
      <w:pStyle w:val="ListBullet"/>
      <w:lvlText w:val=""/>
      <w:lvlJc w:val="left"/>
      <w:pPr>
        <w:tabs>
          <w:tab w:val="num" w:pos="567"/>
        </w:tabs>
        <w:ind w:left="397"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5"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71D84A87"/>
    <w:multiLevelType w:val="hybridMultilevel"/>
    <w:tmpl w:val="0A5A986C"/>
    <w:lvl w:ilvl="0" w:tplc="8A24010C">
      <w:start w:val="1"/>
      <w:numFmt w:val="decimal"/>
      <w:lvlText w:val="%1."/>
      <w:lvlJc w:val="left"/>
      <w:pPr>
        <w:ind w:left="644" w:hanging="360"/>
      </w:pPr>
      <w:rPr>
        <w:rFonts w:hint="default"/>
      </w:rPr>
    </w:lvl>
    <w:lvl w:ilvl="1" w:tplc="76E83770">
      <w:start w:val="1"/>
      <w:numFmt w:val="lowerLetter"/>
      <w:lvlText w:val="%2."/>
      <w:lvlJc w:val="left"/>
      <w:pPr>
        <w:ind w:left="1364" w:hanging="360"/>
      </w:pPr>
    </w:lvl>
    <w:lvl w:ilvl="2" w:tplc="344A6CF2" w:tentative="1">
      <w:start w:val="1"/>
      <w:numFmt w:val="lowerRoman"/>
      <w:lvlText w:val="%3."/>
      <w:lvlJc w:val="right"/>
      <w:pPr>
        <w:ind w:left="2084" w:hanging="180"/>
      </w:pPr>
    </w:lvl>
    <w:lvl w:ilvl="3" w:tplc="E6CE02EC" w:tentative="1">
      <w:start w:val="1"/>
      <w:numFmt w:val="decimal"/>
      <w:lvlText w:val="%4."/>
      <w:lvlJc w:val="left"/>
      <w:pPr>
        <w:ind w:left="2804" w:hanging="360"/>
      </w:pPr>
    </w:lvl>
    <w:lvl w:ilvl="4" w:tplc="999EB82A" w:tentative="1">
      <w:start w:val="1"/>
      <w:numFmt w:val="lowerLetter"/>
      <w:lvlText w:val="%5."/>
      <w:lvlJc w:val="left"/>
      <w:pPr>
        <w:ind w:left="3524" w:hanging="360"/>
      </w:pPr>
    </w:lvl>
    <w:lvl w:ilvl="5" w:tplc="A8125A36" w:tentative="1">
      <w:start w:val="1"/>
      <w:numFmt w:val="lowerRoman"/>
      <w:lvlText w:val="%6."/>
      <w:lvlJc w:val="right"/>
      <w:pPr>
        <w:ind w:left="4244" w:hanging="180"/>
      </w:pPr>
    </w:lvl>
    <w:lvl w:ilvl="6" w:tplc="2306E226" w:tentative="1">
      <w:start w:val="1"/>
      <w:numFmt w:val="decimal"/>
      <w:lvlText w:val="%7."/>
      <w:lvlJc w:val="left"/>
      <w:pPr>
        <w:ind w:left="4964" w:hanging="360"/>
      </w:pPr>
    </w:lvl>
    <w:lvl w:ilvl="7" w:tplc="922AEEFA" w:tentative="1">
      <w:start w:val="1"/>
      <w:numFmt w:val="lowerLetter"/>
      <w:lvlText w:val="%8."/>
      <w:lvlJc w:val="left"/>
      <w:pPr>
        <w:ind w:left="5684" w:hanging="360"/>
      </w:pPr>
    </w:lvl>
    <w:lvl w:ilvl="8" w:tplc="6F2C592E" w:tentative="1">
      <w:start w:val="1"/>
      <w:numFmt w:val="lowerRoman"/>
      <w:lvlText w:val="%9."/>
      <w:lvlJc w:val="right"/>
      <w:pPr>
        <w:ind w:left="6404" w:hanging="180"/>
      </w:pPr>
    </w:lvl>
  </w:abstractNum>
  <w:abstractNum w:abstractNumId="17" w15:restartNumberingAfterBreak="0">
    <w:nsid w:val="7636387C"/>
    <w:multiLevelType w:val="multilevel"/>
    <w:tmpl w:val="6346ED0E"/>
    <w:numStyleLink w:val="listbullets"/>
  </w:abstractNum>
  <w:abstractNum w:abstractNumId="18" w15:restartNumberingAfterBreak="0">
    <w:nsid w:val="77204A9E"/>
    <w:multiLevelType w:val="hybridMultilevel"/>
    <w:tmpl w:val="5F98E056"/>
    <w:lvl w:ilvl="0" w:tplc="46CA0AEC">
      <w:start w:val="1"/>
      <w:numFmt w:val="decimal"/>
      <w:lvlText w:val="%1)"/>
      <w:lvlJc w:val="left"/>
      <w:pPr>
        <w:ind w:left="720" w:hanging="360"/>
      </w:pPr>
      <w:rPr>
        <w:rFonts w:hint="default"/>
      </w:rPr>
    </w:lvl>
    <w:lvl w:ilvl="1" w:tplc="72CEB70A" w:tentative="1">
      <w:start w:val="1"/>
      <w:numFmt w:val="lowerLetter"/>
      <w:lvlText w:val="%2."/>
      <w:lvlJc w:val="left"/>
      <w:pPr>
        <w:ind w:left="1440" w:hanging="360"/>
      </w:pPr>
    </w:lvl>
    <w:lvl w:ilvl="2" w:tplc="81ECB6F4" w:tentative="1">
      <w:start w:val="1"/>
      <w:numFmt w:val="lowerRoman"/>
      <w:lvlText w:val="%3."/>
      <w:lvlJc w:val="right"/>
      <w:pPr>
        <w:ind w:left="2160" w:hanging="180"/>
      </w:pPr>
    </w:lvl>
    <w:lvl w:ilvl="3" w:tplc="60CC0932" w:tentative="1">
      <w:start w:val="1"/>
      <w:numFmt w:val="decimal"/>
      <w:lvlText w:val="%4."/>
      <w:lvlJc w:val="left"/>
      <w:pPr>
        <w:ind w:left="2880" w:hanging="360"/>
      </w:pPr>
    </w:lvl>
    <w:lvl w:ilvl="4" w:tplc="0AA4A29C" w:tentative="1">
      <w:start w:val="1"/>
      <w:numFmt w:val="lowerLetter"/>
      <w:lvlText w:val="%5."/>
      <w:lvlJc w:val="left"/>
      <w:pPr>
        <w:ind w:left="3600" w:hanging="360"/>
      </w:pPr>
    </w:lvl>
    <w:lvl w:ilvl="5" w:tplc="DB4A4E90" w:tentative="1">
      <w:start w:val="1"/>
      <w:numFmt w:val="lowerRoman"/>
      <w:lvlText w:val="%6."/>
      <w:lvlJc w:val="right"/>
      <w:pPr>
        <w:ind w:left="4320" w:hanging="180"/>
      </w:pPr>
    </w:lvl>
    <w:lvl w:ilvl="6" w:tplc="7BB8A6E2" w:tentative="1">
      <w:start w:val="1"/>
      <w:numFmt w:val="decimal"/>
      <w:lvlText w:val="%7."/>
      <w:lvlJc w:val="left"/>
      <w:pPr>
        <w:ind w:left="5040" w:hanging="360"/>
      </w:pPr>
    </w:lvl>
    <w:lvl w:ilvl="7" w:tplc="A36268C8" w:tentative="1">
      <w:start w:val="1"/>
      <w:numFmt w:val="lowerLetter"/>
      <w:lvlText w:val="%8."/>
      <w:lvlJc w:val="left"/>
      <w:pPr>
        <w:ind w:left="5760" w:hanging="360"/>
      </w:pPr>
    </w:lvl>
    <w:lvl w:ilvl="8" w:tplc="2A58FB4C" w:tentative="1">
      <w:start w:val="1"/>
      <w:numFmt w:val="lowerRoman"/>
      <w:lvlText w:val="%9."/>
      <w:lvlJc w:val="right"/>
      <w:pPr>
        <w:ind w:left="6480" w:hanging="180"/>
      </w:pPr>
    </w:lvl>
  </w:abstractNum>
  <w:abstractNum w:abstractNumId="19" w15:restartNumberingAfterBreak="0">
    <w:nsid w:val="7EEB45BD"/>
    <w:multiLevelType w:val="hybridMultilevel"/>
    <w:tmpl w:val="27F40F42"/>
    <w:lvl w:ilvl="0" w:tplc="5D60C340">
      <w:start w:val="1"/>
      <w:numFmt w:val="bullet"/>
      <w:lvlText w:val=""/>
      <w:lvlJc w:val="left"/>
      <w:pPr>
        <w:ind w:left="720" w:hanging="360"/>
      </w:pPr>
      <w:rPr>
        <w:rFonts w:ascii="Symbol" w:hAnsi="Symbol" w:hint="default"/>
      </w:rPr>
    </w:lvl>
    <w:lvl w:ilvl="1" w:tplc="1B96BDF4" w:tentative="1">
      <w:start w:val="1"/>
      <w:numFmt w:val="bullet"/>
      <w:lvlText w:val="o"/>
      <w:lvlJc w:val="left"/>
      <w:pPr>
        <w:ind w:left="1440" w:hanging="360"/>
      </w:pPr>
      <w:rPr>
        <w:rFonts w:ascii="Courier New" w:hAnsi="Courier New" w:cs="Courier New" w:hint="default"/>
      </w:rPr>
    </w:lvl>
    <w:lvl w:ilvl="2" w:tplc="B832DFC0" w:tentative="1">
      <w:start w:val="1"/>
      <w:numFmt w:val="bullet"/>
      <w:lvlText w:val=""/>
      <w:lvlJc w:val="left"/>
      <w:pPr>
        <w:ind w:left="2160" w:hanging="360"/>
      </w:pPr>
      <w:rPr>
        <w:rFonts w:ascii="Wingdings" w:hAnsi="Wingdings" w:hint="default"/>
      </w:rPr>
    </w:lvl>
    <w:lvl w:ilvl="3" w:tplc="7054BBD6" w:tentative="1">
      <w:start w:val="1"/>
      <w:numFmt w:val="bullet"/>
      <w:lvlText w:val=""/>
      <w:lvlJc w:val="left"/>
      <w:pPr>
        <w:ind w:left="2880" w:hanging="360"/>
      </w:pPr>
      <w:rPr>
        <w:rFonts w:ascii="Symbol" w:hAnsi="Symbol" w:hint="default"/>
      </w:rPr>
    </w:lvl>
    <w:lvl w:ilvl="4" w:tplc="A8AAF518" w:tentative="1">
      <w:start w:val="1"/>
      <w:numFmt w:val="bullet"/>
      <w:lvlText w:val="o"/>
      <w:lvlJc w:val="left"/>
      <w:pPr>
        <w:ind w:left="3600" w:hanging="360"/>
      </w:pPr>
      <w:rPr>
        <w:rFonts w:ascii="Courier New" w:hAnsi="Courier New" w:cs="Courier New" w:hint="default"/>
      </w:rPr>
    </w:lvl>
    <w:lvl w:ilvl="5" w:tplc="3632AEFA" w:tentative="1">
      <w:start w:val="1"/>
      <w:numFmt w:val="bullet"/>
      <w:lvlText w:val=""/>
      <w:lvlJc w:val="left"/>
      <w:pPr>
        <w:ind w:left="4320" w:hanging="360"/>
      </w:pPr>
      <w:rPr>
        <w:rFonts w:ascii="Wingdings" w:hAnsi="Wingdings" w:hint="default"/>
      </w:rPr>
    </w:lvl>
    <w:lvl w:ilvl="6" w:tplc="2C8A0BFE" w:tentative="1">
      <w:start w:val="1"/>
      <w:numFmt w:val="bullet"/>
      <w:lvlText w:val=""/>
      <w:lvlJc w:val="left"/>
      <w:pPr>
        <w:ind w:left="5040" w:hanging="360"/>
      </w:pPr>
      <w:rPr>
        <w:rFonts w:ascii="Symbol" w:hAnsi="Symbol" w:hint="default"/>
      </w:rPr>
    </w:lvl>
    <w:lvl w:ilvl="7" w:tplc="54B0512A" w:tentative="1">
      <w:start w:val="1"/>
      <w:numFmt w:val="bullet"/>
      <w:lvlText w:val="o"/>
      <w:lvlJc w:val="left"/>
      <w:pPr>
        <w:ind w:left="5760" w:hanging="360"/>
      </w:pPr>
      <w:rPr>
        <w:rFonts w:ascii="Courier New" w:hAnsi="Courier New" w:cs="Courier New" w:hint="default"/>
      </w:rPr>
    </w:lvl>
    <w:lvl w:ilvl="8" w:tplc="2B7E0C62" w:tentative="1">
      <w:start w:val="1"/>
      <w:numFmt w:val="bullet"/>
      <w:lvlText w:val=""/>
      <w:lvlJc w:val="left"/>
      <w:pPr>
        <w:ind w:left="6480" w:hanging="360"/>
      </w:pPr>
      <w:rPr>
        <w:rFonts w:ascii="Wingdings" w:hAnsi="Wingdings" w:hint="default"/>
      </w:rPr>
    </w:lvl>
  </w:abstractNum>
  <w:num w:numId="1" w16cid:durableId="292565569">
    <w:abstractNumId w:val="13"/>
  </w:num>
  <w:num w:numId="2" w16cid:durableId="992831687">
    <w:abstractNumId w:val="3"/>
  </w:num>
  <w:num w:numId="3" w16cid:durableId="1837451649">
    <w:abstractNumId w:val="15"/>
  </w:num>
  <w:num w:numId="4" w16cid:durableId="1664116023">
    <w:abstractNumId w:val="5"/>
  </w:num>
  <w:num w:numId="5" w16cid:durableId="248782640">
    <w:abstractNumId w:val="7"/>
  </w:num>
  <w:num w:numId="6" w16cid:durableId="1344867497">
    <w:abstractNumId w:val="14"/>
  </w:num>
  <w:num w:numId="7" w16cid:durableId="197859483">
    <w:abstractNumId w:val="17"/>
  </w:num>
  <w:num w:numId="8" w16cid:durableId="594873087">
    <w:abstractNumId w:val="11"/>
  </w:num>
  <w:num w:numId="9" w16cid:durableId="163395061">
    <w:abstractNumId w:val="6"/>
  </w:num>
  <w:num w:numId="10" w16cid:durableId="1653943060">
    <w:abstractNumId w:val="0"/>
  </w:num>
  <w:num w:numId="11" w16cid:durableId="1485976161">
    <w:abstractNumId w:val="4"/>
  </w:num>
  <w:num w:numId="12" w16cid:durableId="1818913384">
    <w:abstractNumId w:val="10"/>
  </w:num>
  <w:num w:numId="13" w16cid:durableId="732385658">
    <w:abstractNumId w:val="1"/>
  </w:num>
  <w:num w:numId="14" w16cid:durableId="16632405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1715709">
    <w:abstractNumId w:val="9"/>
  </w:num>
  <w:num w:numId="16" w16cid:durableId="1594900941">
    <w:abstractNumId w:val="2"/>
  </w:num>
  <w:num w:numId="17" w16cid:durableId="828059677">
    <w:abstractNumId w:val="2"/>
    <w:lvlOverride w:ilvl="0">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rPr>
      </w:lvl>
    </w:lvlOverride>
    <w:lvlOverride w:ilvl="1">
      <w:lvl w:ilvl="1">
        <w:start w:val="1"/>
        <w:numFmt w:val="decimal"/>
        <w:pStyle w:val="Heading3"/>
        <w:lvlText w:val="%1.%2"/>
        <w:lvlJc w:val="left"/>
        <w:pPr>
          <w:ind w:left="680" w:hanging="680"/>
        </w:pPr>
        <w:rPr>
          <w:rFonts w:hint="default"/>
        </w:rPr>
      </w:lvl>
    </w:lvlOverride>
    <w:lvlOverride w:ilvl="2">
      <w:lvl w:ilvl="2">
        <w:start w:val="1"/>
        <w:numFmt w:val="decimal"/>
        <w:pStyle w:val="Heading4"/>
        <w:lvlText w:val="%1.%2.%3"/>
        <w:lvlJc w:val="left"/>
        <w:pPr>
          <w:ind w:left="680" w:hanging="680"/>
        </w:pPr>
        <w:rPr>
          <w:rFonts w:hint="default"/>
        </w:rPr>
      </w:lvl>
    </w:lvlOverride>
    <w:lvlOverride w:ilvl="3">
      <w:lvl w:ilvl="3">
        <w:start w:val="1"/>
        <w:numFmt w:val="decimal"/>
        <w:lvlText w:val="%4."/>
        <w:lvlJc w:val="left"/>
        <w:pPr>
          <w:ind w:left="680" w:hanging="680"/>
        </w:pPr>
        <w:rPr>
          <w:rFonts w:hint="default"/>
        </w:rPr>
      </w:lvl>
    </w:lvlOverride>
    <w:lvlOverride w:ilvl="4">
      <w:lvl w:ilvl="4">
        <w:start w:val="1"/>
        <w:numFmt w:val="lowerLetter"/>
        <w:lvlText w:val="%5."/>
        <w:lvlJc w:val="left"/>
        <w:pPr>
          <w:ind w:left="680" w:hanging="680"/>
        </w:pPr>
        <w:rPr>
          <w:rFonts w:hint="default"/>
        </w:rPr>
      </w:lvl>
    </w:lvlOverride>
    <w:lvlOverride w:ilvl="5">
      <w:lvl w:ilvl="5">
        <w:start w:val="1"/>
        <w:numFmt w:val="lowerRoman"/>
        <w:lvlText w:val="%6."/>
        <w:lvlJc w:val="right"/>
        <w:pPr>
          <w:ind w:left="680" w:hanging="680"/>
        </w:pPr>
        <w:rPr>
          <w:rFonts w:hint="default"/>
        </w:rPr>
      </w:lvl>
    </w:lvlOverride>
    <w:lvlOverride w:ilvl="6">
      <w:lvl w:ilvl="6">
        <w:start w:val="1"/>
        <w:numFmt w:val="decimal"/>
        <w:lvlText w:val="%7."/>
        <w:lvlJc w:val="left"/>
        <w:pPr>
          <w:ind w:left="680" w:hanging="680"/>
        </w:pPr>
        <w:rPr>
          <w:rFonts w:hint="default"/>
        </w:rPr>
      </w:lvl>
    </w:lvlOverride>
    <w:lvlOverride w:ilvl="7">
      <w:lvl w:ilvl="7">
        <w:start w:val="1"/>
        <w:numFmt w:val="lowerLetter"/>
        <w:lvlText w:val="%8."/>
        <w:lvlJc w:val="left"/>
        <w:pPr>
          <w:ind w:left="680" w:hanging="680"/>
        </w:pPr>
        <w:rPr>
          <w:rFonts w:hint="default"/>
        </w:rPr>
      </w:lvl>
    </w:lvlOverride>
    <w:lvlOverride w:ilvl="8">
      <w:lvl w:ilvl="8">
        <w:start w:val="1"/>
        <w:numFmt w:val="lowerRoman"/>
        <w:lvlText w:val="%9."/>
        <w:lvlJc w:val="right"/>
        <w:pPr>
          <w:ind w:left="680" w:hanging="680"/>
        </w:pPr>
        <w:rPr>
          <w:rFonts w:hint="default"/>
        </w:rPr>
      </w:lvl>
    </w:lvlOverride>
  </w:num>
  <w:num w:numId="18" w16cid:durableId="1500073534">
    <w:abstractNumId w:val="8"/>
  </w:num>
  <w:num w:numId="19" w16cid:durableId="853955181">
    <w:abstractNumId w:val="12"/>
  </w:num>
  <w:num w:numId="20" w16cid:durableId="672612846">
    <w:abstractNumId w:val="18"/>
  </w:num>
  <w:num w:numId="21" w16cid:durableId="142043820">
    <w:abstractNumId w:val="16"/>
  </w:num>
  <w:num w:numId="22" w16cid:durableId="354622025">
    <w:abstractNumId w:val="19"/>
  </w:num>
  <w:num w:numId="23" w16cid:durableId="492724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stylePaneSortMethod w:val="0000"/>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D1C"/>
    <w:rsid w:val="00000C62"/>
    <w:rsid w:val="0000478D"/>
    <w:rsid w:val="000111DD"/>
    <w:rsid w:val="00011D00"/>
    <w:rsid w:val="00017408"/>
    <w:rsid w:val="00017770"/>
    <w:rsid w:val="000237B2"/>
    <w:rsid w:val="00030C31"/>
    <w:rsid w:val="00031A37"/>
    <w:rsid w:val="00032CBD"/>
    <w:rsid w:val="0004177B"/>
    <w:rsid w:val="00046660"/>
    <w:rsid w:val="00047919"/>
    <w:rsid w:val="00051B2F"/>
    <w:rsid w:val="00052415"/>
    <w:rsid w:val="00061882"/>
    <w:rsid w:val="00061A27"/>
    <w:rsid w:val="00062058"/>
    <w:rsid w:val="00062224"/>
    <w:rsid w:val="00063035"/>
    <w:rsid w:val="0007391D"/>
    <w:rsid w:val="00075491"/>
    <w:rsid w:val="000756BD"/>
    <w:rsid w:val="000761FF"/>
    <w:rsid w:val="00076CBD"/>
    <w:rsid w:val="000771F9"/>
    <w:rsid w:val="000836A2"/>
    <w:rsid w:val="00084AE6"/>
    <w:rsid w:val="00094C8D"/>
    <w:rsid w:val="00097E66"/>
    <w:rsid w:val="000A68FE"/>
    <w:rsid w:val="000B176C"/>
    <w:rsid w:val="000B3E00"/>
    <w:rsid w:val="000B7ED0"/>
    <w:rsid w:val="000C583A"/>
    <w:rsid w:val="000C7ECF"/>
    <w:rsid w:val="000D2785"/>
    <w:rsid w:val="000D28BD"/>
    <w:rsid w:val="000D67D3"/>
    <w:rsid w:val="000E0E28"/>
    <w:rsid w:val="000E11B7"/>
    <w:rsid w:val="000E40C1"/>
    <w:rsid w:val="000E71C5"/>
    <w:rsid w:val="000F2E2A"/>
    <w:rsid w:val="001055D4"/>
    <w:rsid w:val="0011127B"/>
    <w:rsid w:val="00114E27"/>
    <w:rsid w:val="00120EF4"/>
    <w:rsid w:val="001240C3"/>
    <w:rsid w:val="001303C0"/>
    <w:rsid w:val="0013350A"/>
    <w:rsid w:val="00137A8B"/>
    <w:rsid w:val="001439E2"/>
    <w:rsid w:val="001456F4"/>
    <w:rsid w:val="00146BCC"/>
    <w:rsid w:val="00147D61"/>
    <w:rsid w:val="00150D12"/>
    <w:rsid w:val="00156A95"/>
    <w:rsid w:val="0016777B"/>
    <w:rsid w:val="00167FF3"/>
    <w:rsid w:val="0017322C"/>
    <w:rsid w:val="001741CC"/>
    <w:rsid w:val="00177959"/>
    <w:rsid w:val="00185881"/>
    <w:rsid w:val="00185984"/>
    <w:rsid w:val="00190508"/>
    <w:rsid w:val="00192BFF"/>
    <w:rsid w:val="001A38F4"/>
    <w:rsid w:val="001A3936"/>
    <w:rsid w:val="001B1DB2"/>
    <w:rsid w:val="001B316E"/>
    <w:rsid w:val="001B4137"/>
    <w:rsid w:val="001B767B"/>
    <w:rsid w:val="001C0D1C"/>
    <w:rsid w:val="001C4E7A"/>
    <w:rsid w:val="001C7174"/>
    <w:rsid w:val="001E75C7"/>
    <w:rsid w:val="001F183E"/>
    <w:rsid w:val="001F28DF"/>
    <w:rsid w:val="001F6ADF"/>
    <w:rsid w:val="00201048"/>
    <w:rsid w:val="00201EAC"/>
    <w:rsid w:val="002033CE"/>
    <w:rsid w:val="00204B41"/>
    <w:rsid w:val="0020675B"/>
    <w:rsid w:val="00211972"/>
    <w:rsid w:val="00217F5E"/>
    <w:rsid w:val="00220B62"/>
    <w:rsid w:val="00222657"/>
    <w:rsid w:val="00222666"/>
    <w:rsid w:val="00231974"/>
    <w:rsid w:val="00234525"/>
    <w:rsid w:val="00235417"/>
    <w:rsid w:val="002361D8"/>
    <w:rsid w:val="002530CD"/>
    <w:rsid w:val="002535A7"/>
    <w:rsid w:val="00254686"/>
    <w:rsid w:val="00264703"/>
    <w:rsid w:val="002650E5"/>
    <w:rsid w:val="00273296"/>
    <w:rsid w:val="00274DDD"/>
    <w:rsid w:val="0028085F"/>
    <w:rsid w:val="00282C65"/>
    <w:rsid w:val="00292560"/>
    <w:rsid w:val="002929FD"/>
    <w:rsid w:val="00294C1D"/>
    <w:rsid w:val="00295D89"/>
    <w:rsid w:val="002967B2"/>
    <w:rsid w:val="002A2F7F"/>
    <w:rsid w:val="002A404A"/>
    <w:rsid w:val="002A695A"/>
    <w:rsid w:val="002B1F02"/>
    <w:rsid w:val="002B2CC4"/>
    <w:rsid w:val="002C5FB4"/>
    <w:rsid w:val="002C6A3A"/>
    <w:rsid w:val="002D18AF"/>
    <w:rsid w:val="002D3509"/>
    <w:rsid w:val="002D4637"/>
    <w:rsid w:val="002D7C15"/>
    <w:rsid w:val="002E711B"/>
    <w:rsid w:val="002F6B96"/>
    <w:rsid w:val="00300D3E"/>
    <w:rsid w:val="003035AA"/>
    <w:rsid w:val="00304BBF"/>
    <w:rsid w:val="00305E3C"/>
    <w:rsid w:val="003104A2"/>
    <w:rsid w:val="00316B67"/>
    <w:rsid w:val="00316D36"/>
    <w:rsid w:val="00331C23"/>
    <w:rsid w:val="0033328F"/>
    <w:rsid w:val="0033455D"/>
    <w:rsid w:val="003413B2"/>
    <w:rsid w:val="003510E3"/>
    <w:rsid w:val="00352B7F"/>
    <w:rsid w:val="0035567E"/>
    <w:rsid w:val="003559D7"/>
    <w:rsid w:val="00357CE9"/>
    <w:rsid w:val="003609D9"/>
    <w:rsid w:val="00363C9F"/>
    <w:rsid w:val="003643D1"/>
    <w:rsid w:val="003650D5"/>
    <w:rsid w:val="00366386"/>
    <w:rsid w:val="00373F2C"/>
    <w:rsid w:val="00374BA1"/>
    <w:rsid w:val="00375B3B"/>
    <w:rsid w:val="00387436"/>
    <w:rsid w:val="003876F4"/>
    <w:rsid w:val="00390A04"/>
    <w:rsid w:val="00394018"/>
    <w:rsid w:val="00394534"/>
    <w:rsid w:val="00396EEE"/>
    <w:rsid w:val="003A07CD"/>
    <w:rsid w:val="003A0E6B"/>
    <w:rsid w:val="003B13B6"/>
    <w:rsid w:val="003B6184"/>
    <w:rsid w:val="003C4D43"/>
    <w:rsid w:val="003C5E11"/>
    <w:rsid w:val="003C751C"/>
    <w:rsid w:val="003D4A96"/>
    <w:rsid w:val="003F5CEA"/>
    <w:rsid w:val="003F7095"/>
    <w:rsid w:val="00401C43"/>
    <w:rsid w:val="00404915"/>
    <w:rsid w:val="0040495C"/>
    <w:rsid w:val="00404DAE"/>
    <w:rsid w:val="00407333"/>
    <w:rsid w:val="00414A32"/>
    <w:rsid w:val="004156BB"/>
    <w:rsid w:val="00422A84"/>
    <w:rsid w:val="00422E6A"/>
    <w:rsid w:val="004242CE"/>
    <w:rsid w:val="00424657"/>
    <w:rsid w:val="00426528"/>
    <w:rsid w:val="00427D86"/>
    <w:rsid w:val="00431C79"/>
    <w:rsid w:val="004418D3"/>
    <w:rsid w:val="00444772"/>
    <w:rsid w:val="0044601B"/>
    <w:rsid w:val="004469B0"/>
    <w:rsid w:val="0045194B"/>
    <w:rsid w:val="00453CBB"/>
    <w:rsid w:val="00456F73"/>
    <w:rsid w:val="004636ED"/>
    <w:rsid w:val="00465242"/>
    <w:rsid w:val="004661CB"/>
    <w:rsid w:val="004678CE"/>
    <w:rsid w:val="00471672"/>
    <w:rsid w:val="00472BAC"/>
    <w:rsid w:val="00474604"/>
    <w:rsid w:val="00476947"/>
    <w:rsid w:val="00476E97"/>
    <w:rsid w:val="00484668"/>
    <w:rsid w:val="004849F8"/>
    <w:rsid w:val="0048549D"/>
    <w:rsid w:val="004859E5"/>
    <w:rsid w:val="00491062"/>
    <w:rsid w:val="004911C0"/>
    <w:rsid w:val="00495E3C"/>
    <w:rsid w:val="00496B00"/>
    <w:rsid w:val="004A49E7"/>
    <w:rsid w:val="004A5480"/>
    <w:rsid w:val="004B65E5"/>
    <w:rsid w:val="004C31C3"/>
    <w:rsid w:val="004C3472"/>
    <w:rsid w:val="004C48AE"/>
    <w:rsid w:val="004C5819"/>
    <w:rsid w:val="004D52CE"/>
    <w:rsid w:val="004D64F0"/>
    <w:rsid w:val="004E48D6"/>
    <w:rsid w:val="004E50EF"/>
    <w:rsid w:val="004E5205"/>
    <w:rsid w:val="004E54FE"/>
    <w:rsid w:val="004F2289"/>
    <w:rsid w:val="004F6114"/>
    <w:rsid w:val="0050210F"/>
    <w:rsid w:val="005029CC"/>
    <w:rsid w:val="00503FA4"/>
    <w:rsid w:val="00507F8F"/>
    <w:rsid w:val="00515821"/>
    <w:rsid w:val="00516A4E"/>
    <w:rsid w:val="00516CE2"/>
    <w:rsid w:val="00517887"/>
    <w:rsid w:val="00517D00"/>
    <w:rsid w:val="00520F65"/>
    <w:rsid w:val="0052148D"/>
    <w:rsid w:val="00522248"/>
    <w:rsid w:val="00522EF7"/>
    <w:rsid w:val="00530EA5"/>
    <w:rsid w:val="005347DF"/>
    <w:rsid w:val="0053578E"/>
    <w:rsid w:val="00542F9A"/>
    <w:rsid w:val="00547C40"/>
    <w:rsid w:val="0055253B"/>
    <w:rsid w:val="00557258"/>
    <w:rsid w:val="00573FF0"/>
    <w:rsid w:val="00581733"/>
    <w:rsid w:val="00583D6D"/>
    <w:rsid w:val="0058555C"/>
    <w:rsid w:val="00585FD8"/>
    <w:rsid w:val="0059409D"/>
    <w:rsid w:val="005A0391"/>
    <w:rsid w:val="005A07FF"/>
    <w:rsid w:val="005A103A"/>
    <w:rsid w:val="005A4D0E"/>
    <w:rsid w:val="005A5D8D"/>
    <w:rsid w:val="005B156B"/>
    <w:rsid w:val="005D3979"/>
    <w:rsid w:val="005D75CA"/>
    <w:rsid w:val="005E3985"/>
    <w:rsid w:val="005E5AC2"/>
    <w:rsid w:val="005F5B92"/>
    <w:rsid w:val="006001A8"/>
    <w:rsid w:val="006057EF"/>
    <w:rsid w:val="00606A7B"/>
    <w:rsid w:val="0061735D"/>
    <w:rsid w:val="00617552"/>
    <w:rsid w:val="00617C2A"/>
    <w:rsid w:val="00620280"/>
    <w:rsid w:val="00620F87"/>
    <w:rsid w:val="00624149"/>
    <w:rsid w:val="00624305"/>
    <w:rsid w:val="00630B7D"/>
    <w:rsid w:val="0063500D"/>
    <w:rsid w:val="006357C7"/>
    <w:rsid w:val="00651B6C"/>
    <w:rsid w:val="00651D7D"/>
    <w:rsid w:val="006626B3"/>
    <w:rsid w:val="00664DB0"/>
    <w:rsid w:val="00672130"/>
    <w:rsid w:val="0067272A"/>
    <w:rsid w:val="0067661E"/>
    <w:rsid w:val="00677695"/>
    <w:rsid w:val="00683166"/>
    <w:rsid w:val="00683880"/>
    <w:rsid w:val="00692059"/>
    <w:rsid w:val="00693CA6"/>
    <w:rsid w:val="0069640B"/>
    <w:rsid w:val="006A0DD2"/>
    <w:rsid w:val="006A2049"/>
    <w:rsid w:val="006A5670"/>
    <w:rsid w:val="006A74C2"/>
    <w:rsid w:val="006B519D"/>
    <w:rsid w:val="006B53D6"/>
    <w:rsid w:val="006B587E"/>
    <w:rsid w:val="006B7C10"/>
    <w:rsid w:val="006C4A1A"/>
    <w:rsid w:val="006C7E64"/>
    <w:rsid w:val="006D4007"/>
    <w:rsid w:val="006D7E8E"/>
    <w:rsid w:val="006F0728"/>
    <w:rsid w:val="006F21D4"/>
    <w:rsid w:val="006F3A01"/>
    <w:rsid w:val="006F4948"/>
    <w:rsid w:val="0070456C"/>
    <w:rsid w:val="00706184"/>
    <w:rsid w:val="00711501"/>
    <w:rsid w:val="007142EF"/>
    <w:rsid w:val="007150EA"/>
    <w:rsid w:val="00717EA8"/>
    <w:rsid w:val="007247F4"/>
    <w:rsid w:val="007311A8"/>
    <w:rsid w:val="007336AC"/>
    <w:rsid w:val="00740624"/>
    <w:rsid w:val="00742F57"/>
    <w:rsid w:val="0075061A"/>
    <w:rsid w:val="007506B0"/>
    <w:rsid w:val="00753CF4"/>
    <w:rsid w:val="007573A4"/>
    <w:rsid w:val="00757457"/>
    <w:rsid w:val="00760E78"/>
    <w:rsid w:val="007618CD"/>
    <w:rsid w:val="00770B7D"/>
    <w:rsid w:val="007770D3"/>
    <w:rsid w:val="00786970"/>
    <w:rsid w:val="0079031B"/>
    <w:rsid w:val="00793229"/>
    <w:rsid w:val="00795FFA"/>
    <w:rsid w:val="007A636E"/>
    <w:rsid w:val="007B1D1D"/>
    <w:rsid w:val="007B2C4E"/>
    <w:rsid w:val="007B7111"/>
    <w:rsid w:val="007B76EF"/>
    <w:rsid w:val="007C3AF2"/>
    <w:rsid w:val="007C3BD5"/>
    <w:rsid w:val="007E4CD0"/>
    <w:rsid w:val="007F655C"/>
    <w:rsid w:val="0080091F"/>
    <w:rsid w:val="00805535"/>
    <w:rsid w:val="00812325"/>
    <w:rsid w:val="00817C61"/>
    <w:rsid w:val="008233ED"/>
    <w:rsid w:val="00824850"/>
    <w:rsid w:val="00830732"/>
    <w:rsid w:val="00832E57"/>
    <w:rsid w:val="008336F0"/>
    <w:rsid w:val="00834E22"/>
    <w:rsid w:val="008368DB"/>
    <w:rsid w:val="00837B10"/>
    <w:rsid w:val="00843451"/>
    <w:rsid w:val="00846C9A"/>
    <w:rsid w:val="00855277"/>
    <w:rsid w:val="00863B22"/>
    <w:rsid w:val="00863D7F"/>
    <w:rsid w:val="008642C8"/>
    <w:rsid w:val="00883019"/>
    <w:rsid w:val="0088427B"/>
    <w:rsid w:val="0088744C"/>
    <w:rsid w:val="0089046E"/>
    <w:rsid w:val="00893D1A"/>
    <w:rsid w:val="00896582"/>
    <w:rsid w:val="00897392"/>
    <w:rsid w:val="00897F90"/>
    <w:rsid w:val="008A2898"/>
    <w:rsid w:val="008A5DE6"/>
    <w:rsid w:val="008A7ACC"/>
    <w:rsid w:val="008B0484"/>
    <w:rsid w:val="008B22E7"/>
    <w:rsid w:val="008B6C91"/>
    <w:rsid w:val="008B75D2"/>
    <w:rsid w:val="008C0EEC"/>
    <w:rsid w:val="008C1763"/>
    <w:rsid w:val="008C6DC9"/>
    <w:rsid w:val="008D0CB0"/>
    <w:rsid w:val="008E2265"/>
    <w:rsid w:val="008F0AB1"/>
    <w:rsid w:val="008F2842"/>
    <w:rsid w:val="008F48EB"/>
    <w:rsid w:val="00900B60"/>
    <w:rsid w:val="00907850"/>
    <w:rsid w:val="009157D1"/>
    <w:rsid w:val="009229BA"/>
    <w:rsid w:val="009239A9"/>
    <w:rsid w:val="00923ACD"/>
    <w:rsid w:val="00931CF0"/>
    <w:rsid w:val="009359C8"/>
    <w:rsid w:val="00945F20"/>
    <w:rsid w:val="00946147"/>
    <w:rsid w:val="009477FA"/>
    <w:rsid w:val="00950328"/>
    <w:rsid w:val="0096469F"/>
    <w:rsid w:val="0096539D"/>
    <w:rsid w:val="00972DA3"/>
    <w:rsid w:val="009731D7"/>
    <w:rsid w:val="00980EB4"/>
    <w:rsid w:val="00986559"/>
    <w:rsid w:val="0098705C"/>
    <w:rsid w:val="00992439"/>
    <w:rsid w:val="00996288"/>
    <w:rsid w:val="009B2BC4"/>
    <w:rsid w:val="009B390A"/>
    <w:rsid w:val="009B46E4"/>
    <w:rsid w:val="009B4E11"/>
    <w:rsid w:val="009B574E"/>
    <w:rsid w:val="009C5B7B"/>
    <w:rsid w:val="009D5073"/>
    <w:rsid w:val="009D54BA"/>
    <w:rsid w:val="009E02B0"/>
    <w:rsid w:val="009E49ED"/>
    <w:rsid w:val="009F2C53"/>
    <w:rsid w:val="00A007CC"/>
    <w:rsid w:val="00A1100F"/>
    <w:rsid w:val="00A129B0"/>
    <w:rsid w:val="00A1578E"/>
    <w:rsid w:val="00A23A1D"/>
    <w:rsid w:val="00A23EE9"/>
    <w:rsid w:val="00A24E7F"/>
    <w:rsid w:val="00A30A73"/>
    <w:rsid w:val="00A31048"/>
    <w:rsid w:val="00A32A80"/>
    <w:rsid w:val="00A3433E"/>
    <w:rsid w:val="00A347BD"/>
    <w:rsid w:val="00A40001"/>
    <w:rsid w:val="00A46E90"/>
    <w:rsid w:val="00A47617"/>
    <w:rsid w:val="00A478AE"/>
    <w:rsid w:val="00A51D21"/>
    <w:rsid w:val="00A57F72"/>
    <w:rsid w:val="00A62D42"/>
    <w:rsid w:val="00A65028"/>
    <w:rsid w:val="00A66780"/>
    <w:rsid w:val="00A73648"/>
    <w:rsid w:val="00A8347A"/>
    <w:rsid w:val="00A93282"/>
    <w:rsid w:val="00A94115"/>
    <w:rsid w:val="00AA31B0"/>
    <w:rsid w:val="00AA3639"/>
    <w:rsid w:val="00AA562B"/>
    <w:rsid w:val="00AB17BC"/>
    <w:rsid w:val="00AB3024"/>
    <w:rsid w:val="00AB32D0"/>
    <w:rsid w:val="00AB59D0"/>
    <w:rsid w:val="00AB5BB7"/>
    <w:rsid w:val="00AC0187"/>
    <w:rsid w:val="00AC2FD8"/>
    <w:rsid w:val="00AC5403"/>
    <w:rsid w:val="00AD6612"/>
    <w:rsid w:val="00AE36DF"/>
    <w:rsid w:val="00AE4452"/>
    <w:rsid w:val="00AE66E8"/>
    <w:rsid w:val="00AE7432"/>
    <w:rsid w:val="00AE7845"/>
    <w:rsid w:val="00AF0F35"/>
    <w:rsid w:val="00AF1AC2"/>
    <w:rsid w:val="00B01ED0"/>
    <w:rsid w:val="00B061D4"/>
    <w:rsid w:val="00B06646"/>
    <w:rsid w:val="00B1183B"/>
    <w:rsid w:val="00B12817"/>
    <w:rsid w:val="00B151F6"/>
    <w:rsid w:val="00B162A3"/>
    <w:rsid w:val="00B21B4E"/>
    <w:rsid w:val="00B309FD"/>
    <w:rsid w:val="00B324D5"/>
    <w:rsid w:val="00B32A50"/>
    <w:rsid w:val="00B35525"/>
    <w:rsid w:val="00B36E5A"/>
    <w:rsid w:val="00B41845"/>
    <w:rsid w:val="00B422A3"/>
    <w:rsid w:val="00B50845"/>
    <w:rsid w:val="00B52AFC"/>
    <w:rsid w:val="00B61124"/>
    <w:rsid w:val="00B61B4E"/>
    <w:rsid w:val="00B62B88"/>
    <w:rsid w:val="00B65656"/>
    <w:rsid w:val="00B661E1"/>
    <w:rsid w:val="00B7057B"/>
    <w:rsid w:val="00B7164F"/>
    <w:rsid w:val="00B84AD6"/>
    <w:rsid w:val="00B84EFD"/>
    <w:rsid w:val="00B87B49"/>
    <w:rsid w:val="00B93D7E"/>
    <w:rsid w:val="00B95659"/>
    <w:rsid w:val="00B97E54"/>
    <w:rsid w:val="00BB615D"/>
    <w:rsid w:val="00BC2861"/>
    <w:rsid w:val="00BC46DD"/>
    <w:rsid w:val="00BC4F76"/>
    <w:rsid w:val="00BC516E"/>
    <w:rsid w:val="00BC5F20"/>
    <w:rsid w:val="00BC65AD"/>
    <w:rsid w:val="00BC69EF"/>
    <w:rsid w:val="00BD0352"/>
    <w:rsid w:val="00BD1EA1"/>
    <w:rsid w:val="00BD1FD5"/>
    <w:rsid w:val="00BE1CE2"/>
    <w:rsid w:val="00BE2591"/>
    <w:rsid w:val="00BE4209"/>
    <w:rsid w:val="00BE52A7"/>
    <w:rsid w:val="00BE5330"/>
    <w:rsid w:val="00BE61FB"/>
    <w:rsid w:val="00BF0280"/>
    <w:rsid w:val="00BF0440"/>
    <w:rsid w:val="00BF1C28"/>
    <w:rsid w:val="00BF2354"/>
    <w:rsid w:val="00BF4557"/>
    <w:rsid w:val="00BF4B64"/>
    <w:rsid w:val="00BF5948"/>
    <w:rsid w:val="00BF6347"/>
    <w:rsid w:val="00BF66B8"/>
    <w:rsid w:val="00BF7C56"/>
    <w:rsid w:val="00C01BFB"/>
    <w:rsid w:val="00C02595"/>
    <w:rsid w:val="00C04CBC"/>
    <w:rsid w:val="00C0603D"/>
    <w:rsid w:val="00C11AF4"/>
    <w:rsid w:val="00C15E8A"/>
    <w:rsid w:val="00C17032"/>
    <w:rsid w:val="00C2209C"/>
    <w:rsid w:val="00C227FB"/>
    <w:rsid w:val="00C25E4B"/>
    <w:rsid w:val="00C276F4"/>
    <w:rsid w:val="00C310E3"/>
    <w:rsid w:val="00C311B0"/>
    <w:rsid w:val="00C35989"/>
    <w:rsid w:val="00C35F2A"/>
    <w:rsid w:val="00C3671C"/>
    <w:rsid w:val="00C40375"/>
    <w:rsid w:val="00C40445"/>
    <w:rsid w:val="00C40E1F"/>
    <w:rsid w:val="00C4253A"/>
    <w:rsid w:val="00C4544E"/>
    <w:rsid w:val="00C457A4"/>
    <w:rsid w:val="00C5306E"/>
    <w:rsid w:val="00C5521D"/>
    <w:rsid w:val="00C62C23"/>
    <w:rsid w:val="00C66BF0"/>
    <w:rsid w:val="00C7068E"/>
    <w:rsid w:val="00C777C5"/>
    <w:rsid w:val="00C818A8"/>
    <w:rsid w:val="00C8514D"/>
    <w:rsid w:val="00C86E8A"/>
    <w:rsid w:val="00C91988"/>
    <w:rsid w:val="00CA0097"/>
    <w:rsid w:val="00CA5122"/>
    <w:rsid w:val="00CB14B2"/>
    <w:rsid w:val="00CB21A5"/>
    <w:rsid w:val="00CB331D"/>
    <w:rsid w:val="00CC51D9"/>
    <w:rsid w:val="00CC5CD4"/>
    <w:rsid w:val="00CD0593"/>
    <w:rsid w:val="00CD166A"/>
    <w:rsid w:val="00CD73D3"/>
    <w:rsid w:val="00CE361F"/>
    <w:rsid w:val="00CE540C"/>
    <w:rsid w:val="00CE74BD"/>
    <w:rsid w:val="00CE76B8"/>
    <w:rsid w:val="00CF3F60"/>
    <w:rsid w:val="00CF4890"/>
    <w:rsid w:val="00D00535"/>
    <w:rsid w:val="00D1143A"/>
    <w:rsid w:val="00D12172"/>
    <w:rsid w:val="00D1603C"/>
    <w:rsid w:val="00D1620F"/>
    <w:rsid w:val="00D16F0D"/>
    <w:rsid w:val="00D2088F"/>
    <w:rsid w:val="00D20EFA"/>
    <w:rsid w:val="00D23AFB"/>
    <w:rsid w:val="00D25907"/>
    <w:rsid w:val="00D275D5"/>
    <w:rsid w:val="00D30AF4"/>
    <w:rsid w:val="00D30B05"/>
    <w:rsid w:val="00D47CA4"/>
    <w:rsid w:val="00D47F84"/>
    <w:rsid w:val="00D50E11"/>
    <w:rsid w:val="00D55733"/>
    <w:rsid w:val="00D57841"/>
    <w:rsid w:val="00D6133F"/>
    <w:rsid w:val="00D627C2"/>
    <w:rsid w:val="00D64925"/>
    <w:rsid w:val="00D800E5"/>
    <w:rsid w:val="00D8332A"/>
    <w:rsid w:val="00D8711A"/>
    <w:rsid w:val="00D95660"/>
    <w:rsid w:val="00DA457B"/>
    <w:rsid w:val="00DB4E78"/>
    <w:rsid w:val="00DB5361"/>
    <w:rsid w:val="00DC023C"/>
    <w:rsid w:val="00DD09D3"/>
    <w:rsid w:val="00DD2112"/>
    <w:rsid w:val="00DD7301"/>
    <w:rsid w:val="00DE172A"/>
    <w:rsid w:val="00DE4E4D"/>
    <w:rsid w:val="00DE7940"/>
    <w:rsid w:val="00DF1801"/>
    <w:rsid w:val="00DF3898"/>
    <w:rsid w:val="00DF50CF"/>
    <w:rsid w:val="00DF5687"/>
    <w:rsid w:val="00E00D37"/>
    <w:rsid w:val="00E02F1A"/>
    <w:rsid w:val="00E140F1"/>
    <w:rsid w:val="00E33501"/>
    <w:rsid w:val="00E34C86"/>
    <w:rsid w:val="00E34D35"/>
    <w:rsid w:val="00E36419"/>
    <w:rsid w:val="00E402A5"/>
    <w:rsid w:val="00E423A5"/>
    <w:rsid w:val="00E439A9"/>
    <w:rsid w:val="00E503BB"/>
    <w:rsid w:val="00E55B1C"/>
    <w:rsid w:val="00E651CD"/>
    <w:rsid w:val="00E658C1"/>
    <w:rsid w:val="00E75170"/>
    <w:rsid w:val="00E76AE2"/>
    <w:rsid w:val="00E8382D"/>
    <w:rsid w:val="00E87A1B"/>
    <w:rsid w:val="00E95C48"/>
    <w:rsid w:val="00E96D96"/>
    <w:rsid w:val="00EB299C"/>
    <w:rsid w:val="00EC2A20"/>
    <w:rsid w:val="00EC4B37"/>
    <w:rsid w:val="00EC726F"/>
    <w:rsid w:val="00ED12B3"/>
    <w:rsid w:val="00ED3628"/>
    <w:rsid w:val="00EE6B5D"/>
    <w:rsid w:val="00EE7040"/>
    <w:rsid w:val="00EF29AA"/>
    <w:rsid w:val="00EF2C98"/>
    <w:rsid w:val="00EF4E26"/>
    <w:rsid w:val="00F06758"/>
    <w:rsid w:val="00F1194C"/>
    <w:rsid w:val="00F12FD5"/>
    <w:rsid w:val="00F146D8"/>
    <w:rsid w:val="00F15C29"/>
    <w:rsid w:val="00F309F4"/>
    <w:rsid w:val="00F34FF6"/>
    <w:rsid w:val="00F43CCC"/>
    <w:rsid w:val="00F4710A"/>
    <w:rsid w:val="00F63F86"/>
    <w:rsid w:val="00F71101"/>
    <w:rsid w:val="00F77248"/>
    <w:rsid w:val="00F84C52"/>
    <w:rsid w:val="00F84F4C"/>
    <w:rsid w:val="00F91FE4"/>
    <w:rsid w:val="00F9259C"/>
    <w:rsid w:val="00F952B5"/>
    <w:rsid w:val="00F953A4"/>
    <w:rsid w:val="00F95913"/>
    <w:rsid w:val="00FA2147"/>
    <w:rsid w:val="00FA3E8D"/>
    <w:rsid w:val="00FA4CA8"/>
    <w:rsid w:val="00FA7345"/>
    <w:rsid w:val="00FB7890"/>
    <w:rsid w:val="00FB7C6B"/>
    <w:rsid w:val="00FC00CB"/>
    <w:rsid w:val="00FD78E4"/>
    <w:rsid w:val="00FE455C"/>
    <w:rsid w:val="00FE4BFC"/>
    <w:rsid w:val="00FE724E"/>
    <w:rsid w:val="00FE7A0A"/>
    <w:rsid w:val="00FF0799"/>
    <w:rsid w:val="00FF1507"/>
    <w:rsid w:val="00FF6C0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F14FD"/>
  <w15:docId w15:val="{B2230DC0-C79A-5B4A-BCA9-5BA8F883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
    <w:qFormat/>
    <w:pPr>
      <w:keepNext/>
      <w:keepLines/>
      <w:spacing w:before="1440" w:after="120"/>
      <w:outlineLvl w:val="0"/>
    </w:pPr>
    <w:rPr>
      <w:rFonts w:ascii="Calibri" w:eastAsiaTheme="majorEastAsia" w:hAnsi="Calibri" w:cstheme="majorBidi"/>
      <w:b/>
      <w:bCs/>
      <w:color w:val="3C4B55"/>
      <w:sz w:val="70"/>
      <w:szCs w:val="28"/>
      <w:lang w:eastAsia="en-US"/>
    </w:rPr>
  </w:style>
  <w:style w:type="paragraph" w:styleId="Heading2">
    <w:name w:val="heading 2"/>
    <w:basedOn w:val="Normal"/>
    <w:next w:val="Normal"/>
    <w:link w:val="Heading2Char"/>
    <w:uiPriority w:val="3"/>
    <w:rsid w:val="00414A32"/>
    <w:pPr>
      <w:keepNext/>
      <w:keepLines/>
      <w:numPr>
        <w:numId w:val="16"/>
      </w:numPr>
      <w:spacing w:after="240" w:line="240" w:lineRule="auto"/>
      <w:outlineLvl w:val="1"/>
    </w:pPr>
    <w:rPr>
      <w:rFonts w:ascii="Calibri" w:eastAsiaTheme="minorEastAsia" w:hAnsi="Calibri"/>
      <w:bCs/>
      <w:color w:val="427BA1"/>
      <w:sz w:val="56"/>
      <w:szCs w:val="28"/>
      <w:lang w:eastAsia="ja-JP"/>
    </w:rPr>
  </w:style>
  <w:style w:type="paragraph" w:styleId="Heading3">
    <w:name w:val="heading 3"/>
    <w:next w:val="Normal"/>
    <w:link w:val="Heading3Char"/>
    <w:uiPriority w:val="4"/>
    <w:qFormat/>
    <w:rsid w:val="00BF0280"/>
    <w:pPr>
      <w:keepNext/>
      <w:keepLines/>
      <w:numPr>
        <w:ilvl w:val="1"/>
        <w:numId w:val="16"/>
      </w:numPr>
      <w:spacing w:before="240" w:after="240"/>
      <w:outlineLvl w:val="2"/>
    </w:pPr>
    <w:rPr>
      <w:rFonts w:ascii="Calibri" w:eastAsiaTheme="minorHAnsi" w:hAnsi="Calibri" w:cstheme="minorBidi"/>
      <w:b/>
      <w:bCs/>
      <w:sz w:val="28"/>
      <w:szCs w:val="22"/>
      <w:lang w:eastAsia="en-US"/>
    </w:rPr>
  </w:style>
  <w:style w:type="paragraph" w:styleId="Heading4">
    <w:name w:val="heading 4"/>
    <w:next w:val="Normal"/>
    <w:link w:val="Heading4Char"/>
    <w:uiPriority w:val="5"/>
    <w:qFormat/>
    <w:pPr>
      <w:keepNext/>
      <w:keepLines/>
      <w:numPr>
        <w:ilvl w:val="2"/>
        <w:numId w:val="16"/>
      </w:numPr>
      <w:spacing w:before="120"/>
      <w:outlineLvl w:val="3"/>
    </w:pPr>
    <w:rPr>
      <w:rFonts w:ascii="Calibri" w:eastAsiaTheme="minorHAnsi" w:hAnsi="Calibri" w:cstheme="minorBidi"/>
      <w:b/>
      <w:bCs/>
      <w:iCs/>
      <w:color w:val="427BA1"/>
      <w:sz w:val="24"/>
      <w:szCs w:val="22"/>
      <w:lang w:eastAsia="en-US"/>
    </w:rPr>
  </w:style>
  <w:style w:type="paragraph" w:styleId="Heading5">
    <w:name w:val="heading 5"/>
    <w:next w:val="Normal"/>
    <w:link w:val="Heading5Char"/>
    <w:uiPriority w:val="6"/>
    <w:qFormat/>
    <w:pPr>
      <w:keepNext/>
      <w:keepLines/>
      <w:spacing w:before="120"/>
      <w:outlineLvl w:val="4"/>
    </w:pPr>
    <w:rPr>
      <w:rFonts w:ascii="Calibri" w:eastAsiaTheme="minorHAnsi" w:hAnsi="Calibri" w:cstheme="minorBidi"/>
      <w:b/>
      <w:sz w:val="22"/>
      <w:szCs w:val="22"/>
      <w:lang w:eastAsia="en-US"/>
    </w:rPr>
  </w:style>
  <w:style w:type="paragraph" w:styleId="Heading6">
    <w:name w:val="heading 6"/>
    <w:next w:val="Normal"/>
    <w:link w:val="Heading6Char"/>
    <w:uiPriority w:val="9"/>
    <w:qFormat/>
    <w:pPr>
      <w:keepNext/>
      <w:keepLines/>
      <w:spacing w:before="40"/>
      <w:outlineLvl w:val="5"/>
    </w:pPr>
    <w:rPr>
      <w:rFonts w:asciiTheme="minorHAnsi" w:eastAsiaTheme="majorEastAsia" w:hAnsiTheme="minorHAnsi" w:cstheme="majorBidi"/>
      <w:i/>
      <w:sz w:val="22"/>
      <w:szCs w:val="22"/>
      <w:lang w:eastAsia="en-US"/>
    </w:rPr>
  </w:style>
  <w:style w:type="paragraph" w:styleId="Heading7">
    <w:name w:val="heading 7"/>
    <w:next w:val="Normal"/>
    <w:link w:val="Heading7Char"/>
    <w:uiPriority w:val="9"/>
    <w:qFormat/>
    <w:pPr>
      <w:outlineLvl w:val="6"/>
    </w:pPr>
    <w:rPr>
      <w:rFonts w:asciiTheme="minorHAnsi" w:eastAsiaTheme="majorEastAsia" w:hAnsiTheme="minorHAnsi" w:cstheme="majorBidi"/>
      <w:i/>
      <w:color w:val="243F60" w:themeColor="accent1" w:themeShade="7F"/>
      <w:sz w:val="22"/>
      <w:szCs w:val="22"/>
      <w:lang w:eastAsia="en-US"/>
    </w:rPr>
  </w:style>
  <w:style w:type="paragraph" w:styleId="Heading8">
    <w:name w:val="heading 8"/>
    <w:basedOn w:val="Normal"/>
    <w:next w:val="Normal"/>
    <w:link w:val="Heading8Char"/>
    <w:uiPriority w:val="9"/>
    <w:semiHidden/>
    <w:unhideWhenUsed/>
    <w:qFormat/>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imes New Roman"/>
      <w:sz w:val="20"/>
      <w:szCs w:val="20"/>
    </w:rPr>
  </w:style>
  <w:style w:type="paragraph" w:styleId="Header">
    <w:name w:val="header"/>
    <w:basedOn w:val="Normal"/>
    <w:link w:val="HeaderChar"/>
    <w:pPr>
      <w:tabs>
        <w:tab w:val="center" w:pos="8505"/>
        <w:tab w:val="center" w:pos="13041"/>
      </w:tabs>
      <w:spacing w:line="36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imes New Roman" w:hAnsi="Calibri"/>
      <w:sz w:val="20"/>
      <w:szCs w:val="24"/>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numbering" w:customStyle="1" w:styleId="Headings">
    <w:name w:val="Headings"/>
    <w:uiPriority w:val="99"/>
    <w:pPr>
      <w:numPr>
        <w:numId w:val="4"/>
      </w:numPr>
    </w:pPr>
  </w:style>
  <w:style w:type="character" w:customStyle="1" w:styleId="Heading1Char">
    <w:name w:val="Heading 1 Char"/>
    <w:basedOn w:val="DefaultParagraphFont"/>
    <w:link w:val="Heading1"/>
    <w:uiPriority w:val="9"/>
    <w:rPr>
      <w:rFonts w:ascii="Calibri" w:eastAsiaTheme="majorEastAsia" w:hAnsi="Calibri" w:cstheme="majorBidi"/>
      <w:b/>
      <w:bCs/>
      <w:color w:val="3C4B55"/>
      <w:sz w:val="70"/>
      <w:szCs w:val="28"/>
      <w:lang w:eastAsia="en-US"/>
    </w:rPr>
  </w:style>
  <w:style w:type="paragraph" w:styleId="ListParagraph">
    <w:name w:val="List Paragraph"/>
    <w:basedOn w:val="Normal"/>
    <w:uiPriority w:val="34"/>
    <w:qFormat/>
    <w:pPr>
      <w:ind w:left="720"/>
    </w:pPr>
  </w:style>
  <w:style w:type="character" w:customStyle="1" w:styleId="Heading2Char">
    <w:name w:val="Heading 2 Char"/>
    <w:basedOn w:val="DefaultParagraphFont"/>
    <w:link w:val="Heading2"/>
    <w:uiPriority w:val="3"/>
    <w:rsid w:val="00414A32"/>
    <w:rPr>
      <w:rFonts w:ascii="Calibri" w:eastAsiaTheme="minorEastAsia" w:hAnsi="Calibri" w:cstheme="minorBidi"/>
      <w:bCs/>
      <w:color w:val="427BA1"/>
      <w:sz w:val="56"/>
      <w:szCs w:val="28"/>
      <w:lang w:eastAsia="ja-JP"/>
    </w:rPr>
  </w:style>
  <w:style w:type="character" w:customStyle="1" w:styleId="Heading3Char">
    <w:name w:val="Heading 3 Char"/>
    <w:basedOn w:val="DefaultParagraphFont"/>
    <w:link w:val="Heading3"/>
    <w:uiPriority w:val="4"/>
    <w:rsid w:val="00BF0280"/>
    <w:rPr>
      <w:rFonts w:ascii="Calibri" w:eastAsiaTheme="minorHAnsi" w:hAnsi="Calibri" w:cstheme="minorBidi"/>
      <w:b/>
      <w:bCs/>
      <w:sz w:val="28"/>
      <w:szCs w:val="22"/>
      <w:lang w:eastAsia="en-US"/>
    </w:rPr>
  </w:style>
  <w:style w:type="character" w:customStyle="1" w:styleId="Heading4Char">
    <w:name w:val="Heading 4 Char"/>
    <w:basedOn w:val="DefaultParagraphFont"/>
    <w:link w:val="Heading4"/>
    <w:uiPriority w:val="5"/>
    <w:rPr>
      <w:rFonts w:ascii="Calibri" w:eastAsiaTheme="minorHAnsi" w:hAnsi="Calibri" w:cstheme="minorBidi"/>
      <w:b/>
      <w:bCs/>
      <w:iCs/>
      <w:color w:val="427BA1"/>
      <w:sz w:val="24"/>
      <w:szCs w:val="22"/>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12"/>
    <w:qFormat/>
    <w:pPr>
      <w:keepNext/>
      <w:spacing w:after="120"/>
    </w:pPr>
    <w:rPr>
      <w:rFonts w:asciiTheme="minorHAnsi" w:eastAsiaTheme="majorEastAsia" w:hAnsiTheme="minorHAnsi" w:cstheme="majorBidi"/>
      <w:b/>
      <w:bCs/>
      <w:color w:val="000000" w:themeColor="text1"/>
      <w:sz w:val="22"/>
      <w:szCs w:val="18"/>
      <w:lang w:eastAsia="en-US"/>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TOCHeading">
    <w:name w:val="TOC Heading"/>
    <w:next w:val="Normal"/>
    <w:uiPriority w:val="39"/>
    <w:qFormat/>
    <w:rPr>
      <w:rFonts w:ascii="Calibri" w:eastAsiaTheme="majorEastAsia" w:hAnsi="Calibri" w:cstheme="majorBidi"/>
      <w:bCs/>
      <w:color w:val="427BA1"/>
      <w:sz w:val="56"/>
      <w:szCs w:val="28"/>
      <w:lang w:val="en-US" w:eastAsia="en-US"/>
    </w:rPr>
  </w:style>
  <w:style w:type="paragraph" w:styleId="TOC1">
    <w:name w:val="toc 1"/>
    <w:next w:val="Normal"/>
    <w:uiPriority w:val="39"/>
    <w:unhideWhenUsed/>
    <w:pPr>
      <w:tabs>
        <w:tab w:val="left" w:pos="426"/>
        <w:tab w:val="right" w:leader="dot" w:pos="9072"/>
      </w:tabs>
      <w:spacing w:before="120" w:after="120"/>
    </w:pPr>
    <w:rPr>
      <w:rFonts w:asciiTheme="minorHAnsi" w:eastAsiaTheme="minorHAnsi" w:hAnsiTheme="minorHAnsi" w:cstheme="minorBidi"/>
      <w:b/>
      <w:noProof/>
      <w:sz w:val="22"/>
      <w:szCs w:val="22"/>
      <w:lang w:eastAsia="en-US"/>
    </w:rPr>
  </w:style>
  <w:style w:type="paragraph" w:styleId="TOC2">
    <w:name w:val="toc 2"/>
    <w:basedOn w:val="Normal"/>
    <w:next w:val="Normal"/>
    <w:uiPriority w:val="39"/>
    <w:unhideWhenUse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uiPriority w:val="7"/>
    <w:qFormat/>
    <w:pPr>
      <w:numPr>
        <w:numId w:val="7"/>
      </w:numPr>
      <w:spacing w:before="120" w:after="120"/>
    </w:pPr>
    <w:rPr>
      <w:rFonts w:asciiTheme="minorHAnsi" w:eastAsiaTheme="minorHAnsi" w:hAnsiTheme="minorHAnsi" w:cstheme="minorBidi"/>
      <w:sz w:val="22"/>
      <w:szCs w:val="22"/>
      <w:lang w:eastAsia="en-US"/>
    </w:rPr>
  </w:style>
  <w:style w:type="paragraph" w:styleId="TableofFigures">
    <w:name w:val="table of figures"/>
    <w:basedOn w:val="Normal"/>
    <w:next w:val="Normal"/>
    <w:uiPriority w:val="99"/>
    <w:pPr>
      <w:spacing w:before="120" w:after="120" w:line="240" w:lineRule="auto"/>
    </w:pPr>
  </w:style>
  <w:style w:type="paragraph" w:styleId="ListBullet2">
    <w:name w:val="List Bullet 2"/>
    <w:uiPriority w:val="8"/>
    <w:qFormat/>
    <w:pPr>
      <w:numPr>
        <w:ilvl w:val="1"/>
        <w:numId w:val="7"/>
      </w:numPr>
      <w:spacing w:before="120" w:after="1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
    <w:qFormat/>
    <w:pPr>
      <w:numPr>
        <w:numId w:val="9"/>
      </w:numPr>
      <w:spacing w:before="120" w:after="120" w:line="280" w:lineRule="atLeast"/>
    </w:pPr>
    <w:rPr>
      <w:szCs w:val="20"/>
    </w:rPr>
  </w:style>
  <w:style w:type="paragraph" w:styleId="ListNumber2">
    <w:name w:val="List Number 2"/>
    <w:uiPriority w:val="10"/>
    <w:qFormat/>
    <w:pPr>
      <w:numPr>
        <w:ilvl w:val="1"/>
        <w:numId w:val="9"/>
      </w:numPr>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link w:val="TableTextChar"/>
    <w:uiPriority w:val="13"/>
    <w:qFormat/>
    <w:pPr>
      <w:spacing w:before="60" w:after="60"/>
    </w:pPr>
    <w:rPr>
      <w:rFonts w:asciiTheme="minorHAnsi" w:eastAsiaTheme="minorHAnsi" w:hAnsiTheme="minorHAnsi" w:cstheme="minorBidi"/>
      <w:sz w:val="18"/>
      <w:szCs w:val="22"/>
      <w:lang w:eastAsia="en-US"/>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uiPriority w:val="22"/>
    <w:qFormat/>
    <w:rPr>
      <w:b/>
      <w:bC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
    <w:name w:val="Table Bullet"/>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 w:type="paragraph" w:customStyle="1" w:styleId="TOCHeadingsamepage">
    <w:name w:val="TOC Heading (same page)"/>
    <w:basedOn w:val="TOCHeading"/>
    <w:next w:val="Normal"/>
    <w:uiPriority w:val="39"/>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sz w:val="36"/>
      <w:szCs w:val="36"/>
    </w:rPr>
  </w:style>
  <w:style w:type="paragraph" w:customStyle="1" w:styleId="DisseminationLimitingMarker">
    <w:name w:val="Dissemination Limiting Marker"/>
    <w:basedOn w:val="Header"/>
    <w:next w:val="Header"/>
    <w:uiPriority w:val="27"/>
    <w:qFormat/>
    <w:pPr>
      <w:spacing w:after="0"/>
    </w:pPr>
    <w:rPr>
      <w:b/>
      <w:sz w:val="36"/>
      <w:szCs w:val="36"/>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heading">
    <w:name w:val="heading"/>
    <w:uiPriority w:val="99"/>
    <w:pPr>
      <w:numPr>
        <w:numId w:val="10"/>
      </w:numPr>
    </w:pPr>
  </w:style>
  <w:style w:type="numbering" w:customStyle="1" w:styleId="captions">
    <w:name w:val="captions"/>
    <w:uiPriority w:val="99"/>
    <w:pPr>
      <w:numPr>
        <w:numId w:val="5"/>
      </w:numPr>
    </w:pPr>
  </w:style>
  <w:style w:type="character" w:customStyle="1" w:styleId="TableTextChar">
    <w:name w:val="Table Text Char"/>
    <w:basedOn w:val="DefaultParagraphFont"/>
    <w:link w:val="TableText"/>
    <w:uiPriority w:val="13"/>
    <w:rPr>
      <w:rFonts w:asciiTheme="minorHAnsi" w:eastAsiaTheme="minorHAnsi" w:hAnsiTheme="minorHAnsi" w:cstheme="minorBidi"/>
      <w:sz w:val="18"/>
      <w:szCs w:val="22"/>
      <w:lang w:eastAsia="en-US"/>
    </w:rPr>
  </w:style>
  <w:style w:type="character" w:customStyle="1" w:styleId="Heading7Char">
    <w:name w:val="Heading 7 Char"/>
    <w:basedOn w:val="DefaultParagraphFont"/>
    <w:link w:val="Heading7"/>
    <w:uiPriority w:val="9"/>
    <w:rPr>
      <w:rFonts w:asciiTheme="minorHAnsi" w:eastAsiaTheme="majorEastAsia" w:hAnsiTheme="minorHAnsi" w:cstheme="majorBidi"/>
      <w:i/>
      <w:color w:val="243F60" w:themeColor="accent1" w:themeShade="7F"/>
      <w:sz w:val="22"/>
      <w:szCs w:val="22"/>
      <w:lang w:eastAsia="en-US"/>
    </w:rPr>
  </w:style>
  <w:style w:type="numbering" w:customStyle="1" w:styleId="List1">
    <w:name w:val="List1"/>
    <w:basedOn w:val="NoList"/>
    <w:uiPriority w:val="99"/>
    <w:pPr>
      <w:numPr>
        <w:numId w:val="3"/>
      </w:numPr>
    </w:pPr>
  </w:style>
  <w:style w:type="character" w:customStyle="1" w:styleId="CaptionChar">
    <w:name w:val="Caption Char"/>
    <w:basedOn w:val="Heading1Char"/>
    <w:link w:val="Caption"/>
    <w:uiPriority w:val="12"/>
    <w:rPr>
      <w:rFonts w:asciiTheme="minorHAnsi" w:eastAsiaTheme="majorEastAsia" w:hAnsiTheme="minorHAnsi" w:cstheme="majorBidi"/>
      <w:b/>
      <w:bCs/>
      <w:color w:val="000000" w:themeColor="text1"/>
      <w:sz w:val="22"/>
      <w:szCs w:val="18"/>
      <w:lang w:eastAsia="en-US"/>
    </w:rPr>
  </w:style>
  <w:style w:type="numbering" w:customStyle="1" w:styleId="listbullets">
    <w:name w:val="list bullets"/>
    <w:uiPriority w:val="99"/>
    <w:pPr>
      <w:numPr>
        <w:numId w:val="6"/>
      </w:numPr>
    </w:pPr>
  </w:style>
  <w:style w:type="numbering" w:customStyle="1" w:styleId="ListNumber1">
    <w:name w:val="List Number1"/>
    <w:uiPriority w:val="99"/>
    <w:pPr>
      <w:numPr>
        <w:numId w:val="8"/>
      </w:numPr>
    </w:pPr>
  </w:style>
  <w:style w:type="character" w:customStyle="1" w:styleId="Heading6Char">
    <w:name w:val="Heading 6 Char"/>
    <w:basedOn w:val="DefaultParagraphFont"/>
    <w:link w:val="Heading6"/>
    <w:uiPriority w:val="9"/>
    <w:rPr>
      <w:rFonts w:asciiTheme="minorHAnsi" w:eastAsiaTheme="majorEastAsia" w:hAnsiTheme="minorHAnsi" w:cstheme="majorBidi"/>
      <w:i/>
      <w:sz w:val="22"/>
      <w:szCs w:val="22"/>
      <w:lang w:eastAsia="en-US"/>
    </w:rPr>
  </w:style>
  <w:style w:type="paragraph" w:styleId="Subtitle">
    <w:name w:val="Subtitle"/>
    <w:basedOn w:val="Heading1"/>
    <w:next w:val="Normal"/>
    <w:link w:val="SubtitleChar"/>
    <w:uiPriority w:val="23"/>
    <w:qFormat/>
    <w:pPr>
      <w:keepNext w:val="0"/>
      <w:keepLines w:val="0"/>
      <w:widowControl w:val="0"/>
      <w:spacing w:before="120" w:after="0"/>
      <w:contextualSpacing/>
    </w:pPr>
    <w:rPr>
      <w:rFonts w:eastAsiaTheme="minorHAnsi" w:cstheme="minorBidi"/>
      <w:b w:val="0"/>
      <w:color w:val="427BA1"/>
      <w:spacing w:val="5"/>
      <w:kern w:val="28"/>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427BA1"/>
      <w:spacing w:val="5"/>
      <w:kern w:val="28"/>
      <w:sz w:val="56"/>
      <w:szCs w:val="56"/>
      <w:lang w:eastAsia="en-US"/>
    </w:rPr>
  </w:style>
  <w:style w:type="paragraph" w:styleId="Revision">
    <w:name w:val="Revision"/>
    <w:hidden/>
    <w:uiPriority w:val="99"/>
    <w:semiHidden/>
    <w:rPr>
      <w:rFonts w:eastAsiaTheme="minorHAnsi" w:cstheme="minorBidi"/>
      <w:sz w:val="22"/>
      <w:szCs w:val="22"/>
      <w:lang w:eastAsia="en-US"/>
    </w:rPr>
  </w:style>
  <w:style w:type="paragraph" w:customStyle="1" w:styleId="Documenttype">
    <w:name w:val="Document type"/>
    <w:basedOn w:val="Normal"/>
    <w:qFormat/>
    <w:pPr>
      <w:spacing w:before="360" w:after="0"/>
    </w:pPr>
    <w:rPr>
      <w:color w:val="427BA1"/>
      <w:sz w:val="36"/>
    </w:rPr>
  </w:style>
  <w:style w:type="paragraph" w:customStyle="1" w:styleId="Publicationdate">
    <w:name w:val="Publication date"/>
    <w:basedOn w:val="Normal"/>
    <w:qFormat/>
    <w:rPr>
      <w:color w:val="666C60"/>
      <w:sz w:val="28"/>
    </w:rPr>
  </w:style>
  <w:style w:type="paragraph" w:customStyle="1" w:styleId="TOCHeading2">
    <w:name w:val="TOC Heading 2"/>
    <w:next w:val="Normal"/>
    <w:uiPriority w:val="39"/>
    <w:rPr>
      <w:rFonts w:ascii="Calibri" w:eastAsiaTheme="majorEastAsia" w:hAnsi="Calibri" w:cstheme="majorBidi"/>
      <w:bCs/>
      <w:color w:val="427BA1"/>
      <w:sz w:val="36"/>
      <w:szCs w:val="28"/>
      <w:lang w:val="en-US" w:eastAsia="en-US"/>
    </w:rPr>
  </w:style>
  <w:style w:type="numbering" w:customStyle="1" w:styleId="Style1">
    <w:name w:val="Style1"/>
    <w:uiPriority w:val="99"/>
    <w:pPr>
      <w:numPr>
        <w:numId w:val="13"/>
      </w:numPr>
    </w:pPr>
  </w:style>
  <w:style w:type="character" w:customStyle="1" w:styleId="Heading8Char">
    <w:name w:val="Heading 8 Char"/>
    <w:basedOn w:val="DefaultParagraphFont"/>
    <w:link w:val="Heading8"/>
    <w:uiPriority w:val="9"/>
    <w:semiHidden/>
    <w:rPr>
      <w:rFonts w:asciiTheme="minorHAnsi" w:eastAsiaTheme="majorEastAsia" w:hAnsiTheme="minorHAnsi" w:cstheme="majorBidi"/>
      <w:color w:val="272727" w:themeColor="text1" w:themeTint="D8"/>
      <w:sz w:val="21"/>
      <w:szCs w:val="21"/>
      <w:lang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Theme="minorHAnsi" w:eastAsiaTheme="minorHAnsi" w:hAnsiTheme="minorHAnsi" w:cstheme="minorBidi"/>
      <w:i/>
      <w:iCs/>
      <w:color w:val="4F81BD" w:themeColor="accent1"/>
      <w:sz w:val="22"/>
      <w:szCs w:val="22"/>
      <w:lang w:eastAsia="en-US"/>
    </w:rPr>
  </w:style>
  <w:style w:type="paragraph" w:customStyle="1" w:styleId="Figurecaption">
    <w:name w:val="Figure caption"/>
    <w:basedOn w:val="Normal"/>
    <w:link w:val="FigurecaptionChar"/>
    <w:qFormat/>
    <w:rsid w:val="001303C0"/>
    <w:pPr>
      <w:spacing w:before="120"/>
      <w:ind w:left="799" w:hanging="799"/>
      <w:jc w:val="center"/>
    </w:pPr>
    <w:rPr>
      <w:rFonts w:ascii="Myriad Pro" w:eastAsiaTheme="minorEastAsia" w:hAnsi="Myriad Pro"/>
      <w:sz w:val="18"/>
      <w:szCs w:val="18"/>
      <w:lang w:bidi="en-US"/>
    </w:rPr>
  </w:style>
  <w:style w:type="character" w:customStyle="1" w:styleId="FigurecaptionChar">
    <w:name w:val="Figure caption Char"/>
    <w:basedOn w:val="DefaultParagraphFont"/>
    <w:link w:val="Figurecaption"/>
    <w:rsid w:val="001303C0"/>
    <w:rPr>
      <w:rFonts w:ascii="Myriad Pro" w:eastAsiaTheme="minorEastAsia" w:hAnsi="Myriad Pro" w:cstheme="minorBidi"/>
      <w:sz w:val="18"/>
      <w:szCs w:val="18"/>
      <w:lang w:eastAsia="en-US" w:bidi="en-US"/>
    </w:rPr>
  </w:style>
  <w:style w:type="paragraph" w:customStyle="1" w:styleId="Table1caption">
    <w:name w:val="Table 1 caption"/>
    <w:basedOn w:val="Normal"/>
    <w:link w:val="Table1captionChar"/>
    <w:qFormat/>
    <w:rsid w:val="00167FF3"/>
    <w:pPr>
      <w:spacing w:before="200" w:after="120"/>
      <w:jc w:val="both"/>
    </w:pPr>
    <w:rPr>
      <w:rFonts w:ascii="Myriad Pro" w:eastAsiaTheme="minorEastAsia" w:hAnsi="Myriad Pro" w:cstheme="minorHAnsi"/>
      <w:b/>
      <w:sz w:val="18"/>
      <w:szCs w:val="18"/>
      <w:lang w:val="en-US" w:bidi="en-US"/>
    </w:rPr>
  </w:style>
  <w:style w:type="character" w:customStyle="1" w:styleId="Table1captionChar">
    <w:name w:val="Table 1 caption Char"/>
    <w:basedOn w:val="DefaultParagraphFont"/>
    <w:link w:val="Table1caption"/>
    <w:rsid w:val="00167FF3"/>
    <w:rPr>
      <w:rFonts w:ascii="Myriad Pro" w:eastAsiaTheme="minorEastAsia" w:hAnsi="Myriad Pro" w:cstheme="minorHAnsi"/>
      <w:b/>
      <w:sz w:val="18"/>
      <w:szCs w:val="18"/>
      <w:lang w:val="en-US" w:eastAsia="en-US" w:bidi="en-US"/>
    </w:rPr>
  </w:style>
  <w:style w:type="character" w:customStyle="1" w:styleId="UnresolvedMention1">
    <w:name w:val="Unresolved Mention1"/>
    <w:basedOn w:val="DefaultParagraphFont"/>
    <w:uiPriority w:val="99"/>
    <w:semiHidden/>
    <w:unhideWhenUsed/>
    <w:rsid w:val="00547C40"/>
    <w:rPr>
      <w:color w:val="605E5C"/>
      <w:shd w:val="clear" w:color="auto" w:fill="E1DFDD"/>
    </w:rPr>
  </w:style>
  <w:style w:type="character" w:customStyle="1" w:styleId="UnresolvedMention2">
    <w:name w:val="Unresolved Mention2"/>
    <w:basedOn w:val="DefaultParagraphFont"/>
    <w:uiPriority w:val="99"/>
    <w:semiHidden/>
    <w:unhideWhenUsed/>
    <w:rsid w:val="0044601B"/>
    <w:rPr>
      <w:color w:val="605E5C"/>
      <w:shd w:val="clear" w:color="auto" w:fill="E1DFDD"/>
    </w:rPr>
  </w:style>
  <w:style w:type="character" w:customStyle="1" w:styleId="UnresolvedMention3">
    <w:name w:val="Unresolved Mention3"/>
    <w:basedOn w:val="DefaultParagraphFont"/>
    <w:uiPriority w:val="99"/>
    <w:semiHidden/>
    <w:unhideWhenUsed/>
    <w:rsid w:val="007311A8"/>
    <w:rPr>
      <w:color w:val="605E5C"/>
      <w:shd w:val="clear" w:color="auto" w:fill="E1DFDD"/>
    </w:rPr>
  </w:style>
  <w:style w:type="character" w:customStyle="1" w:styleId="UnresolvedMention4">
    <w:name w:val="Unresolved Mention4"/>
    <w:basedOn w:val="DefaultParagraphFont"/>
    <w:uiPriority w:val="99"/>
    <w:semiHidden/>
    <w:unhideWhenUsed/>
    <w:rsid w:val="008123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2.jpeg"/><Relationship Id="rId26" Type="http://schemas.openxmlformats.org/officeDocument/2006/relationships/hyperlink" Target="https://www.waterquality.gov.au/anz-guidelines/guideline-values/default/water-quality-toxicants/local-conditions" TargetMode="External"/><Relationship Id="rId39" Type="http://schemas.openxmlformats.org/officeDocument/2006/relationships/hyperlink" Target="https://www.waterquality.gov.au/anz-guidelines" TargetMode="External"/><Relationship Id="rId21" Type="http://schemas.openxmlformats.org/officeDocument/2006/relationships/header" Target="header2.xml"/><Relationship Id="rId34" Type="http://schemas.openxmlformats.org/officeDocument/2006/relationships/footer" Target="footer3.xml"/><Relationship Id="rId42" Type="http://schemas.openxmlformats.org/officeDocument/2006/relationships/hyperlink" Target="http://edis.ifas.ufl.edu/pdffiles/PI/PI23100.pdf" TargetMode="External"/><Relationship Id="rId47" Type="http://schemas.openxmlformats.org/officeDocument/2006/relationships/hyperlink" Target="http://www.inchem.org/documents/ehc/ehc/ehc142.htm" TargetMode="External"/><Relationship Id="rId50"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waterquality.gov.au/anz-guidelines/guideline-values/default/water-quality-toxicants/toxicants" TargetMode="External"/><Relationship Id="rId29" Type="http://schemas.openxmlformats.org/officeDocument/2006/relationships/header" Target="header3.xml"/><Relationship Id="rId11" Type="http://schemas.openxmlformats.org/officeDocument/2006/relationships/footnotes" Target="footnotes.xml"/><Relationship Id="rId24" Type="http://schemas.openxmlformats.org/officeDocument/2006/relationships/image" Target="media/image4.emf"/><Relationship Id="rId32" Type="http://schemas.openxmlformats.org/officeDocument/2006/relationships/header" Target="header5.xml"/><Relationship Id="rId37" Type="http://schemas.openxmlformats.org/officeDocument/2006/relationships/image" Target="media/image7.emf"/><Relationship Id="rId40" Type="http://schemas.openxmlformats.org/officeDocument/2006/relationships/hyperlink" Target="http://apvma.gov.au/node/2878" TargetMode="External"/><Relationship Id="rId45" Type="http://schemas.openxmlformats.org/officeDocument/2006/relationships/hyperlink" Target="http://sitem.herts.ac.uk/aeru/ppdb/en/Reports/24.htm" TargetMode="External"/><Relationship Id="rId5" Type="http://schemas.openxmlformats.org/officeDocument/2006/relationships/customXml" Target="../customXml/item5.xml"/><Relationship Id="rId15" Type="http://schemas.openxmlformats.org/officeDocument/2006/relationships/hyperlink" Target="mailto:copyright@dcceew.gov.au" TargetMode="External"/><Relationship Id="rId23" Type="http://schemas.openxmlformats.org/officeDocument/2006/relationships/hyperlink" Target="http://www.waterquality.gov.au/sites/default/files/documents/alpha-cypermethrin-fresh-dgvs-data-entry.xlsx" TargetMode="External"/><Relationship Id="rId28" Type="http://schemas.openxmlformats.org/officeDocument/2006/relationships/hyperlink" Target="https://www.waterquality.gov.au/anz-guidelines/resources/glossary" TargetMode="External"/><Relationship Id="rId36" Type="http://schemas.openxmlformats.org/officeDocument/2006/relationships/image" Target="media/image6.emf"/><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2.xml"/><Relationship Id="rId44" Type="http://schemas.openxmlformats.org/officeDocument/2006/relationships/hyperlink" Target="https://pubchem.ncbi.nlm.nih.gov/compound/Cypermethri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reativecommons.org/licenses/by/4.0/" TargetMode="External"/><Relationship Id="rId22" Type="http://schemas.openxmlformats.org/officeDocument/2006/relationships/hyperlink" Target="http://www.waterquality.gov.au/sites/default/files/documents/alpha-cypermethrin-fresh-dgvs-data-quality-assessment.xlsm" TargetMode="External"/><Relationship Id="rId27" Type="http://schemas.openxmlformats.org/officeDocument/2006/relationships/hyperlink" Target="https://www.waterquality.gov.au/anz-guidelines/resources/glossary" TargetMode="External"/><Relationship Id="rId30" Type="http://schemas.openxmlformats.org/officeDocument/2006/relationships/header" Target="header4.xml"/><Relationship Id="rId35" Type="http://schemas.openxmlformats.org/officeDocument/2006/relationships/image" Target="media/image5.emf"/><Relationship Id="rId43" Type="http://schemas.openxmlformats.org/officeDocument/2006/relationships/hyperlink" Target="http://www.pesticideinfo.org" TargetMode="External"/><Relationship Id="rId48" Type="http://schemas.openxmlformats.org/officeDocument/2006/relationships/header" Target="header7.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waterquality@dcceew.gov.au" TargetMode="External"/><Relationship Id="rId25" Type="http://schemas.openxmlformats.org/officeDocument/2006/relationships/hyperlink" Target="https://www.waterquality.gov.au/anz-guidelines" TargetMode="External"/><Relationship Id="rId33" Type="http://schemas.openxmlformats.org/officeDocument/2006/relationships/header" Target="header6.xml"/><Relationship Id="rId38" Type="http://schemas.openxmlformats.org/officeDocument/2006/relationships/hyperlink" Target="https://eatsafe.nzfsa.govt.nz/web/public/acvm-register" TargetMode="External"/><Relationship Id="rId46" Type="http://schemas.openxmlformats.org/officeDocument/2006/relationships/hyperlink" Target="https://ecotox.ipmcenters.org/" TargetMode="External"/><Relationship Id="rId20" Type="http://schemas.openxmlformats.org/officeDocument/2006/relationships/footer" Target="footer1.xml"/><Relationship Id="rId41" Type="http://schemas.openxmlformats.org/officeDocument/2006/relationships/hyperlink" Target="https://portal.apvma.gov.au/pubcri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0CCC024575420DB346A2897E1BFAA1"/>
        <w:category>
          <w:name w:val="General"/>
          <w:gallery w:val="placeholder"/>
        </w:category>
        <w:types>
          <w:type w:val="bbPlcHdr"/>
        </w:types>
        <w:behaviors>
          <w:behavior w:val="content"/>
        </w:behaviors>
        <w:guid w:val="{59AC9F7E-4FA2-490F-98B6-D985F0F8EDE1}"/>
      </w:docPartPr>
      <w:docPartBody>
        <w:p w:rsidR="00B7057B" w:rsidRDefault="00BC13B3" w:rsidP="00B7057B">
          <w:pPr>
            <w:pStyle w:val="B20CCC024575420DB346A2897E1BFAA1"/>
          </w:pPr>
          <w:r w:rsidRPr="00BE52A7">
            <w:rPr>
              <w:rStyle w:val="PlaceholderText"/>
            </w:rPr>
            <w:t>Click here to enter text.</w:t>
          </w:r>
        </w:p>
      </w:docPartBody>
    </w:docPart>
    <w:docPart>
      <w:docPartPr>
        <w:name w:val="B53B152C55EE49D2B58FA8A41EDEB596"/>
        <w:category>
          <w:name w:val="General"/>
          <w:gallery w:val="placeholder"/>
        </w:category>
        <w:types>
          <w:type w:val="bbPlcHdr"/>
        </w:types>
        <w:behaviors>
          <w:behavior w:val="content"/>
        </w:behaviors>
        <w:guid w:val="{9EED2C34-3460-4C16-92C5-E3A173C11CA8}"/>
      </w:docPartPr>
      <w:docPartBody>
        <w:p w:rsidR="00DC023C" w:rsidRDefault="00BC13B3" w:rsidP="00ED3628">
          <w:pPr>
            <w:pStyle w:val="B53B152C55EE49D2B58FA8A41EDEB596"/>
          </w:pPr>
          <w:r w:rsidRPr="00BE52A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57B"/>
    <w:rsid w:val="00034703"/>
    <w:rsid w:val="00093025"/>
    <w:rsid w:val="000C116E"/>
    <w:rsid w:val="00117F88"/>
    <w:rsid w:val="0014093F"/>
    <w:rsid w:val="00276F66"/>
    <w:rsid w:val="002B1406"/>
    <w:rsid w:val="00344B1D"/>
    <w:rsid w:val="00352AF2"/>
    <w:rsid w:val="0043049D"/>
    <w:rsid w:val="005B406C"/>
    <w:rsid w:val="006678D3"/>
    <w:rsid w:val="006B2791"/>
    <w:rsid w:val="00750303"/>
    <w:rsid w:val="007D1422"/>
    <w:rsid w:val="007E1690"/>
    <w:rsid w:val="008079FC"/>
    <w:rsid w:val="0084557A"/>
    <w:rsid w:val="009731A0"/>
    <w:rsid w:val="00974EEF"/>
    <w:rsid w:val="00AF7032"/>
    <w:rsid w:val="00B5562E"/>
    <w:rsid w:val="00B558CB"/>
    <w:rsid w:val="00B617DB"/>
    <w:rsid w:val="00B7057B"/>
    <w:rsid w:val="00B72088"/>
    <w:rsid w:val="00BC13B3"/>
    <w:rsid w:val="00C74A4D"/>
    <w:rsid w:val="00CD6860"/>
    <w:rsid w:val="00D0539D"/>
    <w:rsid w:val="00D26F0F"/>
    <w:rsid w:val="00D52DDB"/>
    <w:rsid w:val="00D850D3"/>
    <w:rsid w:val="00DC023C"/>
    <w:rsid w:val="00E05FAB"/>
    <w:rsid w:val="00E37CB9"/>
    <w:rsid w:val="00E6066A"/>
    <w:rsid w:val="00E7452E"/>
    <w:rsid w:val="00E767A5"/>
    <w:rsid w:val="00E843F9"/>
    <w:rsid w:val="00ED196A"/>
    <w:rsid w:val="00ED3628"/>
    <w:rsid w:val="00F927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3628"/>
    <w:rPr>
      <w:color w:val="808080"/>
    </w:rPr>
  </w:style>
  <w:style w:type="paragraph" w:customStyle="1" w:styleId="B20CCC024575420DB346A2897E1BFAA1">
    <w:name w:val="B20CCC024575420DB346A2897E1BFAA1"/>
    <w:rsid w:val="00B7057B"/>
  </w:style>
  <w:style w:type="paragraph" w:customStyle="1" w:styleId="B53B152C55EE49D2B58FA8A41EDEB596">
    <w:name w:val="B53B152C55EE49D2B58FA8A41EDEB596"/>
    <w:rsid w:val="00ED36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3" ma:contentTypeDescription="Create a new document." ma:contentTypeScope="" ma:versionID="c5cad13b6666b7852f4eaa8dcc206fb9">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e9b090d71a2e5fb3627b9888c9f68a88"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SPIRE Document" ma:contentTypeID="0x010100F467F77E5006AC4183EC66C58CB60CCF0018E0BDD1F7314546A944FB163ACEB71C" ma:contentTypeVersion="10" ma:contentTypeDescription="SPIRE Document" ma:contentTypeScope="" ma:versionID="9517c3cd7426ed7f9780ddff4aab9e73">
  <xsd:schema xmlns:xsd="http://www.w3.org/2001/XMLSchema" xmlns:xs="http://www.w3.org/2001/XMLSchema" xmlns:p="http://schemas.microsoft.com/office/2006/metadata/properties" xmlns:ns2="c25cb30a-de11-40ab-bdcc-f1d56023b01d" xmlns:ns3="http://schemas.microsoft.com/sharepoint/v4" targetNamespace="http://schemas.microsoft.com/office/2006/metadata/properties" ma:root="true" ma:fieldsID="1a5ccb46502d7f67011865d302baaff3" ns2:_="" ns3:_="">
    <xsd:import namespace="c25cb30a-de11-40ab-bdcc-f1d56023b01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element ref="ns2:SpireDeleted" minOccurs="0"/>
                <xsd:element ref="ns2:SpireDeletedBy" minOccurs="0"/>
                <xsd:element ref="ns2:SpireDele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cb30a-de11-40ab-bdcc-f1d56023b01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SpireDeleted" ma:index="13" nillable="true" ma:displayName="SpireDeleted" ma:hidden="true" ma:internalName="SpireDeleted" ma:readOnly="false">
      <xsd:simpleType>
        <xsd:restriction base="dms:Text">
          <xsd:maxLength value="3"/>
        </xsd:restriction>
      </xsd:simpleType>
    </xsd:element>
    <xsd:element name="SpireDeletedBy" ma:index="14" nillable="true" ma:displayName="SpireDeletedBy" ma:hidden="true" ma:list="UserInfo" ma:SharePointGroup="0" ma:internalName="SpireDele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ireDeletedDate" ma:index="15" nillable="true" ma:displayName="SpireDeletedDate" ma:format="DateTime" ma:hidden="true" ma:internalName="SpireDelete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6CE546-3E0F-4174-A106-4E7F4E698FD2}">
  <ds:schemaRefs>
    <ds:schemaRef ds:uri="http://schemas.microsoft.com/office/2006/metadata/customXsn"/>
  </ds:schemaRefs>
</ds:datastoreItem>
</file>

<file path=customXml/itemProps2.xml><?xml version="1.0" encoding="utf-8"?>
<ds:datastoreItem xmlns:ds="http://schemas.openxmlformats.org/officeDocument/2006/customXml" ds:itemID="{FDAFF9F2-B553-40B8-AE51-8E46304031DB}">
  <ds:schemaRefs>
    <ds:schemaRef ds:uri="http://schemas.microsoft.com/sharepoint/v3/contenttype/forms"/>
  </ds:schemaRefs>
</ds:datastoreItem>
</file>

<file path=customXml/itemProps3.xml><?xml version="1.0" encoding="utf-8"?>
<ds:datastoreItem xmlns:ds="http://schemas.openxmlformats.org/officeDocument/2006/customXml" ds:itemID="{A1D323EF-822C-4E4A-9DA5-304476EA7B2B}">
  <ds:schemaRefs>
    <ds:schemaRef ds:uri="http://schemas.microsoft.com/office/infopath/2007/PartnerControls"/>
    <ds:schemaRef ds:uri="http://schemas.microsoft.com/office/2006/documentManagement/types"/>
    <ds:schemaRef ds:uri="http://www.w3.org/XML/1998/namespace"/>
    <ds:schemaRef ds:uri="http://purl.org/dc/elements/1.1/"/>
    <ds:schemaRef ds:uri="http://schemas.microsoft.com/sharepoint/v4"/>
    <ds:schemaRef ds:uri="http://purl.org/dc/dcmitype/"/>
    <ds:schemaRef ds:uri="http://purl.org/dc/terms/"/>
    <ds:schemaRef ds:uri="http://schemas.microsoft.com/office/2006/metadata/properties"/>
    <ds:schemaRef ds:uri="http://schemas.openxmlformats.org/package/2006/metadata/core-properties"/>
    <ds:schemaRef ds:uri="c25cb30a-de11-40ab-bdcc-f1d56023b01d"/>
  </ds:schemaRefs>
</ds:datastoreItem>
</file>

<file path=customXml/itemProps4.xml><?xml version="1.0" encoding="utf-8"?>
<ds:datastoreItem xmlns:ds="http://schemas.openxmlformats.org/officeDocument/2006/customXml" ds:itemID="{1FFC9119-BB4B-46C6-9AE7-819D39D18E01}">
  <ds:schemaRefs>
    <ds:schemaRef ds:uri="http://schemas.openxmlformats.org/officeDocument/2006/bibliography"/>
  </ds:schemaRefs>
</ds:datastoreItem>
</file>

<file path=customXml/itemProps5.xml><?xml version="1.0" encoding="utf-8"?>
<ds:datastoreItem xmlns:ds="http://schemas.openxmlformats.org/officeDocument/2006/customXml" ds:itemID="{1802EAC7-7547-4B54-B9F5-57D92C11F937}"/>
</file>

<file path=customXml/itemProps6.xml><?xml version="1.0" encoding="utf-8"?>
<ds:datastoreItem xmlns:ds="http://schemas.openxmlformats.org/officeDocument/2006/customXml" ds:itemID="{632F51C3-4D88-4C23-BA06-1DA6BB0D3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cb30a-de11-40ab-bdcc-f1d56023b01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6283</Words>
  <Characters>35818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Alpha-cypermethrin in freshwater, Toxicant default guideline values for protecting aquatic ecosystems, technical brief</vt:lpstr>
    </vt:vector>
  </TitlesOfParts>
  <Company/>
  <LinksUpToDate>false</LinksUpToDate>
  <CharactersWithSpaces>42017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Alpha-cypermethrin in freshwater, Toxicant default guideline values for protecting aquatic ecosystems, technical brief</dc:title>
  <dc:creator>Water Quality Australia</dc:creator>
  <cp:lastModifiedBy>Nguyen, Lien</cp:lastModifiedBy>
  <cp:revision>3</cp:revision>
  <cp:lastPrinted>2023-07-06T02:55:00Z</cp:lastPrinted>
  <dcterms:created xsi:type="dcterms:W3CDTF">2023-07-14T02:02:00Z</dcterms:created>
  <dcterms:modified xsi:type="dcterms:W3CDTF">2023-07-17T00:20:00Z</dcterms:modified>
</cp:coreProperties>
</file>