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75AA2" w14:textId="77777777" w:rsidR="001C0D1C" w:rsidRDefault="001272F6">
      <w:pPr>
        <w:pStyle w:val="Heading1"/>
      </w:pPr>
      <w:r>
        <w:t>Toxicant default guideline values for aquatic ecosystem protection</w:t>
      </w:r>
    </w:p>
    <w:p w14:paraId="66175AA3" w14:textId="77777777" w:rsidR="001C0D1C" w:rsidRDefault="001272F6">
      <w:pPr>
        <w:pStyle w:val="Subtitle"/>
      </w:pPr>
      <w:r>
        <w:t>Bisphenol A</w:t>
      </w:r>
      <w:r w:rsidR="00EE7040">
        <w:t xml:space="preserve"> </w:t>
      </w:r>
      <w:r w:rsidR="004D52CE">
        <w:t xml:space="preserve">in </w:t>
      </w:r>
      <w:r>
        <w:t xml:space="preserve">marine </w:t>
      </w:r>
      <w:r w:rsidR="004D52CE">
        <w:t>water</w:t>
      </w:r>
    </w:p>
    <w:p w14:paraId="66175AA4" w14:textId="77777777" w:rsidR="001C0D1C" w:rsidRDefault="001272F6">
      <w:pPr>
        <w:pStyle w:val="Documenttype"/>
      </w:pPr>
      <w:r>
        <w:t>Technical brief</w:t>
      </w:r>
    </w:p>
    <w:p w14:paraId="66175AA5" w14:textId="77777777" w:rsidR="001C0D1C" w:rsidRDefault="001272F6">
      <w:pPr>
        <w:pStyle w:val="Publicationdate"/>
        <w:rPr>
          <w:highlight w:val="yellow"/>
        </w:rPr>
      </w:pPr>
      <w:r>
        <w:t>July 2</w:t>
      </w:r>
      <w:r w:rsidR="00C01C02">
        <w:t>02</w:t>
      </w:r>
      <w:r w:rsidR="00D177BB">
        <w:t>3</w:t>
      </w:r>
    </w:p>
    <w:p w14:paraId="66175AA6" w14:textId="77777777" w:rsidR="001C0D1C" w:rsidRDefault="001272F6">
      <w:pPr>
        <w:spacing w:after="0" w:line="240" w:lineRule="auto"/>
        <w:rPr>
          <w:noProof/>
          <w:lang w:eastAsia="en-AU"/>
        </w:rPr>
      </w:pPr>
      <w:r>
        <w:br w:type="page"/>
      </w:r>
    </w:p>
    <w:p w14:paraId="66175AA7" w14:textId="77777777" w:rsidR="001C0D1C" w:rsidRDefault="001272F6">
      <w:pPr>
        <w:rPr>
          <w:sz w:val="18"/>
          <w:szCs w:val="18"/>
        </w:rPr>
      </w:pPr>
      <w:r>
        <w:rPr>
          <w:sz w:val="18"/>
          <w:szCs w:val="18"/>
        </w:rPr>
        <w:lastRenderedPageBreak/>
        <w:t xml:space="preserve">© Commonwealth of Australia </w:t>
      </w:r>
      <w:r w:rsidR="00DC5CD8">
        <w:rPr>
          <w:sz w:val="18"/>
          <w:szCs w:val="18"/>
        </w:rPr>
        <w:t>202</w:t>
      </w:r>
      <w:r w:rsidR="001D3400">
        <w:rPr>
          <w:sz w:val="18"/>
          <w:szCs w:val="18"/>
        </w:rPr>
        <w:t>3</w:t>
      </w:r>
    </w:p>
    <w:p w14:paraId="66175AA8" w14:textId="77777777" w:rsidR="001C0D1C" w:rsidRDefault="001272F6">
      <w:pPr>
        <w:spacing w:after="0"/>
        <w:rPr>
          <w:rFonts w:ascii="Calibri" w:hAnsi="Calibri"/>
          <w:b/>
          <w:sz w:val="18"/>
          <w:szCs w:val="18"/>
        </w:rPr>
      </w:pPr>
      <w:r>
        <w:rPr>
          <w:rFonts w:ascii="Calibri" w:hAnsi="Calibri"/>
          <w:b/>
          <w:sz w:val="18"/>
          <w:szCs w:val="18"/>
        </w:rPr>
        <w:t>Ownership of intellectual property rights</w:t>
      </w:r>
    </w:p>
    <w:p w14:paraId="66175AA9" w14:textId="77777777" w:rsidR="004D52CE" w:rsidRDefault="001272F6" w:rsidP="004D52CE">
      <w:pPr>
        <w:rPr>
          <w:sz w:val="18"/>
          <w:szCs w:val="18"/>
        </w:rPr>
      </w:pPr>
      <w:r>
        <w:rPr>
          <w:sz w:val="18"/>
          <w:szCs w:val="18"/>
        </w:rPr>
        <w:t>Unless otherwise noted, copyright (and any other intellectual property rights, if any) in this publication is owned by the Commonwealth of Australia (referred to as the Commonwealth).</w:t>
      </w:r>
    </w:p>
    <w:p w14:paraId="66175AAA" w14:textId="77777777" w:rsidR="00B151F6" w:rsidRDefault="001272F6" w:rsidP="00B151F6">
      <w:pPr>
        <w:spacing w:after="0"/>
        <w:rPr>
          <w:rFonts w:ascii="Calibri" w:hAnsi="Calibri"/>
          <w:b/>
          <w:sz w:val="18"/>
          <w:szCs w:val="18"/>
        </w:rPr>
      </w:pPr>
      <w:r>
        <w:rPr>
          <w:rFonts w:ascii="Calibri" w:hAnsi="Calibri"/>
          <w:b/>
          <w:sz w:val="18"/>
          <w:szCs w:val="18"/>
        </w:rPr>
        <w:t>Creative Commons licence</w:t>
      </w:r>
    </w:p>
    <w:p w14:paraId="66175AAB" w14:textId="77777777" w:rsidR="00B151F6" w:rsidRDefault="001272F6" w:rsidP="00B151F6">
      <w:pPr>
        <w:rPr>
          <w:sz w:val="18"/>
          <w:szCs w:val="18"/>
        </w:rPr>
      </w:pPr>
      <w:r>
        <w:rPr>
          <w:sz w:val="18"/>
          <w:szCs w:val="18"/>
        </w:rPr>
        <w:t>All material in this publication is licensed under a Creative Commons Attribution 4.0 Australia Licence, save for content supplied by third parties, photographic images, logos and the Commonwealth Coat of Arms.</w:t>
      </w:r>
    </w:p>
    <w:p w14:paraId="66175AAC" w14:textId="77777777" w:rsidR="00B151F6" w:rsidRDefault="001272F6" w:rsidP="00B151F6">
      <w:pPr>
        <w:rPr>
          <w:sz w:val="18"/>
          <w:szCs w:val="18"/>
        </w:rPr>
      </w:pPr>
      <w:r>
        <w:rPr>
          <w:noProof/>
          <w:sz w:val="18"/>
          <w:szCs w:val="18"/>
          <w:lang w:eastAsia="en-AU"/>
        </w:rPr>
        <w:drawing>
          <wp:anchor distT="0" distB="0" distL="114300" distR="114300" simplePos="0" relativeHeight="251658240" behindDoc="0" locked="0" layoutInCell="1" allowOverlap="1" wp14:anchorId="66175C89" wp14:editId="66175C8A">
            <wp:simplePos x="0" y="0"/>
            <wp:positionH relativeFrom="column">
              <wp:align>left</wp:align>
            </wp:positionH>
            <wp:positionV relativeFrom="paragraph">
              <wp:align>top</wp:align>
            </wp:positionV>
            <wp:extent cx="723900" cy="255905"/>
            <wp:effectExtent l="0" t="0" r="0" b="0"/>
            <wp:wrapSquare wrapText="bothSides"/>
            <wp:docPr id="3" name="Picture 3"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622180" name="Picture 1" descr="by"/>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23900" cy="255905"/>
                    </a:xfrm>
                    <a:prstGeom prst="rect">
                      <a:avLst/>
                    </a:prstGeom>
                    <a:noFill/>
                    <a:ln w="9525">
                      <a:noFill/>
                      <a:miter lim="800000"/>
                      <a:headEnd/>
                      <a:tailEnd/>
                    </a:ln>
                  </pic:spPr>
                </pic:pic>
              </a:graphicData>
            </a:graphic>
          </wp:anchor>
        </w:drawing>
      </w:r>
      <w:r>
        <w:rPr>
          <w:sz w:val="18"/>
          <w:szCs w:val="18"/>
        </w:rPr>
        <w:br w:type="textWrapping" w:clear="all"/>
        <w:t xml:space="preserve">Creative Commons Attribution 4.0 Australia Licence is a standard form licence agreement that allows you to copy, distribute, transmit and adapt this publication provided you attribute the work. See the </w:t>
      </w:r>
      <w:hyperlink r:id="rId12" w:history="1">
        <w:r>
          <w:rPr>
            <w:rStyle w:val="Hyperlink"/>
            <w:sz w:val="18"/>
            <w:szCs w:val="18"/>
          </w:rPr>
          <w:t>summary of the licence terms</w:t>
        </w:r>
      </w:hyperlink>
      <w:r>
        <w:rPr>
          <w:sz w:val="18"/>
          <w:szCs w:val="18"/>
        </w:rPr>
        <w:t xml:space="preserve"> or the full licence terms.</w:t>
      </w:r>
    </w:p>
    <w:p w14:paraId="66175AAD" w14:textId="77777777" w:rsidR="00B151F6" w:rsidRDefault="001272F6" w:rsidP="00B151F6">
      <w:pPr>
        <w:rPr>
          <w:sz w:val="18"/>
          <w:szCs w:val="18"/>
        </w:rPr>
      </w:pPr>
      <w:r>
        <w:rPr>
          <w:sz w:val="18"/>
          <w:szCs w:val="18"/>
        </w:rPr>
        <w:t xml:space="preserve">Inquiries about the licence and any use of this document should be emailed to </w:t>
      </w:r>
      <w:hyperlink r:id="rId13" w:history="1">
        <w:r w:rsidRPr="00B87B49">
          <w:rPr>
            <w:rStyle w:val="Hyperlink"/>
            <w:sz w:val="18"/>
            <w:szCs w:val="18"/>
          </w:rPr>
          <w:t>copyright@dcceew.gov.au</w:t>
        </w:r>
      </w:hyperlink>
      <w:r>
        <w:rPr>
          <w:sz w:val="18"/>
          <w:szCs w:val="18"/>
        </w:rPr>
        <w:t>.</w:t>
      </w:r>
    </w:p>
    <w:p w14:paraId="66175AAE" w14:textId="77777777" w:rsidR="001C0D1C" w:rsidRDefault="001272F6">
      <w:pPr>
        <w:spacing w:after="0"/>
        <w:rPr>
          <w:rFonts w:ascii="Calibri" w:hAnsi="Calibri"/>
          <w:b/>
          <w:sz w:val="18"/>
          <w:szCs w:val="18"/>
        </w:rPr>
      </w:pPr>
      <w:r>
        <w:rPr>
          <w:rFonts w:ascii="Calibri" w:hAnsi="Calibri"/>
          <w:b/>
          <w:sz w:val="18"/>
          <w:szCs w:val="18"/>
        </w:rPr>
        <w:t>Cataloguing data</w:t>
      </w:r>
    </w:p>
    <w:p w14:paraId="66175AAF" w14:textId="77777777" w:rsidR="00B151F6" w:rsidRDefault="001272F6" w:rsidP="00B151F6">
      <w:pPr>
        <w:rPr>
          <w:sz w:val="18"/>
          <w:szCs w:val="18"/>
        </w:rPr>
      </w:pPr>
      <w:r>
        <w:rPr>
          <w:sz w:val="18"/>
          <w:szCs w:val="18"/>
        </w:rPr>
        <w:t xml:space="preserve">This publication (and any material sourced from it) should be attributed as: </w:t>
      </w:r>
      <w:r w:rsidR="00B81EE6">
        <w:rPr>
          <w:sz w:val="18"/>
          <w:szCs w:val="18"/>
        </w:rPr>
        <w:t>ANZG</w:t>
      </w:r>
      <w:r>
        <w:rPr>
          <w:sz w:val="18"/>
          <w:szCs w:val="18"/>
        </w:rPr>
        <w:t xml:space="preserve"> </w:t>
      </w:r>
      <w:r w:rsidR="00DC5CD8">
        <w:rPr>
          <w:sz w:val="18"/>
          <w:szCs w:val="18"/>
        </w:rPr>
        <w:t>202</w:t>
      </w:r>
      <w:r w:rsidR="001D3400">
        <w:rPr>
          <w:sz w:val="18"/>
          <w:szCs w:val="18"/>
        </w:rPr>
        <w:t>3</w:t>
      </w:r>
      <w:r>
        <w:rPr>
          <w:sz w:val="18"/>
          <w:szCs w:val="18"/>
        </w:rPr>
        <w:t>,</w:t>
      </w:r>
      <w:r w:rsidR="00DF1801">
        <w:rPr>
          <w:sz w:val="18"/>
          <w:szCs w:val="18"/>
        </w:rPr>
        <w:t xml:space="preserve"> </w:t>
      </w:r>
      <w:r>
        <w:rPr>
          <w:i/>
          <w:sz w:val="18"/>
          <w:szCs w:val="18"/>
        </w:rPr>
        <w:t xml:space="preserve">Toxicant default guideline values for aquatic ecosystem protection: </w:t>
      </w:r>
      <w:r w:rsidR="00DA769B">
        <w:rPr>
          <w:i/>
          <w:sz w:val="18"/>
          <w:szCs w:val="18"/>
        </w:rPr>
        <w:t>B</w:t>
      </w:r>
      <w:r w:rsidR="00FE1860">
        <w:rPr>
          <w:i/>
          <w:sz w:val="18"/>
          <w:szCs w:val="18"/>
        </w:rPr>
        <w:t>isphenol A in marine water</w:t>
      </w:r>
      <w:r>
        <w:rPr>
          <w:i/>
          <w:sz w:val="18"/>
          <w:szCs w:val="18"/>
        </w:rPr>
        <w:t>.</w:t>
      </w:r>
      <w:r w:rsidR="00B81EE6" w:rsidRPr="00B81EE6">
        <w:rPr>
          <w:sz w:val="18"/>
          <w:szCs w:val="18"/>
        </w:rPr>
        <w:t xml:space="preserve"> </w:t>
      </w:r>
      <w:r w:rsidR="00B81EE6">
        <w:rPr>
          <w:sz w:val="18"/>
          <w:szCs w:val="18"/>
        </w:rPr>
        <w:t>Australian and New Zealand Guidelines for Fresh and Marine Water Quality.</w:t>
      </w:r>
      <w:r>
        <w:rPr>
          <w:i/>
          <w:sz w:val="18"/>
          <w:szCs w:val="18"/>
        </w:rPr>
        <w:t xml:space="preserve"> </w:t>
      </w:r>
      <w:r w:rsidRPr="00D47CA4">
        <w:rPr>
          <w:sz w:val="18"/>
          <w:szCs w:val="18"/>
        </w:rPr>
        <w:t>CC BY 4.0. Australian and New Zealand Governments and Australian state and territory governments, Canberra, ACT, Australia</w:t>
      </w:r>
      <w:r>
        <w:rPr>
          <w:sz w:val="18"/>
          <w:szCs w:val="18"/>
        </w:rPr>
        <w:t>.</w:t>
      </w:r>
    </w:p>
    <w:p w14:paraId="66175AB0" w14:textId="77777777" w:rsidR="00B151F6" w:rsidRDefault="001272F6" w:rsidP="00B151F6">
      <w:pPr>
        <w:rPr>
          <w:sz w:val="18"/>
          <w:szCs w:val="18"/>
        </w:rPr>
      </w:pPr>
      <w:r>
        <w:rPr>
          <w:sz w:val="18"/>
          <w:szCs w:val="18"/>
        </w:rPr>
        <w:t xml:space="preserve">This publication is available at </w:t>
      </w:r>
      <w:hyperlink r:id="rId14" w:history="1">
        <w:r w:rsidRPr="00017770">
          <w:rPr>
            <w:rStyle w:val="Hyperlink"/>
            <w:sz w:val="18"/>
            <w:szCs w:val="18"/>
          </w:rPr>
          <w:t>waterquality.gov.au/anz-guidelines/guideline-values/default/water-quality-toxicants/toxicants</w:t>
        </w:r>
      </w:hyperlink>
      <w:r>
        <w:rPr>
          <w:sz w:val="18"/>
          <w:szCs w:val="18"/>
        </w:rPr>
        <w:t>.</w:t>
      </w:r>
    </w:p>
    <w:p w14:paraId="66175AB1" w14:textId="77777777" w:rsidR="00824850" w:rsidRDefault="001272F6" w:rsidP="00824850">
      <w:pPr>
        <w:spacing w:after="0"/>
        <w:rPr>
          <w:b/>
          <w:sz w:val="18"/>
          <w:szCs w:val="18"/>
        </w:rPr>
      </w:pPr>
      <w:r w:rsidRPr="00824850">
        <w:rPr>
          <w:b/>
          <w:sz w:val="18"/>
          <w:szCs w:val="18"/>
        </w:rPr>
        <w:t>Contact</w:t>
      </w:r>
    </w:p>
    <w:p w14:paraId="66175AB2" w14:textId="77777777" w:rsidR="00824850" w:rsidRDefault="001272F6" w:rsidP="00824850">
      <w:pPr>
        <w:spacing w:after="0"/>
        <w:rPr>
          <w:b/>
          <w:sz w:val="18"/>
          <w:szCs w:val="18"/>
        </w:rPr>
      </w:pPr>
      <w:r>
        <w:rPr>
          <w:sz w:val="18"/>
          <w:szCs w:val="18"/>
        </w:rPr>
        <w:t xml:space="preserve">Australian Government Department of </w:t>
      </w:r>
      <w:r w:rsidR="00C63C7A">
        <w:rPr>
          <w:sz w:val="18"/>
          <w:szCs w:val="18"/>
        </w:rPr>
        <w:t>Climate Change, Energy, the Environment and Water</w:t>
      </w:r>
    </w:p>
    <w:p w14:paraId="66175AB3" w14:textId="77777777" w:rsidR="001C0D1C" w:rsidRPr="00824850" w:rsidRDefault="001272F6" w:rsidP="00824850">
      <w:pPr>
        <w:spacing w:after="0"/>
        <w:rPr>
          <w:b/>
          <w:sz w:val="18"/>
          <w:szCs w:val="18"/>
        </w:rPr>
      </w:pPr>
      <w:r>
        <w:rPr>
          <w:sz w:val="18"/>
          <w:szCs w:val="18"/>
        </w:rPr>
        <w:t>GPO Box 858 Canberra ACT 2601</w:t>
      </w:r>
    </w:p>
    <w:p w14:paraId="66175AB4" w14:textId="77777777" w:rsidR="001C0D1C" w:rsidRDefault="001272F6" w:rsidP="00824850">
      <w:pPr>
        <w:spacing w:after="0"/>
        <w:rPr>
          <w:sz w:val="18"/>
          <w:szCs w:val="18"/>
        </w:rPr>
      </w:pPr>
      <w:r>
        <w:rPr>
          <w:sz w:val="18"/>
          <w:szCs w:val="18"/>
        </w:rPr>
        <w:t>Switchboard +61 2 6272 3933 or 1800 900 090</w:t>
      </w:r>
    </w:p>
    <w:p w14:paraId="66175AB5" w14:textId="77777777" w:rsidR="001C0D1C" w:rsidRDefault="001272F6" w:rsidP="00824850">
      <w:pPr>
        <w:spacing w:after="120"/>
        <w:rPr>
          <w:sz w:val="18"/>
          <w:szCs w:val="18"/>
        </w:rPr>
      </w:pPr>
      <w:r>
        <w:rPr>
          <w:sz w:val="18"/>
          <w:szCs w:val="18"/>
        </w:rPr>
        <w:t xml:space="preserve">Email </w:t>
      </w:r>
      <w:hyperlink r:id="rId15" w:history="1">
        <w:r w:rsidRPr="00B87B49">
          <w:rPr>
            <w:rStyle w:val="Hyperlink"/>
            <w:sz w:val="18"/>
            <w:szCs w:val="18"/>
          </w:rPr>
          <w:t>waterquality@dcceew.gov.au</w:t>
        </w:r>
      </w:hyperlink>
    </w:p>
    <w:p w14:paraId="66175AB6" w14:textId="77777777" w:rsidR="00B151F6" w:rsidRDefault="001272F6" w:rsidP="00B151F6">
      <w:pPr>
        <w:spacing w:after="0"/>
        <w:rPr>
          <w:rFonts w:ascii="Calibri" w:hAnsi="Calibri"/>
          <w:b/>
          <w:sz w:val="18"/>
          <w:szCs w:val="18"/>
        </w:rPr>
      </w:pPr>
      <w:r>
        <w:rPr>
          <w:rFonts w:ascii="Calibri" w:hAnsi="Calibri"/>
          <w:b/>
          <w:sz w:val="18"/>
          <w:szCs w:val="18"/>
        </w:rPr>
        <w:t>Disclaimer</w:t>
      </w:r>
    </w:p>
    <w:p w14:paraId="66175AB7" w14:textId="77777777" w:rsidR="00B151F6" w:rsidRDefault="001272F6" w:rsidP="00B151F6">
      <w:pPr>
        <w:spacing w:after="0"/>
        <w:rPr>
          <w:sz w:val="18"/>
          <w:szCs w:val="18"/>
        </w:rPr>
      </w:pPr>
      <w:r>
        <w:rPr>
          <w:sz w:val="18"/>
          <w:szCs w:val="18"/>
        </w:rPr>
        <w:t>The author(s) of this publication, all other entities associated with funding this publication or preparing and compiling this publication, and the publisher of this publication, and their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66175AB8" w14:textId="77777777" w:rsidR="00B151F6" w:rsidRDefault="00B151F6" w:rsidP="00B151F6">
      <w:pPr>
        <w:spacing w:after="0"/>
        <w:rPr>
          <w:sz w:val="18"/>
          <w:szCs w:val="18"/>
        </w:rPr>
      </w:pPr>
    </w:p>
    <w:p w14:paraId="66175AB9" w14:textId="77777777" w:rsidR="00B151F6" w:rsidRDefault="001272F6" w:rsidP="00B151F6">
      <w:pPr>
        <w:spacing w:after="0"/>
        <w:rPr>
          <w:rFonts w:ascii="Calibri" w:hAnsi="Calibri"/>
          <w:b/>
          <w:sz w:val="18"/>
          <w:szCs w:val="18"/>
        </w:rPr>
      </w:pPr>
      <w:r>
        <w:rPr>
          <w:rFonts w:ascii="Calibri" w:hAnsi="Calibri"/>
          <w:b/>
          <w:sz w:val="18"/>
          <w:szCs w:val="18"/>
        </w:rPr>
        <w:t>Acknowledgements</w:t>
      </w:r>
    </w:p>
    <w:p w14:paraId="66175ABA" w14:textId="77777777" w:rsidR="001C0D1C" w:rsidRDefault="001272F6">
      <w:pPr>
        <w:rPr>
          <w:sz w:val="18"/>
          <w:szCs w:val="18"/>
        </w:rPr>
      </w:pPr>
      <w:r>
        <w:rPr>
          <w:sz w:val="18"/>
          <w:szCs w:val="18"/>
        </w:rPr>
        <w:t>These</w:t>
      </w:r>
      <w:r w:rsidRPr="002A695A">
        <w:rPr>
          <w:sz w:val="18"/>
          <w:szCs w:val="18"/>
        </w:rPr>
        <w:t xml:space="preserve"> </w:t>
      </w:r>
      <w:r>
        <w:rPr>
          <w:sz w:val="18"/>
          <w:szCs w:val="18"/>
        </w:rPr>
        <w:t xml:space="preserve">default </w:t>
      </w:r>
      <w:r w:rsidRPr="002A695A">
        <w:rPr>
          <w:sz w:val="18"/>
          <w:szCs w:val="18"/>
        </w:rPr>
        <w:t>guideline</w:t>
      </w:r>
      <w:r>
        <w:rPr>
          <w:sz w:val="18"/>
          <w:szCs w:val="18"/>
        </w:rPr>
        <w:t xml:space="preserve"> values</w:t>
      </w:r>
      <w:r w:rsidR="001B1DB2">
        <w:rPr>
          <w:sz w:val="18"/>
          <w:szCs w:val="18"/>
        </w:rPr>
        <w:t xml:space="preserve"> (DG</w:t>
      </w:r>
      <w:r w:rsidR="00DA769B">
        <w:rPr>
          <w:sz w:val="18"/>
          <w:szCs w:val="18"/>
        </w:rPr>
        <w:t>V</w:t>
      </w:r>
      <w:r w:rsidR="001B1DB2">
        <w:rPr>
          <w:sz w:val="18"/>
          <w:szCs w:val="18"/>
        </w:rPr>
        <w:t>s)</w:t>
      </w:r>
      <w:r>
        <w:rPr>
          <w:sz w:val="18"/>
          <w:szCs w:val="18"/>
        </w:rPr>
        <w:t xml:space="preserve"> were derived by </w:t>
      </w:r>
      <w:r w:rsidR="00883019" w:rsidRPr="00883019">
        <w:rPr>
          <w:sz w:val="18"/>
          <w:szCs w:val="18"/>
          <w:lang w:bidi="en-US"/>
        </w:rPr>
        <w:t>Naomi Cooper, Kirsten Broadgate, Clare Papaleo and Carolyn Brumley of Golder Associates</w:t>
      </w:r>
      <w:r w:rsidR="00883019">
        <w:rPr>
          <w:sz w:val="18"/>
          <w:szCs w:val="18"/>
          <w:lang w:bidi="en-US"/>
        </w:rPr>
        <w:t>, Melbourne, Australia</w:t>
      </w:r>
      <w:r w:rsidRPr="00EC2A20">
        <w:rPr>
          <w:sz w:val="18"/>
          <w:szCs w:val="18"/>
        </w:rPr>
        <w:t>.</w:t>
      </w:r>
      <w:r w:rsidR="001B1DB2">
        <w:rPr>
          <w:sz w:val="18"/>
          <w:szCs w:val="18"/>
        </w:rPr>
        <w:t xml:space="preserve"> The DGVs</w:t>
      </w:r>
      <w:r>
        <w:rPr>
          <w:sz w:val="18"/>
          <w:szCs w:val="18"/>
        </w:rPr>
        <w:t xml:space="preserve"> were peer reviewed by two anonymous reviewers and by two contracted technical advisors, Dr Rick van Dam and Alicia Hogan.</w:t>
      </w:r>
      <w:r w:rsidR="00D54591">
        <w:rPr>
          <w:sz w:val="18"/>
          <w:szCs w:val="18"/>
        </w:rPr>
        <w:t xml:space="preserve"> The DGVs were also reviewed and approved by jurisdictional technical and policy oversight groups and a National Water Reform Committee prior to being published.</w:t>
      </w:r>
      <w:r w:rsidR="00E55B1C">
        <w:rPr>
          <w:noProof/>
          <w:sz w:val="18"/>
          <w:szCs w:val="18"/>
          <w:lang w:eastAsia="en-AU"/>
        </w:rPr>
        <w:drawing>
          <wp:inline distT="0" distB="0" distL="0" distR="0" wp14:anchorId="66175C8B" wp14:editId="66175C8C">
            <wp:extent cx="5759450" cy="1982105"/>
            <wp:effectExtent l="0" t="0" r="0" b="0"/>
            <wp:docPr id="4" name="Picture 4" descr="A joint project between the New Zealand Government, NSW Government, Victoria State Government, Government of Western Australia, Northern Territory Government, Government of South Australia, Queensland Government, Tasmanian Government and ACT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48749" name="DA2834_1216_Water Quality state logos.jpg"/>
                    <pic:cNvPicPr/>
                  </pic:nvPicPr>
                  <pic:blipFill>
                    <a:blip r:embed="rId16">
                      <a:extLst>
                        <a:ext uri="{28A0092B-C50C-407E-A947-70E740481C1C}">
                          <a14:useLocalDpi xmlns:a14="http://schemas.microsoft.com/office/drawing/2010/main" val="0"/>
                        </a:ext>
                      </a:extLst>
                    </a:blip>
                    <a:srcRect t="12834"/>
                    <a:stretch>
                      <a:fillRect/>
                    </a:stretch>
                  </pic:blipFill>
                  <pic:spPr bwMode="auto">
                    <a:xfrm>
                      <a:off x="0" y="0"/>
                      <a:ext cx="5759450" cy="1982105"/>
                    </a:xfrm>
                    <a:prstGeom prst="rect">
                      <a:avLst/>
                    </a:prstGeom>
                    <a:ln>
                      <a:noFill/>
                    </a:ln>
                    <a:extLst>
                      <a:ext uri="{53640926-AAD7-44D8-BBD7-CCE9431645EC}">
                        <a14:shadowObscured xmlns:a14="http://schemas.microsoft.com/office/drawing/2010/main"/>
                      </a:ext>
                    </a:extLst>
                  </pic:spPr>
                </pic:pic>
              </a:graphicData>
            </a:graphic>
          </wp:inline>
        </w:drawing>
      </w:r>
    </w:p>
    <w:p w14:paraId="66175ABB" w14:textId="77777777" w:rsidR="001C0D1C" w:rsidRDefault="001272F6">
      <w:pPr>
        <w:pStyle w:val="TOCHeading"/>
      </w:pPr>
      <w:r>
        <w:lastRenderedPageBreak/>
        <w:t>Contents</w:t>
      </w:r>
    </w:p>
    <w:p w14:paraId="66175ABC" w14:textId="77777777" w:rsidR="0088178E" w:rsidRDefault="001272F6">
      <w:pPr>
        <w:pStyle w:val="TOC1"/>
        <w:rPr>
          <w:rFonts w:eastAsiaTheme="minorEastAsia"/>
          <w:b w:val="0"/>
          <w:lang w:eastAsia="en-AU"/>
        </w:rPr>
      </w:pPr>
      <w:r>
        <w:rPr>
          <w:bCs/>
          <w:szCs w:val="24"/>
        </w:rPr>
        <w:fldChar w:fldCharType="begin"/>
      </w:r>
      <w:r>
        <w:rPr>
          <w:bCs/>
          <w:szCs w:val="24"/>
        </w:rPr>
        <w:instrText xml:space="preserve"> TOC \t "Heading 2,1,Heading 3,2" </w:instrText>
      </w:r>
      <w:r>
        <w:rPr>
          <w:bCs/>
          <w:szCs w:val="24"/>
        </w:rPr>
        <w:fldChar w:fldCharType="separate"/>
      </w:r>
      <w:r>
        <w:t>Summary</w:t>
      </w:r>
      <w:r>
        <w:tab/>
      </w:r>
      <w:r>
        <w:fldChar w:fldCharType="begin"/>
      </w:r>
      <w:r>
        <w:instrText xml:space="preserve"> PAGEREF _Toc68691031 \h </w:instrText>
      </w:r>
      <w:r>
        <w:fldChar w:fldCharType="separate"/>
      </w:r>
      <w:r w:rsidR="00FE279A">
        <w:t>iv</w:t>
      </w:r>
      <w:r>
        <w:fldChar w:fldCharType="end"/>
      </w:r>
    </w:p>
    <w:p w14:paraId="66175ABD" w14:textId="77777777" w:rsidR="0088178E" w:rsidRDefault="001272F6">
      <w:pPr>
        <w:pStyle w:val="TOC1"/>
        <w:rPr>
          <w:rFonts w:eastAsiaTheme="minorEastAsia"/>
          <w:b w:val="0"/>
          <w:lang w:eastAsia="en-AU"/>
        </w:rPr>
      </w:pPr>
      <w:r w:rsidRPr="0030080F">
        <w:t>1</w:t>
      </w:r>
      <w:r>
        <w:rPr>
          <w:rFonts w:eastAsiaTheme="minorEastAsia"/>
          <w:b w:val="0"/>
          <w:lang w:eastAsia="en-AU"/>
        </w:rPr>
        <w:tab/>
      </w:r>
      <w:r>
        <w:t>Introduction</w:t>
      </w:r>
      <w:r>
        <w:tab/>
      </w:r>
      <w:r>
        <w:fldChar w:fldCharType="begin"/>
      </w:r>
      <w:r>
        <w:instrText xml:space="preserve"> PAGEREF _Toc68691032 \h </w:instrText>
      </w:r>
      <w:r>
        <w:fldChar w:fldCharType="separate"/>
      </w:r>
      <w:r w:rsidR="00FE279A">
        <w:t>1</w:t>
      </w:r>
      <w:r>
        <w:fldChar w:fldCharType="end"/>
      </w:r>
    </w:p>
    <w:p w14:paraId="66175ABE" w14:textId="77777777" w:rsidR="0088178E" w:rsidRDefault="001272F6">
      <w:pPr>
        <w:pStyle w:val="TOC1"/>
        <w:rPr>
          <w:rFonts w:eastAsiaTheme="minorEastAsia"/>
          <w:b w:val="0"/>
          <w:lang w:eastAsia="en-AU"/>
        </w:rPr>
      </w:pPr>
      <w:r w:rsidRPr="0030080F">
        <w:t>2</w:t>
      </w:r>
      <w:r>
        <w:rPr>
          <w:rFonts w:eastAsiaTheme="minorEastAsia"/>
          <w:b w:val="0"/>
          <w:lang w:eastAsia="en-AU"/>
        </w:rPr>
        <w:tab/>
      </w:r>
      <w:r>
        <w:t>Aquatic toxicology</w:t>
      </w:r>
      <w:r>
        <w:tab/>
      </w:r>
      <w:r>
        <w:fldChar w:fldCharType="begin"/>
      </w:r>
      <w:r>
        <w:instrText xml:space="preserve"> PAGEREF _Toc68691033 \h </w:instrText>
      </w:r>
      <w:r>
        <w:fldChar w:fldCharType="separate"/>
      </w:r>
      <w:r w:rsidR="00FE279A">
        <w:t>3</w:t>
      </w:r>
      <w:r>
        <w:fldChar w:fldCharType="end"/>
      </w:r>
    </w:p>
    <w:p w14:paraId="66175ABF" w14:textId="77777777" w:rsidR="0088178E" w:rsidRDefault="001272F6">
      <w:pPr>
        <w:pStyle w:val="TOC2"/>
        <w:tabs>
          <w:tab w:val="left" w:pos="1100"/>
        </w:tabs>
        <w:rPr>
          <w:rFonts w:eastAsiaTheme="minorEastAsia"/>
          <w:lang w:eastAsia="en-AU"/>
        </w:rPr>
      </w:pPr>
      <w:r>
        <w:t>2.1</w:t>
      </w:r>
      <w:r>
        <w:rPr>
          <w:rFonts w:eastAsiaTheme="minorEastAsia"/>
          <w:lang w:eastAsia="en-AU"/>
        </w:rPr>
        <w:tab/>
      </w:r>
      <w:r>
        <w:t>Mechanism of toxicity</w:t>
      </w:r>
      <w:r>
        <w:tab/>
      </w:r>
      <w:r>
        <w:fldChar w:fldCharType="begin"/>
      </w:r>
      <w:r>
        <w:instrText xml:space="preserve"> PAGEREF _Toc68691034 \h </w:instrText>
      </w:r>
      <w:r>
        <w:fldChar w:fldCharType="separate"/>
      </w:r>
      <w:r w:rsidR="00FE279A">
        <w:t>3</w:t>
      </w:r>
      <w:r>
        <w:fldChar w:fldCharType="end"/>
      </w:r>
    </w:p>
    <w:p w14:paraId="66175AC0" w14:textId="77777777" w:rsidR="0088178E" w:rsidRDefault="001272F6">
      <w:pPr>
        <w:pStyle w:val="TOC2"/>
        <w:tabs>
          <w:tab w:val="left" w:pos="1100"/>
        </w:tabs>
        <w:rPr>
          <w:rFonts w:eastAsiaTheme="minorEastAsia"/>
          <w:lang w:eastAsia="en-AU"/>
        </w:rPr>
      </w:pPr>
      <w:r>
        <w:t>2.2</w:t>
      </w:r>
      <w:r>
        <w:rPr>
          <w:rFonts w:eastAsiaTheme="minorEastAsia"/>
          <w:lang w:eastAsia="en-AU"/>
        </w:rPr>
        <w:tab/>
      </w:r>
      <w:r>
        <w:t>Toxicity</w:t>
      </w:r>
      <w:r>
        <w:tab/>
      </w:r>
      <w:r>
        <w:fldChar w:fldCharType="begin"/>
      </w:r>
      <w:r>
        <w:instrText xml:space="preserve"> PAGEREF _Toc68691035 \h </w:instrText>
      </w:r>
      <w:r>
        <w:fldChar w:fldCharType="separate"/>
      </w:r>
      <w:r w:rsidR="00FE279A">
        <w:t>3</w:t>
      </w:r>
      <w:r>
        <w:fldChar w:fldCharType="end"/>
      </w:r>
    </w:p>
    <w:p w14:paraId="66175AC1" w14:textId="77777777" w:rsidR="0088178E" w:rsidRDefault="001272F6">
      <w:pPr>
        <w:pStyle w:val="TOC1"/>
        <w:rPr>
          <w:rFonts w:eastAsiaTheme="minorEastAsia"/>
          <w:b w:val="0"/>
          <w:lang w:eastAsia="en-AU"/>
        </w:rPr>
      </w:pPr>
      <w:r w:rsidRPr="0030080F">
        <w:t>3</w:t>
      </w:r>
      <w:r>
        <w:rPr>
          <w:rFonts w:eastAsiaTheme="minorEastAsia"/>
          <w:b w:val="0"/>
          <w:lang w:eastAsia="en-AU"/>
        </w:rPr>
        <w:tab/>
      </w:r>
      <w:r>
        <w:t>Factors affecting toxicity</w:t>
      </w:r>
      <w:r>
        <w:tab/>
      </w:r>
      <w:r>
        <w:fldChar w:fldCharType="begin"/>
      </w:r>
      <w:r>
        <w:instrText xml:space="preserve"> PAGEREF _Toc68691036 \h </w:instrText>
      </w:r>
      <w:r>
        <w:fldChar w:fldCharType="separate"/>
      </w:r>
      <w:r w:rsidR="00FE279A">
        <w:t>4</w:t>
      </w:r>
      <w:r>
        <w:fldChar w:fldCharType="end"/>
      </w:r>
    </w:p>
    <w:p w14:paraId="66175AC2" w14:textId="77777777" w:rsidR="0088178E" w:rsidRDefault="001272F6">
      <w:pPr>
        <w:pStyle w:val="TOC1"/>
        <w:rPr>
          <w:rFonts w:eastAsiaTheme="minorEastAsia"/>
          <w:b w:val="0"/>
          <w:lang w:eastAsia="en-AU"/>
        </w:rPr>
      </w:pPr>
      <w:r w:rsidRPr="0030080F">
        <w:t>4</w:t>
      </w:r>
      <w:r>
        <w:rPr>
          <w:rFonts w:eastAsiaTheme="minorEastAsia"/>
          <w:b w:val="0"/>
          <w:lang w:eastAsia="en-AU"/>
        </w:rPr>
        <w:tab/>
      </w:r>
      <w:r>
        <w:t>Default guideline value derivation</w:t>
      </w:r>
      <w:r>
        <w:tab/>
      </w:r>
      <w:r>
        <w:fldChar w:fldCharType="begin"/>
      </w:r>
      <w:r>
        <w:instrText xml:space="preserve"> PAGEREF _Toc68691037 \h </w:instrText>
      </w:r>
      <w:r>
        <w:fldChar w:fldCharType="separate"/>
      </w:r>
      <w:r w:rsidR="00FE279A">
        <w:t>4</w:t>
      </w:r>
      <w:r>
        <w:fldChar w:fldCharType="end"/>
      </w:r>
    </w:p>
    <w:p w14:paraId="66175AC3" w14:textId="77777777" w:rsidR="0088178E" w:rsidRDefault="001272F6">
      <w:pPr>
        <w:pStyle w:val="TOC2"/>
        <w:tabs>
          <w:tab w:val="left" w:pos="1100"/>
        </w:tabs>
        <w:rPr>
          <w:rFonts w:eastAsiaTheme="minorEastAsia"/>
          <w:lang w:eastAsia="en-AU"/>
        </w:rPr>
      </w:pPr>
      <w:r>
        <w:t>4.1</w:t>
      </w:r>
      <w:r>
        <w:rPr>
          <w:rFonts w:eastAsiaTheme="minorEastAsia"/>
          <w:lang w:eastAsia="en-AU"/>
        </w:rPr>
        <w:tab/>
      </w:r>
      <w:r>
        <w:t>Toxicity data used in derivation</w:t>
      </w:r>
      <w:r>
        <w:tab/>
      </w:r>
      <w:r>
        <w:fldChar w:fldCharType="begin"/>
      </w:r>
      <w:r>
        <w:instrText xml:space="preserve"> PAGEREF _Toc68691038 \h </w:instrText>
      </w:r>
      <w:r>
        <w:fldChar w:fldCharType="separate"/>
      </w:r>
      <w:r w:rsidR="00FE279A">
        <w:t>5</w:t>
      </w:r>
      <w:r>
        <w:fldChar w:fldCharType="end"/>
      </w:r>
    </w:p>
    <w:p w14:paraId="66175AC4" w14:textId="77777777" w:rsidR="0088178E" w:rsidRDefault="001272F6">
      <w:pPr>
        <w:pStyle w:val="TOC2"/>
        <w:tabs>
          <w:tab w:val="left" w:pos="1100"/>
        </w:tabs>
        <w:rPr>
          <w:rFonts w:eastAsiaTheme="minorEastAsia"/>
          <w:lang w:eastAsia="en-AU"/>
        </w:rPr>
      </w:pPr>
      <w:r>
        <w:t>4.2</w:t>
      </w:r>
      <w:r>
        <w:rPr>
          <w:rFonts w:eastAsiaTheme="minorEastAsia"/>
          <w:lang w:eastAsia="en-AU"/>
        </w:rPr>
        <w:tab/>
      </w:r>
      <w:r>
        <w:t>Species sensitivity distribution</w:t>
      </w:r>
      <w:r>
        <w:tab/>
      </w:r>
      <w:r>
        <w:fldChar w:fldCharType="begin"/>
      </w:r>
      <w:r>
        <w:instrText xml:space="preserve"> PAGEREF _Toc68691039 \h </w:instrText>
      </w:r>
      <w:r>
        <w:fldChar w:fldCharType="separate"/>
      </w:r>
      <w:r w:rsidR="00FE279A">
        <w:t>6</w:t>
      </w:r>
      <w:r>
        <w:fldChar w:fldCharType="end"/>
      </w:r>
    </w:p>
    <w:p w14:paraId="66175AC5" w14:textId="77777777" w:rsidR="0088178E" w:rsidRDefault="001272F6">
      <w:pPr>
        <w:pStyle w:val="TOC2"/>
        <w:tabs>
          <w:tab w:val="left" w:pos="1100"/>
        </w:tabs>
        <w:rPr>
          <w:rFonts w:eastAsiaTheme="minorEastAsia"/>
          <w:lang w:eastAsia="en-AU"/>
        </w:rPr>
      </w:pPr>
      <w:r>
        <w:t>4.3</w:t>
      </w:r>
      <w:r>
        <w:rPr>
          <w:rFonts w:eastAsiaTheme="minorEastAsia"/>
          <w:lang w:eastAsia="en-AU"/>
        </w:rPr>
        <w:tab/>
      </w:r>
      <w:r>
        <w:t>Default guideline values</w:t>
      </w:r>
      <w:r>
        <w:tab/>
      </w:r>
      <w:r>
        <w:fldChar w:fldCharType="begin"/>
      </w:r>
      <w:r>
        <w:instrText xml:space="preserve"> PAGEREF _Toc68691040 \h </w:instrText>
      </w:r>
      <w:r>
        <w:fldChar w:fldCharType="separate"/>
      </w:r>
      <w:r w:rsidR="00FE279A">
        <w:t>7</w:t>
      </w:r>
      <w:r>
        <w:fldChar w:fldCharType="end"/>
      </w:r>
    </w:p>
    <w:p w14:paraId="66175AC6" w14:textId="77777777" w:rsidR="0088178E" w:rsidRDefault="001272F6">
      <w:pPr>
        <w:pStyle w:val="TOC2"/>
        <w:tabs>
          <w:tab w:val="left" w:pos="1100"/>
        </w:tabs>
        <w:rPr>
          <w:rFonts w:eastAsiaTheme="minorEastAsia"/>
          <w:lang w:eastAsia="en-AU"/>
        </w:rPr>
      </w:pPr>
      <w:r>
        <w:t>4.4</w:t>
      </w:r>
      <w:r>
        <w:rPr>
          <w:rFonts w:eastAsiaTheme="minorEastAsia"/>
          <w:lang w:eastAsia="en-AU"/>
        </w:rPr>
        <w:tab/>
      </w:r>
      <w:r>
        <w:t>Reliability classification</w:t>
      </w:r>
      <w:r>
        <w:tab/>
      </w:r>
      <w:r>
        <w:fldChar w:fldCharType="begin"/>
      </w:r>
      <w:r>
        <w:instrText xml:space="preserve"> PAGEREF _Toc68691041 \h </w:instrText>
      </w:r>
      <w:r>
        <w:fldChar w:fldCharType="separate"/>
      </w:r>
      <w:r w:rsidR="00FE279A">
        <w:t>8</w:t>
      </w:r>
      <w:r>
        <w:fldChar w:fldCharType="end"/>
      </w:r>
    </w:p>
    <w:p w14:paraId="66175AC7" w14:textId="77777777" w:rsidR="0088178E" w:rsidRDefault="001272F6">
      <w:pPr>
        <w:pStyle w:val="TOC1"/>
        <w:rPr>
          <w:rFonts w:eastAsiaTheme="minorEastAsia"/>
          <w:b w:val="0"/>
          <w:lang w:eastAsia="en-AU"/>
        </w:rPr>
      </w:pPr>
      <w:r>
        <w:t>Glossary</w:t>
      </w:r>
      <w:r>
        <w:tab/>
      </w:r>
      <w:r>
        <w:fldChar w:fldCharType="begin"/>
      </w:r>
      <w:r>
        <w:instrText xml:space="preserve"> PAGEREF _Toc68691042 \h </w:instrText>
      </w:r>
      <w:r>
        <w:fldChar w:fldCharType="separate"/>
      </w:r>
      <w:r w:rsidR="00FE279A">
        <w:t>9</w:t>
      </w:r>
      <w:r>
        <w:fldChar w:fldCharType="end"/>
      </w:r>
    </w:p>
    <w:p w14:paraId="66175AC8" w14:textId="77777777" w:rsidR="0088178E" w:rsidRDefault="001272F6">
      <w:pPr>
        <w:pStyle w:val="TOC1"/>
        <w:rPr>
          <w:rFonts w:eastAsiaTheme="minorEastAsia"/>
          <w:b w:val="0"/>
          <w:lang w:eastAsia="en-AU"/>
        </w:rPr>
      </w:pPr>
      <w:r>
        <w:t>Appendix A: Toxicity data that passed the screening and quality assessment and were used to derive the default guideline values</w:t>
      </w:r>
      <w:r>
        <w:tab/>
      </w:r>
      <w:r>
        <w:fldChar w:fldCharType="begin"/>
      </w:r>
      <w:r>
        <w:instrText xml:space="preserve"> PAGEREF _Toc68691043 \h </w:instrText>
      </w:r>
      <w:r>
        <w:fldChar w:fldCharType="separate"/>
      </w:r>
      <w:r w:rsidR="00FE279A">
        <w:t>11</w:t>
      </w:r>
      <w:r>
        <w:fldChar w:fldCharType="end"/>
      </w:r>
    </w:p>
    <w:p w14:paraId="66175AC9" w14:textId="77777777" w:rsidR="0088178E" w:rsidRDefault="001272F6">
      <w:pPr>
        <w:pStyle w:val="TOC1"/>
        <w:rPr>
          <w:rFonts w:eastAsiaTheme="minorEastAsia"/>
          <w:b w:val="0"/>
          <w:lang w:eastAsia="en-AU"/>
        </w:rPr>
      </w:pPr>
      <w:r>
        <w:t>Appendix B: Modality assessment for bisphenol A</w:t>
      </w:r>
      <w:r>
        <w:tab/>
      </w:r>
      <w:r>
        <w:fldChar w:fldCharType="begin"/>
      </w:r>
      <w:r>
        <w:instrText xml:space="preserve"> PAGEREF _Toc68691044 \h </w:instrText>
      </w:r>
      <w:r>
        <w:fldChar w:fldCharType="separate"/>
      </w:r>
      <w:r w:rsidR="00FE279A">
        <w:t>12</w:t>
      </w:r>
      <w:r>
        <w:fldChar w:fldCharType="end"/>
      </w:r>
    </w:p>
    <w:p w14:paraId="66175ACA" w14:textId="77777777" w:rsidR="0088178E" w:rsidRDefault="001272F6">
      <w:pPr>
        <w:pStyle w:val="TOC1"/>
        <w:rPr>
          <w:rFonts w:eastAsiaTheme="minorEastAsia"/>
          <w:b w:val="0"/>
          <w:lang w:eastAsia="en-AU"/>
        </w:rPr>
      </w:pPr>
      <w:r>
        <w:t>References</w:t>
      </w:r>
      <w:r>
        <w:tab/>
      </w:r>
      <w:r>
        <w:fldChar w:fldCharType="begin"/>
      </w:r>
      <w:r>
        <w:instrText xml:space="preserve"> PAGEREF _Toc68691045 \h </w:instrText>
      </w:r>
      <w:r>
        <w:fldChar w:fldCharType="separate"/>
      </w:r>
      <w:r w:rsidR="00FE279A">
        <w:t>14</w:t>
      </w:r>
      <w:r>
        <w:fldChar w:fldCharType="end"/>
      </w:r>
    </w:p>
    <w:p w14:paraId="66175ACB" w14:textId="77777777" w:rsidR="001C0D1C" w:rsidRDefault="001272F6">
      <w:pPr>
        <w:pStyle w:val="TOCHeading2"/>
      </w:pPr>
      <w:r>
        <w:rPr>
          <w:rFonts w:asciiTheme="minorHAnsi" w:eastAsiaTheme="minorHAnsi" w:hAnsiTheme="minorHAnsi" w:cstheme="minorBidi"/>
          <w:noProof/>
          <w:color w:val="auto"/>
          <w:sz w:val="22"/>
          <w:szCs w:val="24"/>
          <w:lang w:val="en-AU"/>
        </w:rPr>
        <w:fldChar w:fldCharType="end"/>
      </w:r>
      <w:r>
        <w:t>Figures</w:t>
      </w:r>
    </w:p>
    <w:p w14:paraId="66175ACC" w14:textId="77777777" w:rsidR="0088178E" w:rsidRDefault="001272F6">
      <w:pPr>
        <w:pStyle w:val="TableofFigures"/>
        <w:tabs>
          <w:tab w:val="right" w:leader="dot" w:pos="9060"/>
        </w:tabs>
        <w:rPr>
          <w:rFonts w:eastAsiaTheme="minorEastAsia"/>
          <w:noProof/>
          <w:lang w:eastAsia="en-AU"/>
        </w:rPr>
      </w:pPr>
      <w:r>
        <w:fldChar w:fldCharType="begin"/>
      </w:r>
      <w:r>
        <w:instrText xml:space="preserve"> TOC \c "Figure" </w:instrText>
      </w:r>
      <w:r>
        <w:fldChar w:fldCharType="separate"/>
      </w:r>
      <w:r>
        <w:rPr>
          <w:noProof/>
        </w:rPr>
        <w:t>Figure 1 Species sensitivity distribution, BPA in marine water</w:t>
      </w:r>
      <w:r>
        <w:rPr>
          <w:noProof/>
        </w:rPr>
        <w:tab/>
      </w:r>
      <w:r>
        <w:rPr>
          <w:noProof/>
        </w:rPr>
        <w:fldChar w:fldCharType="begin"/>
      </w:r>
      <w:r>
        <w:rPr>
          <w:noProof/>
        </w:rPr>
        <w:instrText xml:space="preserve"> PAGEREF _Toc68691046 \h </w:instrText>
      </w:r>
      <w:r>
        <w:rPr>
          <w:noProof/>
        </w:rPr>
      </w:r>
      <w:r>
        <w:rPr>
          <w:noProof/>
        </w:rPr>
        <w:fldChar w:fldCharType="separate"/>
      </w:r>
      <w:r w:rsidR="00FE279A">
        <w:rPr>
          <w:noProof/>
        </w:rPr>
        <w:t>7</w:t>
      </w:r>
      <w:r>
        <w:rPr>
          <w:noProof/>
        </w:rPr>
        <w:fldChar w:fldCharType="end"/>
      </w:r>
    </w:p>
    <w:p w14:paraId="66175ACD" w14:textId="77777777" w:rsidR="001C0D1C" w:rsidRPr="001B767B" w:rsidRDefault="001272F6">
      <w:pPr>
        <w:pStyle w:val="TOCHeading2"/>
        <w:rPr>
          <w:rFonts w:ascii="Cambria" w:hAnsi="Cambria"/>
          <w:color w:val="auto"/>
          <w:sz w:val="22"/>
          <w:szCs w:val="24"/>
        </w:rPr>
      </w:pPr>
      <w:r>
        <w:rPr>
          <w:rFonts w:ascii="Cambria" w:hAnsi="Cambria"/>
          <w:color w:val="auto"/>
          <w:sz w:val="22"/>
          <w:szCs w:val="24"/>
        </w:rPr>
        <w:fldChar w:fldCharType="end"/>
      </w:r>
      <w:r>
        <w:t>Tables</w:t>
      </w:r>
    </w:p>
    <w:p w14:paraId="66175ACE" w14:textId="77777777" w:rsidR="00982470" w:rsidRDefault="001272F6">
      <w:pPr>
        <w:pStyle w:val="TableofFigures"/>
        <w:tabs>
          <w:tab w:val="right" w:leader="dot" w:pos="9060"/>
        </w:tabs>
        <w:rPr>
          <w:rFonts w:eastAsiaTheme="minorEastAsia"/>
          <w:noProof/>
          <w:kern w:val="2"/>
          <w:sz w:val="24"/>
          <w:szCs w:val="24"/>
          <w:lang w:eastAsia="en-GB"/>
          <w14:ligatures w14:val="standardContextual"/>
        </w:rPr>
      </w:pPr>
      <w:r>
        <w:rPr>
          <w:bCs/>
          <w:szCs w:val="24"/>
        </w:rPr>
        <w:fldChar w:fldCharType="begin"/>
      </w:r>
      <w:r>
        <w:rPr>
          <w:bCs/>
        </w:rPr>
        <w:instrText xml:space="preserve"> TOC \c "Table" </w:instrText>
      </w:r>
      <w:r>
        <w:rPr>
          <w:bCs/>
          <w:szCs w:val="24"/>
        </w:rPr>
        <w:fldChar w:fldCharType="separate"/>
      </w:r>
      <w:r>
        <w:rPr>
          <w:noProof/>
        </w:rPr>
        <w:t>Table 1 Summary of single toxicity values, all species used to derive the default guideline values for BPA in marine water</w:t>
      </w:r>
      <w:r>
        <w:rPr>
          <w:noProof/>
        </w:rPr>
        <w:tab/>
      </w:r>
      <w:r>
        <w:rPr>
          <w:noProof/>
        </w:rPr>
        <w:fldChar w:fldCharType="begin"/>
      </w:r>
      <w:r>
        <w:rPr>
          <w:noProof/>
        </w:rPr>
        <w:instrText xml:space="preserve"> PAGEREF _Toc132890395 \h </w:instrText>
      </w:r>
      <w:r>
        <w:rPr>
          <w:noProof/>
        </w:rPr>
      </w:r>
      <w:r>
        <w:rPr>
          <w:noProof/>
        </w:rPr>
        <w:fldChar w:fldCharType="separate"/>
      </w:r>
      <w:r w:rsidR="00FE279A">
        <w:rPr>
          <w:noProof/>
        </w:rPr>
        <w:t>5</w:t>
      </w:r>
      <w:r>
        <w:rPr>
          <w:noProof/>
        </w:rPr>
        <w:fldChar w:fldCharType="end"/>
      </w:r>
    </w:p>
    <w:p w14:paraId="66175ACF" w14:textId="77777777" w:rsidR="00982470" w:rsidRDefault="001272F6">
      <w:pPr>
        <w:pStyle w:val="TableofFigures"/>
        <w:tabs>
          <w:tab w:val="right" w:leader="dot" w:pos="9060"/>
        </w:tabs>
        <w:rPr>
          <w:rFonts w:eastAsiaTheme="minorEastAsia"/>
          <w:noProof/>
          <w:kern w:val="2"/>
          <w:sz w:val="24"/>
          <w:szCs w:val="24"/>
          <w:lang w:eastAsia="en-GB"/>
          <w14:ligatures w14:val="standardContextual"/>
        </w:rPr>
      </w:pPr>
      <w:r>
        <w:rPr>
          <w:noProof/>
        </w:rPr>
        <w:t>Table 2 Toxicant default guideline values, BPA in marine water, low reliability</w:t>
      </w:r>
      <w:r>
        <w:rPr>
          <w:noProof/>
        </w:rPr>
        <w:tab/>
      </w:r>
      <w:r>
        <w:rPr>
          <w:noProof/>
        </w:rPr>
        <w:fldChar w:fldCharType="begin"/>
      </w:r>
      <w:r>
        <w:rPr>
          <w:noProof/>
        </w:rPr>
        <w:instrText xml:space="preserve"> PAGEREF _Toc132890396 \h </w:instrText>
      </w:r>
      <w:r>
        <w:rPr>
          <w:noProof/>
        </w:rPr>
      </w:r>
      <w:r>
        <w:rPr>
          <w:noProof/>
        </w:rPr>
        <w:fldChar w:fldCharType="separate"/>
      </w:r>
      <w:r w:rsidR="00FE279A">
        <w:rPr>
          <w:noProof/>
        </w:rPr>
        <w:t>7</w:t>
      </w:r>
      <w:r>
        <w:rPr>
          <w:noProof/>
        </w:rPr>
        <w:fldChar w:fldCharType="end"/>
      </w:r>
    </w:p>
    <w:p w14:paraId="66175AD0" w14:textId="77777777" w:rsidR="00226F8B" w:rsidRDefault="001272F6" w:rsidP="00226F8B">
      <w:pPr>
        <w:pStyle w:val="TOCHeading2"/>
        <w:rPr>
          <w:bCs w:val="0"/>
          <w:szCs w:val="24"/>
        </w:rPr>
      </w:pPr>
      <w:r>
        <w:fldChar w:fldCharType="end"/>
      </w:r>
      <w:r>
        <w:rPr>
          <w:bCs w:val="0"/>
          <w:szCs w:val="24"/>
        </w:rPr>
        <w:t>Appendix figures</w:t>
      </w:r>
    </w:p>
    <w:p w14:paraId="66175AD1" w14:textId="77777777" w:rsidR="0088178E" w:rsidRDefault="001272F6">
      <w:pPr>
        <w:pStyle w:val="TableofFigures"/>
        <w:tabs>
          <w:tab w:val="right" w:leader="dot" w:pos="9060"/>
        </w:tabs>
        <w:rPr>
          <w:rFonts w:eastAsiaTheme="minorEastAsia"/>
          <w:noProof/>
          <w:lang w:eastAsia="en-AU"/>
        </w:rPr>
      </w:pPr>
      <w:r>
        <w:fldChar w:fldCharType="begin"/>
      </w:r>
      <w:r>
        <w:instrText xml:space="preserve"> TOC \c "Figure B" </w:instrText>
      </w:r>
      <w:r>
        <w:fldChar w:fldCharType="separate"/>
      </w:r>
      <w:r>
        <w:rPr>
          <w:noProof/>
        </w:rPr>
        <w:t>Figure B 1 Histogram, raw (left) and log-transformed (right) data</w:t>
      </w:r>
      <w:r>
        <w:rPr>
          <w:noProof/>
        </w:rPr>
        <w:tab/>
      </w:r>
      <w:r>
        <w:rPr>
          <w:noProof/>
        </w:rPr>
        <w:fldChar w:fldCharType="begin"/>
      </w:r>
      <w:r>
        <w:rPr>
          <w:noProof/>
        </w:rPr>
        <w:instrText xml:space="preserve"> PAGEREF _Toc68691049 \h </w:instrText>
      </w:r>
      <w:r>
        <w:rPr>
          <w:noProof/>
        </w:rPr>
      </w:r>
      <w:r>
        <w:rPr>
          <w:noProof/>
        </w:rPr>
        <w:fldChar w:fldCharType="separate"/>
      </w:r>
      <w:r w:rsidR="00FE279A">
        <w:rPr>
          <w:noProof/>
        </w:rPr>
        <w:t>12</w:t>
      </w:r>
      <w:r>
        <w:rPr>
          <w:noProof/>
        </w:rPr>
        <w:fldChar w:fldCharType="end"/>
      </w:r>
    </w:p>
    <w:p w14:paraId="66175AD2" w14:textId="77777777" w:rsidR="00226F8B" w:rsidRPr="008D4C30" w:rsidRDefault="001272F6" w:rsidP="00226F8B">
      <w:pPr>
        <w:pStyle w:val="TableofFigures"/>
        <w:tabs>
          <w:tab w:val="right" w:leader="dot" w:pos="9060"/>
        </w:tabs>
        <w:rPr>
          <w:lang w:val="en-US"/>
        </w:rPr>
      </w:pPr>
      <w:r>
        <w:rPr>
          <w:noProof/>
        </w:rPr>
        <w:t>Figure B 2 Box plots, raw (left) and log-transformed (right) data grouped by organisms considered to be taxonomically different</w:t>
      </w:r>
      <w:r>
        <w:rPr>
          <w:noProof/>
        </w:rPr>
        <w:tab/>
      </w:r>
      <w:r>
        <w:rPr>
          <w:noProof/>
        </w:rPr>
        <w:fldChar w:fldCharType="begin"/>
      </w:r>
      <w:r>
        <w:rPr>
          <w:noProof/>
        </w:rPr>
        <w:instrText xml:space="preserve"> PAGEREF _Toc68691050 \h </w:instrText>
      </w:r>
      <w:r>
        <w:rPr>
          <w:noProof/>
        </w:rPr>
      </w:r>
      <w:r>
        <w:rPr>
          <w:noProof/>
        </w:rPr>
        <w:fldChar w:fldCharType="separate"/>
      </w:r>
      <w:r w:rsidR="00FE279A">
        <w:rPr>
          <w:noProof/>
        </w:rPr>
        <w:t>13</w:t>
      </w:r>
      <w:r>
        <w:rPr>
          <w:noProof/>
        </w:rPr>
        <w:fldChar w:fldCharType="end"/>
      </w:r>
      <w:r>
        <w:rPr>
          <w:noProof/>
        </w:rPr>
        <w:fldChar w:fldCharType="end"/>
      </w:r>
    </w:p>
    <w:p w14:paraId="66175AD3" w14:textId="77777777" w:rsidR="00226F8B" w:rsidRDefault="001272F6" w:rsidP="00226F8B">
      <w:pPr>
        <w:pStyle w:val="TOCHeading2"/>
        <w:keepNext/>
        <w:keepLines/>
        <w:rPr>
          <w:bCs w:val="0"/>
          <w:szCs w:val="24"/>
        </w:rPr>
      </w:pPr>
      <w:r>
        <w:rPr>
          <w:bCs w:val="0"/>
          <w:szCs w:val="24"/>
        </w:rPr>
        <w:t>Appendix tables</w:t>
      </w:r>
    </w:p>
    <w:p w14:paraId="66175AD4" w14:textId="77777777" w:rsidR="0088178E" w:rsidRDefault="001272F6">
      <w:pPr>
        <w:pStyle w:val="TableofFigures"/>
        <w:tabs>
          <w:tab w:val="right" w:leader="dot" w:pos="9060"/>
        </w:tabs>
        <w:rPr>
          <w:rFonts w:eastAsiaTheme="minorEastAsia"/>
          <w:noProof/>
          <w:lang w:eastAsia="en-AU"/>
        </w:rPr>
      </w:pPr>
      <w:r>
        <w:rPr>
          <w:bCs/>
        </w:rPr>
        <w:fldChar w:fldCharType="begin"/>
      </w:r>
      <w:r>
        <w:rPr>
          <w:bCs/>
        </w:rPr>
        <w:instrText xml:space="preserve"> TOC \h \z \c "Table A" </w:instrText>
      </w:r>
      <w:r>
        <w:rPr>
          <w:bCs/>
        </w:rPr>
        <w:fldChar w:fldCharType="separate"/>
      </w:r>
      <w:hyperlink w:anchor="_Toc68691054" w:history="1">
        <w:r w:rsidRPr="0059235F">
          <w:rPr>
            <w:rStyle w:val="Hyperlink"/>
            <w:noProof/>
          </w:rPr>
          <w:t>Table A 1 Summary, toxicity data that passed the screening and quality assurance processes, BPA in marine water</w:t>
        </w:r>
        <w:r>
          <w:rPr>
            <w:noProof/>
            <w:webHidden/>
          </w:rPr>
          <w:tab/>
        </w:r>
        <w:r>
          <w:rPr>
            <w:noProof/>
            <w:webHidden/>
          </w:rPr>
          <w:fldChar w:fldCharType="begin"/>
        </w:r>
        <w:r>
          <w:rPr>
            <w:noProof/>
            <w:webHidden/>
          </w:rPr>
          <w:instrText xml:space="preserve"> PAGEREF _Toc68691054 \h </w:instrText>
        </w:r>
        <w:r>
          <w:rPr>
            <w:noProof/>
            <w:webHidden/>
          </w:rPr>
        </w:r>
        <w:r>
          <w:rPr>
            <w:noProof/>
            <w:webHidden/>
          </w:rPr>
          <w:fldChar w:fldCharType="separate"/>
        </w:r>
        <w:r w:rsidR="00FE279A">
          <w:rPr>
            <w:noProof/>
            <w:webHidden/>
          </w:rPr>
          <w:t>11</w:t>
        </w:r>
        <w:r>
          <w:rPr>
            <w:noProof/>
            <w:webHidden/>
          </w:rPr>
          <w:fldChar w:fldCharType="end"/>
        </w:r>
      </w:hyperlink>
    </w:p>
    <w:p w14:paraId="66175AD5" w14:textId="77777777" w:rsidR="0013350A" w:rsidRDefault="001272F6" w:rsidP="00226F8B">
      <w:pPr>
        <w:pStyle w:val="TOCHeading2"/>
      </w:pPr>
      <w:r>
        <w:rPr>
          <w:bCs w:val="0"/>
        </w:rPr>
        <w:fldChar w:fldCharType="end"/>
      </w:r>
    </w:p>
    <w:p w14:paraId="66175AD6" w14:textId="77777777" w:rsidR="00401C43" w:rsidRDefault="001272F6" w:rsidP="00401C43">
      <w:pPr>
        <w:pStyle w:val="TOCHeading2"/>
      </w:pPr>
      <w:r>
        <w:br w:type="page"/>
      </w:r>
    </w:p>
    <w:p w14:paraId="66175AD7" w14:textId="77777777" w:rsidR="001C0D1C" w:rsidRDefault="001272F6" w:rsidP="005A3D73">
      <w:pPr>
        <w:pStyle w:val="Heading2"/>
        <w:numPr>
          <w:ilvl w:val="0"/>
          <w:numId w:val="0"/>
        </w:numPr>
        <w:ind w:left="680" w:hanging="680"/>
      </w:pPr>
      <w:bookmarkStart w:id="0" w:name="_Toc68691031"/>
      <w:r>
        <w:t>Summary</w:t>
      </w:r>
      <w:bookmarkEnd w:id="0"/>
    </w:p>
    <w:p w14:paraId="66175AD8" w14:textId="77777777" w:rsidR="00030AC5" w:rsidRDefault="00235993" w:rsidP="00224627">
      <w:pPr>
        <w:rPr>
          <w:bCs/>
        </w:rPr>
      </w:pPr>
      <w:sdt>
        <w:sdtPr>
          <w:alias w:val="Compulsary - text and location locked to Summary"/>
          <w:tag w:val="Compulsary text"/>
          <w:id w:val="-1841920371"/>
          <w:lock w:val="contentLocked"/>
          <w:placeholder>
            <w:docPart w:val="F43D6C20AB6646BEA35AD382C40FEC30"/>
          </w:placeholder>
          <w:text/>
        </w:sdtPr>
        <w:sdtEndPr/>
        <w:sdtContent>
          <w:r w:rsidR="000E07AC" w:rsidRPr="00BF6347">
            <w:t xml:space="preserve">The default guideline values (DGVs) and associated information in this technical brief should be used in accordance with the detailed guidance provided in the Australian and New Zealand Guidelines for Fresh and Marine Water Quality website (www.waterquality.gov.au/anz-guidelines). </w:t>
          </w:r>
        </w:sdtContent>
      </w:sdt>
    </w:p>
    <w:p w14:paraId="66175AD9" w14:textId="77777777" w:rsidR="00224627" w:rsidRPr="00D94A89" w:rsidRDefault="001272F6" w:rsidP="00224627">
      <w:pPr>
        <w:rPr>
          <w:lang w:val="en"/>
        </w:rPr>
      </w:pPr>
      <w:r w:rsidRPr="00D94A89">
        <w:rPr>
          <w:bCs/>
        </w:rPr>
        <w:t>Bisphenol A</w:t>
      </w:r>
      <w:r w:rsidRPr="00D94A89">
        <w:rPr>
          <w:color w:val="000000"/>
        </w:rPr>
        <w:t xml:space="preserve"> (BPA</w:t>
      </w:r>
      <w:r w:rsidRPr="00D94A89">
        <w:rPr>
          <w:bCs/>
        </w:rPr>
        <w:t>) is a widely used, high production volume industrial chemical.</w:t>
      </w:r>
      <w:r w:rsidR="004C3820">
        <w:rPr>
          <w:bCs/>
        </w:rPr>
        <w:t xml:space="preserve"> </w:t>
      </w:r>
      <w:r w:rsidRPr="00D94A89">
        <w:rPr>
          <w:lang w:val="en"/>
        </w:rPr>
        <w:t xml:space="preserve">Major uses of BPA are as an intermediate </w:t>
      </w:r>
      <w:r w:rsidR="00D2344D">
        <w:rPr>
          <w:lang w:val="en"/>
        </w:rPr>
        <w:t xml:space="preserve">compound </w:t>
      </w:r>
      <w:r w:rsidRPr="00D94A89">
        <w:rPr>
          <w:lang w:val="en"/>
        </w:rPr>
        <w:t>in the manufacturing of polycarbonate plastic</w:t>
      </w:r>
      <w:r w:rsidRPr="00D94A89">
        <w:rPr>
          <w:vertAlign w:val="superscript"/>
          <w:lang w:val="en"/>
        </w:rPr>
        <w:t xml:space="preserve"> </w:t>
      </w:r>
      <w:r w:rsidRPr="00D94A89">
        <w:rPr>
          <w:lang w:val="en"/>
        </w:rPr>
        <w:t xml:space="preserve">and epoxy resins, which are used as coatings to line the inside of food </w:t>
      </w:r>
      <w:r w:rsidR="00E41EA9">
        <w:rPr>
          <w:lang w:val="en"/>
        </w:rPr>
        <w:t xml:space="preserve">containers </w:t>
      </w:r>
      <w:r w:rsidRPr="00D94A89">
        <w:rPr>
          <w:lang w:val="en"/>
        </w:rPr>
        <w:t>and beverage cans</w:t>
      </w:r>
      <w:r w:rsidR="004D1A98">
        <w:rPr>
          <w:lang w:val="en"/>
        </w:rPr>
        <w:t xml:space="preserve"> (</w:t>
      </w:r>
      <w:r w:rsidR="0033143F" w:rsidRPr="00B42942">
        <w:rPr>
          <w:color w:val="000000"/>
          <w:lang w:val="en"/>
        </w:rPr>
        <w:t>Staples</w:t>
      </w:r>
      <w:r w:rsidR="0033143F">
        <w:rPr>
          <w:color w:val="000000"/>
          <w:lang w:val="en"/>
        </w:rPr>
        <w:t xml:space="preserve"> et al. 1998, </w:t>
      </w:r>
      <w:r w:rsidR="00E41EA9">
        <w:t xml:space="preserve">ECB 2003, </w:t>
      </w:r>
      <w:r w:rsidR="0033143F" w:rsidRPr="00B42942">
        <w:t xml:space="preserve">EC </w:t>
      </w:r>
      <w:r w:rsidR="0033143F">
        <w:t>&amp;</w:t>
      </w:r>
      <w:r w:rsidR="0033143F" w:rsidRPr="00B42942">
        <w:t xml:space="preserve"> HC 2008</w:t>
      </w:r>
      <w:r w:rsidR="0033143F">
        <w:t xml:space="preserve">, </w:t>
      </w:r>
      <w:r w:rsidR="0033143F" w:rsidRPr="00B42942">
        <w:t>OEHHA 2009</w:t>
      </w:r>
      <w:r w:rsidR="0033143F">
        <w:t xml:space="preserve">, </w:t>
      </w:r>
      <w:r w:rsidR="00C8671A">
        <w:t>NCBI 2020</w:t>
      </w:r>
      <w:r w:rsidR="004D1A98">
        <w:t>)</w:t>
      </w:r>
      <w:r w:rsidRPr="00D94A89">
        <w:rPr>
          <w:lang w:val="en"/>
        </w:rPr>
        <w:t>.</w:t>
      </w:r>
    </w:p>
    <w:p w14:paraId="66175ADA" w14:textId="77777777" w:rsidR="00224627" w:rsidRPr="00D94A89" w:rsidRDefault="001272F6" w:rsidP="00224627">
      <w:pPr>
        <w:rPr>
          <w:lang w:val="en"/>
        </w:rPr>
      </w:pPr>
      <w:r w:rsidRPr="00D94A89">
        <w:rPr>
          <w:lang w:val="en"/>
        </w:rPr>
        <w:t>In the environment, BPA chiefly partitions to water, with lesser amounts partitioning to soil and sediment</w:t>
      </w:r>
      <w:r w:rsidR="00B76963">
        <w:rPr>
          <w:lang w:val="en"/>
        </w:rPr>
        <w:t xml:space="preserve"> (ECB 2003, </w:t>
      </w:r>
      <w:r w:rsidR="00B76963" w:rsidRPr="00B42942">
        <w:t>OEHHA 2009</w:t>
      </w:r>
      <w:r w:rsidR="00B76963">
        <w:t>)</w:t>
      </w:r>
      <w:r w:rsidRPr="00D94A89">
        <w:rPr>
          <w:lang w:val="en"/>
        </w:rPr>
        <w:t>. Following a</w:t>
      </w:r>
      <w:r w:rsidR="00C20586">
        <w:rPr>
          <w:lang w:val="en"/>
        </w:rPr>
        <w:t>n initial</w:t>
      </w:r>
      <w:r w:rsidRPr="00D94A89">
        <w:rPr>
          <w:lang w:val="en"/>
        </w:rPr>
        <w:t xml:space="preserve"> lag </w:t>
      </w:r>
      <w:r w:rsidR="00C70C20">
        <w:rPr>
          <w:lang w:val="en"/>
        </w:rPr>
        <w:t>period</w:t>
      </w:r>
      <w:r w:rsidRPr="00D94A89">
        <w:rPr>
          <w:lang w:val="en"/>
        </w:rPr>
        <w:t xml:space="preserve">, </w:t>
      </w:r>
      <w:r w:rsidR="00C70C20">
        <w:rPr>
          <w:lang w:val="en"/>
        </w:rPr>
        <w:t>bio</w:t>
      </w:r>
      <w:r w:rsidRPr="00D94A89">
        <w:rPr>
          <w:lang w:val="en"/>
        </w:rPr>
        <w:t>degradation of BPA in water appears to be rapid</w:t>
      </w:r>
      <w:r w:rsidR="004D1A98">
        <w:rPr>
          <w:lang w:val="en"/>
        </w:rPr>
        <w:t xml:space="preserve"> (</w:t>
      </w:r>
      <w:r w:rsidR="00133B2F">
        <w:t xml:space="preserve">ECB 2003, </w:t>
      </w:r>
      <w:r w:rsidR="00A34125" w:rsidRPr="00B42942">
        <w:t xml:space="preserve">EC </w:t>
      </w:r>
      <w:r w:rsidR="00A34125">
        <w:t>&amp;</w:t>
      </w:r>
      <w:r w:rsidR="00A34125" w:rsidRPr="00B42942">
        <w:t xml:space="preserve"> HC 2008</w:t>
      </w:r>
      <w:r w:rsidR="00A34125">
        <w:t xml:space="preserve">, </w:t>
      </w:r>
      <w:r w:rsidR="00133B2F">
        <w:t>NCBI 2020</w:t>
      </w:r>
      <w:r w:rsidR="004D1A98">
        <w:t>)</w:t>
      </w:r>
      <w:r w:rsidRPr="00D94A89">
        <w:rPr>
          <w:lang w:val="en"/>
        </w:rPr>
        <w:t>. However, under anaerobic conditions, such as in anoxic or anaerobic sediment, BPA degradation can be slow, and long half-lives have been reported</w:t>
      </w:r>
      <w:r w:rsidR="004D1A98">
        <w:rPr>
          <w:lang w:val="en"/>
        </w:rPr>
        <w:t xml:space="preserve"> (</w:t>
      </w:r>
      <w:r w:rsidR="004D1A98" w:rsidRPr="00B42942">
        <w:t>Kang</w:t>
      </w:r>
      <w:r w:rsidR="004D1A98">
        <w:t xml:space="preserve"> et al</w:t>
      </w:r>
      <w:r w:rsidR="00A34125">
        <w:t>.</w:t>
      </w:r>
      <w:r w:rsidR="004D1A98">
        <w:t xml:space="preserve"> 2007</w:t>
      </w:r>
      <w:r w:rsidR="00841394">
        <w:t xml:space="preserve">, </w:t>
      </w:r>
      <w:r w:rsidR="00841394" w:rsidRPr="00B42942">
        <w:t xml:space="preserve">EC </w:t>
      </w:r>
      <w:r w:rsidR="00A34125">
        <w:t>&amp;</w:t>
      </w:r>
      <w:r w:rsidR="00841394" w:rsidRPr="00B42942">
        <w:t xml:space="preserve"> HC 2008</w:t>
      </w:r>
      <w:r w:rsidR="004D1A98">
        <w:t>)</w:t>
      </w:r>
      <w:r w:rsidRPr="00D94A89">
        <w:rPr>
          <w:lang w:val="en"/>
        </w:rPr>
        <w:t>.</w:t>
      </w:r>
    </w:p>
    <w:p w14:paraId="66175ADB" w14:textId="77777777" w:rsidR="00224627" w:rsidRPr="00BD1A23" w:rsidRDefault="001272F6" w:rsidP="00224627">
      <w:r w:rsidRPr="00BD1A23">
        <w:rPr>
          <w:lang w:val="en"/>
        </w:rPr>
        <w:t>With its widespread use, BPA has been detected in the environment in fresh, marine and estuarine surface water, groundwater, sediment, soil, leachates from landfill sites, and waste effluents from municipal and industrial waste treatment plants</w:t>
      </w:r>
      <w:r w:rsidR="004D1A98">
        <w:rPr>
          <w:lang w:val="en"/>
        </w:rPr>
        <w:t xml:space="preserve"> (</w:t>
      </w:r>
      <w:r w:rsidR="00A34125" w:rsidRPr="00B42942">
        <w:t xml:space="preserve">EC </w:t>
      </w:r>
      <w:r w:rsidR="00A34125">
        <w:t>&amp;</w:t>
      </w:r>
      <w:r w:rsidR="00A34125" w:rsidRPr="00B42942">
        <w:t xml:space="preserve"> HC 2008</w:t>
      </w:r>
      <w:r w:rsidR="00A34125">
        <w:t xml:space="preserve">, </w:t>
      </w:r>
      <w:r w:rsidR="00A34125" w:rsidRPr="00B42942">
        <w:t>OEHHA 2009</w:t>
      </w:r>
      <w:r w:rsidR="00A34125">
        <w:t xml:space="preserve">, </w:t>
      </w:r>
      <w:r w:rsidR="00A34125" w:rsidRPr="00B42942">
        <w:t>Flint</w:t>
      </w:r>
      <w:r w:rsidR="00A34125">
        <w:t xml:space="preserve"> et al. 2012, </w:t>
      </w:r>
      <w:r w:rsidR="00C374C5">
        <w:t>NCBI 2020</w:t>
      </w:r>
      <w:r w:rsidR="004D1A98">
        <w:t>)</w:t>
      </w:r>
      <w:r w:rsidRPr="00BD1A23">
        <w:rPr>
          <w:lang w:val="en"/>
        </w:rPr>
        <w:t>. Although BPA has been detected in fish, crabs, clams, mussels, squid and snails, it has a low</w:t>
      </w:r>
      <w:r w:rsidR="00F94894">
        <w:rPr>
          <w:lang w:val="en"/>
        </w:rPr>
        <w:t>-</w:t>
      </w:r>
      <w:r w:rsidRPr="00BD1A23">
        <w:rPr>
          <w:lang w:val="en"/>
        </w:rPr>
        <w:t>to</w:t>
      </w:r>
      <w:r w:rsidR="00F94894">
        <w:rPr>
          <w:lang w:val="en"/>
        </w:rPr>
        <w:t>-</w:t>
      </w:r>
      <w:r w:rsidRPr="00BD1A23">
        <w:rPr>
          <w:lang w:val="en"/>
        </w:rPr>
        <w:t>moderate potential to bioaccumulate in aquatic organisms</w:t>
      </w:r>
      <w:r w:rsidR="00841394">
        <w:rPr>
          <w:lang w:val="en"/>
        </w:rPr>
        <w:t xml:space="preserve"> (</w:t>
      </w:r>
      <w:r w:rsidR="009925BD">
        <w:t xml:space="preserve">ECB 2003, Tsai 2006, </w:t>
      </w:r>
      <w:r w:rsidR="00841394" w:rsidRPr="00B42942">
        <w:t xml:space="preserve">EC </w:t>
      </w:r>
      <w:r w:rsidR="009925BD">
        <w:t>&amp;</w:t>
      </w:r>
      <w:r w:rsidR="00841394" w:rsidRPr="00B42942">
        <w:t xml:space="preserve"> HC 2008</w:t>
      </w:r>
      <w:r w:rsidR="00841394">
        <w:t>)</w:t>
      </w:r>
      <w:r w:rsidRPr="00BD1A23">
        <w:rPr>
          <w:lang w:val="en"/>
        </w:rPr>
        <w:t>.</w:t>
      </w:r>
    </w:p>
    <w:p w14:paraId="66175ADC" w14:textId="77777777" w:rsidR="00224627" w:rsidRPr="00BD1A23" w:rsidRDefault="001272F6" w:rsidP="00224627">
      <w:r w:rsidRPr="00BD1A23">
        <w:t>BPA is a nonsteroidal xenoestrogen and endocrine disruptor that exhibits both oestradiol and anti-androgen activity</w:t>
      </w:r>
      <w:r w:rsidR="004D1A98">
        <w:t xml:space="preserve"> </w:t>
      </w:r>
      <w:r w:rsidR="004D1A98">
        <w:rPr>
          <w:lang w:val="en"/>
        </w:rPr>
        <w:t>(</w:t>
      </w:r>
      <w:r w:rsidR="004D1A98" w:rsidRPr="00B42942">
        <w:t>Kang</w:t>
      </w:r>
      <w:r w:rsidR="004D1A98">
        <w:t xml:space="preserve"> et al</w:t>
      </w:r>
      <w:r w:rsidR="00C20586">
        <w:t>.</w:t>
      </w:r>
      <w:r w:rsidR="004D1A98">
        <w:t xml:space="preserve"> 2007</w:t>
      </w:r>
      <w:r w:rsidR="00B76963">
        <w:t xml:space="preserve">, </w:t>
      </w:r>
      <w:r w:rsidR="00B76963" w:rsidRPr="00B42942">
        <w:t>Flint</w:t>
      </w:r>
      <w:r w:rsidR="00B76963">
        <w:t xml:space="preserve"> et al</w:t>
      </w:r>
      <w:r w:rsidR="00C20586">
        <w:t>.</w:t>
      </w:r>
      <w:r w:rsidR="00B76963">
        <w:t xml:space="preserve"> 2012</w:t>
      </w:r>
      <w:r w:rsidR="004D1A98">
        <w:t>)</w:t>
      </w:r>
      <w:r w:rsidRPr="00BD1A23">
        <w:t>. There is evidence that low</w:t>
      </w:r>
      <w:r w:rsidR="00F94894">
        <w:t xml:space="preserve"> </w:t>
      </w:r>
      <w:r w:rsidRPr="00BD1A23">
        <w:t>level exposure to BPA, particularly at sensitive life cycle stages, can lead to permanent alterations in hormonal, developmental and reproductive capacities.</w:t>
      </w:r>
      <w:r w:rsidR="0033143F">
        <w:t xml:space="preserve"> </w:t>
      </w:r>
      <w:r w:rsidRPr="00BD1A23">
        <w:t>Multigenerational effects of BPA exposure have been reported in fish and aquatic invertebrates</w:t>
      </w:r>
      <w:r w:rsidR="004D1A98">
        <w:t xml:space="preserve"> </w:t>
      </w:r>
      <w:r w:rsidR="004D1A98">
        <w:rPr>
          <w:lang w:val="en"/>
        </w:rPr>
        <w:t>(</w:t>
      </w:r>
      <w:r w:rsidR="009925BD" w:rsidRPr="00B42942">
        <w:t>Sohoni</w:t>
      </w:r>
      <w:r w:rsidR="009925BD">
        <w:t xml:space="preserve"> et al. 2001, ECB 2003, </w:t>
      </w:r>
      <w:r w:rsidR="004D1A98" w:rsidRPr="00B42942">
        <w:t>Kang</w:t>
      </w:r>
      <w:r w:rsidR="004D1A98">
        <w:t xml:space="preserve"> et al</w:t>
      </w:r>
      <w:r w:rsidR="00F94894">
        <w:t>.</w:t>
      </w:r>
      <w:r w:rsidR="004D1A98">
        <w:t xml:space="preserve"> 2007</w:t>
      </w:r>
      <w:r w:rsidR="00841394">
        <w:t xml:space="preserve">, </w:t>
      </w:r>
      <w:r w:rsidR="00841394" w:rsidRPr="00B42942">
        <w:t xml:space="preserve">EC </w:t>
      </w:r>
      <w:r w:rsidR="009925BD">
        <w:t>&amp;</w:t>
      </w:r>
      <w:r w:rsidR="00841394" w:rsidRPr="00B42942">
        <w:t xml:space="preserve"> HC 2008</w:t>
      </w:r>
      <w:r w:rsidR="00B76963">
        <w:t xml:space="preserve">, </w:t>
      </w:r>
      <w:r w:rsidR="00B76963" w:rsidRPr="00B42942">
        <w:t>OEHHA 2009</w:t>
      </w:r>
      <w:r w:rsidR="004D1A98">
        <w:t>)</w:t>
      </w:r>
      <w:r w:rsidRPr="00BD1A23">
        <w:t>.</w:t>
      </w:r>
    </w:p>
    <w:p w14:paraId="66175ADD" w14:textId="77777777" w:rsidR="00591FFE" w:rsidRDefault="001272F6">
      <w:r>
        <w:t>Low</w:t>
      </w:r>
      <w:r w:rsidR="00440544">
        <w:t xml:space="preserve"> reliability </w:t>
      </w:r>
      <w:r w:rsidR="00AD25B3">
        <w:t>default guideline values (</w:t>
      </w:r>
      <w:r w:rsidRPr="000E475D">
        <w:rPr>
          <w:bCs/>
        </w:rPr>
        <w:t>DGVs</w:t>
      </w:r>
      <w:r w:rsidR="00AD25B3">
        <w:rPr>
          <w:bCs/>
        </w:rPr>
        <w:t>)</w:t>
      </w:r>
      <w:r w:rsidRPr="000E475D">
        <w:rPr>
          <w:bCs/>
        </w:rPr>
        <w:t xml:space="preserve"> w</w:t>
      </w:r>
      <w:r w:rsidR="00371F82" w:rsidRPr="000E475D">
        <w:rPr>
          <w:bCs/>
        </w:rPr>
        <w:t>ere</w:t>
      </w:r>
      <w:r w:rsidRPr="000E475D">
        <w:rPr>
          <w:bCs/>
        </w:rPr>
        <w:t xml:space="preserve"> derived </w:t>
      </w:r>
      <w:r w:rsidR="008414A8" w:rsidRPr="0017115D">
        <w:rPr>
          <w:bCs/>
        </w:rPr>
        <w:t>using</w:t>
      </w:r>
      <w:r w:rsidRPr="0017115D">
        <w:rPr>
          <w:bCs/>
        </w:rPr>
        <w:t xml:space="preserve"> chronic </w:t>
      </w:r>
      <w:r w:rsidR="00C844C8" w:rsidRPr="0017115D">
        <w:rPr>
          <w:bCs/>
        </w:rPr>
        <w:t>EC</w:t>
      </w:r>
      <w:r w:rsidR="001F4466" w:rsidRPr="0093659C">
        <w:rPr>
          <w:bCs/>
        </w:rPr>
        <w:t>5</w:t>
      </w:r>
      <w:r w:rsidR="00C844C8" w:rsidRPr="0093659C">
        <w:rPr>
          <w:bCs/>
        </w:rPr>
        <w:t>, E</w:t>
      </w:r>
      <w:r w:rsidR="00C844C8" w:rsidRPr="00031DE0">
        <w:rPr>
          <w:bCs/>
        </w:rPr>
        <w:t>C10</w:t>
      </w:r>
      <w:r w:rsidR="00660EAB" w:rsidRPr="00031DE0">
        <w:rPr>
          <w:bCs/>
        </w:rPr>
        <w:t>,</w:t>
      </w:r>
      <w:r w:rsidR="00C844C8" w:rsidRPr="000E475D">
        <w:rPr>
          <w:bCs/>
        </w:rPr>
        <w:t xml:space="preserve"> </w:t>
      </w:r>
      <w:r w:rsidR="00660EAB" w:rsidRPr="000E475D">
        <w:rPr>
          <w:bCs/>
        </w:rPr>
        <w:t>LOEC</w:t>
      </w:r>
      <w:r w:rsidR="00FF21FB">
        <w:rPr>
          <w:bCs/>
        </w:rPr>
        <w:t xml:space="preserve"> and </w:t>
      </w:r>
      <w:r w:rsidR="00F94894">
        <w:rPr>
          <w:bCs/>
        </w:rPr>
        <w:t>EC50</w:t>
      </w:r>
      <w:r w:rsidR="00660EAB" w:rsidRPr="000E475D">
        <w:rPr>
          <w:bCs/>
        </w:rPr>
        <w:t xml:space="preserve"> </w:t>
      </w:r>
      <w:r w:rsidR="00FF21FB">
        <w:rPr>
          <w:bCs/>
        </w:rPr>
        <w:t xml:space="preserve">data </w:t>
      </w:r>
      <w:r w:rsidR="00C844C8" w:rsidRPr="000E475D">
        <w:rPr>
          <w:bCs/>
        </w:rPr>
        <w:t xml:space="preserve">and </w:t>
      </w:r>
      <w:r w:rsidR="00FF21FB">
        <w:rPr>
          <w:bCs/>
        </w:rPr>
        <w:t xml:space="preserve">acute EC50 and </w:t>
      </w:r>
      <w:r w:rsidR="00663A1A">
        <w:rPr>
          <w:bCs/>
        </w:rPr>
        <w:t>L</w:t>
      </w:r>
      <w:r w:rsidR="00C844C8" w:rsidRPr="000E475D">
        <w:rPr>
          <w:bCs/>
        </w:rPr>
        <w:t xml:space="preserve">C50 </w:t>
      </w:r>
      <w:r w:rsidRPr="000E475D">
        <w:rPr>
          <w:bCs/>
        </w:rPr>
        <w:t xml:space="preserve">data </w:t>
      </w:r>
      <w:r w:rsidR="00FF21FB">
        <w:rPr>
          <w:bCs/>
        </w:rPr>
        <w:t xml:space="preserve">(converted to chronic negligible effect estimates) </w:t>
      </w:r>
      <w:r w:rsidRPr="000E475D">
        <w:rPr>
          <w:bCs/>
        </w:rPr>
        <w:t xml:space="preserve">for </w:t>
      </w:r>
      <w:r w:rsidR="00812E29">
        <w:rPr>
          <w:bCs/>
        </w:rPr>
        <w:t xml:space="preserve">eight </w:t>
      </w:r>
      <w:r w:rsidRPr="00031DE0">
        <w:rPr>
          <w:bCs/>
        </w:rPr>
        <w:t>species from four taxonomic groups</w:t>
      </w:r>
      <w:r w:rsidR="00B81EE6">
        <w:rPr>
          <w:bCs/>
        </w:rPr>
        <w:t>,</w:t>
      </w:r>
      <w:r w:rsidRPr="00031DE0">
        <w:rPr>
          <w:bCs/>
        </w:rPr>
        <w:t xml:space="preserve"> with a </w:t>
      </w:r>
      <w:r w:rsidR="00DB4BCF" w:rsidRPr="00440544">
        <w:rPr>
          <w:bCs/>
        </w:rPr>
        <w:t>poor</w:t>
      </w:r>
      <w:r w:rsidR="00DB4BCF" w:rsidRPr="00031DE0">
        <w:rPr>
          <w:bCs/>
        </w:rPr>
        <w:t xml:space="preserve"> </w:t>
      </w:r>
      <w:r w:rsidRPr="00031DE0">
        <w:rPr>
          <w:bCs/>
        </w:rPr>
        <w:t>fit of the distribution to the toxicity data.</w:t>
      </w:r>
      <w:r w:rsidR="0033143F">
        <w:rPr>
          <w:bCs/>
        </w:rPr>
        <w:t xml:space="preserve"> </w:t>
      </w:r>
      <w:r w:rsidRPr="00CB5E2C">
        <w:t xml:space="preserve">The DGVs for </w:t>
      </w:r>
      <w:r w:rsidRPr="00CB5E2C">
        <w:rPr>
          <w:bCs/>
        </w:rPr>
        <w:t>99</w:t>
      </w:r>
      <w:r w:rsidR="00F94894">
        <w:rPr>
          <w:bCs/>
        </w:rPr>
        <w:t>%</w:t>
      </w:r>
      <w:r w:rsidRPr="00CB5E2C">
        <w:rPr>
          <w:bCs/>
        </w:rPr>
        <w:t>, 95</w:t>
      </w:r>
      <w:r w:rsidR="00F94894">
        <w:rPr>
          <w:bCs/>
        </w:rPr>
        <w:t>%</w:t>
      </w:r>
      <w:r w:rsidRPr="00CB5E2C">
        <w:rPr>
          <w:bCs/>
        </w:rPr>
        <w:t>, 90</w:t>
      </w:r>
      <w:r w:rsidR="00F94894">
        <w:rPr>
          <w:bCs/>
        </w:rPr>
        <w:t>%</w:t>
      </w:r>
      <w:r w:rsidRPr="00CB5E2C">
        <w:rPr>
          <w:bCs/>
        </w:rPr>
        <w:t xml:space="preserve"> and 80% species protection are</w:t>
      </w:r>
      <w:r w:rsidRPr="00CB5E2C">
        <w:t xml:space="preserve"> </w:t>
      </w:r>
      <w:r w:rsidR="00C844C8" w:rsidRPr="00CB5E2C">
        <w:t>0.</w:t>
      </w:r>
      <w:r w:rsidR="003D1C0C" w:rsidRPr="00CB5E2C">
        <w:t>0</w:t>
      </w:r>
      <w:r w:rsidR="003D1C0C">
        <w:t>4</w:t>
      </w:r>
      <w:r w:rsidR="00D702F7">
        <w:t> </w:t>
      </w:r>
      <w:r w:rsidR="00C844C8" w:rsidRPr="00CB5E2C">
        <w:t xml:space="preserve">μg/L, </w:t>
      </w:r>
      <w:r w:rsidR="001F4466" w:rsidRPr="00FB0B1E">
        <w:t>0.</w:t>
      </w:r>
      <w:r w:rsidR="003D1C0C" w:rsidRPr="00FB0B1E">
        <w:t>63 </w:t>
      </w:r>
      <w:r w:rsidR="001F4466" w:rsidRPr="00FB0B1E">
        <w:rPr>
          <w:rFonts w:cstheme="minorHAnsi"/>
        </w:rPr>
        <w:t>µ</w:t>
      </w:r>
      <w:r w:rsidR="001F4466" w:rsidRPr="00FB0B1E">
        <w:t xml:space="preserve">g/L, </w:t>
      </w:r>
      <w:r w:rsidR="003D1C0C" w:rsidRPr="00FB0B1E">
        <w:t>2.2</w:t>
      </w:r>
      <w:r w:rsidR="00D702F7">
        <w:t> </w:t>
      </w:r>
      <w:r w:rsidR="00C844C8" w:rsidRPr="00FB0B1E">
        <w:t xml:space="preserve">μg/L, </w:t>
      </w:r>
      <w:r w:rsidR="001F4466" w:rsidRPr="00FB0B1E">
        <w:t xml:space="preserve">and </w:t>
      </w:r>
      <w:r w:rsidR="003D1C0C" w:rsidRPr="00FB0B1E">
        <w:t>8.0</w:t>
      </w:r>
      <w:r w:rsidR="00D702F7">
        <w:t> </w:t>
      </w:r>
      <w:r w:rsidR="00C844C8" w:rsidRPr="00FB0B1E">
        <w:t xml:space="preserve">μg/L, </w:t>
      </w:r>
      <w:r w:rsidRPr="00FB0B1E">
        <w:t>respectively.</w:t>
      </w:r>
      <w:r w:rsidR="00C844C8" w:rsidRPr="00FB0B1E">
        <w:t xml:space="preserve"> </w:t>
      </w:r>
      <w:r w:rsidR="004E19AB" w:rsidRPr="00FB0B1E">
        <w:rPr>
          <w:bCs/>
        </w:rPr>
        <w:t xml:space="preserve">However, </w:t>
      </w:r>
      <w:r w:rsidR="00C1370E" w:rsidRPr="00FB0B1E">
        <w:rPr>
          <w:bCs/>
        </w:rPr>
        <w:t xml:space="preserve">some of the DGVs are below current analytical limits of reporting. Also, because </w:t>
      </w:r>
      <w:r w:rsidR="004E19AB" w:rsidRPr="00FB0B1E">
        <w:rPr>
          <w:bCs/>
        </w:rPr>
        <w:t>the data span</w:t>
      </w:r>
      <w:r w:rsidR="0098241E">
        <w:rPr>
          <w:bCs/>
        </w:rPr>
        <w:t xml:space="preserve"> over</w:t>
      </w:r>
      <w:r w:rsidR="004E19AB" w:rsidRPr="00FB0B1E">
        <w:rPr>
          <w:bCs/>
        </w:rPr>
        <w:t xml:space="preserve"> four orders of magnitude, there is </w:t>
      </w:r>
      <w:r w:rsidR="000160CB" w:rsidRPr="00FB0B1E">
        <w:rPr>
          <w:bCs/>
        </w:rPr>
        <w:t xml:space="preserve">additional </w:t>
      </w:r>
      <w:r w:rsidR="004E19AB" w:rsidRPr="00FB0B1E">
        <w:rPr>
          <w:bCs/>
        </w:rPr>
        <w:t xml:space="preserve">uncertainty </w:t>
      </w:r>
      <w:r w:rsidR="000160CB" w:rsidRPr="00FB0B1E">
        <w:rPr>
          <w:bCs/>
        </w:rPr>
        <w:t xml:space="preserve">in the DGVs, especially </w:t>
      </w:r>
      <w:r w:rsidR="004E19AB" w:rsidRPr="00FB0B1E">
        <w:rPr>
          <w:bCs/>
        </w:rPr>
        <w:t xml:space="preserve">at the 99% species protection level. </w:t>
      </w:r>
      <w:r w:rsidR="00C1370E" w:rsidRPr="00FB0B1E">
        <w:t>However</w:t>
      </w:r>
      <w:r w:rsidR="00AD25B3" w:rsidRPr="00FB0B1E">
        <w:t>, c</w:t>
      </w:r>
      <w:r w:rsidR="00B81EE6" w:rsidRPr="00FB0B1E">
        <w:t xml:space="preserve">omparison of the DGVs with the available toxicity data indicated that the </w:t>
      </w:r>
      <w:r w:rsidR="00C1370E" w:rsidRPr="00FB0B1E">
        <w:t>95%, 90% and 8</w:t>
      </w:r>
      <w:r w:rsidR="00170645">
        <w:t>0</w:t>
      </w:r>
      <w:r w:rsidR="00C1370E" w:rsidRPr="00FB0B1E">
        <w:t xml:space="preserve">% species protection </w:t>
      </w:r>
      <w:r w:rsidR="00B81EE6" w:rsidRPr="00FB0B1E">
        <w:t>DGV</w:t>
      </w:r>
      <w:r w:rsidR="00C1370E" w:rsidRPr="00FB0B1E">
        <w:t>s</w:t>
      </w:r>
      <w:r w:rsidR="00B81EE6" w:rsidRPr="00FB0B1E">
        <w:t xml:space="preserve"> </w:t>
      </w:r>
      <w:r w:rsidR="00D03EF0" w:rsidRPr="00FB0B1E">
        <w:t>may</w:t>
      </w:r>
      <w:r w:rsidR="00B81EE6" w:rsidRPr="00FB0B1E">
        <w:t xml:space="preserve"> not</w:t>
      </w:r>
      <w:r w:rsidR="00D03EF0" w:rsidRPr="00FB0B1E">
        <w:t xml:space="preserve"> </w:t>
      </w:r>
      <w:r w:rsidR="00B81EE6" w:rsidRPr="00FB0B1E">
        <w:t>adequately protect</w:t>
      </w:r>
      <w:r w:rsidR="00C1370E" w:rsidRPr="00FB0B1E">
        <w:t xml:space="preserve"> some species</w:t>
      </w:r>
      <w:r w:rsidR="00B81EE6" w:rsidRPr="00FB0B1E">
        <w:t xml:space="preserve">. </w:t>
      </w:r>
    </w:p>
    <w:p w14:paraId="66175ADE" w14:textId="77777777" w:rsidR="00224627" w:rsidRDefault="001272F6">
      <w:r w:rsidRPr="00FB0B1E">
        <w:rPr>
          <w:bCs/>
        </w:rPr>
        <w:t xml:space="preserve">If there are concerns that the DGV for a specific ecosystem condition and associated level of protection may not offer sufficient protection for key species (e.g. abalone) in the water body of interest, </w:t>
      </w:r>
      <w:r w:rsidRPr="00FB0B1E">
        <w:t>a</w:t>
      </w:r>
      <w:r w:rsidR="00591FFE">
        <w:t xml:space="preserve"> conservative </w:t>
      </w:r>
      <w:r w:rsidRPr="00FB0B1E">
        <w:t>application of the DGVs may be warranted</w:t>
      </w:r>
      <w:r w:rsidR="003060B3">
        <w:t>.</w:t>
      </w:r>
      <w:r w:rsidR="00B81EE6" w:rsidRPr="00FB0B1E">
        <w:t xml:space="preserve"> </w:t>
      </w:r>
      <w:r w:rsidR="003060B3">
        <w:t>F</w:t>
      </w:r>
      <w:r w:rsidR="00B81EE6" w:rsidRPr="00FB0B1E">
        <w:t>or example, the 99%</w:t>
      </w:r>
      <w:r w:rsidR="0098241E">
        <w:t xml:space="preserve"> species protection</w:t>
      </w:r>
      <w:r w:rsidR="00B81EE6" w:rsidRPr="003060B3">
        <w:t xml:space="preserve"> </w:t>
      </w:r>
      <w:r w:rsidR="003060B3">
        <w:rPr>
          <w:bCs/>
        </w:rPr>
        <w:t>DGV</w:t>
      </w:r>
      <w:r w:rsidR="00B81EE6" w:rsidRPr="00FB0B1E">
        <w:rPr>
          <w:bCs/>
        </w:rPr>
        <w:t xml:space="preserve"> for </w:t>
      </w:r>
      <w:r w:rsidR="003060B3">
        <w:rPr>
          <w:bCs/>
        </w:rPr>
        <w:t>BPA</w:t>
      </w:r>
      <w:r w:rsidR="00B81EE6" w:rsidRPr="00FB0B1E">
        <w:rPr>
          <w:bCs/>
        </w:rPr>
        <w:t xml:space="preserve"> </w:t>
      </w:r>
      <w:r w:rsidRPr="00FB0B1E">
        <w:rPr>
          <w:bCs/>
        </w:rPr>
        <w:t>could be applied</w:t>
      </w:r>
      <w:r w:rsidR="00B81EE6" w:rsidRPr="00FB0B1E">
        <w:rPr>
          <w:bCs/>
        </w:rPr>
        <w:t xml:space="preserve"> </w:t>
      </w:r>
      <w:r w:rsidRPr="00FB0B1E">
        <w:rPr>
          <w:bCs/>
        </w:rPr>
        <w:t>to a</w:t>
      </w:r>
      <w:r w:rsidR="00B81EE6" w:rsidRPr="00FB0B1E">
        <w:rPr>
          <w:bCs/>
        </w:rPr>
        <w:t xml:space="preserve"> slightly</w:t>
      </w:r>
      <w:r w:rsidR="003060B3">
        <w:rPr>
          <w:bCs/>
        </w:rPr>
        <w:t>-</w:t>
      </w:r>
      <w:r w:rsidR="00B81EE6" w:rsidRPr="00FB0B1E">
        <w:rPr>
          <w:bCs/>
        </w:rPr>
        <w:t>to</w:t>
      </w:r>
      <w:r w:rsidR="003060B3">
        <w:rPr>
          <w:bCs/>
        </w:rPr>
        <w:t>-</w:t>
      </w:r>
      <w:r w:rsidR="00B81EE6" w:rsidRPr="00FB0B1E">
        <w:rPr>
          <w:bCs/>
        </w:rPr>
        <w:t xml:space="preserve">moderately disturbed ecosystem. </w:t>
      </w:r>
      <w:r w:rsidRPr="00FB0B1E">
        <w:t>As</w:t>
      </w:r>
      <w:r>
        <w:t xml:space="preserve"> recommended in ANZG (2018), </w:t>
      </w:r>
      <w:r w:rsidRPr="00A03366">
        <w:t xml:space="preserve">low reliability </w:t>
      </w:r>
      <w:r>
        <w:t>guideline values</w:t>
      </w:r>
      <w:r w:rsidRPr="00A03366">
        <w:t xml:space="preserve"> </w:t>
      </w:r>
      <w:r>
        <w:t>are typically not adequate to</w:t>
      </w:r>
      <w:r w:rsidRPr="00A03366">
        <w:t xml:space="preserve"> assess water quality, but can be used as interim values until </w:t>
      </w:r>
      <w:r>
        <w:t>more reliable values</w:t>
      </w:r>
      <w:r w:rsidRPr="00A03366">
        <w:t xml:space="preserve"> are derived</w:t>
      </w:r>
      <w:r>
        <w:t>. If used as interim values, they</w:t>
      </w:r>
      <w:r w:rsidRPr="00A03366">
        <w:t xml:space="preserve"> should</w:t>
      </w:r>
      <w:r w:rsidR="00D702F7">
        <w:t xml:space="preserve"> always </w:t>
      </w:r>
      <w:r w:rsidRPr="00A03366">
        <w:t>be used in conjunction with other lines of evidence</w:t>
      </w:r>
      <w:r>
        <w:t>.</w:t>
      </w:r>
    </w:p>
    <w:p w14:paraId="66175ADF" w14:textId="77777777" w:rsidR="00E41436" w:rsidRDefault="00E41436"/>
    <w:p w14:paraId="66175AE0" w14:textId="77777777" w:rsidR="00E41436" w:rsidRDefault="00E41436">
      <w:pPr>
        <w:sectPr w:rsidR="00E41436">
          <w:headerReference w:type="default" r:id="rId17"/>
          <w:footerReference w:type="default" r:id="rId18"/>
          <w:headerReference w:type="first" r:id="rId19"/>
          <w:pgSz w:w="11906" w:h="16838"/>
          <w:pgMar w:top="1418" w:right="1418" w:bottom="1418" w:left="1418" w:header="567" w:footer="283" w:gutter="0"/>
          <w:pgNumType w:fmt="lowerRoman"/>
          <w:cols w:space="708"/>
          <w:titlePg/>
          <w:docGrid w:linePitch="360"/>
        </w:sectPr>
      </w:pPr>
    </w:p>
    <w:p w14:paraId="66175AE1" w14:textId="77777777" w:rsidR="001C0D1C" w:rsidRDefault="001272F6">
      <w:pPr>
        <w:pStyle w:val="Heading2"/>
      </w:pPr>
      <w:bookmarkStart w:id="1" w:name="_Toc68691032"/>
      <w:r>
        <w:t>Introduction</w:t>
      </w:r>
      <w:bookmarkEnd w:id="1"/>
    </w:p>
    <w:p w14:paraId="66175AE2" w14:textId="77777777" w:rsidR="002E0A04" w:rsidRDefault="001272F6" w:rsidP="005A3D73">
      <w:pPr>
        <w:rPr>
          <w:lang w:val="en"/>
        </w:rPr>
      </w:pPr>
      <w:r>
        <w:rPr>
          <w:bCs/>
        </w:rPr>
        <w:t>Bisphenol A</w:t>
      </w:r>
      <w:r>
        <w:rPr>
          <w:color w:val="000000"/>
        </w:rPr>
        <w:t xml:space="preserve"> (BPA</w:t>
      </w:r>
      <w:r w:rsidR="00D70E43">
        <w:rPr>
          <w:color w:val="000000"/>
        </w:rPr>
        <w:t>)</w:t>
      </w:r>
      <w:r>
        <w:rPr>
          <w:color w:val="000000"/>
        </w:rPr>
        <w:t xml:space="preserve"> </w:t>
      </w:r>
      <w:r w:rsidR="00D70E43">
        <w:rPr>
          <w:color w:val="000000"/>
        </w:rPr>
        <w:t>(</w:t>
      </w:r>
      <w:r>
        <w:rPr>
          <w:color w:val="000000"/>
        </w:rPr>
        <w:t>CASRN 80-05-7</w:t>
      </w:r>
      <w:r>
        <w:rPr>
          <w:bCs/>
        </w:rPr>
        <w:t xml:space="preserve">), also known as </w:t>
      </w:r>
      <w:r>
        <w:rPr>
          <w:lang w:val="en"/>
        </w:rPr>
        <w:t>4,4’-isopropylidenediphenol,</w:t>
      </w:r>
      <w:r>
        <w:rPr>
          <w:bCs/>
        </w:rPr>
        <w:t xml:space="preserve"> is a widely used, high production volume industrial chemical</w:t>
      </w:r>
      <w:r w:rsidR="00841394">
        <w:rPr>
          <w:bCs/>
        </w:rPr>
        <w:t xml:space="preserve"> (</w:t>
      </w:r>
      <w:r w:rsidR="00D702F7" w:rsidRPr="00B42942">
        <w:rPr>
          <w:lang w:val="en"/>
        </w:rPr>
        <w:t>ECB 2003</w:t>
      </w:r>
      <w:r w:rsidR="00D702F7">
        <w:rPr>
          <w:lang w:val="en"/>
        </w:rPr>
        <w:t xml:space="preserve">, </w:t>
      </w:r>
      <w:r w:rsidR="00841394" w:rsidRPr="00B42942">
        <w:t xml:space="preserve">EC </w:t>
      </w:r>
      <w:r w:rsidR="00D702F7">
        <w:t>&amp;</w:t>
      </w:r>
      <w:r w:rsidR="00841394" w:rsidRPr="00B42942">
        <w:t xml:space="preserve"> HC 2008</w:t>
      </w:r>
      <w:r w:rsidR="00841394">
        <w:t>)</w:t>
      </w:r>
      <w:r>
        <w:rPr>
          <w:bCs/>
        </w:rPr>
        <w:t xml:space="preserve"> with the chemical formula </w:t>
      </w:r>
      <w:r>
        <w:rPr>
          <w:lang w:val="en"/>
        </w:rPr>
        <w:t>(CH</w:t>
      </w:r>
      <w:r>
        <w:rPr>
          <w:sz w:val="19"/>
          <w:szCs w:val="19"/>
          <w:vertAlign w:val="subscript"/>
          <w:lang w:val="en"/>
        </w:rPr>
        <w:t>3</w:t>
      </w:r>
      <w:r>
        <w:rPr>
          <w:lang w:val="en"/>
        </w:rPr>
        <w:t>)</w:t>
      </w:r>
      <w:r>
        <w:rPr>
          <w:sz w:val="19"/>
          <w:szCs w:val="19"/>
          <w:vertAlign w:val="subscript"/>
          <w:lang w:val="en"/>
        </w:rPr>
        <w:t>2</w:t>
      </w:r>
      <w:r>
        <w:rPr>
          <w:lang w:val="en"/>
        </w:rPr>
        <w:t>C(C</w:t>
      </w:r>
      <w:r>
        <w:rPr>
          <w:sz w:val="19"/>
          <w:szCs w:val="19"/>
          <w:vertAlign w:val="subscript"/>
          <w:lang w:val="en"/>
        </w:rPr>
        <w:t>6</w:t>
      </w:r>
      <w:r>
        <w:rPr>
          <w:lang w:val="en"/>
        </w:rPr>
        <w:t>H</w:t>
      </w:r>
      <w:r>
        <w:rPr>
          <w:sz w:val="19"/>
          <w:szCs w:val="19"/>
          <w:vertAlign w:val="subscript"/>
          <w:lang w:val="en"/>
        </w:rPr>
        <w:t>4</w:t>
      </w:r>
      <w:r>
        <w:rPr>
          <w:lang w:val="en"/>
        </w:rPr>
        <w:t>OH)</w:t>
      </w:r>
      <w:r>
        <w:rPr>
          <w:sz w:val="19"/>
          <w:szCs w:val="19"/>
          <w:vertAlign w:val="subscript"/>
          <w:lang w:val="en"/>
        </w:rPr>
        <w:t>2</w:t>
      </w:r>
      <w:r>
        <w:rPr>
          <w:sz w:val="19"/>
          <w:szCs w:val="19"/>
          <w:lang w:val="en"/>
        </w:rPr>
        <w:t>.</w:t>
      </w:r>
      <w:r w:rsidRPr="00A425B5">
        <w:rPr>
          <w:sz w:val="19"/>
          <w:szCs w:val="19"/>
          <w:lang w:val="en"/>
        </w:rPr>
        <w:t xml:space="preserve"> </w:t>
      </w:r>
      <w:r>
        <w:rPr>
          <w:lang w:val="en"/>
        </w:rPr>
        <w:t>BPA is composed of two phenol rings connected by a methyl bridge, with two methyl functional groups attached to the bridge</w:t>
      </w:r>
      <w:r w:rsidR="004D1A98">
        <w:rPr>
          <w:lang w:val="en"/>
        </w:rPr>
        <w:t xml:space="preserve"> (</w:t>
      </w:r>
      <w:r w:rsidR="00D702F7" w:rsidRPr="00B42942">
        <w:t>Kang</w:t>
      </w:r>
      <w:r w:rsidR="00D702F7">
        <w:t xml:space="preserve"> et al. 2007, </w:t>
      </w:r>
      <w:r>
        <w:t>NCBI 2020</w:t>
      </w:r>
      <w:r w:rsidR="004D1A98">
        <w:t>)</w:t>
      </w:r>
      <w:r>
        <w:rPr>
          <w:lang w:val="en"/>
        </w:rPr>
        <w:t>.</w:t>
      </w:r>
      <w:r w:rsidR="0033143F">
        <w:rPr>
          <w:lang w:val="en"/>
        </w:rPr>
        <w:t xml:space="preserve"> </w:t>
      </w:r>
      <w:r>
        <w:rPr>
          <w:lang w:val="en"/>
        </w:rPr>
        <w:t xml:space="preserve">Major uses of BPA are as: </w:t>
      </w:r>
    </w:p>
    <w:p w14:paraId="66175AE3" w14:textId="77777777" w:rsidR="002E0A04" w:rsidRDefault="001272F6" w:rsidP="002E0A04">
      <w:pPr>
        <w:pStyle w:val="ListBullet"/>
        <w:rPr>
          <w:lang w:val="en"/>
        </w:rPr>
      </w:pPr>
      <w:r>
        <w:rPr>
          <w:lang w:val="en"/>
        </w:rPr>
        <w:t>an intermediate compound in the manufacturing of polycarbonate plastic (used in a wide variety of products including water bottles)</w:t>
      </w:r>
    </w:p>
    <w:p w14:paraId="66175AE4" w14:textId="77777777" w:rsidR="002E0A04" w:rsidRDefault="001272F6" w:rsidP="002E0A04">
      <w:pPr>
        <w:pStyle w:val="ListBullet"/>
        <w:rPr>
          <w:lang w:val="en"/>
        </w:rPr>
      </w:pPr>
      <w:r>
        <w:rPr>
          <w:lang w:val="en"/>
        </w:rPr>
        <w:t xml:space="preserve">an intermediate compound in epoxy resins, which are used as coatings to line the inside of </w:t>
      </w:r>
      <w:r w:rsidR="00085DE6">
        <w:rPr>
          <w:lang w:val="en"/>
        </w:rPr>
        <w:t xml:space="preserve">some </w:t>
      </w:r>
      <w:r>
        <w:rPr>
          <w:lang w:val="en"/>
        </w:rPr>
        <w:t>food containers and beverage cans</w:t>
      </w:r>
      <w:r w:rsidR="004D1A98">
        <w:rPr>
          <w:lang w:val="en"/>
        </w:rPr>
        <w:t xml:space="preserve"> (</w:t>
      </w:r>
      <w:r w:rsidR="00D702F7" w:rsidRPr="00B42942">
        <w:rPr>
          <w:color w:val="000000"/>
          <w:lang w:val="en"/>
        </w:rPr>
        <w:t>Staples</w:t>
      </w:r>
      <w:r w:rsidR="00D702F7">
        <w:rPr>
          <w:color w:val="000000"/>
          <w:lang w:val="en"/>
        </w:rPr>
        <w:t xml:space="preserve"> et al. 1998, </w:t>
      </w:r>
      <w:r w:rsidR="00D702F7" w:rsidRPr="00B42942">
        <w:rPr>
          <w:lang w:val="en"/>
        </w:rPr>
        <w:t>ECB 2003</w:t>
      </w:r>
      <w:r w:rsidR="00D702F7">
        <w:rPr>
          <w:lang w:val="en"/>
        </w:rPr>
        <w:t xml:space="preserve">, </w:t>
      </w:r>
      <w:r w:rsidR="00D702F7" w:rsidRPr="00B42942">
        <w:t xml:space="preserve">EC </w:t>
      </w:r>
      <w:r w:rsidR="00D702F7">
        <w:t>&amp;</w:t>
      </w:r>
      <w:r w:rsidR="00D702F7" w:rsidRPr="00B42942">
        <w:t xml:space="preserve"> HC 2008</w:t>
      </w:r>
      <w:r w:rsidR="00D702F7">
        <w:t xml:space="preserve">, </w:t>
      </w:r>
      <w:r w:rsidR="00D702F7" w:rsidRPr="00B42942">
        <w:t>OEHHA 2009</w:t>
      </w:r>
      <w:r w:rsidR="00D702F7">
        <w:t xml:space="preserve">, </w:t>
      </w:r>
      <w:r>
        <w:t>NCBI 2020</w:t>
      </w:r>
      <w:r w:rsidR="004D1A98">
        <w:t>)</w:t>
      </w:r>
      <w:r>
        <w:rPr>
          <w:lang w:val="en"/>
        </w:rPr>
        <w:t>.</w:t>
      </w:r>
      <w:r w:rsidR="0033143F">
        <w:rPr>
          <w:lang w:val="en"/>
        </w:rPr>
        <w:t xml:space="preserve"> </w:t>
      </w:r>
    </w:p>
    <w:p w14:paraId="66175AE5" w14:textId="77777777" w:rsidR="00AD5804" w:rsidRPr="000E1E3D" w:rsidRDefault="001272F6" w:rsidP="005A3D73">
      <w:pPr>
        <w:rPr>
          <w:lang w:val="en"/>
        </w:rPr>
      </w:pPr>
      <w:r>
        <w:rPr>
          <w:lang w:val="en"/>
        </w:rPr>
        <w:t>Other products containing BPA include adhesives, powder paints, automotive lenses, protective window glazing, building materials, compact disks, optical lenses, thermal paper, and paper coatings.</w:t>
      </w:r>
      <w:r w:rsidR="0033143F">
        <w:rPr>
          <w:lang w:val="en"/>
        </w:rPr>
        <w:t xml:space="preserve"> </w:t>
      </w:r>
      <w:r>
        <w:rPr>
          <w:lang w:val="en"/>
        </w:rPr>
        <w:t xml:space="preserve">BPA </w:t>
      </w:r>
      <w:r w:rsidR="002E0A04">
        <w:rPr>
          <w:lang w:val="en"/>
        </w:rPr>
        <w:t>is also</w:t>
      </w:r>
      <w:r>
        <w:rPr>
          <w:lang w:val="en"/>
        </w:rPr>
        <w:t xml:space="preserve"> produced through the biological reductive dehalogenation of tetrabromobisphenol</w:t>
      </w:r>
      <w:r w:rsidR="008F2DE9">
        <w:rPr>
          <w:lang w:val="en"/>
        </w:rPr>
        <w:t> </w:t>
      </w:r>
      <w:r>
        <w:rPr>
          <w:lang w:val="en"/>
        </w:rPr>
        <w:t>A (TBBPA), a widely used brominated flame retardant</w:t>
      </w:r>
      <w:r w:rsidR="004D1A98">
        <w:rPr>
          <w:lang w:val="en"/>
        </w:rPr>
        <w:t xml:space="preserve"> (</w:t>
      </w:r>
      <w:r w:rsidR="004D1A98" w:rsidRPr="00B42942">
        <w:t>Kang</w:t>
      </w:r>
      <w:r w:rsidR="004D1A98">
        <w:t xml:space="preserve"> et al</w:t>
      </w:r>
      <w:r w:rsidR="00F617BB">
        <w:t>.</w:t>
      </w:r>
      <w:r w:rsidR="004D1A98">
        <w:t xml:space="preserve"> 2007</w:t>
      </w:r>
      <w:r w:rsidR="00B76963">
        <w:t xml:space="preserve">, </w:t>
      </w:r>
      <w:r w:rsidR="00B76963" w:rsidRPr="00B42942">
        <w:t>Flint</w:t>
      </w:r>
      <w:r w:rsidR="00B76963">
        <w:t xml:space="preserve"> et al</w:t>
      </w:r>
      <w:r w:rsidR="00F617BB">
        <w:t>.</w:t>
      </w:r>
      <w:r w:rsidR="00B76963">
        <w:t xml:space="preserve"> 2012</w:t>
      </w:r>
      <w:r w:rsidR="004D1A98">
        <w:t>)</w:t>
      </w:r>
      <w:r>
        <w:rPr>
          <w:lang w:val="en"/>
        </w:rPr>
        <w:t xml:space="preserve">. </w:t>
      </w:r>
    </w:p>
    <w:p w14:paraId="66175AE6" w14:textId="77777777" w:rsidR="00AD5804" w:rsidRDefault="001272F6" w:rsidP="005A3D73">
      <w:pPr>
        <w:rPr>
          <w:sz w:val="19"/>
          <w:szCs w:val="19"/>
          <w:lang w:val="en"/>
        </w:rPr>
      </w:pPr>
      <w:r>
        <w:rPr>
          <w:lang w:val="en"/>
        </w:rPr>
        <w:t xml:space="preserve">The annual </w:t>
      </w:r>
      <w:r w:rsidR="004E19AB">
        <w:rPr>
          <w:lang w:val="en"/>
        </w:rPr>
        <w:t xml:space="preserve">global </w:t>
      </w:r>
      <w:r>
        <w:rPr>
          <w:lang w:val="en"/>
        </w:rPr>
        <w:t>production of BPA has increased significantly since the 1960s</w:t>
      </w:r>
      <w:r w:rsidR="00B76963">
        <w:rPr>
          <w:lang w:val="en"/>
        </w:rPr>
        <w:t xml:space="preserve"> (</w:t>
      </w:r>
      <w:r w:rsidR="00B4774C" w:rsidRPr="00B42942">
        <w:t>Chen</w:t>
      </w:r>
      <w:r w:rsidR="00B4774C">
        <w:t xml:space="preserve"> et al. 2002, </w:t>
      </w:r>
      <w:r w:rsidR="00B76963" w:rsidRPr="00B42942">
        <w:t>Flint</w:t>
      </w:r>
      <w:r w:rsidR="00B76963">
        <w:t xml:space="preserve"> et al</w:t>
      </w:r>
      <w:r w:rsidR="00B4774C">
        <w:t>.</w:t>
      </w:r>
      <w:r w:rsidR="00B76963">
        <w:t xml:space="preserve"> 2012)</w:t>
      </w:r>
      <w:r>
        <w:rPr>
          <w:lang w:val="en"/>
        </w:rPr>
        <w:t>.</w:t>
      </w:r>
      <w:r w:rsidR="0033143F">
        <w:rPr>
          <w:lang w:val="en"/>
        </w:rPr>
        <w:t xml:space="preserve"> </w:t>
      </w:r>
      <w:r>
        <w:rPr>
          <w:lang w:val="en"/>
        </w:rPr>
        <w:t>In 2006, global production of BPA was reported to be 4</w:t>
      </w:r>
      <w:r w:rsidR="00DD34A4">
        <w:rPr>
          <w:lang w:val="en"/>
        </w:rPr>
        <w:t> </w:t>
      </w:r>
      <w:r>
        <w:rPr>
          <w:lang w:val="en"/>
        </w:rPr>
        <w:t>million</w:t>
      </w:r>
      <w:r w:rsidR="00DD34A4">
        <w:rPr>
          <w:lang w:val="en"/>
        </w:rPr>
        <w:t> tonnes</w:t>
      </w:r>
      <w:r>
        <w:rPr>
          <w:lang w:val="en"/>
        </w:rPr>
        <w:t>, approximately one</w:t>
      </w:r>
      <w:r w:rsidR="00DD34A4">
        <w:rPr>
          <w:lang w:val="en"/>
        </w:rPr>
        <w:t xml:space="preserve"> </w:t>
      </w:r>
      <w:r>
        <w:rPr>
          <w:lang w:val="en"/>
        </w:rPr>
        <w:t xml:space="preserve">third of which was manufactured in the United States, and one quarter in Europe </w:t>
      </w:r>
      <w:r w:rsidR="00841394">
        <w:rPr>
          <w:lang w:val="en"/>
        </w:rPr>
        <w:t>(</w:t>
      </w:r>
      <w:r w:rsidR="00B4774C">
        <w:t xml:space="preserve">Tsai 2006, </w:t>
      </w:r>
      <w:r w:rsidR="00841394" w:rsidRPr="00B42942">
        <w:t xml:space="preserve">EC </w:t>
      </w:r>
      <w:r w:rsidR="00B4774C">
        <w:t>&amp;</w:t>
      </w:r>
      <w:r w:rsidR="00841394" w:rsidRPr="00B42942">
        <w:t xml:space="preserve"> HC 2008</w:t>
      </w:r>
      <w:r w:rsidR="00841394">
        <w:t>)</w:t>
      </w:r>
      <w:r>
        <w:rPr>
          <w:lang w:val="en"/>
        </w:rPr>
        <w:t>.</w:t>
      </w:r>
      <w:r w:rsidR="0033143F">
        <w:rPr>
          <w:lang w:val="en"/>
        </w:rPr>
        <w:t xml:space="preserve"> </w:t>
      </w:r>
      <w:r>
        <w:rPr>
          <w:lang w:val="en"/>
        </w:rPr>
        <w:t>Global consumption of BPA in 2011 was predicted to exceed 5.5</w:t>
      </w:r>
      <w:r w:rsidR="00DD34A4">
        <w:rPr>
          <w:lang w:val="en"/>
        </w:rPr>
        <w:t> </w:t>
      </w:r>
      <w:r>
        <w:rPr>
          <w:lang w:val="en"/>
        </w:rPr>
        <w:t>million</w:t>
      </w:r>
      <w:r w:rsidR="00DD34A4">
        <w:rPr>
          <w:lang w:val="en"/>
        </w:rPr>
        <w:t> tonnes</w:t>
      </w:r>
      <w:r w:rsidR="00B76963">
        <w:rPr>
          <w:lang w:val="en"/>
        </w:rPr>
        <w:t xml:space="preserve"> (</w:t>
      </w:r>
      <w:r w:rsidR="00B76963" w:rsidRPr="00B42942">
        <w:t>Flint</w:t>
      </w:r>
      <w:r w:rsidR="00B76963">
        <w:t xml:space="preserve"> et al</w:t>
      </w:r>
      <w:r w:rsidR="007E205C">
        <w:t>.</w:t>
      </w:r>
      <w:r w:rsidR="00B76963">
        <w:t xml:space="preserve"> 2012)</w:t>
      </w:r>
      <w:r>
        <w:rPr>
          <w:sz w:val="19"/>
          <w:szCs w:val="19"/>
          <w:lang w:val="en"/>
        </w:rPr>
        <w:t>.</w:t>
      </w:r>
      <w:r w:rsidR="0033143F">
        <w:rPr>
          <w:sz w:val="19"/>
          <w:szCs w:val="19"/>
          <w:lang w:val="en"/>
        </w:rPr>
        <w:t xml:space="preserve"> </w:t>
      </w:r>
      <w:r w:rsidR="00D925D1">
        <w:rPr>
          <w:lang w:val="en"/>
        </w:rPr>
        <w:t xml:space="preserve">BPA can enter the environment during production and processing, via various waste streams and spills, and during the use and disposal of products containing BPA. </w:t>
      </w:r>
      <w:r w:rsidR="00FB2D11">
        <w:rPr>
          <w:lang w:val="en"/>
        </w:rPr>
        <w:t xml:space="preserve">Flint et al. (2012) reported that, in 2008, </w:t>
      </w:r>
      <w:r>
        <w:rPr>
          <w:lang w:val="en"/>
        </w:rPr>
        <w:t>over 500</w:t>
      </w:r>
      <w:r w:rsidR="00DD34A4">
        <w:rPr>
          <w:lang w:val="en"/>
        </w:rPr>
        <w:t> tonnes</w:t>
      </w:r>
      <w:r>
        <w:rPr>
          <w:lang w:val="en"/>
        </w:rPr>
        <w:t xml:space="preserve"> of BPA </w:t>
      </w:r>
      <w:r w:rsidR="00FB2D11">
        <w:rPr>
          <w:lang w:val="en"/>
        </w:rPr>
        <w:t>was</w:t>
      </w:r>
      <w:r>
        <w:rPr>
          <w:lang w:val="en"/>
        </w:rPr>
        <w:t xml:space="preserve"> released to the environment from manufacture and processing, with another 1</w:t>
      </w:r>
      <w:r w:rsidR="001B28E6">
        <w:rPr>
          <w:lang w:val="en"/>
        </w:rPr>
        <w:t> </w:t>
      </w:r>
      <w:r>
        <w:rPr>
          <w:lang w:val="en"/>
        </w:rPr>
        <w:t>300</w:t>
      </w:r>
      <w:r w:rsidR="001B28E6">
        <w:rPr>
          <w:lang w:val="en"/>
        </w:rPr>
        <w:t> tonnes</w:t>
      </w:r>
      <w:r>
        <w:rPr>
          <w:lang w:val="en"/>
        </w:rPr>
        <w:t xml:space="preserve"> released via </w:t>
      </w:r>
      <w:r w:rsidR="00FB2D11">
        <w:rPr>
          <w:lang w:val="en"/>
        </w:rPr>
        <w:t xml:space="preserve">incineration or </w:t>
      </w:r>
      <w:r>
        <w:rPr>
          <w:lang w:val="en"/>
        </w:rPr>
        <w:t xml:space="preserve">wastewater treatment plants </w:t>
      </w:r>
      <w:r w:rsidR="00FB2D11">
        <w:rPr>
          <w:lang w:val="en"/>
        </w:rPr>
        <w:t>in the United States alone</w:t>
      </w:r>
      <w:r>
        <w:rPr>
          <w:lang w:val="en"/>
        </w:rPr>
        <w:t>.</w:t>
      </w:r>
    </w:p>
    <w:p w14:paraId="66175AE7" w14:textId="77777777" w:rsidR="00AD5804" w:rsidRDefault="001272F6" w:rsidP="00AD5804">
      <w:pPr>
        <w:rPr>
          <w:lang w:val="en"/>
        </w:rPr>
      </w:pPr>
      <w:r w:rsidRPr="002C3B54">
        <w:rPr>
          <w:lang w:val="en"/>
        </w:rPr>
        <w:t>Under ambient conditions,</w:t>
      </w:r>
      <w:r>
        <w:rPr>
          <w:sz w:val="19"/>
          <w:szCs w:val="19"/>
          <w:lang w:val="en"/>
        </w:rPr>
        <w:t xml:space="preserve"> </w:t>
      </w:r>
      <w:r w:rsidRPr="00C072C9">
        <w:rPr>
          <w:lang w:val="en"/>
        </w:rPr>
        <w:t>BPA is a white solid</w:t>
      </w:r>
      <w:r w:rsidR="00D925D1">
        <w:rPr>
          <w:lang w:val="en"/>
        </w:rPr>
        <w:t>,</w:t>
      </w:r>
      <w:r w:rsidRPr="00C072C9">
        <w:rPr>
          <w:lang w:val="en"/>
        </w:rPr>
        <w:t xml:space="preserve"> usually </w:t>
      </w:r>
      <w:r>
        <w:rPr>
          <w:lang w:val="en"/>
        </w:rPr>
        <w:t xml:space="preserve">in the form of </w:t>
      </w:r>
      <w:r w:rsidRPr="00C072C9">
        <w:rPr>
          <w:lang w:val="en"/>
        </w:rPr>
        <w:t>flakes or powder</w:t>
      </w:r>
      <w:r w:rsidR="004D1A98">
        <w:rPr>
          <w:lang w:val="en"/>
        </w:rPr>
        <w:t xml:space="preserve"> (</w:t>
      </w:r>
      <w:r w:rsidR="007E205C" w:rsidRPr="00B42942">
        <w:rPr>
          <w:lang w:val="en"/>
        </w:rPr>
        <w:t>ECB 2003</w:t>
      </w:r>
      <w:r w:rsidR="007E205C">
        <w:rPr>
          <w:lang w:val="en"/>
        </w:rPr>
        <w:t xml:space="preserve">, </w:t>
      </w:r>
      <w:r w:rsidR="00D925D1">
        <w:rPr>
          <w:lang w:val="en"/>
        </w:rPr>
        <w:t>NCBI 2020</w:t>
      </w:r>
      <w:r w:rsidR="004D1A98">
        <w:t>)</w:t>
      </w:r>
      <w:r>
        <w:rPr>
          <w:lang w:val="en"/>
        </w:rPr>
        <w:t>.</w:t>
      </w:r>
      <w:r w:rsidRPr="00366820">
        <w:rPr>
          <w:lang w:val="en"/>
        </w:rPr>
        <w:t xml:space="preserve"> </w:t>
      </w:r>
      <w:r>
        <w:rPr>
          <w:lang w:val="en"/>
        </w:rPr>
        <w:t>If released to air, a vapour pressure of 4.0x10</w:t>
      </w:r>
      <w:r w:rsidR="005978C6">
        <w:rPr>
          <w:vertAlign w:val="superscript"/>
          <w:lang w:val="en"/>
        </w:rPr>
        <w:t>–</w:t>
      </w:r>
      <w:r w:rsidRPr="00A72BA5">
        <w:rPr>
          <w:vertAlign w:val="superscript"/>
          <w:lang w:val="en"/>
        </w:rPr>
        <w:t>8</w:t>
      </w:r>
      <w:r w:rsidR="005978C6">
        <w:rPr>
          <w:lang w:val="en"/>
        </w:rPr>
        <w:t> </w:t>
      </w:r>
      <w:r>
        <w:rPr>
          <w:lang w:val="en"/>
        </w:rPr>
        <w:t>mmHg at 25</w:t>
      </w:r>
      <w:r w:rsidR="00973402">
        <w:rPr>
          <w:rFonts w:cstheme="minorHAnsi"/>
          <w:lang w:val="en"/>
        </w:rPr>
        <w:t>°</w:t>
      </w:r>
      <w:r>
        <w:rPr>
          <w:lang w:val="en"/>
        </w:rPr>
        <w:t>C indicates BPA will exist in both the vapour and particulate phases</w:t>
      </w:r>
      <w:r w:rsidR="004D1A98">
        <w:rPr>
          <w:lang w:val="en"/>
        </w:rPr>
        <w:t xml:space="preserve"> (</w:t>
      </w:r>
      <w:r w:rsidR="005978C6">
        <w:rPr>
          <w:lang w:val="en"/>
        </w:rPr>
        <w:t>NCBI 2020</w:t>
      </w:r>
      <w:r w:rsidR="004D1A98">
        <w:t>)</w:t>
      </w:r>
      <w:r>
        <w:rPr>
          <w:lang w:val="en"/>
        </w:rPr>
        <w:t>.</w:t>
      </w:r>
      <w:r w:rsidR="0033143F">
        <w:rPr>
          <w:lang w:val="en"/>
        </w:rPr>
        <w:t xml:space="preserve"> </w:t>
      </w:r>
      <w:r>
        <w:rPr>
          <w:lang w:val="en"/>
        </w:rPr>
        <w:t>BPA is short-lived in the atmosphere and is unlikely to be transported a long distance from its point of emission</w:t>
      </w:r>
      <w:r w:rsidR="00841394">
        <w:rPr>
          <w:lang w:val="en"/>
        </w:rPr>
        <w:t xml:space="preserve"> (</w:t>
      </w:r>
      <w:r w:rsidR="00841394" w:rsidRPr="00B42942">
        <w:rPr>
          <w:lang w:val="en"/>
        </w:rPr>
        <w:t>ECB 2003</w:t>
      </w:r>
      <w:r w:rsidR="00841394">
        <w:rPr>
          <w:lang w:val="en"/>
        </w:rPr>
        <w:t>)</w:t>
      </w:r>
      <w:r>
        <w:rPr>
          <w:lang w:val="en"/>
        </w:rPr>
        <w:t>.</w:t>
      </w:r>
    </w:p>
    <w:p w14:paraId="66175AE8" w14:textId="77777777" w:rsidR="00AD5804" w:rsidRDefault="001272F6" w:rsidP="005A3D73">
      <w:pPr>
        <w:rPr>
          <w:lang w:val="en"/>
        </w:rPr>
      </w:pPr>
      <w:r>
        <w:rPr>
          <w:lang w:val="en"/>
        </w:rPr>
        <w:t xml:space="preserve">In the environment, BPA </w:t>
      </w:r>
      <w:r w:rsidR="00AA5E85">
        <w:rPr>
          <w:lang w:val="en"/>
        </w:rPr>
        <w:t xml:space="preserve">mainly </w:t>
      </w:r>
      <w:r>
        <w:rPr>
          <w:lang w:val="en"/>
        </w:rPr>
        <w:t>partitions to water, with lesser amounts partitioning to soil and sediment. Reported water solu</w:t>
      </w:r>
      <w:r w:rsidR="007E205C">
        <w:rPr>
          <w:lang w:val="en"/>
        </w:rPr>
        <w:t>bilit</w:t>
      </w:r>
      <w:r w:rsidR="00FC7DE3">
        <w:rPr>
          <w:lang w:val="en"/>
        </w:rPr>
        <w:t>y</w:t>
      </w:r>
      <w:r w:rsidR="007E205C">
        <w:rPr>
          <w:lang w:val="en"/>
        </w:rPr>
        <w:t xml:space="preserve"> for BPA </w:t>
      </w:r>
      <w:r w:rsidR="00FC7DE3">
        <w:rPr>
          <w:lang w:val="en"/>
        </w:rPr>
        <w:t>at ~25</w:t>
      </w:r>
      <w:r w:rsidR="00FC7DE3">
        <w:rPr>
          <w:rFonts w:cstheme="minorHAnsi"/>
          <w:lang w:val="en"/>
        </w:rPr>
        <w:t>°</w:t>
      </w:r>
      <w:r w:rsidR="00FC7DE3">
        <w:rPr>
          <w:lang w:val="en"/>
        </w:rPr>
        <w:t xml:space="preserve">C </w:t>
      </w:r>
      <w:r w:rsidR="007E205C">
        <w:rPr>
          <w:lang w:val="en"/>
        </w:rPr>
        <w:t>range</w:t>
      </w:r>
      <w:r w:rsidR="00FC7DE3">
        <w:rPr>
          <w:lang w:val="en"/>
        </w:rPr>
        <w:t>s</w:t>
      </w:r>
      <w:r w:rsidR="007E205C">
        <w:rPr>
          <w:lang w:val="en"/>
        </w:rPr>
        <w:t xml:space="preserve"> from 120 </w:t>
      </w:r>
      <w:r>
        <w:rPr>
          <w:lang w:val="en"/>
        </w:rPr>
        <w:t>mg/L to 30</w:t>
      </w:r>
      <w:r w:rsidR="00D75652">
        <w:rPr>
          <w:lang w:val="en"/>
        </w:rPr>
        <w:t>0</w:t>
      </w:r>
      <w:r w:rsidR="007E205C">
        <w:rPr>
          <w:lang w:val="en"/>
        </w:rPr>
        <w:t> </w:t>
      </w:r>
      <w:r>
        <w:rPr>
          <w:lang w:val="en"/>
        </w:rPr>
        <w:t xml:space="preserve">mg/L, </w:t>
      </w:r>
      <w:r w:rsidR="005B6B8B">
        <w:rPr>
          <w:lang w:val="en"/>
        </w:rPr>
        <w:t xml:space="preserve">while </w:t>
      </w:r>
      <w:r>
        <w:rPr>
          <w:lang w:val="en"/>
        </w:rPr>
        <w:t>reported log</w:t>
      </w:r>
      <w:r w:rsidR="005E41C2">
        <w:rPr>
          <w:lang w:val="en"/>
        </w:rPr>
        <w:t> </w:t>
      </w:r>
      <w:r w:rsidRPr="00193A44">
        <w:rPr>
          <w:lang w:val="en"/>
        </w:rPr>
        <w:t>K</w:t>
      </w:r>
      <w:r w:rsidR="005B6B8B" w:rsidRPr="00BC3999">
        <w:rPr>
          <w:vertAlign w:val="subscript"/>
          <w:lang w:val="en"/>
        </w:rPr>
        <w:t>OC</w:t>
      </w:r>
      <w:r>
        <w:rPr>
          <w:lang w:val="en"/>
        </w:rPr>
        <w:t xml:space="preserve"> values range from 2.0 to 4.64</w:t>
      </w:r>
      <w:r w:rsidR="004D1A98">
        <w:rPr>
          <w:lang w:val="en"/>
        </w:rPr>
        <w:t xml:space="preserve"> (</w:t>
      </w:r>
      <w:r w:rsidR="007E205C" w:rsidRPr="00B42942">
        <w:rPr>
          <w:lang w:val="en"/>
        </w:rPr>
        <w:t>ECB 2003</w:t>
      </w:r>
      <w:r w:rsidR="007E205C">
        <w:rPr>
          <w:lang w:val="en"/>
        </w:rPr>
        <w:t xml:space="preserve">, </w:t>
      </w:r>
      <w:r w:rsidR="007E205C">
        <w:t xml:space="preserve">Tsai 2006, </w:t>
      </w:r>
      <w:r w:rsidR="007E205C" w:rsidRPr="00B42942">
        <w:t xml:space="preserve">EC </w:t>
      </w:r>
      <w:r w:rsidR="007E205C">
        <w:t>&amp;</w:t>
      </w:r>
      <w:r w:rsidR="007E205C" w:rsidRPr="00B42942">
        <w:t xml:space="preserve"> HC 2008</w:t>
      </w:r>
      <w:r w:rsidR="007E205C">
        <w:t xml:space="preserve">, </w:t>
      </w:r>
      <w:r w:rsidR="00D75652">
        <w:t>NCBI 2020</w:t>
      </w:r>
      <w:r w:rsidR="00800990">
        <w:t>)</w:t>
      </w:r>
      <w:r>
        <w:rPr>
          <w:lang w:val="en"/>
        </w:rPr>
        <w:t>.</w:t>
      </w:r>
      <w:r w:rsidR="0033143F">
        <w:rPr>
          <w:lang w:val="en"/>
        </w:rPr>
        <w:t xml:space="preserve"> </w:t>
      </w:r>
      <w:r w:rsidRPr="006F72B9">
        <w:rPr>
          <w:lang w:val="en"/>
        </w:rPr>
        <w:t>In</w:t>
      </w:r>
      <w:r>
        <w:rPr>
          <w:lang w:val="en"/>
        </w:rPr>
        <w:t xml:space="preserve"> natural waters, BPA is not expected to v</w:t>
      </w:r>
      <w:r w:rsidRPr="00193A44">
        <w:rPr>
          <w:lang w:val="en"/>
        </w:rPr>
        <w:t>o</w:t>
      </w:r>
      <w:r>
        <w:rPr>
          <w:lang w:val="en"/>
        </w:rPr>
        <w:t>latilise,</w:t>
      </w:r>
      <w:r w:rsidRPr="00193A44">
        <w:rPr>
          <w:lang w:val="en"/>
        </w:rPr>
        <w:t xml:space="preserve"> based </w:t>
      </w:r>
      <w:r>
        <w:rPr>
          <w:lang w:val="en"/>
        </w:rPr>
        <w:t xml:space="preserve">on an </w:t>
      </w:r>
      <w:r w:rsidRPr="00193A44">
        <w:rPr>
          <w:lang w:val="en"/>
        </w:rPr>
        <w:t>estimated Henry</w:t>
      </w:r>
      <w:r w:rsidR="00C17E89">
        <w:rPr>
          <w:lang w:val="en"/>
        </w:rPr>
        <w:t>’</w:t>
      </w:r>
      <w:r w:rsidRPr="00193A44">
        <w:rPr>
          <w:lang w:val="en"/>
        </w:rPr>
        <w:t>s Law constant</w:t>
      </w:r>
      <w:r>
        <w:rPr>
          <w:lang w:val="en"/>
        </w:rPr>
        <w:t xml:space="preserve"> of 4.0x10</w:t>
      </w:r>
      <w:r w:rsidR="00C17E89">
        <w:rPr>
          <w:vertAlign w:val="superscript"/>
          <w:lang w:val="en"/>
        </w:rPr>
        <w:t>–</w:t>
      </w:r>
      <w:r w:rsidRPr="00A151C3">
        <w:rPr>
          <w:vertAlign w:val="superscript"/>
          <w:lang w:val="en"/>
        </w:rPr>
        <w:t>11</w:t>
      </w:r>
      <w:r w:rsidR="00C17E89">
        <w:rPr>
          <w:lang w:val="en"/>
        </w:rPr>
        <w:t> </w:t>
      </w:r>
      <w:r>
        <w:rPr>
          <w:lang w:val="en"/>
        </w:rPr>
        <w:t>atm-m</w:t>
      </w:r>
      <w:r w:rsidRPr="00193A44">
        <w:rPr>
          <w:vertAlign w:val="superscript"/>
          <w:lang w:val="en"/>
        </w:rPr>
        <w:t>3</w:t>
      </w:r>
      <w:r>
        <w:rPr>
          <w:lang w:val="en"/>
        </w:rPr>
        <w:t>/mol.</w:t>
      </w:r>
      <w:r w:rsidR="0033143F">
        <w:rPr>
          <w:lang w:val="en"/>
        </w:rPr>
        <w:t xml:space="preserve"> </w:t>
      </w:r>
      <w:r>
        <w:rPr>
          <w:lang w:val="en"/>
        </w:rPr>
        <w:t xml:space="preserve">As BPA </w:t>
      </w:r>
      <w:r w:rsidRPr="00193A44">
        <w:rPr>
          <w:lang w:val="en"/>
        </w:rPr>
        <w:t>lacks functional groups that hydroly</w:t>
      </w:r>
      <w:r w:rsidR="00C17E89">
        <w:rPr>
          <w:lang w:val="en"/>
        </w:rPr>
        <w:t>s</w:t>
      </w:r>
      <w:r w:rsidRPr="00193A44">
        <w:rPr>
          <w:lang w:val="en"/>
        </w:rPr>
        <w:t>e under environmental conditions</w:t>
      </w:r>
      <w:r>
        <w:rPr>
          <w:lang w:val="en"/>
        </w:rPr>
        <w:t xml:space="preserve">, it is not expected </w:t>
      </w:r>
      <w:r w:rsidR="00AA5E85">
        <w:rPr>
          <w:lang w:val="en"/>
        </w:rPr>
        <w:t>t</w:t>
      </w:r>
      <w:r>
        <w:rPr>
          <w:lang w:val="en"/>
        </w:rPr>
        <w:t>o undergo h</w:t>
      </w:r>
      <w:r w:rsidRPr="00193A44">
        <w:rPr>
          <w:lang w:val="en"/>
        </w:rPr>
        <w:t>ydrolysis</w:t>
      </w:r>
      <w:r w:rsidR="004D1A98">
        <w:rPr>
          <w:lang w:val="en"/>
        </w:rPr>
        <w:t xml:space="preserve"> (</w:t>
      </w:r>
      <w:r w:rsidR="001346A3" w:rsidRPr="00B42942">
        <w:rPr>
          <w:lang w:val="en"/>
        </w:rPr>
        <w:t>ECB 2003</w:t>
      </w:r>
      <w:r w:rsidR="001346A3">
        <w:rPr>
          <w:lang w:val="en"/>
        </w:rPr>
        <w:t xml:space="preserve">, </w:t>
      </w:r>
      <w:r w:rsidR="00841394" w:rsidRPr="00B42942">
        <w:t xml:space="preserve">EC </w:t>
      </w:r>
      <w:r w:rsidR="001346A3">
        <w:t>&amp;</w:t>
      </w:r>
      <w:r w:rsidR="00841394" w:rsidRPr="00B42942">
        <w:t xml:space="preserve"> HC 2008</w:t>
      </w:r>
      <w:r w:rsidR="00841394">
        <w:t>,</w:t>
      </w:r>
      <w:r w:rsidR="001346A3" w:rsidRPr="001346A3">
        <w:t xml:space="preserve"> </w:t>
      </w:r>
      <w:r w:rsidR="00C17E89">
        <w:t>NCBI 2020</w:t>
      </w:r>
      <w:r w:rsidR="00800990">
        <w:rPr>
          <w:lang w:val="en"/>
        </w:rPr>
        <w:t>)</w:t>
      </w:r>
      <w:r w:rsidRPr="00193A44">
        <w:rPr>
          <w:lang w:val="en"/>
        </w:rPr>
        <w:t>. Sensiti</w:t>
      </w:r>
      <w:r w:rsidR="00C17E89">
        <w:rPr>
          <w:lang w:val="en"/>
        </w:rPr>
        <w:t>s</w:t>
      </w:r>
      <w:r w:rsidRPr="00193A44">
        <w:rPr>
          <w:lang w:val="en"/>
        </w:rPr>
        <w:t>ed photo</w:t>
      </w:r>
      <w:r w:rsidR="00C17E89">
        <w:rPr>
          <w:lang w:val="en"/>
        </w:rPr>
        <w:t>-</w:t>
      </w:r>
      <w:r w:rsidRPr="00193A44">
        <w:rPr>
          <w:lang w:val="en"/>
        </w:rPr>
        <w:t xml:space="preserve">oxidation may be an important fate process for </w:t>
      </w:r>
      <w:r>
        <w:rPr>
          <w:lang w:val="en"/>
        </w:rPr>
        <w:t>BPA</w:t>
      </w:r>
      <w:r w:rsidRPr="00193A44">
        <w:rPr>
          <w:lang w:val="en"/>
        </w:rPr>
        <w:t xml:space="preserve"> in sunlit natural water</w:t>
      </w:r>
      <w:r w:rsidR="00AA5E85">
        <w:rPr>
          <w:lang w:val="en"/>
        </w:rPr>
        <w:t>s</w:t>
      </w:r>
      <w:r w:rsidR="00841394">
        <w:rPr>
          <w:lang w:val="en"/>
        </w:rPr>
        <w:t xml:space="preserve"> (</w:t>
      </w:r>
      <w:r w:rsidR="00C17E89">
        <w:rPr>
          <w:lang w:val="en"/>
        </w:rPr>
        <w:t>NCBI 2020</w:t>
      </w:r>
      <w:r w:rsidR="00841394">
        <w:rPr>
          <w:lang w:val="en"/>
        </w:rPr>
        <w:t>)</w:t>
      </w:r>
      <w:r w:rsidRPr="00193A44">
        <w:rPr>
          <w:lang w:val="en"/>
        </w:rPr>
        <w:t>.</w:t>
      </w:r>
    </w:p>
    <w:p w14:paraId="66175AE9" w14:textId="77777777" w:rsidR="00AD5804" w:rsidRDefault="001272F6" w:rsidP="00AD5804">
      <w:pPr>
        <w:rPr>
          <w:lang w:val="en"/>
        </w:rPr>
      </w:pPr>
      <w:r w:rsidRPr="00193A44">
        <w:rPr>
          <w:lang w:val="en"/>
        </w:rPr>
        <w:t xml:space="preserve">Although </w:t>
      </w:r>
      <w:r w:rsidR="005B6B8B">
        <w:rPr>
          <w:lang w:val="en"/>
        </w:rPr>
        <w:t xml:space="preserve">some studies and screening tests show that </w:t>
      </w:r>
      <w:r>
        <w:rPr>
          <w:lang w:val="en"/>
        </w:rPr>
        <w:t>BPA</w:t>
      </w:r>
      <w:r w:rsidRPr="00193A44">
        <w:rPr>
          <w:lang w:val="en"/>
        </w:rPr>
        <w:t xml:space="preserve"> </w:t>
      </w:r>
      <w:r w:rsidR="005B6B8B">
        <w:rPr>
          <w:lang w:val="en"/>
        </w:rPr>
        <w:t>is</w:t>
      </w:r>
      <w:r w:rsidRPr="00193A44">
        <w:rPr>
          <w:lang w:val="en"/>
        </w:rPr>
        <w:t xml:space="preserve"> non-biodegradable, other studies have found </w:t>
      </w:r>
      <w:r w:rsidR="005B6B8B">
        <w:rPr>
          <w:lang w:val="en"/>
        </w:rPr>
        <w:t xml:space="preserve">that </w:t>
      </w:r>
      <w:r>
        <w:rPr>
          <w:lang w:val="en"/>
        </w:rPr>
        <w:t>BP</w:t>
      </w:r>
      <w:r w:rsidRPr="00193A44">
        <w:rPr>
          <w:lang w:val="en"/>
        </w:rPr>
        <w:t xml:space="preserve">A </w:t>
      </w:r>
      <w:r w:rsidR="005B6B8B">
        <w:rPr>
          <w:lang w:val="en"/>
        </w:rPr>
        <w:t>is</w:t>
      </w:r>
      <w:r w:rsidRPr="00193A44">
        <w:rPr>
          <w:lang w:val="en"/>
        </w:rPr>
        <w:t xml:space="preserve"> readily biodegradable or inherently biodegradable</w:t>
      </w:r>
      <w:r w:rsidR="00F50D0E">
        <w:rPr>
          <w:lang w:val="en"/>
        </w:rPr>
        <w:t xml:space="preserve">. However, biodegradation appears to require an </w:t>
      </w:r>
      <w:r w:rsidRPr="00193A44">
        <w:rPr>
          <w:lang w:val="en"/>
        </w:rPr>
        <w:t>acclimation</w:t>
      </w:r>
      <w:r w:rsidR="00F50D0E">
        <w:rPr>
          <w:lang w:val="en"/>
        </w:rPr>
        <w:t xml:space="preserve"> period to allow for the development of a microbial community capable of degrading BPA</w:t>
      </w:r>
      <w:r w:rsidR="00F50D0E" w:rsidRPr="00193A44">
        <w:rPr>
          <w:lang w:val="en"/>
        </w:rPr>
        <w:t xml:space="preserve"> </w:t>
      </w:r>
      <w:r w:rsidR="004D1A98">
        <w:rPr>
          <w:lang w:val="en"/>
        </w:rPr>
        <w:t>(</w:t>
      </w:r>
      <w:r w:rsidR="001346A3" w:rsidRPr="00B42942">
        <w:rPr>
          <w:lang w:val="en"/>
        </w:rPr>
        <w:t>ECB 2003</w:t>
      </w:r>
      <w:r w:rsidR="001346A3">
        <w:rPr>
          <w:lang w:val="en"/>
        </w:rPr>
        <w:t xml:space="preserve">, </w:t>
      </w:r>
      <w:r w:rsidR="001346A3" w:rsidRPr="00B42942">
        <w:t xml:space="preserve">EC </w:t>
      </w:r>
      <w:r w:rsidR="001346A3">
        <w:t>&amp;</w:t>
      </w:r>
      <w:r w:rsidR="001346A3" w:rsidRPr="00B42942">
        <w:t xml:space="preserve"> HC 2008</w:t>
      </w:r>
      <w:r w:rsidR="001346A3">
        <w:t xml:space="preserve">, </w:t>
      </w:r>
      <w:r w:rsidR="00B9356B">
        <w:t>NCBI 2020</w:t>
      </w:r>
      <w:r w:rsidR="004D1A98">
        <w:t>)</w:t>
      </w:r>
      <w:r w:rsidRPr="00193A44">
        <w:rPr>
          <w:lang w:val="en"/>
        </w:rPr>
        <w:t>.</w:t>
      </w:r>
      <w:r w:rsidR="0033143F">
        <w:rPr>
          <w:lang w:val="en"/>
        </w:rPr>
        <w:t xml:space="preserve"> </w:t>
      </w:r>
      <w:r>
        <w:rPr>
          <w:lang w:val="en"/>
        </w:rPr>
        <w:t>In marine water under aerobic conditions,</w:t>
      </w:r>
      <w:r w:rsidR="00720124">
        <w:rPr>
          <w:lang w:val="en"/>
        </w:rPr>
        <w:t xml:space="preserve"> this acclimation period can </w:t>
      </w:r>
      <w:r w:rsidR="006047AA">
        <w:rPr>
          <w:lang w:val="en"/>
        </w:rPr>
        <w:t xml:space="preserve">be </w:t>
      </w:r>
      <w:r w:rsidR="00720124">
        <w:rPr>
          <w:lang w:val="en"/>
        </w:rPr>
        <w:t>up to several weeks, after which</w:t>
      </w:r>
      <w:r>
        <w:rPr>
          <w:lang w:val="en"/>
        </w:rPr>
        <w:t xml:space="preserve"> degradation of BPA appears to be rapid </w:t>
      </w:r>
      <w:r w:rsidR="00E001C3">
        <w:rPr>
          <w:lang w:val="en"/>
        </w:rPr>
        <w:t>(</w:t>
      </w:r>
      <w:r w:rsidR="00E001C3" w:rsidRPr="00B42942">
        <w:t>Ying</w:t>
      </w:r>
      <w:r w:rsidR="00E001C3">
        <w:t xml:space="preserve"> </w:t>
      </w:r>
      <w:r w:rsidR="000248D0">
        <w:t>&amp;</w:t>
      </w:r>
      <w:r w:rsidR="00E001C3" w:rsidRPr="00B42942">
        <w:t xml:space="preserve"> Kookana 2003</w:t>
      </w:r>
      <w:r w:rsidR="00E001C3">
        <w:t xml:space="preserve">, Kang </w:t>
      </w:r>
      <w:r w:rsidR="006047AA">
        <w:t xml:space="preserve">&amp; Kondo </w:t>
      </w:r>
      <w:r w:rsidR="00E001C3">
        <w:t>2005)</w:t>
      </w:r>
      <w:r>
        <w:rPr>
          <w:lang w:val="en"/>
        </w:rPr>
        <w:t xml:space="preserve">. Half-lives in </w:t>
      </w:r>
      <w:r w:rsidR="00B3446D">
        <w:rPr>
          <w:lang w:val="en"/>
        </w:rPr>
        <w:t xml:space="preserve">surface </w:t>
      </w:r>
      <w:r>
        <w:rPr>
          <w:lang w:val="en"/>
        </w:rPr>
        <w:t>water have been reported to range from 1</w:t>
      </w:r>
      <w:r w:rsidR="000F58BB">
        <w:rPr>
          <w:lang w:val="en"/>
        </w:rPr>
        <w:t> day</w:t>
      </w:r>
      <w:r w:rsidR="00C20586">
        <w:rPr>
          <w:lang w:val="en"/>
        </w:rPr>
        <w:t xml:space="preserve"> to </w:t>
      </w:r>
      <w:r>
        <w:rPr>
          <w:lang w:val="en"/>
        </w:rPr>
        <w:t>15</w:t>
      </w:r>
      <w:r w:rsidR="000F58BB">
        <w:rPr>
          <w:lang w:val="en"/>
        </w:rPr>
        <w:t> </w:t>
      </w:r>
      <w:r>
        <w:rPr>
          <w:lang w:val="en"/>
        </w:rPr>
        <w:t>days</w:t>
      </w:r>
      <w:r w:rsidR="004D1A98">
        <w:rPr>
          <w:lang w:val="en"/>
        </w:rPr>
        <w:t xml:space="preserve"> (</w:t>
      </w:r>
      <w:r w:rsidR="000248D0" w:rsidRPr="00B42942">
        <w:rPr>
          <w:lang w:val="en"/>
        </w:rPr>
        <w:t>ECB 2003</w:t>
      </w:r>
      <w:r w:rsidR="000248D0">
        <w:rPr>
          <w:lang w:val="en"/>
        </w:rPr>
        <w:t xml:space="preserve">, </w:t>
      </w:r>
      <w:r w:rsidR="00841394" w:rsidRPr="00B42942">
        <w:t xml:space="preserve">EC </w:t>
      </w:r>
      <w:r w:rsidR="000248D0">
        <w:t>&amp;</w:t>
      </w:r>
      <w:r w:rsidR="00841394" w:rsidRPr="00B42942">
        <w:t xml:space="preserve"> HC 2008</w:t>
      </w:r>
      <w:r w:rsidR="00841394">
        <w:t>,</w:t>
      </w:r>
      <w:r w:rsidR="000248D0" w:rsidRPr="000248D0">
        <w:t xml:space="preserve"> </w:t>
      </w:r>
      <w:r w:rsidR="000F58BB">
        <w:t>NCBI 2020</w:t>
      </w:r>
      <w:r w:rsidR="004D1A98">
        <w:t>)</w:t>
      </w:r>
      <w:r>
        <w:rPr>
          <w:lang w:val="en"/>
        </w:rPr>
        <w:t>, with faster rates of photodegradation in the presence of dissolved organic matter and reactive oxygen species</w:t>
      </w:r>
      <w:r w:rsidR="004D1A98">
        <w:rPr>
          <w:lang w:val="en"/>
        </w:rPr>
        <w:t xml:space="preserve"> (Kang et al</w:t>
      </w:r>
      <w:r w:rsidR="000248D0">
        <w:rPr>
          <w:lang w:val="en"/>
        </w:rPr>
        <w:t>.</w:t>
      </w:r>
      <w:r w:rsidR="004D1A98">
        <w:rPr>
          <w:lang w:val="en"/>
        </w:rPr>
        <w:t xml:space="preserve"> 2007, </w:t>
      </w:r>
      <w:r w:rsidR="00B76963" w:rsidRPr="00B42942">
        <w:t>OEHHA 2009</w:t>
      </w:r>
      <w:r w:rsidR="004D1A98">
        <w:rPr>
          <w:lang w:val="en"/>
        </w:rPr>
        <w:t>)</w:t>
      </w:r>
      <w:r>
        <w:rPr>
          <w:lang w:val="en"/>
        </w:rPr>
        <w:t>. The process for BPA degradation in marine water may differ to that for freshwater.</w:t>
      </w:r>
      <w:r w:rsidR="0033143F">
        <w:rPr>
          <w:lang w:val="en"/>
        </w:rPr>
        <w:t xml:space="preserve"> </w:t>
      </w:r>
      <w:r w:rsidR="000F58BB">
        <w:rPr>
          <w:lang w:val="en"/>
        </w:rPr>
        <w:t>Some</w:t>
      </w:r>
      <w:r>
        <w:rPr>
          <w:lang w:val="en"/>
        </w:rPr>
        <w:t xml:space="preserve"> data indicate that BPA may persist longer in </w:t>
      </w:r>
      <w:r w:rsidR="000F58BB">
        <w:rPr>
          <w:lang w:val="en"/>
        </w:rPr>
        <w:t xml:space="preserve">marine water </w:t>
      </w:r>
      <w:r w:rsidR="00565530">
        <w:rPr>
          <w:lang w:val="en"/>
        </w:rPr>
        <w:t>than</w:t>
      </w:r>
      <w:r>
        <w:rPr>
          <w:lang w:val="en"/>
        </w:rPr>
        <w:t xml:space="preserve"> </w:t>
      </w:r>
      <w:r w:rsidR="00E00E00">
        <w:rPr>
          <w:lang w:val="en"/>
        </w:rPr>
        <w:t xml:space="preserve">in </w:t>
      </w:r>
      <w:r>
        <w:rPr>
          <w:lang w:val="en"/>
        </w:rPr>
        <w:t>freshwater, increasing the potential for adverse effects to occur</w:t>
      </w:r>
      <w:r w:rsidR="00E001C3">
        <w:rPr>
          <w:lang w:val="en"/>
        </w:rPr>
        <w:t xml:space="preserve"> (</w:t>
      </w:r>
      <w:r w:rsidR="0021273D">
        <w:t xml:space="preserve">Sajiki &amp; Yonekubo 2003, </w:t>
      </w:r>
      <w:r w:rsidR="00E001C3">
        <w:t xml:space="preserve">Kang </w:t>
      </w:r>
      <w:r w:rsidR="0021273D">
        <w:t xml:space="preserve">&amp; Kondo </w:t>
      </w:r>
      <w:r w:rsidR="00E001C3">
        <w:t>2005)</w:t>
      </w:r>
      <w:r>
        <w:rPr>
          <w:lang w:val="en"/>
        </w:rPr>
        <w:t>. Under anaerobic conditions in natural water (including groundwater), little or no biodegradation of BPA may occur</w:t>
      </w:r>
      <w:r w:rsidR="00841394">
        <w:rPr>
          <w:lang w:val="en"/>
        </w:rPr>
        <w:t xml:space="preserve"> (</w:t>
      </w:r>
      <w:r w:rsidR="003868F1">
        <w:t xml:space="preserve">Ying et al. 2003, </w:t>
      </w:r>
      <w:r w:rsidR="00841394">
        <w:rPr>
          <w:lang w:val="en"/>
        </w:rPr>
        <w:t>Kang et al</w:t>
      </w:r>
      <w:r w:rsidR="00492649">
        <w:rPr>
          <w:lang w:val="en"/>
        </w:rPr>
        <w:t>.</w:t>
      </w:r>
      <w:r w:rsidR="00841394">
        <w:rPr>
          <w:lang w:val="en"/>
        </w:rPr>
        <w:t xml:space="preserve"> 2007, </w:t>
      </w:r>
      <w:r w:rsidR="00841394" w:rsidRPr="00B42942">
        <w:t xml:space="preserve">EC </w:t>
      </w:r>
      <w:r w:rsidR="003868F1">
        <w:t>&amp;</w:t>
      </w:r>
      <w:r w:rsidR="003868F1" w:rsidRPr="00B42942">
        <w:t xml:space="preserve"> </w:t>
      </w:r>
      <w:r w:rsidR="00841394" w:rsidRPr="00B42942">
        <w:t>HC 2008</w:t>
      </w:r>
      <w:r w:rsidR="00841394">
        <w:t>)</w:t>
      </w:r>
      <w:r>
        <w:rPr>
          <w:lang w:val="en"/>
        </w:rPr>
        <w:t>.</w:t>
      </w:r>
      <w:r w:rsidR="0033143F">
        <w:rPr>
          <w:lang w:val="en"/>
        </w:rPr>
        <w:t xml:space="preserve"> </w:t>
      </w:r>
      <w:r>
        <w:rPr>
          <w:lang w:val="en"/>
        </w:rPr>
        <w:t>In anoxic estuarine sediment, BPA has been reported to be resistant to degradation</w:t>
      </w:r>
      <w:r w:rsidR="00E001C3">
        <w:rPr>
          <w:lang w:val="en"/>
        </w:rPr>
        <w:t xml:space="preserve"> (</w:t>
      </w:r>
      <w:r w:rsidR="00E001C3">
        <w:t>Voordeckers et al</w:t>
      </w:r>
      <w:r w:rsidR="00492649">
        <w:t>.</w:t>
      </w:r>
      <w:r w:rsidR="00E001C3">
        <w:t xml:space="preserve"> 2002)</w:t>
      </w:r>
      <w:r>
        <w:rPr>
          <w:lang w:val="en"/>
        </w:rPr>
        <w:t>. There</w:t>
      </w:r>
      <w:r w:rsidR="00243D92">
        <w:rPr>
          <w:lang w:val="en"/>
        </w:rPr>
        <w:t>fore,</w:t>
      </w:r>
      <w:r>
        <w:rPr>
          <w:lang w:val="en"/>
        </w:rPr>
        <w:t xml:space="preserve"> there</w:t>
      </w:r>
      <w:r w:rsidR="00243D92">
        <w:rPr>
          <w:lang w:val="en"/>
        </w:rPr>
        <w:t xml:space="preserve"> is</w:t>
      </w:r>
      <w:r>
        <w:rPr>
          <w:lang w:val="en"/>
        </w:rPr>
        <w:t xml:space="preserve"> potential for accumulation of BPA in anoxic sediment</w:t>
      </w:r>
      <w:r w:rsidR="00C251E6">
        <w:rPr>
          <w:lang w:val="en"/>
        </w:rPr>
        <w:t xml:space="preserve"> pore water</w:t>
      </w:r>
      <w:r>
        <w:rPr>
          <w:lang w:val="en"/>
        </w:rPr>
        <w:t>.</w:t>
      </w:r>
      <w:r w:rsidR="0033143F">
        <w:rPr>
          <w:lang w:val="en"/>
        </w:rPr>
        <w:t xml:space="preserve"> </w:t>
      </w:r>
    </w:p>
    <w:p w14:paraId="66175AEA" w14:textId="77777777" w:rsidR="00AD5804" w:rsidRDefault="001272F6" w:rsidP="00AD5804">
      <w:pPr>
        <w:rPr>
          <w:lang w:val="en"/>
        </w:rPr>
      </w:pPr>
      <w:r>
        <w:rPr>
          <w:lang w:val="en"/>
        </w:rPr>
        <w:t xml:space="preserve">Primary biodegradation of BPA in an activated sludge treatment system with acclimated microbial populations has been reported to remove up to 99% of the BPA, although reduction rates in sewage treatment plants range from &lt;1% to 99%, depending on whether secondary treatment is </w:t>
      </w:r>
      <w:r w:rsidR="00B83568">
        <w:rPr>
          <w:lang w:val="en"/>
        </w:rPr>
        <w:t xml:space="preserve">used </w:t>
      </w:r>
      <w:r w:rsidR="004D1A98">
        <w:rPr>
          <w:lang w:val="en"/>
        </w:rPr>
        <w:t>(</w:t>
      </w:r>
      <w:r w:rsidR="00841394" w:rsidRPr="00B42942">
        <w:t xml:space="preserve">EC </w:t>
      </w:r>
      <w:r w:rsidR="006B2414">
        <w:t>&amp;</w:t>
      </w:r>
      <w:r w:rsidR="00841394" w:rsidRPr="00B42942">
        <w:t xml:space="preserve"> HC 2008</w:t>
      </w:r>
      <w:r w:rsidR="006B2414">
        <w:t>, NCBI 2020</w:t>
      </w:r>
      <w:r w:rsidR="004D1A98">
        <w:t>)</w:t>
      </w:r>
      <w:r>
        <w:rPr>
          <w:lang w:val="en"/>
        </w:rPr>
        <w:t>.</w:t>
      </w:r>
      <w:r w:rsidR="0033143F">
        <w:rPr>
          <w:lang w:val="en"/>
        </w:rPr>
        <w:t xml:space="preserve"> </w:t>
      </w:r>
      <w:r w:rsidR="005E41C2" w:rsidRPr="00AD0727">
        <w:rPr>
          <w:lang w:val="en"/>
        </w:rPr>
        <w:t>The range in reduction rates likely reflects whether microbial organisms are acclimated to BPA.</w:t>
      </w:r>
      <w:r w:rsidR="005E41C2">
        <w:rPr>
          <w:lang w:val="en"/>
        </w:rPr>
        <w:t xml:space="preserve"> </w:t>
      </w:r>
      <w:r>
        <w:rPr>
          <w:lang w:val="en"/>
        </w:rPr>
        <w:t xml:space="preserve">Major degradation products of BPA include 4-hydroxyacephenone and 4-hydroxybenzoic acid, which rapidly degrade to </w:t>
      </w:r>
      <w:r w:rsidR="00DE21C6">
        <w:rPr>
          <w:lang w:val="en"/>
        </w:rPr>
        <w:t xml:space="preserve">carbon dioxide </w:t>
      </w:r>
      <w:r>
        <w:rPr>
          <w:lang w:val="en"/>
        </w:rPr>
        <w:t>and water</w:t>
      </w:r>
      <w:r w:rsidR="004D1A98">
        <w:rPr>
          <w:lang w:val="en"/>
        </w:rPr>
        <w:t xml:space="preserve"> (</w:t>
      </w:r>
      <w:r w:rsidR="00B83568">
        <w:rPr>
          <w:lang w:val="en"/>
        </w:rPr>
        <w:t>NCBI 2020</w:t>
      </w:r>
      <w:r w:rsidR="004D1A98">
        <w:t>)</w:t>
      </w:r>
      <w:r w:rsidRPr="006F72B9">
        <w:rPr>
          <w:lang w:val="en"/>
        </w:rPr>
        <w:t>.</w:t>
      </w:r>
      <w:r w:rsidR="00243D92">
        <w:rPr>
          <w:lang w:val="en"/>
        </w:rPr>
        <w:t xml:space="preserve"> </w:t>
      </w:r>
      <w:r>
        <w:rPr>
          <w:lang w:val="en"/>
        </w:rPr>
        <w:t xml:space="preserve">Although BPA </w:t>
      </w:r>
      <w:r w:rsidR="004B5E82">
        <w:rPr>
          <w:lang w:val="en"/>
        </w:rPr>
        <w:t xml:space="preserve">can be </w:t>
      </w:r>
      <w:r>
        <w:rPr>
          <w:lang w:val="en"/>
        </w:rPr>
        <w:t>rapidly degrade</w:t>
      </w:r>
      <w:r w:rsidR="004B5E82">
        <w:rPr>
          <w:lang w:val="en"/>
        </w:rPr>
        <w:t>d</w:t>
      </w:r>
      <w:r>
        <w:rPr>
          <w:lang w:val="en"/>
        </w:rPr>
        <w:t xml:space="preserve"> in biological waste treatment systems,</w:t>
      </w:r>
      <w:r w:rsidRPr="009A0C19">
        <w:rPr>
          <w:lang w:val="en"/>
        </w:rPr>
        <w:t xml:space="preserve"> </w:t>
      </w:r>
      <w:r>
        <w:rPr>
          <w:lang w:val="en"/>
        </w:rPr>
        <w:t xml:space="preserve">detectable concentrations of BPA have been found in wastewater </w:t>
      </w:r>
      <w:r w:rsidR="00B3446D">
        <w:rPr>
          <w:lang w:val="en"/>
        </w:rPr>
        <w:t xml:space="preserve">due to </w:t>
      </w:r>
      <w:r w:rsidR="00B3446D" w:rsidRPr="00AD0727">
        <w:rPr>
          <w:lang w:val="en"/>
        </w:rPr>
        <w:t xml:space="preserve">incomplete BPA removal during treatment </w:t>
      </w:r>
      <w:r w:rsidR="00B3446D">
        <w:rPr>
          <w:lang w:val="en"/>
        </w:rPr>
        <w:t>from</w:t>
      </w:r>
      <w:r w:rsidR="00B3446D" w:rsidRPr="00AD0727">
        <w:rPr>
          <w:lang w:val="en"/>
        </w:rPr>
        <w:t xml:space="preserve"> paper and plastic production plants and domestic sewage treatment plants</w:t>
      </w:r>
      <w:r w:rsidR="00841394">
        <w:rPr>
          <w:lang w:val="en"/>
        </w:rPr>
        <w:t xml:space="preserve"> (Kang et al</w:t>
      </w:r>
      <w:r w:rsidR="00434D9F">
        <w:rPr>
          <w:lang w:val="en"/>
        </w:rPr>
        <w:t>.</w:t>
      </w:r>
      <w:r w:rsidR="00841394">
        <w:rPr>
          <w:lang w:val="en"/>
        </w:rPr>
        <w:t xml:space="preserve"> 2007, </w:t>
      </w:r>
      <w:r w:rsidR="00841394" w:rsidRPr="00B42942">
        <w:t xml:space="preserve">EC </w:t>
      </w:r>
      <w:r w:rsidR="00434D9F">
        <w:t>&amp;</w:t>
      </w:r>
      <w:r w:rsidR="00841394" w:rsidRPr="00B42942">
        <w:t xml:space="preserve"> HC 2008</w:t>
      </w:r>
      <w:r w:rsidR="00841394">
        <w:t>)</w:t>
      </w:r>
      <w:r>
        <w:rPr>
          <w:lang w:val="en"/>
        </w:rPr>
        <w:t>.</w:t>
      </w:r>
      <w:r w:rsidR="0033143F">
        <w:rPr>
          <w:lang w:val="en"/>
        </w:rPr>
        <w:t xml:space="preserve"> </w:t>
      </w:r>
    </w:p>
    <w:p w14:paraId="66175AEB" w14:textId="77777777" w:rsidR="00551F44" w:rsidRDefault="001272F6" w:rsidP="00AD5804">
      <w:r>
        <w:rPr>
          <w:lang w:val="en"/>
        </w:rPr>
        <w:t>The primary route of BPA contamination to the aquatic environment is via effluent from wastewater treatment plants and leaching from landfill sites</w:t>
      </w:r>
      <w:r w:rsidR="00841394">
        <w:rPr>
          <w:lang w:val="en"/>
        </w:rPr>
        <w:t xml:space="preserve"> (Kang et al</w:t>
      </w:r>
      <w:r w:rsidR="00C140BA">
        <w:rPr>
          <w:lang w:val="en"/>
        </w:rPr>
        <w:t>.</w:t>
      </w:r>
      <w:r w:rsidR="00841394">
        <w:rPr>
          <w:lang w:val="en"/>
        </w:rPr>
        <w:t xml:space="preserve"> 2007, EC </w:t>
      </w:r>
      <w:r w:rsidR="00C140BA">
        <w:rPr>
          <w:lang w:val="en"/>
        </w:rPr>
        <w:t>&amp;</w:t>
      </w:r>
      <w:r w:rsidR="00841394">
        <w:rPr>
          <w:lang w:val="en"/>
        </w:rPr>
        <w:t xml:space="preserve"> HC 2008)</w:t>
      </w:r>
      <w:r>
        <w:rPr>
          <w:lang w:val="en"/>
        </w:rPr>
        <w:t>.</w:t>
      </w:r>
      <w:r w:rsidR="0033143F">
        <w:rPr>
          <w:lang w:val="en"/>
        </w:rPr>
        <w:t xml:space="preserve"> </w:t>
      </w:r>
      <w:r>
        <w:t xml:space="preserve">BPA has been detected in fresh, marine and estuarine surface water, sediment, groundwater and soil, </w:t>
      </w:r>
      <w:r w:rsidR="00111E76">
        <w:t>and</w:t>
      </w:r>
      <w:r>
        <w:t xml:space="preserve"> in municipal and industrial waste treatment streams</w:t>
      </w:r>
      <w:r w:rsidR="004D1A98">
        <w:t xml:space="preserve"> </w:t>
      </w:r>
      <w:r w:rsidR="004D1A98">
        <w:rPr>
          <w:lang w:val="en"/>
        </w:rPr>
        <w:t>(</w:t>
      </w:r>
      <w:r w:rsidR="00024DF8">
        <w:t xml:space="preserve">Crain et al. 2007, </w:t>
      </w:r>
      <w:r w:rsidR="00841394" w:rsidRPr="00B42942">
        <w:t xml:space="preserve">EC </w:t>
      </w:r>
      <w:r w:rsidR="00024DF8">
        <w:t>&amp;</w:t>
      </w:r>
      <w:r w:rsidR="00841394" w:rsidRPr="00B42942">
        <w:t xml:space="preserve"> HC 2008</w:t>
      </w:r>
      <w:r w:rsidR="00B76963">
        <w:t xml:space="preserve">, </w:t>
      </w:r>
      <w:r w:rsidR="00B76963" w:rsidRPr="00B42942">
        <w:t>OEHHA 2009</w:t>
      </w:r>
      <w:r w:rsidR="00B76963">
        <w:t xml:space="preserve">, </w:t>
      </w:r>
      <w:r w:rsidR="00B76963" w:rsidRPr="00B42942">
        <w:t>Flint</w:t>
      </w:r>
      <w:r w:rsidR="00B76963">
        <w:t xml:space="preserve"> et al</w:t>
      </w:r>
      <w:r w:rsidR="00024DF8">
        <w:t>.</w:t>
      </w:r>
      <w:r w:rsidR="00B76963">
        <w:t xml:space="preserve"> 2012</w:t>
      </w:r>
      <w:r w:rsidR="00E001C3">
        <w:t xml:space="preserve">, </w:t>
      </w:r>
      <w:r w:rsidR="00024DF8">
        <w:t>NCBI 2020</w:t>
      </w:r>
      <w:r w:rsidR="004D1A98">
        <w:t>)</w:t>
      </w:r>
      <w:r>
        <w:t>.</w:t>
      </w:r>
      <w:r w:rsidR="0033143F">
        <w:t xml:space="preserve"> </w:t>
      </w:r>
      <w:r>
        <w:t>In fresh surface water, concentrations of BPA range from below the limits of reporting to 21</w:t>
      </w:r>
      <w:r w:rsidR="00506AB4">
        <w:t> </w:t>
      </w:r>
      <w:r>
        <w:t>µg/L, although most concentrations were reported below 0.5</w:t>
      </w:r>
      <w:r w:rsidR="00506AB4">
        <w:t> </w:t>
      </w:r>
      <w:r>
        <w:t>µg/L</w:t>
      </w:r>
      <w:r w:rsidR="004D1A98">
        <w:t xml:space="preserve"> </w:t>
      </w:r>
      <w:r w:rsidR="004D1A98">
        <w:rPr>
          <w:lang w:val="en"/>
        </w:rPr>
        <w:t>(</w:t>
      </w:r>
      <w:r w:rsidR="00506AB4" w:rsidRPr="00B42942">
        <w:rPr>
          <w:lang w:val="en"/>
        </w:rPr>
        <w:t>ECB 2003</w:t>
      </w:r>
      <w:r w:rsidR="00506AB4">
        <w:rPr>
          <w:lang w:val="en"/>
        </w:rPr>
        <w:t xml:space="preserve">, </w:t>
      </w:r>
      <w:r w:rsidR="00506AB4">
        <w:t xml:space="preserve">Tsai 2006, </w:t>
      </w:r>
      <w:r w:rsidR="004D1A98">
        <w:t>Kang et al</w:t>
      </w:r>
      <w:r w:rsidR="003C797C">
        <w:t>.</w:t>
      </w:r>
      <w:r w:rsidR="004D1A98">
        <w:t xml:space="preserve"> 2007</w:t>
      </w:r>
      <w:r w:rsidR="00841394">
        <w:t xml:space="preserve">, </w:t>
      </w:r>
      <w:r w:rsidR="00B76963" w:rsidRPr="00B42942">
        <w:t>OEHHA 2009</w:t>
      </w:r>
      <w:r w:rsidR="00B76963">
        <w:t>,</w:t>
      </w:r>
      <w:r w:rsidR="00506AB4">
        <w:t xml:space="preserve"> NCBI 2020</w:t>
      </w:r>
      <w:r w:rsidR="004D1A98">
        <w:t>)</w:t>
      </w:r>
      <w:r>
        <w:t xml:space="preserve">. There are </w:t>
      </w:r>
      <w:r w:rsidR="00AC21ED">
        <w:t>fewer</w:t>
      </w:r>
      <w:r w:rsidR="007512FE">
        <w:t xml:space="preserve"> </w:t>
      </w:r>
      <w:r>
        <w:t>data on BPA concentrations in marine and estuarine systems.</w:t>
      </w:r>
      <w:r w:rsidR="0033143F">
        <w:t xml:space="preserve"> </w:t>
      </w:r>
      <w:r>
        <w:t>Where data were available, these</w:t>
      </w:r>
      <w:r w:rsidRPr="005C7465">
        <w:t xml:space="preserve"> </w:t>
      </w:r>
      <w:r>
        <w:t>indicate generally lower concentrations than in freshwater systems</w:t>
      </w:r>
      <w:r w:rsidR="00B76963">
        <w:t xml:space="preserve"> (</w:t>
      </w:r>
      <w:r w:rsidR="003C797C">
        <w:t xml:space="preserve">Tsai 2006, Crain et al. 2007, </w:t>
      </w:r>
      <w:r w:rsidR="00B76963" w:rsidRPr="00B42942">
        <w:t>OEHHA 2009</w:t>
      </w:r>
      <w:r w:rsidR="00B76963">
        <w:t>)</w:t>
      </w:r>
      <w:r>
        <w:t>.</w:t>
      </w:r>
      <w:r w:rsidR="004C3820">
        <w:t xml:space="preserve"> </w:t>
      </w:r>
      <w:r>
        <w:t xml:space="preserve">Reported concentrations </w:t>
      </w:r>
      <w:r w:rsidR="00D30EC7">
        <w:t xml:space="preserve">of </w:t>
      </w:r>
      <w:r>
        <w:t xml:space="preserve">BPA </w:t>
      </w:r>
      <w:r w:rsidR="00FF21FB">
        <w:t xml:space="preserve">in various media </w:t>
      </w:r>
      <w:r>
        <w:t>are as follows:</w:t>
      </w:r>
    </w:p>
    <w:p w14:paraId="66175AEC" w14:textId="77777777" w:rsidR="00551F44" w:rsidRPr="00551F44" w:rsidRDefault="001272F6" w:rsidP="00551F44">
      <w:pPr>
        <w:pStyle w:val="ListBullet"/>
        <w:rPr>
          <w:lang w:val="en"/>
        </w:rPr>
      </w:pPr>
      <w:bookmarkStart w:id="2" w:name="_Hlk68682798"/>
      <w:r>
        <w:t>up to 2.47 µg/L, with most concentrations at or below 0.2 µg/L</w:t>
      </w:r>
      <w:r w:rsidR="00111E76">
        <w:t>,</w:t>
      </w:r>
      <w:r>
        <w:t xml:space="preserve"> in marine water</w:t>
      </w:r>
      <w:r w:rsidR="00111E76">
        <w:t xml:space="preserve"> (Tsai 2006, Crain et al. 2007, </w:t>
      </w:r>
      <w:r w:rsidR="00111E76" w:rsidRPr="00B42942">
        <w:t>OEHHA 2009</w:t>
      </w:r>
      <w:r w:rsidR="00111E76">
        <w:t>)</w:t>
      </w:r>
    </w:p>
    <w:bookmarkEnd w:id="2"/>
    <w:p w14:paraId="66175AED" w14:textId="77777777" w:rsidR="00551F44" w:rsidRPr="00551F44" w:rsidRDefault="001272F6" w:rsidP="00551F44">
      <w:pPr>
        <w:pStyle w:val="ListBullet"/>
        <w:rPr>
          <w:lang w:val="en"/>
        </w:rPr>
      </w:pPr>
      <w:r>
        <w:t>from &lt;0.5 µg/kg to 1 630 µg/kg</w:t>
      </w:r>
      <w:r w:rsidR="00111E76">
        <w:t xml:space="preserve"> in</w:t>
      </w:r>
      <w:r>
        <w:t xml:space="preserve"> </w:t>
      </w:r>
      <w:r w:rsidR="00111E76">
        <w:t>freshwater sediment (</w:t>
      </w:r>
      <w:r w:rsidR="00111E76" w:rsidRPr="00B42942">
        <w:rPr>
          <w:lang w:val="en"/>
        </w:rPr>
        <w:t>ECB 2003</w:t>
      </w:r>
      <w:r w:rsidR="00111E76">
        <w:rPr>
          <w:lang w:val="en"/>
        </w:rPr>
        <w:t xml:space="preserve">, </w:t>
      </w:r>
      <w:r w:rsidR="00111E76">
        <w:t>Kang et al. 2007)</w:t>
      </w:r>
    </w:p>
    <w:p w14:paraId="66175AEE" w14:textId="77777777" w:rsidR="00551F44" w:rsidRPr="00551F44" w:rsidRDefault="001272F6" w:rsidP="00551F44">
      <w:pPr>
        <w:pStyle w:val="ListBullet"/>
        <w:rPr>
          <w:lang w:val="en"/>
        </w:rPr>
      </w:pPr>
      <w:r>
        <w:t xml:space="preserve">from &lt;0.5 µg/kg to 53 µg/kg </w:t>
      </w:r>
      <w:r w:rsidR="00111E76">
        <w:t>marine sediment (Tsai 2006)</w:t>
      </w:r>
    </w:p>
    <w:p w14:paraId="66175AEF" w14:textId="77777777" w:rsidR="00551F44" w:rsidRPr="003D3F75" w:rsidRDefault="001272F6" w:rsidP="00551F44">
      <w:pPr>
        <w:pStyle w:val="ListBullet"/>
        <w:rPr>
          <w:lang w:val="en"/>
        </w:rPr>
      </w:pPr>
      <w:r>
        <w:t>from 15</w:t>
      </w:r>
      <w:r w:rsidR="00111E76">
        <w:t> µg/L</w:t>
      </w:r>
      <w:r>
        <w:t xml:space="preserve"> to 5</w:t>
      </w:r>
      <w:r w:rsidR="00111E76">
        <w:t> </w:t>
      </w:r>
      <w:r>
        <w:t>400</w:t>
      </w:r>
      <w:r w:rsidR="00111E76">
        <w:t> </w:t>
      </w:r>
      <w:r>
        <w:t xml:space="preserve">µg/L prior to treatment, </w:t>
      </w:r>
      <w:r w:rsidR="00111E76">
        <w:t xml:space="preserve">and from </w:t>
      </w:r>
      <w:r>
        <w:t>0.5</w:t>
      </w:r>
      <w:r w:rsidR="00111E76">
        <w:t> µg/L to</w:t>
      </w:r>
      <w:r>
        <w:t xml:space="preserve"> 5.1</w:t>
      </w:r>
      <w:r w:rsidR="00111E76">
        <w:t> </w:t>
      </w:r>
      <w:r>
        <w:t>µg/L after treatment</w:t>
      </w:r>
      <w:r w:rsidR="00111E76">
        <w:t>,</w:t>
      </w:r>
      <w:r>
        <w:t xml:space="preserve"> </w:t>
      </w:r>
      <w:r w:rsidR="00111E76">
        <w:t>in leachate from landfills (Kang et al. 2007).</w:t>
      </w:r>
    </w:p>
    <w:p w14:paraId="66175AF0" w14:textId="77777777" w:rsidR="00AD5804" w:rsidRPr="00366820" w:rsidRDefault="001272F6" w:rsidP="00AD5804">
      <w:pPr>
        <w:rPr>
          <w:lang w:val="en"/>
        </w:rPr>
      </w:pPr>
      <w:r>
        <w:rPr>
          <w:lang w:val="en"/>
        </w:rPr>
        <w:t>BPA has a low</w:t>
      </w:r>
      <w:r w:rsidR="00E81598">
        <w:rPr>
          <w:lang w:val="en"/>
        </w:rPr>
        <w:t>-</w:t>
      </w:r>
      <w:r>
        <w:rPr>
          <w:lang w:val="en"/>
        </w:rPr>
        <w:t>to</w:t>
      </w:r>
      <w:r w:rsidR="00E81598">
        <w:rPr>
          <w:lang w:val="en"/>
        </w:rPr>
        <w:t>-</w:t>
      </w:r>
      <w:r>
        <w:rPr>
          <w:lang w:val="en"/>
        </w:rPr>
        <w:t>moderate potential to bioaccumulate in aquatic organisms, with log</w:t>
      </w:r>
      <w:r w:rsidR="003F6D75">
        <w:rPr>
          <w:lang w:val="en"/>
        </w:rPr>
        <w:t> </w:t>
      </w:r>
      <w:r>
        <w:rPr>
          <w:lang w:val="en"/>
        </w:rPr>
        <w:t>K</w:t>
      </w:r>
      <w:r w:rsidR="00E81598" w:rsidRPr="004E7027">
        <w:rPr>
          <w:vertAlign w:val="subscript"/>
          <w:lang w:val="en"/>
        </w:rPr>
        <w:t>OW</w:t>
      </w:r>
      <w:r>
        <w:rPr>
          <w:lang w:val="en"/>
        </w:rPr>
        <w:t xml:space="preserve"> values rang</w:t>
      </w:r>
      <w:r w:rsidR="00AC21ED">
        <w:rPr>
          <w:lang w:val="en"/>
        </w:rPr>
        <w:t>ing</w:t>
      </w:r>
      <w:r>
        <w:rPr>
          <w:lang w:val="en"/>
        </w:rPr>
        <w:t xml:space="preserve"> from 2.2 to 4.16</w:t>
      </w:r>
      <w:r w:rsidR="00841394">
        <w:rPr>
          <w:lang w:val="en"/>
        </w:rPr>
        <w:t xml:space="preserve"> (</w:t>
      </w:r>
      <w:r w:rsidR="00E81598" w:rsidRPr="00B42942">
        <w:rPr>
          <w:lang w:val="en"/>
        </w:rPr>
        <w:t>ECB 2003</w:t>
      </w:r>
      <w:r w:rsidR="00E81598">
        <w:rPr>
          <w:lang w:val="en"/>
        </w:rPr>
        <w:t xml:space="preserve">, </w:t>
      </w:r>
      <w:r w:rsidR="00E81598">
        <w:t xml:space="preserve">Tsai 2006, </w:t>
      </w:r>
      <w:r w:rsidR="00841394" w:rsidRPr="00B42942">
        <w:t xml:space="preserve">EC </w:t>
      </w:r>
      <w:r w:rsidR="00E81598">
        <w:t>&amp;</w:t>
      </w:r>
      <w:r w:rsidR="00841394" w:rsidRPr="00B42942">
        <w:t xml:space="preserve"> HC 2008</w:t>
      </w:r>
      <w:r w:rsidR="00841394">
        <w:t>)</w:t>
      </w:r>
      <w:r>
        <w:rPr>
          <w:lang w:val="en"/>
        </w:rPr>
        <w:t>. Bioconcentration factors (</w:t>
      </w:r>
      <w:r w:rsidRPr="00193A44">
        <w:rPr>
          <w:lang w:val="en"/>
        </w:rPr>
        <w:t>BCF</w:t>
      </w:r>
      <w:r>
        <w:rPr>
          <w:lang w:val="en"/>
        </w:rPr>
        <w:t xml:space="preserve">s) in </w:t>
      </w:r>
      <w:r w:rsidR="00961E16">
        <w:rPr>
          <w:lang w:val="en"/>
        </w:rPr>
        <w:t xml:space="preserve">marine and freshwater </w:t>
      </w:r>
      <w:r>
        <w:rPr>
          <w:lang w:val="en"/>
        </w:rPr>
        <w:t xml:space="preserve">fish have been reported </w:t>
      </w:r>
      <w:r w:rsidR="00154E6D">
        <w:rPr>
          <w:lang w:val="en"/>
        </w:rPr>
        <w:t>as</w:t>
      </w:r>
      <w:r>
        <w:rPr>
          <w:lang w:val="en"/>
        </w:rPr>
        <w:t xml:space="preserve"> 3.5</w:t>
      </w:r>
      <w:r w:rsidR="00154E6D">
        <w:rPr>
          <w:lang w:val="en"/>
        </w:rPr>
        <w:t>–</w:t>
      </w:r>
      <w:r>
        <w:rPr>
          <w:lang w:val="en"/>
        </w:rPr>
        <w:t>5.5</w:t>
      </w:r>
      <w:r w:rsidR="00154E6D">
        <w:rPr>
          <w:lang w:val="en"/>
        </w:rPr>
        <w:t> </w:t>
      </w:r>
      <w:r>
        <w:rPr>
          <w:lang w:val="en"/>
        </w:rPr>
        <w:t>L/kg for rainbow trout (</w:t>
      </w:r>
      <w:r w:rsidRPr="00154E6D">
        <w:rPr>
          <w:rStyle w:val="Emphasis"/>
        </w:rPr>
        <w:t>Oncorhynchus mykiss</w:t>
      </w:r>
      <w:r>
        <w:rPr>
          <w:lang w:val="en"/>
        </w:rPr>
        <w:t>), 67.7</w:t>
      </w:r>
      <w:r w:rsidR="00154E6D">
        <w:rPr>
          <w:lang w:val="en"/>
        </w:rPr>
        <w:t> </w:t>
      </w:r>
      <w:r>
        <w:rPr>
          <w:lang w:val="en"/>
        </w:rPr>
        <w:t>L/kg for carp (</w:t>
      </w:r>
      <w:r w:rsidRPr="00154E6D">
        <w:rPr>
          <w:rStyle w:val="Emphasis"/>
        </w:rPr>
        <w:t>Cyprinus carpio</w:t>
      </w:r>
      <w:r>
        <w:rPr>
          <w:lang w:val="en"/>
        </w:rPr>
        <w:t>)</w:t>
      </w:r>
      <w:r w:rsidR="00084BB1">
        <w:rPr>
          <w:lang w:val="en"/>
        </w:rPr>
        <w:t>,</w:t>
      </w:r>
      <w:r>
        <w:rPr>
          <w:lang w:val="en"/>
        </w:rPr>
        <w:t xml:space="preserve"> 73.4</w:t>
      </w:r>
      <w:r w:rsidR="00154E6D">
        <w:rPr>
          <w:lang w:val="en"/>
        </w:rPr>
        <w:t> </w:t>
      </w:r>
      <w:r>
        <w:rPr>
          <w:lang w:val="en"/>
        </w:rPr>
        <w:t xml:space="preserve">L/kg </w:t>
      </w:r>
      <w:r w:rsidR="00C4265A">
        <w:rPr>
          <w:lang w:val="en"/>
        </w:rPr>
        <w:t xml:space="preserve">for </w:t>
      </w:r>
      <w:r>
        <w:rPr>
          <w:lang w:val="en"/>
        </w:rPr>
        <w:t>medaka (</w:t>
      </w:r>
      <w:r w:rsidRPr="00154E6D">
        <w:rPr>
          <w:rStyle w:val="Emphasis"/>
        </w:rPr>
        <w:t>Oryzias latipes</w:t>
      </w:r>
      <w:r>
        <w:rPr>
          <w:lang w:val="en"/>
        </w:rPr>
        <w:t>)</w:t>
      </w:r>
      <w:r w:rsidR="004D1A98">
        <w:rPr>
          <w:lang w:val="en"/>
        </w:rPr>
        <w:t xml:space="preserve"> </w:t>
      </w:r>
      <w:r w:rsidR="00084BB1">
        <w:rPr>
          <w:lang w:val="en"/>
        </w:rPr>
        <w:t>and 38</w:t>
      </w:r>
      <w:r w:rsidR="00A3171C">
        <w:rPr>
          <w:lang w:val="en"/>
        </w:rPr>
        <w:t> </w:t>
      </w:r>
      <w:r w:rsidR="00084BB1">
        <w:rPr>
          <w:lang w:val="en"/>
        </w:rPr>
        <w:t>L/kg for spotted halibut (</w:t>
      </w:r>
      <w:r w:rsidR="00084BB1" w:rsidRPr="007F558A">
        <w:rPr>
          <w:rStyle w:val="Emphasis"/>
        </w:rPr>
        <w:t>Varaspar variegates</w:t>
      </w:r>
      <w:r w:rsidR="00084BB1">
        <w:rPr>
          <w:lang w:val="en"/>
        </w:rPr>
        <w:t xml:space="preserve">) </w:t>
      </w:r>
      <w:r w:rsidR="004D1A98">
        <w:rPr>
          <w:lang w:val="en"/>
        </w:rPr>
        <w:t>(</w:t>
      </w:r>
      <w:r w:rsidR="00154E6D" w:rsidRPr="00B42942">
        <w:rPr>
          <w:lang w:val="en"/>
        </w:rPr>
        <w:t>ECB 2003</w:t>
      </w:r>
      <w:r w:rsidR="00154E6D">
        <w:rPr>
          <w:lang w:val="en"/>
        </w:rPr>
        <w:t xml:space="preserve">, </w:t>
      </w:r>
      <w:r w:rsidR="00154E6D" w:rsidRPr="00B42942">
        <w:t xml:space="preserve">EC </w:t>
      </w:r>
      <w:r w:rsidR="00154E6D">
        <w:t>&amp;</w:t>
      </w:r>
      <w:r w:rsidR="00154E6D" w:rsidRPr="00B42942">
        <w:t xml:space="preserve"> HC 2008</w:t>
      </w:r>
      <w:r w:rsidR="00154E6D">
        <w:t>, NCBI 2020</w:t>
      </w:r>
      <w:r w:rsidR="004D1A98">
        <w:t>)</w:t>
      </w:r>
      <w:r w:rsidRPr="00193A44">
        <w:rPr>
          <w:lang w:val="en"/>
        </w:rPr>
        <w:t xml:space="preserve">. </w:t>
      </w:r>
      <w:r>
        <w:rPr>
          <w:lang w:val="en"/>
        </w:rPr>
        <w:t>Higher BCF</w:t>
      </w:r>
      <w:r w:rsidR="00A20BF1">
        <w:rPr>
          <w:lang w:val="en"/>
        </w:rPr>
        <w:t>s</w:t>
      </w:r>
      <w:r>
        <w:rPr>
          <w:lang w:val="en"/>
        </w:rPr>
        <w:t xml:space="preserve"> of 94</w:t>
      </w:r>
      <w:r w:rsidR="00154E6D">
        <w:rPr>
          <w:lang w:val="en"/>
        </w:rPr>
        <w:t>–</w:t>
      </w:r>
      <w:r>
        <w:rPr>
          <w:lang w:val="en"/>
        </w:rPr>
        <w:t>182</w:t>
      </w:r>
      <w:r w:rsidR="00154E6D">
        <w:rPr>
          <w:lang w:val="en"/>
        </w:rPr>
        <w:t> </w:t>
      </w:r>
      <w:r>
        <w:rPr>
          <w:lang w:val="en"/>
        </w:rPr>
        <w:t>L/kg have been reported for salmon (</w:t>
      </w:r>
      <w:r w:rsidRPr="001D56BA">
        <w:rPr>
          <w:rStyle w:val="Emphasis"/>
        </w:rPr>
        <w:t>Salmo salar</w:t>
      </w:r>
      <w:r>
        <w:rPr>
          <w:lang w:val="en"/>
        </w:rPr>
        <w:t xml:space="preserve"> m</w:t>
      </w:r>
      <w:r w:rsidR="001D56BA">
        <w:rPr>
          <w:lang w:val="en"/>
        </w:rPr>
        <w:t>.</w:t>
      </w:r>
      <w:r>
        <w:rPr>
          <w:lang w:val="en"/>
        </w:rPr>
        <w:t xml:space="preserve"> </w:t>
      </w:r>
      <w:r w:rsidR="001D56BA" w:rsidRPr="001D56BA">
        <w:rPr>
          <w:rStyle w:val="Emphasis"/>
        </w:rPr>
        <w:t>sebago</w:t>
      </w:r>
      <w:r>
        <w:rPr>
          <w:lang w:val="en"/>
        </w:rPr>
        <w:t>) yolk-sac fry, suggesting greater accumulation of BPA in early life stages</w:t>
      </w:r>
      <w:r w:rsidR="00E001C3">
        <w:rPr>
          <w:lang w:val="en"/>
        </w:rPr>
        <w:t xml:space="preserve"> (</w:t>
      </w:r>
      <w:r w:rsidR="00A20BF1" w:rsidRPr="00A20BF1">
        <w:t>Honkanen et al. 2004</w:t>
      </w:r>
      <w:r w:rsidR="00E001C3">
        <w:t>)</w:t>
      </w:r>
      <w:r>
        <w:rPr>
          <w:lang w:val="en"/>
        </w:rPr>
        <w:t>.</w:t>
      </w:r>
      <w:r w:rsidR="004C3820">
        <w:rPr>
          <w:lang w:val="en"/>
        </w:rPr>
        <w:t xml:space="preserve"> </w:t>
      </w:r>
      <w:r>
        <w:rPr>
          <w:lang w:val="en"/>
        </w:rPr>
        <w:t>In freshwater clams (</w:t>
      </w:r>
      <w:r w:rsidRPr="001D56BA">
        <w:rPr>
          <w:rStyle w:val="Emphasis"/>
        </w:rPr>
        <w:t>Pisidium amnicum</w:t>
      </w:r>
      <w:r w:rsidRPr="006148D1">
        <w:rPr>
          <w:lang w:val="en"/>
        </w:rPr>
        <w:t>)</w:t>
      </w:r>
      <w:r>
        <w:rPr>
          <w:lang w:val="en"/>
        </w:rPr>
        <w:t xml:space="preserve"> and frogs (</w:t>
      </w:r>
      <w:r w:rsidRPr="001D56BA">
        <w:rPr>
          <w:rStyle w:val="Emphasis"/>
        </w:rPr>
        <w:t>Rana temporaria</w:t>
      </w:r>
      <w:r>
        <w:rPr>
          <w:lang w:val="en"/>
        </w:rPr>
        <w:t>)</w:t>
      </w:r>
      <w:r w:rsidR="00CF4D42">
        <w:rPr>
          <w:lang w:val="en"/>
        </w:rPr>
        <w:t>,</w:t>
      </w:r>
      <w:r>
        <w:rPr>
          <w:lang w:val="en"/>
        </w:rPr>
        <w:t xml:space="preserve"> BCF</w:t>
      </w:r>
      <w:r w:rsidR="00CB117F">
        <w:rPr>
          <w:lang w:val="en"/>
        </w:rPr>
        <w:t>s</w:t>
      </w:r>
      <w:r>
        <w:rPr>
          <w:lang w:val="en"/>
        </w:rPr>
        <w:t xml:space="preserve"> of 110</w:t>
      </w:r>
      <w:r w:rsidR="001D56BA">
        <w:rPr>
          <w:lang w:val="en"/>
        </w:rPr>
        <w:t>–</w:t>
      </w:r>
      <w:r>
        <w:rPr>
          <w:lang w:val="en"/>
        </w:rPr>
        <w:t>144</w:t>
      </w:r>
      <w:r w:rsidR="001D56BA">
        <w:rPr>
          <w:lang w:val="en"/>
        </w:rPr>
        <w:t> </w:t>
      </w:r>
      <w:r>
        <w:rPr>
          <w:lang w:val="en"/>
        </w:rPr>
        <w:t>L/kg and 131</w:t>
      </w:r>
      <w:r w:rsidR="001D56BA">
        <w:rPr>
          <w:lang w:val="en"/>
        </w:rPr>
        <w:t>–</w:t>
      </w:r>
      <w:r>
        <w:rPr>
          <w:lang w:val="en"/>
        </w:rPr>
        <w:t>147</w:t>
      </w:r>
      <w:r w:rsidR="001D56BA">
        <w:rPr>
          <w:lang w:val="en"/>
        </w:rPr>
        <w:t> </w:t>
      </w:r>
      <w:r>
        <w:rPr>
          <w:lang w:val="en"/>
        </w:rPr>
        <w:t>L/kg, respectively</w:t>
      </w:r>
      <w:r w:rsidR="00A20BF1">
        <w:rPr>
          <w:lang w:val="en"/>
        </w:rPr>
        <w:t>,</w:t>
      </w:r>
      <w:r>
        <w:rPr>
          <w:lang w:val="en"/>
        </w:rPr>
        <w:t xml:space="preserve"> have been reported</w:t>
      </w:r>
      <w:r w:rsidR="00841394">
        <w:rPr>
          <w:lang w:val="en"/>
        </w:rPr>
        <w:t xml:space="preserve"> (</w:t>
      </w:r>
      <w:r w:rsidR="001D56BA" w:rsidRPr="00B42942">
        <w:rPr>
          <w:lang w:val="en"/>
        </w:rPr>
        <w:t>ECB 2003</w:t>
      </w:r>
      <w:r w:rsidR="001D56BA">
        <w:rPr>
          <w:lang w:val="en"/>
        </w:rPr>
        <w:t xml:space="preserve">, </w:t>
      </w:r>
      <w:r w:rsidR="00841394" w:rsidRPr="00B42942">
        <w:t xml:space="preserve">EC </w:t>
      </w:r>
      <w:r w:rsidR="001D56BA">
        <w:t>&amp;</w:t>
      </w:r>
      <w:r w:rsidR="00841394" w:rsidRPr="00B42942">
        <w:t xml:space="preserve"> HC 2008</w:t>
      </w:r>
      <w:r w:rsidR="00841394">
        <w:t>)</w:t>
      </w:r>
      <w:r>
        <w:rPr>
          <w:lang w:val="en"/>
        </w:rPr>
        <w:t>.</w:t>
      </w:r>
      <w:r w:rsidR="004C3820">
        <w:rPr>
          <w:lang w:val="en"/>
        </w:rPr>
        <w:t xml:space="preserve"> </w:t>
      </w:r>
      <w:r>
        <w:rPr>
          <w:lang w:val="en"/>
        </w:rPr>
        <w:t>Concentrations of BPA in freshwater biota have been reported up to 0.075</w:t>
      </w:r>
      <w:r w:rsidR="00A20BF1">
        <w:rPr>
          <w:lang w:val="en"/>
        </w:rPr>
        <w:t> </w:t>
      </w:r>
      <w:r>
        <w:rPr>
          <w:lang w:val="en"/>
        </w:rPr>
        <w:t>mg/kg (d</w:t>
      </w:r>
      <w:r w:rsidR="00A5710B">
        <w:rPr>
          <w:lang w:val="en"/>
        </w:rPr>
        <w:t xml:space="preserve">ry </w:t>
      </w:r>
      <w:r>
        <w:rPr>
          <w:lang w:val="en"/>
        </w:rPr>
        <w:t>w</w:t>
      </w:r>
      <w:r w:rsidR="00A5710B">
        <w:rPr>
          <w:lang w:val="en"/>
        </w:rPr>
        <w:t>eight</w:t>
      </w:r>
      <w:r>
        <w:rPr>
          <w:lang w:val="en"/>
        </w:rPr>
        <w:t>) in fish liver and 0.011</w:t>
      </w:r>
      <w:r w:rsidR="00A20BF1">
        <w:rPr>
          <w:lang w:val="en"/>
        </w:rPr>
        <w:t> </w:t>
      </w:r>
      <w:r>
        <w:rPr>
          <w:lang w:val="en"/>
        </w:rPr>
        <w:t>mg/kg in snails</w:t>
      </w:r>
      <w:r w:rsidR="00B76963">
        <w:rPr>
          <w:lang w:val="en"/>
        </w:rPr>
        <w:t xml:space="preserve"> (</w:t>
      </w:r>
      <w:r w:rsidR="00B76963" w:rsidRPr="00B42942">
        <w:t>OEHHA 2009</w:t>
      </w:r>
      <w:r w:rsidR="00B76963">
        <w:t>)</w:t>
      </w:r>
      <w:r>
        <w:rPr>
          <w:lang w:val="en"/>
        </w:rPr>
        <w:t>. In marine biota (prawns, crab</w:t>
      </w:r>
      <w:r w:rsidR="00A20BF1">
        <w:rPr>
          <w:lang w:val="en"/>
        </w:rPr>
        <w:t>s</w:t>
      </w:r>
      <w:r>
        <w:rPr>
          <w:lang w:val="en"/>
        </w:rPr>
        <w:t>, molluscs, squid and fish), concentrations up to 0.213</w:t>
      </w:r>
      <w:r w:rsidR="00A20BF1">
        <w:rPr>
          <w:lang w:val="en"/>
        </w:rPr>
        <w:t> </w:t>
      </w:r>
      <w:r>
        <w:rPr>
          <w:lang w:val="en"/>
        </w:rPr>
        <w:t>mg/kg have been reported</w:t>
      </w:r>
      <w:r w:rsidR="00B76963">
        <w:rPr>
          <w:lang w:val="en"/>
        </w:rPr>
        <w:t xml:space="preserve"> (</w:t>
      </w:r>
      <w:r w:rsidR="00B76963" w:rsidRPr="00B42942">
        <w:t>OEHHA 2009</w:t>
      </w:r>
      <w:r w:rsidR="00B76963">
        <w:t>)</w:t>
      </w:r>
      <w:r>
        <w:rPr>
          <w:lang w:val="en"/>
        </w:rPr>
        <w:t>.</w:t>
      </w:r>
    </w:p>
    <w:p w14:paraId="66175AF1" w14:textId="77777777" w:rsidR="00BF0280" w:rsidRDefault="001272F6" w:rsidP="00BF0280">
      <w:pPr>
        <w:pStyle w:val="Heading2"/>
      </w:pPr>
      <w:bookmarkStart w:id="3" w:name="_Toc68691033"/>
      <w:r>
        <w:t>Aquatic toxicology</w:t>
      </w:r>
      <w:bookmarkEnd w:id="3"/>
    </w:p>
    <w:p w14:paraId="66175AF2" w14:textId="77777777" w:rsidR="006470C8" w:rsidRPr="006B58E3" w:rsidRDefault="001272F6" w:rsidP="006470C8">
      <w:pPr>
        <w:pStyle w:val="Heading3"/>
      </w:pPr>
      <w:bookmarkStart w:id="4" w:name="_Toc59700367"/>
      <w:bookmarkStart w:id="5" w:name="_Toc68691034"/>
      <w:r w:rsidRPr="006B58E3">
        <w:t>Mechanism of toxicity</w:t>
      </w:r>
      <w:bookmarkEnd w:id="4"/>
      <w:bookmarkEnd w:id="5"/>
    </w:p>
    <w:p w14:paraId="66175AF3" w14:textId="77777777" w:rsidR="006470C8" w:rsidRDefault="001272F6" w:rsidP="006470C8">
      <w:r>
        <w:t>BPA</w:t>
      </w:r>
      <w:r w:rsidRPr="004602B1">
        <w:t xml:space="preserve"> is a nonsteroidal xenoestrogen and endocrine disruptor that exhibits both oestradiol and anti-androgen activity in aquatic organisms following chronic exposures. </w:t>
      </w:r>
      <w:r>
        <w:t>BPA</w:t>
      </w:r>
      <w:r w:rsidRPr="004602B1">
        <w:t xml:space="preserve"> also has an active, but poorly understood</w:t>
      </w:r>
      <w:r>
        <w:t>,</w:t>
      </w:r>
      <w:r w:rsidRPr="004602B1">
        <w:t xml:space="preserve"> involvement in steroidal sex hormones in plant development and growth processes (Speranza 2010).</w:t>
      </w:r>
      <w:r>
        <w:t xml:space="preserve"> </w:t>
      </w:r>
      <w:r w:rsidRPr="007139CB">
        <w:t>Th</w:t>
      </w:r>
      <w:r>
        <w:t>us, th</w:t>
      </w:r>
      <w:r w:rsidRPr="007139CB">
        <w:t>e mode of action of BPA is known to affect both plants and animals (Speranza 2010)</w:t>
      </w:r>
      <w:r>
        <w:t>.</w:t>
      </w:r>
    </w:p>
    <w:p w14:paraId="66175AF4" w14:textId="77777777" w:rsidR="006470C8" w:rsidRDefault="001272F6" w:rsidP="006470C8">
      <w:pPr>
        <w:pStyle w:val="Heading3"/>
      </w:pPr>
      <w:bookmarkStart w:id="6" w:name="_Toc59700368"/>
      <w:bookmarkStart w:id="7" w:name="_Toc68691035"/>
      <w:r>
        <w:t>Toxicity</w:t>
      </w:r>
      <w:bookmarkEnd w:id="6"/>
      <w:bookmarkEnd w:id="7"/>
    </w:p>
    <w:p w14:paraId="66175AF5" w14:textId="77777777" w:rsidR="00707166" w:rsidRDefault="001272F6" w:rsidP="005A3D73">
      <w:r w:rsidRPr="00AD58FD">
        <w:t xml:space="preserve">A literature review of the effects of </w:t>
      </w:r>
      <w:r w:rsidR="00530EB2">
        <w:t>BPA</w:t>
      </w:r>
      <w:r w:rsidR="00AD58FD" w:rsidRPr="00AD58FD">
        <w:t xml:space="preserve"> on </w:t>
      </w:r>
      <w:r w:rsidRPr="00AD58FD">
        <w:t>freshwater</w:t>
      </w:r>
      <w:r w:rsidR="00AD58FD" w:rsidRPr="00AD58FD">
        <w:t xml:space="preserve"> and marine</w:t>
      </w:r>
      <w:r w:rsidRPr="00AD58FD">
        <w:t xml:space="preserve"> organisms indicated less extensive research has been undertaken</w:t>
      </w:r>
      <w:r w:rsidR="00AD58FD" w:rsidRPr="00AD58FD">
        <w:t xml:space="preserve"> on marine</w:t>
      </w:r>
      <w:r w:rsidRPr="00AD58FD">
        <w:t xml:space="preserve"> </w:t>
      </w:r>
      <w:r w:rsidR="008F2255">
        <w:t xml:space="preserve">organisms </w:t>
      </w:r>
      <w:r w:rsidRPr="00AD58FD">
        <w:t xml:space="preserve">compared to </w:t>
      </w:r>
      <w:r w:rsidR="00AD58FD" w:rsidRPr="00AD58FD">
        <w:t>freshwater organisms</w:t>
      </w:r>
      <w:r w:rsidRPr="00AD58FD">
        <w:t xml:space="preserve">. </w:t>
      </w:r>
      <w:r>
        <w:t xml:space="preserve">The following summarises </w:t>
      </w:r>
      <w:r w:rsidR="00530EB2">
        <w:t xml:space="preserve">the </w:t>
      </w:r>
      <w:r>
        <w:t xml:space="preserve">effects of </w:t>
      </w:r>
      <w:r w:rsidR="00530EB2">
        <w:t>BPA</w:t>
      </w:r>
      <w:r>
        <w:t xml:space="preserve"> </w:t>
      </w:r>
      <w:r w:rsidR="004E19AB">
        <w:t xml:space="preserve">that </w:t>
      </w:r>
      <w:r>
        <w:t xml:space="preserve">have been observed in aquatic organisms in either marine </w:t>
      </w:r>
      <w:r w:rsidR="00530EB2">
        <w:t xml:space="preserve">water </w:t>
      </w:r>
      <w:r>
        <w:t>or freshwater</w:t>
      </w:r>
      <w:r w:rsidR="00530EB2">
        <w:t>.</w:t>
      </w:r>
    </w:p>
    <w:p w14:paraId="66175AF6" w14:textId="77777777" w:rsidR="00707166" w:rsidRDefault="001272F6" w:rsidP="005A3D73">
      <w:pPr>
        <w:pStyle w:val="ListBullet"/>
      </w:pPr>
      <w:r>
        <w:t>Effects reported for fish include: inhibition of gonadal growth in males and females, vitellogenin induction, induction of apoptosis in testis cells, inhibition of spermatogenesis and reduced percentage of spermatocytes, embryonic deformities, and intersex.</w:t>
      </w:r>
      <w:r w:rsidR="004C3820">
        <w:t xml:space="preserve"> </w:t>
      </w:r>
    </w:p>
    <w:p w14:paraId="66175AF7" w14:textId="77777777" w:rsidR="00707166" w:rsidRDefault="001272F6" w:rsidP="005A3D73">
      <w:pPr>
        <w:pStyle w:val="ListBullet"/>
      </w:pPr>
      <w:r>
        <w:t xml:space="preserve">Effects reported for invertebrates include: premature metamorphosis of larvae, developmental inhibition, delayed larval emergence, altered sex ratios, </w:t>
      </w:r>
      <w:r w:rsidR="00C20586">
        <w:t xml:space="preserve">reduced </w:t>
      </w:r>
      <w:r>
        <w:t>feeding behaviour, super</w:t>
      </w:r>
      <w:r w:rsidR="006470C8">
        <w:t>-</w:t>
      </w:r>
      <w:r>
        <w:t>femini</w:t>
      </w:r>
      <w:r w:rsidR="00530EB2">
        <w:t>s</w:t>
      </w:r>
      <w:r>
        <w:t>ation and imposex, oviduct rupture and morphological deformities</w:t>
      </w:r>
      <w:r w:rsidR="00841394">
        <w:t xml:space="preserve"> (Kang et al</w:t>
      </w:r>
      <w:r w:rsidR="00492649">
        <w:t>.</w:t>
      </w:r>
      <w:r w:rsidR="00841394">
        <w:t xml:space="preserve"> 2007</w:t>
      </w:r>
      <w:r w:rsidR="00B76963">
        <w:t xml:space="preserve">, </w:t>
      </w:r>
      <w:r w:rsidR="00B76963" w:rsidRPr="00B42942">
        <w:t>OEHHA 2009</w:t>
      </w:r>
      <w:r w:rsidR="00B76963">
        <w:t xml:space="preserve">, </w:t>
      </w:r>
      <w:r w:rsidR="00B76963" w:rsidRPr="00B42942">
        <w:t>Flint</w:t>
      </w:r>
      <w:r w:rsidR="00B76963">
        <w:t xml:space="preserve"> et al</w:t>
      </w:r>
      <w:r w:rsidR="00530EB2">
        <w:t>.</w:t>
      </w:r>
      <w:r w:rsidR="00B76963">
        <w:t xml:space="preserve"> 2012</w:t>
      </w:r>
      <w:r w:rsidR="00841394">
        <w:t>)</w:t>
      </w:r>
      <w:r>
        <w:t xml:space="preserve">. </w:t>
      </w:r>
    </w:p>
    <w:p w14:paraId="66175AF8" w14:textId="77777777" w:rsidR="00707166" w:rsidRDefault="001272F6" w:rsidP="00707166">
      <w:r>
        <w:t>BPA is acutely toxic to aquatic organisms and adversely affect</w:t>
      </w:r>
      <w:r w:rsidR="004A3B99">
        <w:t>s</w:t>
      </w:r>
      <w:r>
        <w:t xml:space="preserve"> growth and development</w:t>
      </w:r>
      <w:r w:rsidR="004D1A98">
        <w:t xml:space="preserve"> </w:t>
      </w:r>
      <w:r w:rsidR="004D1A98">
        <w:rPr>
          <w:lang w:val="en"/>
        </w:rPr>
        <w:t>(</w:t>
      </w:r>
      <w:r w:rsidR="00BE36E4" w:rsidRPr="00B42942">
        <w:t>Chen</w:t>
      </w:r>
      <w:r w:rsidR="00BE36E4">
        <w:t xml:space="preserve"> et al. 2002</w:t>
      </w:r>
      <w:r w:rsidR="004D1A98">
        <w:t>, Kang et al</w:t>
      </w:r>
      <w:r w:rsidR="00BE36E4">
        <w:t>.</w:t>
      </w:r>
      <w:r w:rsidR="004D1A98">
        <w:t xml:space="preserve"> 2007</w:t>
      </w:r>
      <w:r w:rsidR="00841394">
        <w:t xml:space="preserve">, </w:t>
      </w:r>
      <w:r w:rsidR="00841394" w:rsidRPr="00B42942">
        <w:t xml:space="preserve">EC </w:t>
      </w:r>
      <w:r w:rsidR="00BE36E4">
        <w:t>&amp;</w:t>
      </w:r>
      <w:r w:rsidR="00BE36E4" w:rsidRPr="00B42942">
        <w:t xml:space="preserve"> </w:t>
      </w:r>
      <w:r w:rsidR="00841394" w:rsidRPr="00B42942">
        <w:t>HC 2008</w:t>
      </w:r>
      <w:r w:rsidR="00971491">
        <w:t>,</w:t>
      </w:r>
      <w:r w:rsidR="00BE36E4" w:rsidRPr="00BE36E4">
        <w:t xml:space="preserve"> </w:t>
      </w:r>
      <w:r w:rsidR="00BE36E4">
        <w:t>NCBI 2020</w:t>
      </w:r>
      <w:r w:rsidR="004D1A98">
        <w:t>)</w:t>
      </w:r>
      <w:r>
        <w:t>.</w:t>
      </w:r>
      <w:r w:rsidRPr="001D0FB1">
        <w:t xml:space="preserve"> </w:t>
      </w:r>
      <w:r>
        <w:t>There is evidence that low</w:t>
      </w:r>
      <w:r w:rsidR="00E11701">
        <w:t xml:space="preserve"> </w:t>
      </w:r>
      <w:r>
        <w:t>level exposure to BPA, particularly at sensitive life stages, can lead to permanent alterations in hormonal, developmental or reproductive capacities</w:t>
      </w:r>
      <w:r w:rsidR="00841394">
        <w:t xml:space="preserve"> (</w:t>
      </w:r>
      <w:r w:rsidR="00E11701" w:rsidRPr="00B42942">
        <w:rPr>
          <w:lang w:val="en"/>
        </w:rPr>
        <w:t>ECB 2003</w:t>
      </w:r>
      <w:r w:rsidR="00E11701">
        <w:rPr>
          <w:lang w:val="en"/>
        </w:rPr>
        <w:t xml:space="preserve">, </w:t>
      </w:r>
      <w:r w:rsidR="00841394">
        <w:t xml:space="preserve">EC </w:t>
      </w:r>
      <w:r w:rsidR="00E11701">
        <w:t>&amp;</w:t>
      </w:r>
      <w:r w:rsidR="00841394">
        <w:t xml:space="preserve"> HC 2008</w:t>
      </w:r>
      <w:r w:rsidR="00841394">
        <w:rPr>
          <w:lang w:val="en"/>
        </w:rPr>
        <w:t>)</w:t>
      </w:r>
      <w:r>
        <w:t xml:space="preserve">. These data indicate </w:t>
      </w:r>
      <w:r w:rsidRPr="001D0FB1">
        <w:t>that</w:t>
      </w:r>
      <w:r>
        <w:t xml:space="preserve"> </w:t>
      </w:r>
      <w:r w:rsidRPr="001D0FB1">
        <w:t>endocrine disruption may be the most sensitive endpoint</w:t>
      </w:r>
      <w:r>
        <w:t xml:space="preserve"> of BPA, with many of the lowest effect concentrations for reproductive endpoints (e.g. vitellogenin induction, gonad development, sex ratios) occurring in the range of 1 µg/L to 1 mg/L in fish, aquatic invertebrates and frogs </w:t>
      </w:r>
      <w:r w:rsidR="004D1A98">
        <w:t>(</w:t>
      </w:r>
      <w:r w:rsidR="00BA066D" w:rsidRPr="00B42942">
        <w:t>Sohoni</w:t>
      </w:r>
      <w:r w:rsidR="00BA066D">
        <w:t xml:space="preserve"> et al. 2001, </w:t>
      </w:r>
      <w:r w:rsidR="00BA066D" w:rsidRPr="00B42942">
        <w:rPr>
          <w:lang w:val="en"/>
        </w:rPr>
        <w:t>ECB 2003</w:t>
      </w:r>
      <w:r w:rsidR="00BA066D">
        <w:rPr>
          <w:lang w:val="en"/>
        </w:rPr>
        <w:t xml:space="preserve">, </w:t>
      </w:r>
      <w:r w:rsidR="004D1A98">
        <w:t>Kang et al</w:t>
      </w:r>
      <w:r w:rsidR="00BA066D">
        <w:t>.</w:t>
      </w:r>
      <w:r w:rsidR="004D1A98">
        <w:t xml:space="preserve"> 2007</w:t>
      </w:r>
      <w:r w:rsidR="00841394">
        <w:t xml:space="preserve">, </w:t>
      </w:r>
      <w:r w:rsidR="00841394" w:rsidRPr="00B42942">
        <w:t xml:space="preserve">EC </w:t>
      </w:r>
      <w:r w:rsidR="00BA066D">
        <w:t>&amp;</w:t>
      </w:r>
      <w:r w:rsidR="00841394" w:rsidRPr="00B42942">
        <w:t xml:space="preserve"> HC 2008</w:t>
      </w:r>
      <w:r w:rsidR="00841394">
        <w:t xml:space="preserve">, </w:t>
      </w:r>
      <w:r w:rsidR="00B76963" w:rsidRPr="00B42942">
        <w:t>OEHHA 2009</w:t>
      </w:r>
      <w:r w:rsidR="00841394">
        <w:t>)</w:t>
      </w:r>
      <w:r w:rsidRPr="001D0FB1">
        <w:t>.</w:t>
      </w:r>
      <w:r w:rsidR="004C3820">
        <w:t xml:space="preserve"> </w:t>
      </w:r>
      <w:r>
        <w:t>Vitellogenin is a precursor of egg-yolk proteins</w:t>
      </w:r>
      <w:r w:rsidR="00A913B2">
        <w:t>, and</w:t>
      </w:r>
      <w:r>
        <w:t xml:space="preserve"> </w:t>
      </w:r>
      <w:r w:rsidR="00A913B2">
        <w:t>v</w:t>
      </w:r>
      <w:r>
        <w:t>itellogenin induction is one of the most widely studied biomarkers of BPA exposure</w:t>
      </w:r>
      <w:r w:rsidR="004D1A98">
        <w:t xml:space="preserve"> (Kang et al</w:t>
      </w:r>
      <w:r w:rsidR="00A913B2">
        <w:t>.</w:t>
      </w:r>
      <w:r w:rsidR="004D1A98">
        <w:t xml:space="preserve"> 2007)</w:t>
      </w:r>
      <w:r>
        <w:t>.</w:t>
      </w:r>
    </w:p>
    <w:p w14:paraId="66175AF9" w14:textId="77777777" w:rsidR="00707166" w:rsidRDefault="001272F6" w:rsidP="00707166">
      <w:pPr>
        <w:rPr>
          <w:lang w:val="en"/>
        </w:rPr>
      </w:pPr>
      <w:r>
        <w:rPr>
          <w:lang w:val="en"/>
        </w:rPr>
        <w:t>As with other compounds that affect reproductive hormones,</w:t>
      </w:r>
      <w:r w:rsidRPr="0093537A">
        <w:rPr>
          <w:lang w:val="en"/>
        </w:rPr>
        <w:t xml:space="preserve"> BPA </w:t>
      </w:r>
      <w:r w:rsidR="000B6978">
        <w:rPr>
          <w:lang w:val="en"/>
        </w:rPr>
        <w:t>can</w:t>
      </w:r>
      <w:r w:rsidRPr="0093537A">
        <w:rPr>
          <w:lang w:val="en"/>
        </w:rPr>
        <w:t xml:space="preserve"> </w:t>
      </w:r>
      <w:r w:rsidR="00D33700">
        <w:rPr>
          <w:lang w:val="en"/>
        </w:rPr>
        <w:t>produce</w:t>
      </w:r>
      <w:r w:rsidRPr="0093537A">
        <w:rPr>
          <w:lang w:val="en"/>
        </w:rPr>
        <w:t xml:space="preserve"> adverse effects following prolonged exposure at levels below those </w:t>
      </w:r>
      <w:r w:rsidR="000B6978">
        <w:rPr>
          <w:lang w:val="en"/>
        </w:rPr>
        <w:t xml:space="preserve">that </w:t>
      </w:r>
      <w:r w:rsidRPr="0093537A">
        <w:rPr>
          <w:lang w:val="en"/>
        </w:rPr>
        <w:t>usually elicit effects in standard toxicity tests (i.e. test</w:t>
      </w:r>
      <w:r>
        <w:rPr>
          <w:lang w:val="en"/>
        </w:rPr>
        <w:t>s</w:t>
      </w:r>
      <w:r w:rsidRPr="0093537A">
        <w:rPr>
          <w:lang w:val="en"/>
        </w:rPr>
        <w:t xml:space="preserve"> based on recognised methods </w:t>
      </w:r>
      <w:r w:rsidR="000B6978">
        <w:rPr>
          <w:lang w:val="en"/>
        </w:rPr>
        <w:t>that</w:t>
      </w:r>
      <w:r w:rsidR="000B6978" w:rsidRPr="0093537A">
        <w:rPr>
          <w:lang w:val="en"/>
        </w:rPr>
        <w:t xml:space="preserve"> </w:t>
      </w:r>
      <w:r w:rsidRPr="0093537A">
        <w:rPr>
          <w:lang w:val="en"/>
        </w:rPr>
        <w:t>evaluate endpoints such as survival</w:t>
      </w:r>
      <w:r>
        <w:rPr>
          <w:lang w:val="en"/>
        </w:rPr>
        <w:t>, reproduction and growth).</w:t>
      </w:r>
      <w:r w:rsidR="004C3820">
        <w:rPr>
          <w:lang w:val="en"/>
        </w:rPr>
        <w:t xml:space="preserve"> </w:t>
      </w:r>
      <w:r>
        <w:rPr>
          <w:lang w:val="en"/>
        </w:rPr>
        <w:t xml:space="preserve">Effects can also be </w:t>
      </w:r>
      <w:r w:rsidRPr="0093537A">
        <w:rPr>
          <w:lang w:val="en"/>
        </w:rPr>
        <w:t>apparent later in the life cycle</w:t>
      </w:r>
      <w:r>
        <w:rPr>
          <w:lang w:val="en"/>
        </w:rPr>
        <w:t xml:space="preserve"> </w:t>
      </w:r>
      <w:r w:rsidRPr="0093537A">
        <w:rPr>
          <w:lang w:val="en"/>
        </w:rPr>
        <w:t xml:space="preserve">following </w:t>
      </w:r>
      <w:r>
        <w:rPr>
          <w:lang w:val="en"/>
        </w:rPr>
        <w:t>b</w:t>
      </w:r>
      <w:r w:rsidRPr="0093537A">
        <w:rPr>
          <w:lang w:val="en"/>
        </w:rPr>
        <w:t>rief</w:t>
      </w:r>
      <w:r>
        <w:rPr>
          <w:lang w:val="en"/>
        </w:rPr>
        <w:t>,</w:t>
      </w:r>
      <w:r w:rsidRPr="0093537A">
        <w:rPr>
          <w:lang w:val="en"/>
        </w:rPr>
        <w:t xml:space="preserve"> low</w:t>
      </w:r>
      <w:r w:rsidR="00ED413A">
        <w:rPr>
          <w:lang w:val="en"/>
        </w:rPr>
        <w:t xml:space="preserve"> </w:t>
      </w:r>
      <w:r w:rsidRPr="0093537A">
        <w:rPr>
          <w:lang w:val="en"/>
        </w:rPr>
        <w:t>dose exposure at sensitive developmental stages,</w:t>
      </w:r>
      <w:r>
        <w:rPr>
          <w:lang w:val="en"/>
        </w:rPr>
        <w:t xml:space="preserve"> and</w:t>
      </w:r>
      <w:r w:rsidRPr="0093537A">
        <w:rPr>
          <w:lang w:val="en"/>
        </w:rPr>
        <w:t xml:space="preserve"> on filial generations following parental exposure</w:t>
      </w:r>
      <w:r w:rsidR="00841394">
        <w:rPr>
          <w:lang w:val="en"/>
        </w:rPr>
        <w:t xml:space="preserve"> (</w:t>
      </w:r>
      <w:r w:rsidR="00841394" w:rsidRPr="00B42942">
        <w:t xml:space="preserve">EC </w:t>
      </w:r>
      <w:r w:rsidR="000B6978">
        <w:t>&amp;</w:t>
      </w:r>
      <w:r w:rsidR="000B6978" w:rsidRPr="00B42942">
        <w:t xml:space="preserve"> </w:t>
      </w:r>
      <w:r w:rsidR="00841394" w:rsidRPr="00B42942">
        <w:t>HC 2008</w:t>
      </w:r>
      <w:r w:rsidR="00841394">
        <w:t>)</w:t>
      </w:r>
      <w:r>
        <w:rPr>
          <w:lang w:val="en"/>
        </w:rPr>
        <w:t>.</w:t>
      </w:r>
      <w:r w:rsidR="004C3820">
        <w:rPr>
          <w:lang w:val="en"/>
        </w:rPr>
        <w:t xml:space="preserve"> </w:t>
      </w:r>
    </w:p>
    <w:p w14:paraId="66175AFA" w14:textId="77777777" w:rsidR="00394534" w:rsidRDefault="001272F6" w:rsidP="005A3D73">
      <w:r w:rsidRPr="00333019">
        <w:t xml:space="preserve">The </w:t>
      </w:r>
      <w:r w:rsidR="00D243D3">
        <w:t>marine</w:t>
      </w:r>
      <w:r>
        <w:t xml:space="preserve"> </w:t>
      </w:r>
      <w:r w:rsidR="006470C8">
        <w:t xml:space="preserve">acute toxicity </w:t>
      </w:r>
      <w:r>
        <w:t xml:space="preserve">data available </w:t>
      </w:r>
      <w:r w:rsidR="000E7075">
        <w:t>we</w:t>
      </w:r>
      <w:r>
        <w:t xml:space="preserve">re limited to </w:t>
      </w:r>
      <w:r w:rsidRPr="00333019">
        <w:t>macro</w:t>
      </w:r>
      <w:r w:rsidR="008316F6">
        <w:t>invertebrates</w:t>
      </w:r>
      <w:r w:rsidRPr="00333019">
        <w:t xml:space="preserve"> and microinvertebrates. Macroinvertebrates </w:t>
      </w:r>
      <w:r w:rsidR="00C0099D">
        <w:t xml:space="preserve">were the most and least sensitive organisms, </w:t>
      </w:r>
      <w:r w:rsidR="008316F6">
        <w:t>with</w:t>
      </w:r>
      <w:r w:rsidR="00C0099D">
        <w:t xml:space="preserve"> a 12</w:t>
      </w:r>
      <w:r w:rsidR="008316F6">
        <w:t> </w:t>
      </w:r>
      <w:r w:rsidR="00C0099D">
        <w:t>h</w:t>
      </w:r>
      <w:r w:rsidR="008316F6">
        <w:t>our</w:t>
      </w:r>
      <w:r w:rsidR="00C0099D">
        <w:t xml:space="preserve"> EC50 of 30.7</w:t>
      </w:r>
      <w:r w:rsidR="008316F6">
        <w:t> </w:t>
      </w:r>
      <w:r w:rsidRPr="00333019">
        <w:t xml:space="preserve">μg/L for </w:t>
      </w:r>
      <w:r w:rsidR="00C0099D">
        <w:t xml:space="preserve">embryo </w:t>
      </w:r>
      <w:r w:rsidRPr="00333019">
        <w:t xml:space="preserve">development in </w:t>
      </w:r>
      <w:r w:rsidR="00C0099D">
        <w:t xml:space="preserve">the </w:t>
      </w:r>
      <w:r>
        <w:t>mollusc</w:t>
      </w:r>
      <w:r w:rsidR="00C0099D">
        <w:t xml:space="preserve"> </w:t>
      </w:r>
      <w:r w:rsidRPr="008316F6">
        <w:rPr>
          <w:rStyle w:val="Emphasis"/>
        </w:rPr>
        <w:t>Haliotis diversicolor supertexta</w:t>
      </w:r>
      <w:r w:rsidR="00C0099D">
        <w:t xml:space="preserve"> (</w:t>
      </w:r>
      <w:r>
        <w:t>Liu et al</w:t>
      </w:r>
      <w:r w:rsidR="00C0099D">
        <w:t>.</w:t>
      </w:r>
      <w:r>
        <w:t xml:space="preserve"> 2011)</w:t>
      </w:r>
      <w:r w:rsidR="008316F6">
        <w:t xml:space="preserve"> and</w:t>
      </w:r>
      <w:r w:rsidR="00C0099D">
        <w:t xml:space="preserve"> a 15</w:t>
      </w:r>
      <w:r w:rsidR="008316F6">
        <w:rPr>
          <w:sz w:val="20"/>
        </w:rPr>
        <w:t> </w:t>
      </w:r>
      <w:r w:rsidR="00C0099D">
        <w:t>min</w:t>
      </w:r>
      <w:r w:rsidR="008316F6">
        <w:t>ute</w:t>
      </w:r>
      <w:r w:rsidR="00C0099D">
        <w:t xml:space="preserve"> NOEC of</w:t>
      </w:r>
      <w:r>
        <w:t xml:space="preserve"> </w:t>
      </w:r>
      <w:r w:rsidR="00812E29" w:rsidRPr="00812E29">
        <w:t>99</w:t>
      </w:r>
      <w:r w:rsidR="008316F6">
        <w:t> </w:t>
      </w:r>
      <w:r w:rsidR="00812E29" w:rsidRPr="00812E29">
        <w:t>864</w:t>
      </w:r>
      <w:r w:rsidR="008316F6">
        <w:t> </w:t>
      </w:r>
      <w:r>
        <w:t xml:space="preserve">μg/L for </w:t>
      </w:r>
      <w:r w:rsidR="00812E29">
        <w:t>fertilisation success</w:t>
      </w:r>
      <w:r>
        <w:t xml:space="preserve"> </w:t>
      </w:r>
      <w:r w:rsidR="00812E29">
        <w:t>in</w:t>
      </w:r>
      <w:r>
        <w:t xml:space="preserve"> </w:t>
      </w:r>
      <w:r w:rsidR="00812E29">
        <w:t>the sea urchin</w:t>
      </w:r>
      <w:r w:rsidR="00C0099D">
        <w:t xml:space="preserve"> </w:t>
      </w:r>
      <w:r w:rsidR="00812E29" w:rsidRPr="008316F6">
        <w:rPr>
          <w:rStyle w:val="Emphasis"/>
        </w:rPr>
        <w:t>Psammechinus miliaris</w:t>
      </w:r>
      <w:r w:rsidR="00C0099D">
        <w:t xml:space="preserve"> (</w:t>
      </w:r>
      <w:r w:rsidR="00D175AE" w:rsidRPr="00291E24">
        <w:t>Schafer et al</w:t>
      </w:r>
      <w:r w:rsidR="00C0099D">
        <w:t>.</w:t>
      </w:r>
      <w:r w:rsidR="00D175AE" w:rsidRPr="00291E24">
        <w:t xml:space="preserve"> 2009</w:t>
      </w:r>
      <w:r w:rsidR="00C0099D">
        <w:t>)</w:t>
      </w:r>
      <w:r w:rsidRPr="00635B2C">
        <w:t xml:space="preserve">. A single acute fish study </w:t>
      </w:r>
      <w:r w:rsidR="00D175AE" w:rsidRPr="00635B2C">
        <w:t>(</w:t>
      </w:r>
      <w:r w:rsidR="00635B2C" w:rsidRPr="00635B2C">
        <w:t>4</w:t>
      </w:r>
      <w:r w:rsidR="008316F6">
        <w:t> </w:t>
      </w:r>
      <w:r w:rsidR="00635B2C" w:rsidRPr="00635B2C">
        <w:t>d</w:t>
      </w:r>
      <w:r w:rsidR="00CF4D42">
        <w:t>ay</w:t>
      </w:r>
      <w:r w:rsidR="00635B2C" w:rsidRPr="00635B2C">
        <w:t xml:space="preserve"> LC50 for larvae of </w:t>
      </w:r>
      <w:r w:rsidR="00635B2C" w:rsidRPr="008316F6">
        <w:rPr>
          <w:rStyle w:val="Emphasis"/>
        </w:rPr>
        <w:t>Menidia menidia</w:t>
      </w:r>
      <w:r w:rsidR="00635B2C" w:rsidRPr="00635B2C">
        <w:rPr>
          <w:bCs/>
        </w:rPr>
        <w:t xml:space="preserve">) </w:t>
      </w:r>
      <w:r w:rsidRPr="00635B2C">
        <w:t xml:space="preserve">was identified (Alexander </w:t>
      </w:r>
      <w:r w:rsidR="008316F6">
        <w:t>&amp; Dill</w:t>
      </w:r>
      <w:r w:rsidRPr="00635B2C">
        <w:t xml:space="preserve"> 1988</w:t>
      </w:r>
      <w:r w:rsidR="00C20586" w:rsidRPr="00635B2C">
        <w:t>)</w:t>
      </w:r>
      <w:r w:rsidR="00C20586">
        <w:t>;</w:t>
      </w:r>
      <w:r w:rsidR="00C20586" w:rsidRPr="00635B2C">
        <w:t xml:space="preserve"> </w:t>
      </w:r>
      <w:r w:rsidRPr="00635B2C">
        <w:t>however</w:t>
      </w:r>
      <w:r w:rsidR="00CF4D42">
        <w:t>,</w:t>
      </w:r>
      <w:r w:rsidRPr="00635B2C">
        <w:t xml:space="preserve"> the reported salinity concentration was outside the defined range for marine studies</w:t>
      </w:r>
      <w:r w:rsidR="00CF4D42">
        <w:t>, as</w:t>
      </w:r>
      <w:r w:rsidRPr="00635B2C">
        <w:t xml:space="preserve"> specified</w:t>
      </w:r>
      <w:r>
        <w:t xml:space="preserve"> in </w:t>
      </w:r>
      <w:r w:rsidRPr="009E02B0">
        <w:t>Warne et al. (2018)</w:t>
      </w:r>
      <w:r>
        <w:t xml:space="preserve">. </w:t>
      </w:r>
    </w:p>
    <w:p w14:paraId="66175AFB" w14:textId="77777777" w:rsidR="00A511C2" w:rsidRDefault="001272F6" w:rsidP="005A3D73">
      <w:r w:rsidRPr="001919A7">
        <w:t xml:space="preserve">Of the </w:t>
      </w:r>
      <w:r w:rsidR="006470C8">
        <w:t xml:space="preserve">marine </w:t>
      </w:r>
      <w:r w:rsidRPr="001919A7">
        <w:t xml:space="preserve">chronic </w:t>
      </w:r>
      <w:r w:rsidR="006470C8">
        <w:t>toxicity data</w:t>
      </w:r>
      <w:r w:rsidR="006470C8" w:rsidRPr="001919A7">
        <w:t xml:space="preserve"> </w:t>
      </w:r>
      <w:r w:rsidR="00B33D26">
        <w:t>available</w:t>
      </w:r>
      <w:r w:rsidR="001919A7" w:rsidRPr="001919A7">
        <w:t>,</w:t>
      </w:r>
      <w:r w:rsidR="001919A7">
        <w:t xml:space="preserve"> </w:t>
      </w:r>
      <w:r w:rsidR="001919A7" w:rsidRPr="001919A7">
        <w:t>macroinvertebrates were th</w:t>
      </w:r>
      <w:r w:rsidR="000010B5">
        <w:t>e most sensitive species and di</w:t>
      </w:r>
      <w:r w:rsidR="001919A7" w:rsidRPr="001919A7">
        <w:t>noflage</w:t>
      </w:r>
      <w:r w:rsidR="000010B5">
        <w:t>l</w:t>
      </w:r>
      <w:r w:rsidR="001919A7" w:rsidRPr="001919A7">
        <w:t>late</w:t>
      </w:r>
      <w:r w:rsidR="00B33D26">
        <w:t>s</w:t>
      </w:r>
      <w:r w:rsidR="001919A7" w:rsidRPr="001919A7">
        <w:t xml:space="preserve"> (</w:t>
      </w:r>
      <w:r w:rsidR="00B33D26" w:rsidRPr="00CA1E75">
        <w:rPr>
          <w:rStyle w:val="Emphasis"/>
        </w:rPr>
        <w:t xml:space="preserve">Prorocentrum </w:t>
      </w:r>
      <w:r w:rsidR="00751EC2" w:rsidRPr="00CA1E75">
        <w:rPr>
          <w:rStyle w:val="Emphasis"/>
        </w:rPr>
        <w:t>cordatum</w:t>
      </w:r>
      <w:r w:rsidR="00A41724">
        <w:t xml:space="preserve"> </w:t>
      </w:r>
      <w:r w:rsidR="00B33D26">
        <w:t xml:space="preserve">and </w:t>
      </w:r>
      <w:r w:rsidR="008E213C" w:rsidRPr="00CA1E75">
        <w:rPr>
          <w:rStyle w:val="Emphasis"/>
        </w:rPr>
        <w:t>Margalefidinium polykrikoides</w:t>
      </w:r>
      <w:r w:rsidR="001919A7" w:rsidRPr="001919A7">
        <w:t>)</w:t>
      </w:r>
      <w:r w:rsidRPr="001919A7">
        <w:t xml:space="preserve"> </w:t>
      </w:r>
      <w:r w:rsidR="000D3640">
        <w:t xml:space="preserve">were </w:t>
      </w:r>
      <w:r w:rsidRPr="001919A7">
        <w:t xml:space="preserve">the least sensitive. </w:t>
      </w:r>
      <w:r w:rsidR="00201048" w:rsidRPr="001919A7">
        <w:t xml:space="preserve">Chronic </w:t>
      </w:r>
      <w:r w:rsidR="001919A7">
        <w:t xml:space="preserve">toxicity </w:t>
      </w:r>
      <w:r w:rsidR="001919A7" w:rsidRPr="0032458B">
        <w:t>values for macroinvertebrates ranged from</w:t>
      </w:r>
      <w:r w:rsidR="00C0099D">
        <w:t xml:space="preserve"> a </w:t>
      </w:r>
      <w:r w:rsidR="00C0099D" w:rsidRPr="0032458B">
        <w:t>25</w:t>
      </w:r>
      <w:r w:rsidR="000D3640">
        <w:t> </w:t>
      </w:r>
      <w:r w:rsidR="00C0099D" w:rsidRPr="0032458B">
        <w:t>day dietary exposure</w:t>
      </w:r>
      <w:r w:rsidR="000D3640">
        <w:t xml:space="preserve"> </w:t>
      </w:r>
      <w:r w:rsidR="00C0099D">
        <w:t>LOEC of</w:t>
      </w:r>
      <w:r w:rsidR="001919A7" w:rsidRPr="0032458B">
        <w:t xml:space="preserve"> 0.005</w:t>
      </w:r>
      <w:r w:rsidR="000D3640">
        <w:t> </w:t>
      </w:r>
      <w:r w:rsidR="001919A7" w:rsidRPr="0032458B">
        <w:t xml:space="preserve">μg/L for </w:t>
      </w:r>
      <w:r w:rsidR="00C0099D">
        <w:t>the</w:t>
      </w:r>
      <w:r w:rsidR="00C0099D" w:rsidRPr="0032458B">
        <w:t xml:space="preserve"> </w:t>
      </w:r>
      <w:r w:rsidR="001919A7" w:rsidRPr="0032458B">
        <w:t xml:space="preserve">lobster </w:t>
      </w:r>
      <w:r w:rsidR="001919A7" w:rsidRPr="00CA1E75">
        <w:rPr>
          <w:rStyle w:val="Emphasis"/>
        </w:rPr>
        <w:t>Homarus americanus</w:t>
      </w:r>
      <w:r w:rsidR="00C0099D">
        <w:t xml:space="preserve"> (</w:t>
      </w:r>
      <w:r w:rsidR="0014330E">
        <w:t>Laufer et al</w:t>
      </w:r>
      <w:r w:rsidR="00C0099D">
        <w:t>.</w:t>
      </w:r>
      <w:r w:rsidR="0014330E">
        <w:t xml:space="preserve"> 2012</w:t>
      </w:r>
      <w:r w:rsidR="001919A7">
        <w:t xml:space="preserve">) </w:t>
      </w:r>
      <w:r w:rsidR="001919A7" w:rsidRPr="0014330E">
        <w:t xml:space="preserve">to </w:t>
      </w:r>
      <w:r w:rsidR="00C0099D">
        <w:t>a 4</w:t>
      </w:r>
      <w:r w:rsidR="000D3640">
        <w:t> </w:t>
      </w:r>
      <w:r w:rsidR="00C0099D">
        <w:t xml:space="preserve">day EC50 of </w:t>
      </w:r>
      <w:r w:rsidR="001919A7" w:rsidRPr="0014330E">
        <w:t>226.5</w:t>
      </w:r>
      <w:r w:rsidR="00663A1A">
        <w:t> </w:t>
      </w:r>
      <w:r w:rsidR="001919A7" w:rsidRPr="0014330E">
        <w:t xml:space="preserve">μg/L </w:t>
      </w:r>
      <w:r w:rsidR="00540AAC">
        <w:t>for</w:t>
      </w:r>
      <w:r w:rsidR="001919A7" w:rsidRPr="0014330E">
        <w:t xml:space="preserve"> </w:t>
      </w:r>
      <w:r w:rsidR="00B33D26">
        <w:t>the sea urchin</w:t>
      </w:r>
      <w:r w:rsidR="00C0099D">
        <w:t xml:space="preserve">, </w:t>
      </w:r>
      <w:r w:rsidR="001919A7" w:rsidRPr="00CA1E75">
        <w:rPr>
          <w:rStyle w:val="Emphasis"/>
        </w:rPr>
        <w:t>Strongylocentrotus purpuratus</w:t>
      </w:r>
      <w:r w:rsidR="00C0099D">
        <w:t xml:space="preserve"> (</w:t>
      </w:r>
      <w:r w:rsidR="0014330E" w:rsidRPr="0014330E">
        <w:t>Roepke et al</w:t>
      </w:r>
      <w:r w:rsidR="00C0099D">
        <w:t>.</w:t>
      </w:r>
      <w:r w:rsidR="0014330E" w:rsidRPr="0014330E">
        <w:t xml:space="preserve"> </w:t>
      </w:r>
      <w:r w:rsidR="0014330E" w:rsidRPr="000010B5">
        <w:t>2005)</w:t>
      </w:r>
      <w:r w:rsidR="00683166" w:rsidRPr="000010B5">
        <w:t xml:space="preserve">. </w:t>
      </w:r>
      <w:r w:rsidR="00841FA0">
        <w:t>As t</w:t>
      </w:r>
      <w:r w:rsidR="00CF4D42">
        <w:t xml:space="preserve">he </w:t>
      </w:r>
      <w:r w:rsidR="00C25883">
        <w:t xml:space="preserve">toxicity value for </w:t>
      </w:r>
      <w:r w:rsidR="00C25883" w:rsidRPr="00CA1E75">
        <w:rPr>
          <w:rStyle w:val="Emphasis"/>
        </w:rPr>
        <w:t>H. americanus</w:t>
      </w:r>
      <w:r w:rsidR="00C25883">
        <w:t xml:space="preserve"> was based on dietary exposure</w:t>
      </w:r>
      <w:r w:rsidR="00841FA0">
        <w:t>,</w:t>
      </w:r>
      <w:r w:rsidR="00C25883">
        <w:t xml:space="preserve"> </w:t>
      </w:r>
      <w:r w:rsidR="00841FA0">
        <w:t>it</w:t>
      </w:r>
      <w:r w:rsidR="00C25883">
        <w:t xml:space="preserve"> was not use</w:t>
      </w:r>
      <w:r w:rsidR="000D3640">
        <w:t>d</w:t>
      </w:r>
      <w:r w:rsidR="00C25883">
        <w:t xml:space="preserve"> in the DGV derivation. The next most sensitive species was the mollusc</w:t>
      </w:r>
      <w:r w:rsidR="00841FA0">
        <w:t>,</w:t>
      </w:r>
      <w:r w:rsidR="00C25883">
        <w:t xml:space="preserve"> </w:t>
      </w:r>
      <w:r w:rsidR="00C25883" w:rsidRPr="00CA1E75">
        <w:rPr>
          <w:rStyle w:val="Emphasis"/>
        </w:rPr>
        <w:t>H</w:t>
      </w:r>
      <w:r w:rsidR="0068243D" w:rsidRPr="00CA1E75">
        <w:rPr>
          <w:rStyle w:val="Emphasis"/>
        </w:rPr>
        <w:t>.</w:t>
      </w:r>
      <w:r w:rsidR="00C25883" w:rsidRPr="00CA1E75">
        <w:rPr>
          <w:rStyle w:val="Emphasis"/>
        </w:rPr>
        <w:t xml:space="preserve"> diversicolor supertexta</w:t>
      </w:r>
      <w:r w:rsidR="00C25883">
        <w:t>, with</w:t>
      </w:r>
      <w:r w:rsidR="00121030">
        <w:t xml:space="preserve"> </w:t>
      </w:r>
      <w:r w:rsidR="00841FA0">
        <w:t>96</w:t>
      </w:r>
      <w:r w:rsidR="000D3640">
        <w:t> </w:t>
      </w:r>
      <w:r w:rsidR="00841FA0">
        <w:t>h</w:t>
      </w:r>
      <w:r w:rsidR="000D3640">
        <w:t>our</w:t>
      </w:r>
      <w:r w:rsidR="00841FA0">
        <w:t xml:space="preserve"> embryo development </w:t>
      </w:r>
      <w:r w:rsidR="00C25883">
        <w:t xml:space="preserve">EC5 </w:t>
      </w:r>
      <w:r w:rsidR="004C0328">
        <w:t xml:space="preserve">values </w:t>
      </w:r>
      <w:r w:rsidR="00C25883">
        <w:t>of 0.1</w:t>
      </w:r>
      <w:r w:rsidR="004C0328">
        <w:t>8</w:t>
      </w:r>
      <w:r w:rsidR="000D3640">
        <w:t> </w:t>
      </w:r>
      <w:r w:rsidR="000D3640" w:rsidRPr="0032458B">
        <w:t>μg/L</w:t>
      </w:r>
      <w:r w:rsidR="004C0328">
        <w:t xml:space="preserve"> </w:t>
      </w:r>
      <w:r w:rsidR="00841FA0">
        <w:t>and</w:t>
      </w:r>
      <w:r w:rsidR="004C0328">
        <w:t xml:space="preserve"> 0.21</w:t>
      </w:r>
      <w:r w:rsidR="000D3640">
        <w:t> </w:t>
      </w:r>
      <w:r w:rsidR="00C25883" w:rsidRPr="0032458B">
        <w:t>μg/L</w:t>
      </w:r>
      <w:r w:rsidR="00C25883">
        <w:t xml:space="preserve"> (</w:t>
      </w:r>
      <w:r w:rsidR="00121030">
        <w:t>Liu et al. 2011).</w:t>
      </w:r>
      <w:r w:rsidR="00C25883">
        <w:t xml:space="preserve"> </w:t>
      </w:r>
      <w:r w:rsidR="00B33D26">
        <w:t>The</w:t>
      </w:r>
      <w:r w:rsidR="00FE724E" w:rsidRPr="000010B5">
        <w:t xml:space="preserve"> chronic </w:t>
      </w:r>
      <w:r w:rsidR="0014330E" w:rsidRPr="000010B5">
        <w:t xml:space="preserve">toxicity </w:t>
      </w:r>
      <w:r w:rsidR="00121030">
        <w:t>of BPA to</w:t>
      </w:r>
      <w:r w:rsidR="00FE724E" w:rsidRPr="000010B5">
        <w:t xml:space="preserve"> </w:t>
      </w:r>
      <w:r w:rsidR="000010B5" w:rsidRPr="000010B5">
        <w:t>dinoflagellate</w:t>
      </w:r>
      <w:r w:rsidR="00FE724E" w:rsidRPr="000010B5">
        <w:t xml:space="preserve"> species </w:t>
      </w:r>
      <w:r w:rsidR="000D3640">
        <w:t>was</w:t>
      </w:r>
      <w:r w:rsidR="00FE724E" w:rsidRPr="000010B5">
        <w:t xml:space="preserve"> </w:t>
      </w:r>
      <w:r w:rsidR="006470C8">
        <w:t>approximately four</w:t>
      </w:r>
      <w:r w:rsidR="006470C8" w:rsidRPr="000010B5">
        <w:t xml:space="preserve"> </w:t>
      </w:r>
      <w:r w:rsidR="000010B5" w:rsidRPr="000010B5">
        <w:t>order</w:t>
      </w:r>
      <w:r w:rsidR="006470C8">
        <w:t>s</w:t>
      </w:r>
      <w:r w:rsidR="00FE724E" w:rsidRPr="000010B5">
        <w:t xml:space="preserve"> of magnitude higher (i.e</w:t>
      </w:r>
      <w:r w:rsidR="0032458B">
        <w:t>.</w:t>
      </w:r>
      <w:r w:rsidR="00FE724E" w:rsidRPr="000010B5">
        <w:t xml:space="preserve"> less toxic)</w:t>
      </w:r>
      <w:r w:rsidR="000D3640">
        <w:t>;</w:t>
      </w:r>
      <w:r w:rsidR="00FE724E" w:rsidRPr="000010B5">
        <w:t xml:space="preserve"> for example, </w:t>
      </w:r>
      <w:r w:rsidR="000010B5" w:rsidRPr="000010B5">
        <w:t>1</w:t>
      </w:r>
      <w:r w:rsidR="000D3640">
        <w:t> </w:t>
      </w:r>
      <w:r w:rsidR="000010B5" w:rsidRPr="000010B5">
        <w:t>510</w:t>
      </w:r>
      <w:r w:rsidR="000D3640">
        <w:t> </w:t>
      </w:r>
      <w:r w:rsidR="000010B5" w:rsidRPr="000010B5">
        <w:t xml:space="preserve">µg/L </w:t>
      </w:r>
      <w:r w:rsidR="00B33D26">
        <w:t xml:space="preserve">for </w:t>
      </w:r>
      <w:r w:rsidR="00121030" w:rsidRPr="00CA1E75">
        <w:rPr>
          <w:rStyle w:val="Emphasis"/>
        </w:rPr>
        <w:t xml:space="preserve">P. </w:t>
      </w:r>
      <w:r w:rsidR="00A41724" w:rsidRPr="00CA1E75">
        <w:rPr>
          <w:rStyle w:val="Emphasis"/>
        </w:rPr>
        <w:t>cordatum</w:t>
      </w:r>
      <w:r w:rsidR="00A41724" w:rsidRPr="000010B5">
        <w:t xml:space="preserve"> </w:t>
      </w:r>
      <w:r w:rsidR="00FE724E" w:rsidRPr="000010B5">
        <w:t>(</w:t>
      </w:r>
      <w:r w:rsidR="00121030">
        <w:t xml:space="preserve">EC50, </w:t>
      </w:r>
      <w:r w:rsidR="000010B5" w:rsidRPr="000010B5">
        <w:t>3</w:t>
      </w:r>
      <w:r w:rsidR="000D3640">
        <w:t> </w:t>
      </w:r>
      <w:r w:rsidR="000010B5" w:rsidRPr="000010B5">
        <w:t>d</w:t>
      </w:r>
      <w:r w:rsidR="000D3640">
        <w:t>ay</w:t>
      </w:r>
      <w:r w:rsidR="000010B5" w:rsidRPr="000010B5">
        <w:t xml:space="preserve"> growth), and 3</w:t>
      </w:r>
      <w:r w:rsidR="000D3640">
        <w:t> </w:t>
      </w:r>
      <w:r w:rsidR="000010B5" w:rsidRPr="000010B5">
        <w:t>470</w:t>
      </w:r>
      <w:r w:rsidR="00B33D26">
        <w:t> </w:t>
      </w:r>
      <w:r w:rsidR="00FE724E" w:rsidRPr="000010B5">
        <w:t>µg/L</w:t>
      </w:r>
      <w:r w:rsidR="00B33D26">
        <w:t xml:space="preserve"> for</w:t>
      </w:r>
      <w:r w:rsidR="00FE724E" w:rsidRPr="000010B5">
        <w:t xml:space="preserve"> </w:t>
      </w:r>
      <w:r w:rsidR="00121030" w:rsidRPr="00CA1E75">
        <w:rPr>
          <w:rStyle w:val="Emphasis"/>
        </w:rPr>
        <w:t xml:space="preserve">M. </w:t>
      </w:r>
      <w:r w:rsidR="00751EC2" w:rsidRPr="00CA1E75">
        <w:rPr>
          <w:rStyle w:val="Emphasis"/>
        </w:rPr>
        <w:t>polykrikoides</w:t>
      </w:r>
      <w:r w:rsidR="00751EC2" w:rsidRPr="00751EC2">
        <w:rPr>
          <w:i/>
        </w:rPr>
        <w:t xml:space="preserve"> </w:t>
      </w:r>
      <w:r w:rsidR="00B33D26">
        <w:t>(</w:t>
      </w:r>
      <w:r w:rsidR="00121030">
        <w:t xml:space="preserve">EC10, </w:t>
      </w:r>
      <w:r w:rsidR="00B33D26">
        <w:t>3</w:t>
      </w:r>
      <w:r w:rsidR="000D3640">
        <w:t> </w:t>
      </w:r>
      <w:r w:rsidR="00B33D26">
        <w:t>d</w:t>
      </w:r>
      <w:r w:rsidR="000D3640">
        <w:t>ay</w:t>
      </w:r>
      <w:r w:rsidR="00B33D26">
        <w:t xml:space="preserve"> growth)</w:t>
      </w:r>
      <w:r w:rsidR="00F84C52" w:rsidRPr="00797193">
        <w:t>.</w:t>
      </w:r>
      <w:r w:rsidR="004F2289" w:rsidRPr="00797193">
        <w:t xml:space="preserve"> </w:t>
      </w:r>
      <w:r w:rsidR="00797193" w:rsidRPr="00797193">
        <w:t>C</w:t>
      </w:r>
      <w:r w:rsidR="004F2289" w:rsidRPr="00797193">
        <w:t xml:space="preserve">hronic toxicity data for </w:t>
      </w:r>
      <w:r w:rsidR="00841FA0">
        <w:t xml:space="preserve">marine </w:t>
      </w:r>
      <w:r w:rsidR="004F2289" w:rsidRPr="00797193">
        <w:t>fish</w:t>
      </w:r>
      <w:r w:rsidR="00797193" w:rsidRPr="00797193">
        <w:t xml:space="preserve"> </w:t>
      </w:r>
      <w:r w:rsidR="00540AAC" w:rsidRPr="00797193">
        <w:t>w</w:t>
      </w:r>
      <w:r w:rsidR="00540AAC">
        <w:t>ere</w:t>
      </w:r>
      <w:r w:rsidR="00540AAC" w:rsidRPr="00797193">
        <w:t xml:space="preserve"> </w:t>
      </w:r>
      <w:r w:rsidR="00797193" w:rsidRPr="00797193">
        <w:t>limited</w:t>
      </w:r>
      <w:r w:rsidR="00841FA0">
        <w:t xml:space="preserve"> to</w:t>
      </w:r>
      <w:r w:rsidR="00841FA0" w:rsidRPr="00797193">
        <w:t xml:space="preserve"> </w:t>
      </w:r>
      <w:r w:rsidR="00797193" w:rsidRPr="00797193">
        <w:t>a</w:t>
      </w:r>
      <w:r w:rsidR="004F2289" w:rsidRPr="00797193">
        <w:t xml:space="preserve"> </w:t>
      </w:r>
      <w:r w:rsidR="00841FA0">
        <w:t>14</w:t>
      </w:r>
      <w:r w:rsidR="000D3640">
        <w:t> </w:t>
      </w:r>
      <w:r w:rsidR="00841FA0">
        <w:t>day</w:t>
      </w:r>
      <w:r w:rsidR="00841FA0" w:rsidRPr="00797193">
        <w:t xml:space="preserve"> </w:t>
      </w:r>
      <w:r w:rsidR="004F2289" w:rsidRPr="00333019">
        <w:t>LOEC</w:t>
      </w:r>
      <w:r w:rsidR="00797193" w:rsidRPr="00333019">
        <w:t xml:space="preserve"> of </w:t>
      </w:r>
      <w:r w:rsidR="004F2289" w:rsidRPr="00333019">
        <w:t>2</w:t>
      </w:r>
      <w:r w:rsidR="00797193" w:rsidRPr="00333019">
        <w:t>00</w:t>
      </w:r>
      <w:r w:rsidR="000D3640">
        <w:t> </w:t>
      </w:r>
      <w:r w:rsidR="004F2289" w:rsidRPr="00333019">
        <w:t xml:space="preserve">µg/L </w:t>
      </w:r>
      <w:r w:rsidR="00841FA0">
        <w:t>for</w:t>
      </w:r>
      <w:r w:rsidR="004F2289" w:rsidRPr="00333019">
        <w:t xml:space="preserve"> </w:t>
      </w:r>
      <w:r w:rsidR="00797193" w:rsidRPr="00333019">
        <w:t>body length and width</w:t>
      </w:r>
      <w:r w:rsidR="00841FA0">
        <w:t xml:space="preserve"> in</w:t>
      </w:r>
      <w:r w:rsidR="004F2289" w:rsidRPr="00333019">
        <w:t xml:space="preserve"> the </w:t>
      </w:r>
      <w:r w:rsidR="00797193" w:rsidRPr="00333019">
        <w:t>medaka</w:t>
      </w:r>
      <w:r w:rsidR="004F2289" w:rsidRPr="00333019">
        <w:t xml:space="preserve"> </w:t>
      </w:r>
      <w:r w:rsidR="00797193" w:rsidRPr="00CA1E75">
        <w:rPr>
          <w:rStyle w:val="Emphasis"/>
        </w:rPr>
        <w:t>Oryzias melastigma</w:t>
      </w:r>
      <w:r w:rsidR="00841FA0" w:rsidRPr="000D3640">
        <w:t xml:space="preserve">; </w:t>
      </w:r>
      <w:r w:rsidR="00540AAC">
        <w:t>however, t</w:t>
      </w:r>
      <w:r w:rsidR="004F2289" w:rsidRPr="00333019">
        <w:t xml:space="preserve">he </w:t>
      </w:r>
      <w:r w:rsidR="00797193" w:rsidRPr="00333019">
        <w:t xml:space="preserve">reliability of this </w:t>
      </w:r>
      <w:r w:rsidR="00540AAC">
        <w:t>result</w:t>
      </w:r>
      <w:r w:rsidR="00540AAC" w:rsidRPr="00333019">
        <w:t xml:space="preserve"> </w:t>
      </w:r>
      <w:r w:rsidR="00797193" w:rsidRPr="00333019">
        <w:t>is un</w:t>
      </w:r>
      <w:r w:rsidR="00D828F4">
        <w:t>certain</w:t>
      </w:r>
      <w:r w:rsidR="00797193" w:rsidRPr="00333019">
        <w:t xml:space="preserve"> </w:t>
      </w:r>
      <w:r w:rsidR="00D828F4">
        <w:t>because</w:t>
      </w:r>
      <w:r w:rsidR="00797193" w:rsidRPr="00333019">
        <w:t xml:space="preserve"> only one exposure concentration was used, and n</w:t>
      </w:r>
      <w:r w:rsidR="00333019" w:rsidRPr="00333019">
        <w:t xml:space="preserve">o </w:t>
      </w:r>
      <w:r w:rsidR="00540AAC" w:rsidRPr="00333019">
        <w:t>dose</w:t>
      </w:r>
      <w:r w:rsidR="000D3640">
        <w:t>–</w:t>
      </w:r>
      <w:r w:rsidR="00333019" w:rsidRPr="00333019">
        <w:t xml:space="preserve">response </w:t>
      </w:r>
      <w:r w:rsidR="00540AAC">
        <w:t xml:space="preserve">relationship </w:t>
      </w:r>
      <w:r w:rsidR="00333019" w:rsidRPr="00333019">
        <w:t xml:space="preserve">was obtained </w:t>
      </w:r>
      <w:r w:rsidR="004F2289" w:rsidRPr="00333019">
        <w:t>(</w:t>
      </w:r>
      <w:r w:rsidR="00333019" w:rsidRPr="00333019">
        <w:t>Huang et al</w:t>
      </w:r>
      <w:r w:rsidR="000D3640">
        <w:t>.</w:t>
      </w:r>
      <w:r w:rsidR="00333019" w:rsidRPr="00333019">
        <w:t xml:space="preserve"> 2012</w:t>
      </w:r>
      <w:r w:rsidR="004F2289" w:rsidRPr="00333019">
        <w:t>)</w:t>
      </w:r>
      <w:r w:rsidR="00D828F4">
        <w:t>.</w:t>
      </w:r>
    </w:p>
    <w:p w14:paraId="66175AFC" w14:textId="77777777" w:rsidR="00896582" w:rsidRPr="00333019" w:rsidRDefault="001272F6" w:rsidP="005A3D73">
      <w:r>
        <w:t>T</w:t>
      </w:r>
      <w:r w:rsidR="007E426B">
        <w:t>here are no published multigenerational studies assessing the toxicity of BPA to marine species.</w:t>
      </w:r>
    </w:p>
    <w:p w14:paraId="66175AFD" w14:textId="77777777" w:rsidR="00A47617" w:rsidRPr="00AE7845" w:rsidRDefault="001272F6" w:rsidP="00A47617">
      <w:pPr>
        <w:pStyle w:val="Heading2"/>
      </w:pPr>
      <w:bookmarkStart w:id="8" w:name="_Toc68691036"/>
      <w:r>
        <w:t>Factors affecting toxicity</w:t>
      </w:r>
      <w:bookmarkEnd w:id="8"/>
    </w:p>
    <w:p w14:paraId="66175AFE" w14:textId="77777777" w:rsidR="00AD5804" w:rsidRDefault="001272F6" w:rsidP="00FF21FB">
      <w:pPr>
        <w:rPr>
          <w:bCs/>
        </w:rPr>
      </w:pPr>
      <w:r>
        <w:rPr>
          <w:lang w:val="en"/>
        </w:rPr>
        <w:t>D</w:t>
      </w:r>
      <w:r w:rsidR="0093659C">
        <w:rPr>
          <w:lang w:val="en"/>
        </w:rPr>
        <w:t xml:space="preserve">ata indicate that BPA may persist longer in </w:t>
      </w:r>
      <w:r w:rsidR="00215DC3">
        <w:rPr>
          <w:lang w:val="en"/>
        </w:rPr>
        <w:t xml:space="preserve">marine water </w:t>
      </w:r>
      <w:r w:rsidR="0093659C">
        <w:rPr>
          <w:lang w:val="en"/>
        </w:rPr>
        <w:t>compared to freshwater</w:t>
      </w:r>
      <w:r w:rsidR="00E001C3">
        <w:rPr>
          <w:lang w:val="en"/>
        </w:rPr>
        <w:t xml:space="preserve"> (</w:t>
      </w:r>
      <w:r w:rsidR="000248D0">
        <w:t xml:space="preserve">Sajiki &amp; Yonekubo 2003, </w:t>
      </w:r>
      <w:r w:rsidR="00E001C3">
        <w:t xml:space="preserve">Kang </w:t>
      </w:r>
      <w:r w:rsidR="00764EE7">
        <w:t xml:space="preserve">&amp; </w:t>
      </w:r>
      <w:r w:rsidR="00215DC3">
        <w:t xml:space="preserve">Kondo </w:t>
      </w:r>
      <w:r w:rsidR="00E001C3">
        <w:t>2005)</w:t>
      </w:r>
      <w:r w:rsidR="00FF21FB">
        <w:t xml:space="preserve">, </w:t>
      </w:r>
      <w:r w:rsidR="00FF21FB" w:rsidRPr="00142439">
        <w:rPr>
          <w:bCs/>
        </w:rPr>
        <w:t>which may have an influence on its toxicity</w:t>
      </w:r>
      <w:r w:rsidR="0093659C">
        <w:rPr>
          <w:lang w:val="en"/>
        </w:rPr>
        <w:t>.</w:t>
      </w:r>
      <w:r w:rsidR="00F3431C">
        <w:rPr>
          <w:lang w:val="en"/>
        </w:rPr>
        <w:t xml:space="preserve"> </w:t>
      </w:r>
      <w:r w:rsidR="00FF21FB">
        <w:rPr>
          <w:lang w:val="en"/>
        </w:rPr>
        <w:t>T</w:t>
      </w:r>
      <w:r w:rsidR="004C0328">
        <w:rPr>
          <w:lang w:val="en"/>
        </w:rPr>
        <w:t xml:space="preserve">he available toxicity data suggest that BPA may be more toxic to some marine species </w:t>
      </w:r>
      <w:r w:rsidR="00F17659">
        <w:rPr>
          <w:lang w:val="en"/>
        </w:rPr>
        <w:t xml:space="preserve">compared to freshwater </w:t>
      </w:r>
      <w:r w:rsidR="004C0328">
        <w:rPr>
          <w:lang w:val="en"/>
        </w:rPr>
        <w:t>species</w:t>
      </w:r>
      <w:r w:rsidR="00F17659">
        <w:rPr>
          <w:lang w:val="en"/>
        </w:rPr>
        <w:t xml:space="preserve">. </w:t>
      </w:r>
      <w:r w:rsidR="007A507A">
        <w:rPr>
          <w:lang w:val="en"/>
        </w:rPr>
        <w:t xml:space="preserve">Effects for </w:t>
      </w:r>
      <w:r w:rsidR="004C0328">
        <w:rPr>
          <w:lang w:val="en"/>
        </w:rPr>
        <w:t xml:space="preserve">several </w:t>
      </w:r>
      <w:r w:rsidR="007A507A">
        <w:rPr>
          <w:lang w:val="en"/>
        </w:rPr>
        <w:t xml:space="preserve">marine species </w:t>
      </w:r>
      <w:r w:rsidR="004C0328">
        <w:rPr>
          <w:lang w:val="en"/>
        </w:rPr>
        <w:t xml:space="preserve">have been </w:t>
      </w:r>
      <w:r w:rsidR="00DC25A6">
        <w:rPr>
          <w:lang w:val="en"/>
        </w:rPr>
        <w:t xml:space="preserve">reported at concentrations </w:t>
      </w:r>
      <w:r w:rsidR="004C0328">
        <w:rPr>
          <w:lang w:val="en"/>
        </w:rPr>
        <w:t>below 1</w:t>
      </w:r>
      <w:r w:rsidR="00444135">
        <w:rPr>
          <w:lang w:val="en"/>
        </w:rPr>
        <w:t> </w:t>
      </w:r>
      <w:r w:rsidR="004C0328">
        <w:rPr>
          <w:rFonts w:cstheme="minorHAnsi"/>
          <w:lang w:val="en"/>
        </w:rPr>
        <w:t>µ</w:t>
      </w:r>
      <w:r w:rsidR="004C0328">
        <w:rPr>
          <w:lang w:val="en"/>
        </w:rPr>
        <w:t>g/L (</w:t>
      </w:r>
      <w:r w:rsidR="00D2511E" w:rsidRPr="00E56DEA">
        <w:rPr>
          <w:lang w:val="en"/>
        </w:rPr>
        <w:t>Marcial et al.</w:t>
      </w:r>
      <w:r w:rsidR="00D2511E" w:rsidRPr="00CD27DB">
        <w:rPr>
          <w:lang w:val="en"/>
        </w:rPr>
        <w:t xml:space="preserve"> 2003</w:t>
      </w:r>
      <w:r w:rsidR="00D2511E">
        <w:rPr>
          <w:lang w:val="en"/>
        </w:rPr>
        <w:t xml:space="preserve">, </w:t>
      </w:r>
      <w:r w:rsidR="00D2511E" w:rsidRPr="00791F96">
        <w:rPr>
          <w:lang w:val="en"/>
        </w:rPr>
        <w:t>Liu et al. 2011</w:t>
      </w:r>
      <w:r w:rsidR="00D2511E">
        <w:rPr>
          <w:lang w:val="en"/>
        </w:rPr>
        <w:t xml:space="preserve">, </w:t>
      </w:r>
      <w:r w:rsidR="00D2511E">
        <w:t>Laufer et al</w:t>
      </w:r>
      <w:r w:rsidR="000248D0">
        <w:t>.</w:t>
      </w:r>
      <w:r w:rsidR="00D2511E">
        <w:t xml:space="preserve"> 2012), </w:t>
      </w:r>
      <w:r w:rsidR="004865F6">
        <w:t xml:space="preserve">whereas there have been no effects for </w:t>
      </w:r>
      <w:r w:rsidR="00D2511E">
        <w:t>freshwater species</w:t>
      </w:r>
      <w:r w:rsidR="004865F6">
        <w:rPr>
          <w:lang w:val="en"/>
        </w:rPr>
        <w:t xml:space="preserve"> </w:t>
      </w:r>
      <w:r w:rsidR="00444135">
        <w:rPr>
          <w:lang w:val="en"/>
        </w:rPr>
        <w:t xml:space="preserve">reported </w:t>
      </w:r>
      <w:r w:rsidR="00A21BE9">
        <w:rPr>
          <w:lang w:val="en"/>
        </w:rPr>
        <w:t xml:space="preserve">at concentrations </w:t>
      </w:r>
      <w:r w:rsidR="00444135">
        <w:rPr>
          <w:lang w:val="en"/>
        </w:rPr>
        <w:t>below 1 </w:t>
      </w:r>
      <w:r w:rsidR="00366970">
        <w:rPr>
          <w:rFonts w:cstheme="minorHAnsi"/>
          <w:lang w:val="en"/>
        </w:rPr>
        <w:t>µ</w:t>
      </w:r>
      <w:r w:rsidR="00366970">
        <w:rPr>
          <w:lang w:val="en"/>
        </w:rPr>
        <w:t>g/L</w:t>
      </w:r>
      <w:r w:rsidR="00D2511E">
        <w:rPr>
          <w:lang w:val="en"/>
        </w:rPr>
        <w:t xml:space="preserve"> (</w:t>
      </w:r>
      <w:r w:rsidR="00366970">
        <w:rPr>
          <w:lang w:val="en"/>
        </w:rPr>
        <w:t>E</w:t>
      </w:r>
      <w:r w:rsidR="004865F6">
        <w:rPr>
          <w:lang w:val="en"/>
        </w:rPr>
        <w:t>CCC</w:t>
      </w:r>
      <w:r w:rsidR="00366970">
        <w:rPr>
          <w:lang w:val="en"/>
        </w:rPr>
        <w:t xml:space="preserve"> 2017)</w:t>
      </w:r>
      <w:r w:rsidR="007A507A">
        <w:rPr>
          <w:lang w:val="en"/>
        </w:rPr>
        <w:t>.</w:t>
      </w:r>
      <w:r w:rsidR="00FF21FB">
        <w:rPr>
          <w:lang w:val="en"/>
        </w:rPr>
        <w:t xml:space="preserve"> This is d</w:t>
      </w:r>
      <w:r w:rsidR="008D3C3A">
        <w:rPr>
          <w:lang w:val="en"/>
        </w:rPr>
        <w:t xml:space="preserve">espite </w:t>
      </w:r>
      <w:r w:rsidR="00FF21FB">
        <w:rPr>
          <w:lang w:val="en"/>
        </w:rPr>
        <w:t>the fact that</w:t>
      </w:r>
      <w:r w:rsidR="008D3C3A">
        <w:rPr>
          <w:lang w:val="en"/>
        </w:rPr>
        <w:t xml:space="preserve"> the </w:t>
      </w:r>
      <w:r w:rsidR="00F3431C">
        <w:rPr>
          <w:lang w:val="en"/>
        </w:rPr>
        <w:t xml:space="preserve">marine </w:t>
      </w:r>
      <w:r w:rsidR="00C219E7">
        <w:rPr>
          <w:lang w:val="en"/>
        </w:rPr>
        <w:t xml:space="preserve">toxicity </w:t>
      </w:r>
      <w:r w:rsidR="00F3431C">
        <w:rPr>
          <w:lang w:val="en"/>
        </w:rPr>
        <w:t xml:space="preserve">data </w:t>
      </w:r>
      <w:r w:rsidR="008D3C3A">
        <w:rPr>
          <w:lang w:val="en"/>
        </w:rPr>
        <w:t>are</w:t>
      </w:r>
      <w:r w:rsidR="00596EBC">
        <w:rPr>
          <w:lang w:val="en"/>
        </w:rPr>
        <w:t xml:space="preserve"> </w:t>
      </w:r>
      <w:r w:rsidR="00C219E7">
        <w:rPr>
          <w:lang w:val="en"/>
        </w:rPr>
        <w:t>based on</w:t>
      </w:r>
      <w:r w:rsidR="009E7E34">
        <w:rPr>
          <w:lang w:val="en"/>
        </w:rPr>
        <w:t xml:space="preserve"> shorter duration</w:t>
      </w:r>
      <w:r w:rsidR="008D3C3A">
        <w:rPr>
          <w:lang w:val="en"/>
        </w:rPr>
        <w:t>, partial life</w:t>
      </w:r>
      <w:r w:rsidR="0017555F">
        <w:rPr>
          <w:lang w:val="en"/>
        </w:rPr>
        <w:t xml:space="preserve"> </w:t>
      </w:r>
      <w:r w:rsidR="008D3C3A">
        <w:rPr>
          <w:lang w:val="en"/>
        </w:rPr>
        <w:t>cycle</w:t>
      </w:r>
      <w:r w:rsidR="00F3431C">
        <w:rPr>
          <w:lang w:val="en"/>
        </w:rPr>
        <w:t xml:space="preserve"> </w:t>
      </w:r>
      <w:r w:rsidR="009E7E34">
        <w:rPr>
          <w:lang w:val="en"/>
        </w:rPr>
        <w:t>studies</w:t>
      </w:r>
      <w:r w:rsidR="008C1870">
        <w:rPr>
          <w:lang w:val="en"/>
        </w:rPr>
        <w:t xml:space="preserve"> </w:t>
      </w:r>
      <w:r w:rsidR="0017555F">
        <w:rPr>
          <w:lang w:val="en"/>
        </w:rPr>
        <w:t>(</w:t>
      </w:r>
      <w:r w:rsidR="008C1870">
        <w:rPr>
          <w:lang w:val="en"/>
        </w:rPr>
        <w:t>albeit for early life stages</w:t>
      </w:r>
      <w:r w:rsidR="0017555F">
        <w:rPr>
          <w:lang w:val="en"/>
        </w:rPr>
        <w:t>)</w:t>
      </w:r>
      <w:r w:rsidR="007A507A">
        <w:rPr>
          <w:lang w:val="en"/>
        </w:rPr>
        <w:t xml:space="preserve">, </w:t>
      </w:r>
      <w:r w:rsidR="009E7E34">
        <w:rPr>
          <w:lang w:val="en"/>
        </w:rPr>
        <w:t>whe</w:t>
      </w:r>
      <w:r w:rsidR="008D3C3A">
        <w:rPr>
          <w:lang w:val="en"/>
        </w:rPr>
        <w:t xml:space="preserve">reas </w:t>
      </w:r>
      <w:r w:rsidR="00F3431C">
        <w:rPr>
          <w:lang w:val="en"/>
        </w:rPr>
        <w:t>the freshwater data</w:t>
      </w:r>
      <w:r w:rsidR="007A507A">
        <w:rPr>
          <w:lang w:val="en"/>
        </w:rPr>
        <w:t xml:space="preserve"> </w:t>
      </w:r>
      <w:r w:rsidR="008D3C3A">
        <w:rPr>
          <w:lang w:val="en"/>
        </w:rPr>
        <w:t xml:space="preserve">are </w:t>
      </w:r>
      <w:r w:rsidR="005B6CA3">
        <w:rPr>
          <w:lang w:val="en"/>
        </w:rPr>
        <w:t>mostly</w:t>
      </w:r>
      <w:r w:rsidR="007A507A">
        <w:rPr>
          <w:lang w:val="en"/>
        </w:rPr>
        <w:t xml:space="preserve"> </w:t>
      </w:r>
      <w:r w:rsidR="000465F6">
        <w:rPr>
          <w:lang w:val="en"/>
        </w:rPr>
        <w:t xml:space="preserve">based on </w:t>
      </w:r>
      <w:r w:rsidR="007A507A">
        <w:rPr>
          <w:lang w:val="en"/>
        </w:rPr>
        <w:t>studies of chronic duration</w:t>
      </w:r>
      <w:r w:rsidR="000465F6">
        <w:rPr>
          <w:lang w:val="en"/>
        </w:rPr>
        <w:t>,</w:t>
      </w:r>
      <w:r w:rsidR="008D3C3A">
        <w:rPr>
          <w:lang w:val="en"/>
        </w:rPr>
        <w:t xml:space="preserve"> includ</w:t>
      </w:r>
      <w:r w:rsidR="000465F6">
        <w:rPr>
          <w:lang w:val="en"/>
        </w:rPr>
        <w:t>ing</w:t>
      </w:r>
      <w:r w:rsidR="008D3C3A">
        <w:rPr>
          <w:lang w:val="en"/>
        </w:rPr>
        <w:t xml:space="preserve"> multigenerational exposures</w:t>
      </w:r>
      <w:r w:rsidR="00596EBC">
        <w:rPr>
          <w:lang w:val="en"/>
        </w:rPr>
        <w:t>.</w:t>
      </w:r>
      <w:r w:rsidR="001A0974">
        <w:rPr>
          <w:lang w:val="en"/>
        </w:rPr>
        <w:t xml:space="preserve"> </w:t>
      </w:r>
      <w:r w:rsidR="005B6CA3">
        <w:rPr>
          <w:lang w:val="en"/>
        </w:rPr>
        <w:t>Currently, there is no empirical evidence of</w:t>
      </w:r>
      <w:r w:rsidR="005A3D73">
        <w:rPr>
          <w:bCs/>
        </w:rPr>
        <w:t xml:space="preserve"> abiotic factors</w:t>
      </w:r>
      <w:r w:rsidR="001E1793">
        <w:rPr>
          <w:bCs/>
        </w:rPr>
        <w:t>,</w:t>
      </w:r>
      <w:r w:rsidR="000D2513">
        <w:rPr>
          <w:bCs/>
        </w:rPr>
        <w:t xml:space="preserve"> </w:t>
      </w:r>
      <w:r w:rsidR="00D9357E">
        <w:rPr>
          <w:bCs/>
        </w:rPr>
        <w:t xml:space="preserve">such as </w:t>
      </w:r>
      <w:r w:rsidR="000D2513">
        <w:rPr>
          <w:bCs/>
        </w:rPr>
        <w:t>salinity</w:t>
      </w:r>
      <w:r w:rsidR="001E1793">
        <w:rPr>
          <w:bCs/>
        </w:rPr>
        <w:t>,</w:t>
      </w:r>
      <w:r w:rsidR="005A3D73">
        <w:rPr>
          <w:bCs/>
        </w:rPr>
        <w:t xml:space="preserve"> affecting the toxicity of BPA</w:t>
      </w:r>
      <w:r w:rsidR="00FF21FB">
        <w:rPr>
          <w:bCs/>
        </w:rPr>
        <w:t>,</w:t>
      </w:r>
      <w:r w:rsidR="005A3D73">
        <w:rPr>
          <w:bCs/>
        </w:rPr>
        <w:t xml:space="preserve"> </w:t>
      </w:r>
      <w:r w:rsidR="00FF21FB">
        <w:rPr>
          <w:bCs/>
        </w:rPr>
        <w:t>and m</w:t>
      </w:r>
      <w:r w:rsidR="00D9357E">
        <w:rPr>
          <w:lang w:val="en"/>
        </w:rPr>
        <w:t xml:space="preserve">ore data are required to determine whether BPA is </w:t>
      </w:r>
      <w:r w:rsidR="00FF21FB">
        <w:rPr>
          <w:lang w:val="en"/>
        </w:rPr>
        <w:t xml:space="preserve">generally </w:t>
      </w:r>
      <w:r w:rsidR="00D9357E">
        <w:rPr>
          <w:lang w:val="en"/>
        </w:rPr>
        <w:t>more toxic to marine species than to freshwater species</w:t>
      </w:r>
      <w:r w:rsidR="00914488" w:rsidRPr="00914488">
        <w:rPr>
          <w:bCs/>
        </w:rPr>
        <w:t xml:space="preserve"> </w:t>
      </w:r>
      <w:r w:rsidR="00914488" w:rsidRPr="00142439">
        <w:rPr>
          <w:bCs/>
        </w:rPr>
        <w:t>and whether there are any key toxicity modifying factors</w:t>
      </w:r>
      <w:r w:rsidR="00D9357E">
        <w:rPr>
          <w:lang w:val="en"/>
        </w:rPr>
        <w:t>.</w:t>
      </w:r>
    </w:p>
    <w:p w14:paraId="66175AFF" w14:textId="77777777" w:rsidR="00BF0280" w:rsidRDefault="001272F6" w:rsidP="00A47617">
      <w:pPr>
        <w:pStyle w:val="Heading2"/>
      </w:pPr>
      <w:bookmarkStart w:id="9" w:name="_Toc68691037"/>
      <w:r>
        <w:t>Default guideline value derivation</w:t>
      </w:r>
      <w:bookmarkEnd w:id="9"/>
    </w:p>
    <w:p w14:paraId="66175B00" w14:textId="77777777" w:rsidR="00A47617" w:rsidRDefault="00235993" w:rsidP="00A47617">
      <w:sdt>
        <w:sdtPr>
          <w:alias w:val="Compulsary - text and location locked to 4."/>
          <w:tag w:val="Compulsary - text and location locked"/>
          <w:id w:val="1416975399"/>
          <w:placeholder>
            <w:docPart w:val="B20CCC024575420DB346A2897E1BFAA1"/>
          </w:placeholder>
          <w:text/>
        </w:sdtPr>
        <w:sdtEndPr/>
        <w:sdtContent>
          <w:r w:rsidR="005A3D73" w:rsidRPr="009E02B0">
            <w:t>The DGVs were derived in accordance with the method described in Warne et al. (2018) and using Burrlioz 2.0 software.</w:t>
          </w:r>
        </w:sdtContent>
      </w:sdt>
    </w:p>
    <w:p w14:paraId="66175B01" w14:textId="77777777" w:rsidR="00BF0280" w:rsidRDefault="001272F6" w:rsidP="001303C0">
      <w:pPr>
        <w:pStyle w:val="Heading3"/>
      </w:pPr>
      <w:bookmarkStart w:id="10" w:name="_Toc68691038"/>
      <w:r>
        <w:t>Toxicity data used in derivation</w:t>
      </w:r>
      <w:bookmarkEnd w:id="10"/>
    </w:p>
    <w:p w14:paraId="66175B02" w14:textId="77777777" w:rsidR="00A803F0" w:rsidRDefault="001272F6" w:rsidP="00A803F0">
      <w:r w:rsidRPr="00AD58FD">
        <w:t xml:space="preserve">The </w:t>
      </w:r>
      <w:r>
        <w:t xml:space="preserve">literature </w:t>
      </w:r>
      <w:r w:rsidRPr="00AD58FD">
        <w:t>review</w:t>
      </w:r>
      <w:r w:rsidR="0068243D">
        <w:t xml:space="preserve"> and quality assessment and screening process</w:t>
      </w:r>
      <w:r w:rsidRPr="00AD58FD">
        <w:t xml:space="preserve"> identified </w:t>
      </w:r>
      <w:r>
        <w:t xml:space="preserve">permissible marine </w:t>
      </w:r>
      <w:r w:rsidRPr="00AD58FD">
        <w:t xml:space="preserve">toxicity data </w:t>
      </w:r>
      <w:r w:rsidRPr="008F2255">
        <w:t xml:space="preserve">consisting of </w:t>
      </w:r>
      <w:r>
        <w:t>11</w:t>
      </w:r>
      <w:r w:rsidRPr="008F2255">
        <w:t xml:space="preserve"> chronic </w:t>
      </w:r>
      <w:r>
        <w:t>toxicity values</w:t>
      </w:r>
      <w:r w:rsidRPr="008F2255">
        <w:t xml:space="preserve"> for </w:t>
      </w:r>
      <w:r w:rsidR="00F142EE">
        <w:t>six</w:t>
      </w:r>
      <w:r>
        <w:t xml:space="preserve"> </w:t>
      </w:r>
      <w:r w:rsidRPr="008F2255">
        <w:t xml:space="preserve">species and </w:t>
      </w:r>
      <w:r w:rsidR="00D175AE">
        <w:t>eight</w:t>
      </w:r>
      <w:r w:rsidRPr="008F2255">
        <w:t xml:space="preserve"> acute </w:t>
      </w:r>
      <w:r>
        <w:t>toxicity values</w:t>
      </w:r>
      <w:r w:rsidRPr="008F2255">
        <w:t xml:space="preserve"> for </w:t>
      </w:r>
      <w:r w:rsidR="00D175AE">
        <w:t>four</w:t>
      </w:r>
      <w:r>
        <w:t xml:space="preserve"> </w:t>
      </w:r>
      <w:r w:rsidRPr="008F2255">
        <w:t>species</w:t>
      </w:r>
      <w:r>
        <w:t xml:space="preserve">. These data were within the salinity range for establishing DGVs for marine water as specified by </w:t>
      </w:r>
      <w:r w:rsidRPr="009E02B0">
        <w:t>Warne et al. (2018)</w:t>
      </w:r>
      <w:r>
        <w:t xml:space="preserve">. </w:t>
      </w:r>
    </w:p>
    <w:p w14:paraId="66175B03" w14:textId="77777777" w:rsidR="001303C0" w:rsidRDefault="001272F6" w:rsidP="001303C0">
      <w:pPr>
        <w:spacing w:before="240"/>
      </w:pPr>
      <w:r w:rsidRPr="003A0E6B">
        <w:t xml:space="preserve">A summary of the toxicity data (one value per species) </w:t>
      </w:r>
      <w:r w:rsidR="00C62C23">
        <w:t xml:space="preserve">and conversions </w:t>
      </w:r>
      <w:r w:rsidRPr="003A0E6B">
        <w:t xml:space="preserve">used to calculate the DGVs for </w:t>
      </w:r>
      <w:r w:rsidR="004176E8">
        <w:t>BPA</w:t>
      </w:r>
      <w:r w:rsidR="00542F9A">
        <w:t xml:space="preserve"> </w:t>
      </w:r>
      <w:r w:rsidRPr="003A0E6B">
        <w:t xml:space="preserve">in </w:t>
      </w:r>
      <w:r w:rsidR="00AD5804">
        <w:t xml:space="preserve">marine water </w:t>
      </w:r>
      <w:r w:rsidRPr="003A0E6B">
        <w:t>is provided in</w:t>
      </w:r>
      <w:r w:rsidR="00226F8B">
        <w:t xml:space="preserve"> </w:t>
      </w:r>
      <w:r w:rsidR="00226F8B">
        <w:fldChar w:fldCharType="begin"/>
      </w:r>
      <w:r w:rsidR="00226F8B">
        <w:instrText xml:space="preserve"> REF _Ref6321734 \h </w:instrText>
      </w:r>
      <w:r w:rsidR="00226F8B">
        <w:fldChar w:fldCharType="separate"/>
      </w:r>
      <w:r w:rsidR="00FE279A">
        <w:rPr>
          <w:b/>
          <w:bCs/>
          <w:lang w:val="en-US"/>
        </w:rPr>
        <w:t>Error! Reference source not found.</w:t>
      </w:r>
      <w:r w:rsidR="00226F8B">
        <w:fldChar w:fldCharType="end"/>
      </w:r>
      <w:r w:rsidRPr="003A0E6B">
        <w:t xml:space="preserve">. Further details on the data that passed the screening and quality </w:t>
      </w:r>
      <w:r w:rsidR="004176E8">
        <w:t>assessment</w:t>
      </w:r>
      <w:r w:rsidRPr="003A0E6B">
        <w:t>, including those used to derive the single species values used to calculate the DGVs, are presented in</w:t>
      </w:r>
      <w:r w:rsidR="00D243D3">
        <w:t xml:space="preserve"> </w:t>
      </w:r>
      <w:r w:rsidR="00226F8B">
        <w:fldChar w:fldCharType="begin"/>
      </w:r>
      <w:r w:rsidR="00226F8B">
        <w:instrText xml:space="preserve"> REF _Ref63754598 \h </w:instrText>
      </w:r>
      <w:r w:rsidR="00226F8B">
        <w:fldChar w:fldCharType="separate"/>
      </w:r>
      <w:r w:rsidR="00FE279A">
        <w:t>Appendix A: T</w:t>
      </w:r>
      <w:r w:rsidR="00FE279A" w:rsidRPr="000C7ECF">
        <w:t>oxicity data that passed the screening and quality assessment</w:t>
      </w:r>
      <w:r w:rsidR="00FE279A">
        <w:t xml:space="preserve"> and were used to derive the default guideline values</w:t>
      </w:r>
      <w:r w:rsidR="00226F8B">
        <w:fldChar w:fldCharType="end"/>
      </w:r>
      <w:r w:rsidR="00D243D3">
        <w:t xml:space="preserve">, </w:t>
      </w:r>
      <w:r w:rsidR="00226F8B">
        <w:fldChar w:fldCharType="begin"/>
      </w:r>
      <w:r w:rsidR="00226F8B">
        <w:instrText xml:space="preserve"> REF _Ref63754525 \h </w:instrText>
      </w:r>
      <w:r w:rsidR="00226F8B">
        <w:fldChar w:fldCharType="separate"/>
      </w:r>
      <w:r w:rsidR="00FE279A">
        <w:t>Table A </w:t>
      </w:r>
      <w:r w:rsidR="00FE279A">
        <w:rPr>
          <w:noProof/>
        </w:rPr>
        <w:t>1</w:t>
      </w:r>
      <w:r w:rsidR="00226F8B">
        <w:fldChar w:fldCharType="end"/>
      </w:r>
      <w:r w:rsidRPr="003A0E6B">
        <w:t>.</w:t>
      </w:r>
      <w:r w:rsidR="00652AE6">
        <w:t xml:space="preserve"> Details of the </w:t>
      </w:r>
      <w:hyperlink r:id="rId20" w:history="1">
        <w:r w:rsidR="00652AE6" w:rsidRPr="009763B0">
          <w:rPr>
            <w:rStyle w:val="Hyperlink"/>
          </w:rPr>
          <w:t>data quality assessment</w:t>
        </w:r>
      </w:hyperlink>
      <w:r w:rsidR="00652AE6">
        <w:t xml:space="preserve"> and the </w:t>
      </w:r>
      <w:hyperlink r:id="rId21" w:history="1">
        <w:r w:rsidR="00652AE6" w:rsidRPr="009763B0">
          <w:rPr>
            <w:rStyle w:val="Hyperlink"/>
          </w:rPr>
          <w:t>data that passed the quality assessment</w:t>
        </w:r>
      </w:hyperlink>
      <w:r w:rsidR="00652AE6">
        <w:t xml:space="preserve"> are provided as supporting information.</w:t>
      </w:r>
    </w:p>
    <w:p w14:paraId="66175B04" w14:textId="77777777" w:rsidR="001D3400" w:rsidRPr="005A3D73" w:rsidRDefault="001272F6" w:rsidP="001D3400">
      <w:pPr>
        <w:pStyle w:val="Caption"/>
      </w:pPr>
      <w:bookmarkStart w:id="11" w:name="_Toc132890395"/>
      <w:r>
        <w:t>Table </w:t>
      </w:r>
      <w:r w:rsidR="00235993">
        <w:fldChar w:fldCharType="begin"/>
      </w:r>
      <w:r w:rsidR="00235993">
        <w:instrText xml:space="preserve"> SEQ Table \* ARABIC </w:instrText>
      </w:r>
      <w:r w:rsidR="00235993">
        <w:fldChar w:fldCharType="separate"/>
      </w:r>
      <w:r w:rsidR="00FE279A">
        <w:rPr>
          <w:noProof/>
        </w:rPr>
        <w:t>1</w:t>
      </w:r>
      <w:r w:rsidR="00235993">
        <w:rPr>
          <w:noProof/>
        </w:rPr>
        <w:fldChar w:fldCharType="end"/>
      </w:r>
      <w:r w:rsidRPr="005A3D73">
        <w:t xml:space="preserve"> Summary of </w:t>
      </w:r>
      <w:r>
        <w:t>single</w:t>
      </w:r>
      <w:r w:rsidRPr="005A3D73">
        <w:t xml:space="preserve"> toxicity values</w:t>
      </w:r>
      <w:r>
        <w:t>, all species</w:t>
      </w:r>
      <w:r w:rsidRPr="005A3D73">
        <w:t xml:space="preserve"> used to derive the default guideline values for </w:t>
      </w:r>
      <w:r>
        <w:t>BPA</w:t>
      </w:r>
      <w:r w:rsidRPr="005A3D73">
        <w:t xml:space="preserve"> in marine water</w:t>
      </w:r>
      <w:bookmarkEnd w:id="11"/>
    </w:p>
    <w:tbl>
      <w:tblPr>
        <w:tblW w:w="5000" w:type="pct"/>
        <w:tblBorders>
          <w:top w:val="single" w:sz="4" w:space="0" w:color="auto"/>
          <w:bottom w:val="single" w:sz="4" w:space="0" w:color="auto"/>
          <w:insideH w:val="single" w:sz="4" w:space="0" w:color="auto"/>
        </w:tblBorders>
        <w:tblLayout w:type="fixed"/>
        <w:tblLook w:val="04A0" w:firstRow="1" w:lastRow="0" w:firstColumn="1" w:lastColumn="0" w:noHBand="0" w:noVBand="1"/>
        <w:tblCaption w:val="Summary of single toxicity values, all species used to derive the default guideline values for BPA in marine water"/>
        <w:tblDescription w:val="Table provides a list of the species used to derive the BPA DGVs with additional details such as taxonomic group, life stage, duration of test (hours), type of test (acute/chronic), toxicity measure (test endpoint), toxicity value (microgram per litre) and estimated chronic value (microgram per litre)."/>
      </w:tblPr>
      <w:tblGrid>
        <w:gridCol w:w="1274"/>
        <w:gridCol w:w="1738"/>
        <w:gridCol w:w="816"/>
        <w:gridCol w:w="992"/>
        <w:gridCol w:w="851"/>
        <w:gridCol w:w="1275"/>
        <w:gridCol w:w="992"/>
        <w:gridCol w:w="1132"/>
      </w:tblGrid>
      <w:tr w:rsidR="00B82CEC" w14:paraId="66175B0D" w14:textId="77777777" w:rsidTr="00C4253A">
        <w:trPr>
          <w:cantSplit/>
          <w:tblHeader/>
        </w:trPr>
        <w:tc>
          <w:tcPr>
            <w:tcW w:w="702" w:type="pct"/>
            <w:tcBorders>
              <w:top w:val="single" w:sz="12" w:space="0" w:color="auto"/>
              <w:bottom w:val="single" w:sz="12" w:space="0" w:color="auto"/>
            </w:tcBorders>
            <w:shd w:val="clear" w:color="auto" w:fill="auto"/>
          </w:tcPr>
          <w:p w14:paraId="66175B05" w14:textId="77777777" w:rsidR="001D3400" w:rsidRPr="00C83EDD" w:rsidRDefault="001272F6" w:rsidP="00C4253A">
            <w:pPr>
              <w:pStyle w:val="TableHeading"/>
            </w:pPr>
            <w:r w:rsidRPr="00C83EDD">
              <w:t>Taxonomic group</w:t>
            </w:r>
          </w:p>
        </w:tc>
        <w:tc>
          <w:tcPr>
            <w:tcW w:w="958" w:type="pct"/>
            <w:tcBorders>
              <w:top w:val="single" w:sz="12" w:space="0" w:color="auto"/>
              <w:bottom w:val="single" w:sz="12" w:space="0" w:color="auto"/>
            </w:tcBorders>
            <w:shd w:val="clear" w:color="auto" w:fill="auto"/>
          </w:tcPr>
          <w:p w14:paraId="66175B06" w14:textId="77777777" w:rsidR="001D3400" w:rsidRPr="00E46244" w:rsidRDefault="001272F6" w:rsidP="00C4253A">
            <w:pPr>
              <w:pStyle w:val="TableHeading"/>
            </w:pPr>
            <w:r w:rsidRPr="00E46244">
              <w:t>Species</w:t>
            </w:r>
          </w:p>
        </w:tc>
        <w:tc>
          <w:tcPr>
            <w:tcW w:w="450" w:type="pct"/>
            <w:tcBorders>
              <w:top w:val="single" w:sz="12" w:space="0" w:color="auto"/>
              <w:bottom w:val="single" w:sz="12" w:space="0" w:color="auto"/>
            </w:tcBorders>
            <w:shd w:val="clear" w:color="auto" w:fill="auto"/>
          </w:tcPr>
          <w:p w14:paraId="66175B07" w14:textId="77777777" w:rsidR="001D3400" w:rsidRPr="00E46244" w:rsidRDefault="001272F6" w:rsidP="00C4253A">
            <w:pPr>
              <w:pStyle w:val="TableHeading"/>
            </w:pPr>
            <w:r w:rsidRPr="00E46244">
              <w:t>Life stage</w:t>
            </w:r>
          </w:p>
        </w:tc>
        <w:tc>
          <w:tcPr>
            <w:tcW w:w="547" w:type="pct"/>
            <w:tcBorders>
              <w:top w:val="single" w:sz="12" w:space="0" w:color="auto"/>
              <w:bottom w:val="single" w:sz="12" w:space="0" w:color="auto"/>
            </w:tcBorders>
            <w:shd w:val="clear" w:color="auto" w:fill="auto"/>
          </w:tcPr>
          <w:p w14:paraId="66175B08" w14:textId="77777777" w:rsidR="001D3400" w:rsidRPr="00872EC2" w:rsidRDefault="001272F6" w:rsidP="00C4253A">
            <w:pPr>
              <w:pStyle w:val="TableHeading"/>
            </w:pPr>
            <w:r w:rsidRPr="00872EC2">
              <w:t>Duration (h</w:t>
            </w:r>
            <w:r>
              <w:t>our</w:t>
            </w:r>
            <w:r w:rsidRPr="00872EC2">
              <w:t>)</w:t>
            </w:r>
          </w:p>
        </w:tc>
        <w:tc>
          <w:tcPr>
            <w:tcW w:w="469" w:type="pct"/>
            <w:tcBorders>
              <w:top w:val="single" w:sz="12" w:space="0" w:color="auto"/>
              <w:bottom w:val="single" w:sz="12" w:space="0" w:color="auto"/>
            </w:tcBorders>
            <w:shd w:val="clear" w:color="auto" w:fill="auto"/>
          </w:tcPr>
          <w:p w14:paraId="66175B09" w14:textId="77777777" w:rsidR="001D3400" w:rsidRPr="00872EC2" w:rsidRDefault="001272F6" w:rsidP="00C4253A">
            <w:pPr>
              <w:pStyle w:val="TableHeading"/>
            </w:pPr>
            <w:r w:rsidRPr="00872EC2">
              <w:t>Type (acute/</w:t>
            </w:r>
            <w:r w:rsidRPr="00872EC2">
              <w:br/>
              <w:t>chronic)</w:t>
            </w:r>
          </w:p>
        </w:tc>
        <w:tc>
          <w:tcPr>
            <w:tcW w:w="703" w:type="pct"/>
            <w:tcBorders>
              <w:top w:val="single" w:sz="12" w:space="0" w:color="auto"/>
              <w:bottom w:val="single" w:sz="12" w:space="0" w:color="auto"/>
            </w:tcBorders>
            <w:shd w:val="clear" w:color="auto" w:fill="auto"/>
          </w:tcPr>
          <w:p w14:paraId="66175B0A" w14:textId="77777777" w:rsidR="001D3400" w:rsidRPr="00872EC2" w:rsidRDefault="001272F6" w:rsidP="00C4253A">
            <w:pPr>
              <w:pStyle w:val="TableHeading"/>
            </w:pPr>
            <w:r w:rsidRPr="00872EC2">
              <w:t>Toxicity measure</w:t>
            </w:r>
            <w:r>
              <w:t xml:space="preserve"> (test endpoint) </w:t>
            </w:r>
            <w:r w:rsidRPr="002A1975">
              <w:rPr>
                <w:rStyle w:val="Strong"/>
                <w:vertAlign w:val="superscript"/>
              </w:rPr>
              <w:t>a</w:t>
            </w:r>
          </w:p>
        </w:tc>
        <w:tc>
          <w:tcPr>
            <w:tcW w:w="547" w:type="pct"/>
            <w:tcBorders>
              <w:top w:val="single" w:sz="12" w:space="0" w:color="auto"/>
              <w:bottom w:val="single" w:sz="12" w:space="0" w:color="auto"/>
            </w:tcBorders>
            <w:shd w:val="clear" w:color="auto" w:fill="auto"/>
          </w:tcPr>
          <w:p w14:paraId="66175B0B" w14:textId="77777777" w:rsidR="001D3400" w:rsidRPr="00872EC2" w:rsidRDefault="001272F6" w:rsidP="00C4253A">
            <w:pPr>
              <w:pStyle w:val="TableHeading"/>
            </w:pPr>
            <w:r w:rsidRPr="00872EC2">
              <w:t>Toxicity value (</w:t>
            </w:r>
            <w:r w:rsidRPr="00872EC2">
              <w:rPr>
                <w:rFonts w:ascii="Corbel" w:hAnsi="Corbel"/>
              </w:rPr>
              <w:t>µ</w:t>
            </w:r>
            <w:r w:rsidRPr="00872EC2">
              <w:t>g/L)</w:t>
            </w:r>
          </w:p>
        </w:tc>
        <w:tc>
          <w:tcPr>
            <w:tcW w:w="624" w:type="pct"/>
            <w:tcBorders>
              <w:top w:val="single" w:sz="12" w:space="0" w:color="auto"/>
              <w:bottom w:val="single" w:sz="12" w:space="0" w:color="auto"/>
            </w:tcBorders>
            <w:shd w:val="clear" w:color="auto" w:fill="auto"/>
          </w:tcPr>
          <w:p w14:paraId="66175B0C" w14:textId="77777777" w:rsidR="001D3400" w:rsidRPr="00872EC2" w:rsidRDefault="001272F6" w:rsidP="00C4253A">
            <w:pPr>
              <w:pStyle w:val="TableHeading"/>
            </w:pPr>
            <w:r w:rsidRPr="00872EC2">
              <w:t>Estimated chronic value (</w:t>
            </w:r>
            <w:r w:rsidRPr="00872EC2">
              <w:rPr>
                <w:rFonts w:ascii="Corbel" w:hAnsi="Corbel"/>
              </w:rPr>
              <w:t>µ</w:t>
            </w:r>
            <w:r w:rsidRPr="00872EC2">
              <w:t>g/L)</w:t>
            </w:r>
          </w:p>
        </w:tc>
      </w:tr>
      <w:tr w:rsidR="00B82CEC" w14:paraId="66175B16" w14:textId="77777777" w:rsidTr="00C4253A">
        <w:trPr>
          <w:cantSplit/>
        </w:trPr>
        <w:tc>
          <w:tcPr>
            <w:tcW w:w="702" w:type="pct"/>
            <w:vMerge w:val="restart"/>
            <w:tcBorders>
              <w:top w:val="single" w:sz="12" w:space="0" w:color="auto"/>
            </w:tcBorders>
            <w:shd w:val="clear" w:color="auto" w:fill="auto"/>
          </w:tcPr>
          <w:p w14:paraId="66175B0E" w14:textId="77777777" w:rsidR="001D3400" w:rsidRPr="00C83EDD" w:rsidRDefault="001272F6" w:rsidP="00C4253A">
            <w:pPr>
              <w:pStyle w:val="TableText"/>
            </w:pPr>
            <w:r w:rsidRPr="00C83EDD">
              <w:t>Dinoflagellate</w:t>
            </w:r>
          </w:p>
        </w:tc>
        <w:tc>
          <w:tcPr>
            <w:tcW w:w="958" w:type="pct"/>
            <w:tcBorders>
              <w:top w:val="single" w:sz="12" w:space="0" w:color="auto"/>
            </w:tcBorders>
            <w:shd w:val="clear" w:color="auto" w:fill="auto"/>
          </w:tcPr>
          <w:p w14:paraId="66175B0F" w14:textId="77777777" w:rsidR="001D3400" w:rsidRPr="005A3D73" w:rsidRDefault="001272F6" w:rsidP="00C4253A">
            <w:pPr>
              <w:pStyle w:val="TableText"/>
              <w:rPr>
                <w:rStyle w:val="Emphasis"/>
              </w:rPr>
            </w:pPr>
            <w:r w:rsidRPr="005A3D73">
              <w:rPr>
                <w:rStyle w:val="Emphasis"/>
              </w:rPr>
              <w:t>Prorocentrum cordatum</w:t>
            </w:r>
          </w:p>
        </w:tc>
        <w:tc>
          <w:tcPr>
            <w:tcW w:w="450" w:type="pct"/>
            <w:tcBorders>
              <w:top w:val="single" w:sz="12" w:space="0" w:color="auto"/>
            </w:tcBorders>
            <w:shd w:val="clear" w:color="auto" w:fill="auto"/>
          </w:tcPr>
          <w:p w14:paraId="66175B10" w14:textId="77777777" w:rsidR="001D3400" w:rsidRPr="00E46244" w:rsidRDefault="001272F6" w:rsidP="00C4253A">
            <w:pPr>
              <w:pStyle w:val="TableText"/>
            </w:pPr>
            <w:r>
              <w:t>–</w:t>
            </w:r>
          </w:p>
        </w:tc>
        <w:tc>
          <w:tcPr>
            <w:tcW w:w="547" w:type="pct"/>
            <w:tcBorders>
              <w:top w:val="single" w:sz="12" w:space="0" w:color="auto"/>
            </w:tcBorders>
            <w:shd w:val="clear" w:color="auto" w:fill="auto"/>
          </w:tcPr>
          <w:p w14:paraId="66175B11" w14:textId="77777777" w:rsidR="001D3400" w:rsidRPr="00E46244" w:rsidRDefault="001272F6" w:rsidP="00C4253A">
            <w:pPr>
              <w:pStyle w:val="TableText"/>
            </w:pPr>
            <w:r w:rsidRPr="00E46244">
              <w:t>72</w:t>
            </w:r>
          </w:p>
        </w:tc>
        <w:tc>
          <w:tcPr>
            <w:tcW w:w="469" w:type="pct"/>
            <w:tcBorders>
              <w:top w:val="single" w:sz="12" w:space="0" w:color="auto"/>
            </w:tcBorders>
            <w:shd w:val="clear" w:color="auto" w:fill="auto"/>
          </w:tcPr>
          <w:p w14:paraId="66175B12" w14:textId="77777777" w:rsidR="001D3400" w:rsidRPr="00872EC2" w:rsidRDefault="001272F6" w:rsidP="00C4253A">
            <w:pPr>
              <w:pStyle w:val="TableText"/>
            </w:pPr>
            <w:r w:rsidRPr="00872EC2">
              <w:t>Chronic</w:t>
            </w:r>
          </w:p>
        </w:tc>
        <w:tc>
          <w:tcPr>
            <w:tcW w:w="703" w:type="pct"/>
            <w:tcBorders>
              <w:top w:val="single" w:sz="12" w:space="0" w:color="auto"/>
            </w:tcBorders>
            <w:shd w:val="clear" w:color="auto" w:fill="auto"/>
          </w:tcPr>
          <w:p w14:paraId="66175B13" w14:textId="77777777" w:rsidR="001D3400" w:rsidRPr="00872EC2" w:rsidRDefault="001272F6" w:rsidP="00C4253A">
            <w:pPr>
              <w:pStyle w:val="TableText"/>
            </w:pPr>
            <w:r w:rsidRPr="00872EC2">
              <w:t>EC</w:t>
            </w:r>
            <w:r>
              <w:t>5</w:t>
            </w:r>
            <w:r w:rsidRPr="00872EC2">
              <w:t>0</w:t>
            </w:r>
          </w:p>
        </w:tc>
        <w:tc>
          <w:tcPr>
            <w:tcW w:w="547" w:type="pct"/>
            <w:tcBorders>
              <w:top w:val="single" w:sz="12" w:space="0" w:color="auto"/>
            </w:tcBorders>
            <w:shd w:val="clear" w:color="auto" w:fill="auto"/>
          </w:tcPr>
          <w:p w14:paraId="66175B14" w14:textId="77777777" w:rsidR="001D3400" w:rsidRPr="00872EC2" w:rsidRDefault="001272F6" w:rsidP="00C4253A">
            <w:pPr>
              <w:pStyle w:val="TableText"/>
            </w:pPr>
            <w:r>
              <w:t>1 510</w:t>
            </w:r>
          </w:p>
        </w:tc>
        <w:tc>
          <w:tcPr>
            <w:tcW w:w="624" w:type="pct"/>
            <w:tcBorders>
              <w:top w:val="single" w:sz="12" w:space="0" w:color="auto"/>
            </w:tcBorders>
            <w:shd w:val="clear" w:color="auto" w:fill="auto"/>
          </w:tcPr>
          <w:p w14:paraId="66175B15" w14:textId="77777777" w:rsidR="001D3400" w:rsidRPr="00872EC2" w:rsidRDefault="001272F6" w:rsidP="00C4253A">
            <w:pPr>
              <w:pStyle w:val="TableText"/>
            </w:pPr>
            <w:r w:rsidRPr="00872EC2">
              <w:t>3</w:t>
            </w:r>
            <w:r>
              <w:t xml:space="preserve">02 </w:t>
            </w:r>
            <w:r w:rsidRPr="002A1975">
              <w:rPr>
                <w:rStyle w:val="Strong"/>
                <w:vertAlign w:val="superscript"/>
              </w:rPr>
              <w:t>b</w:t>
            </w:r>
          </w:p>
        </w:tc>
      </w:tr>
      <w:tr w:rsidR="00B82CEC" w14:paraId="66175B1F" w14:textId="77777777" w:rsidTr="00C4253A">
        <w:trPr>
          <w:cantSplit/>
        </w:trPr>
        <w:tc>
          <w:tcPr>
            <w:tcW w:w="702" w:type="pct"/>
            <w:vMerge/>
            <w:shd w:val="clear" w:color="auto" w:fill="auto"/>
          </w:tcPr>
          <w:p w14:paraId="66175B17" w14:textId="77777777" w:rsidR="001D3400" w:rsidRPr="00C83EDD" w:rsidRDefault="001D3400" w:rsidP="00C4253A">
            <w:pPr>
              <w:pStyle w:val="TableText"/>
            </w:pPr>
          </w:p>
        </w:tc>
        <w:tc>
          <w:tcPr>
            <w:tcW w:w="958" w:type="pct"/>
            <w:shd w:val="clear" w:color="auto" w:fill="auto"/>
          </w:tcPr>
          <w:p w14:paraId="66175B18" w14:textId="77777777" w:rsidR="001D3400" w:rsidRPr="005A3D73" w:rsidRDefault="001272F6" w:rsidP="00C4253A">
            <w:pPr>
              <w:pStyle w:val="TableText"/>
              <w:rPr>
                <w:rStyle w:val="Emphasis"/>
              </w:rPr>
            </w:pPr>
            <w:r w:rsidRPr="005A3D73">
              <w:rPr>
                <w:rStyle w:val="Emphasis"/>
              </w:rPr>
              <w:t>Margalefidinium polykrikoides</w:t>
            </w:r>
          </w:p>
        </w:tc>
        <w:tc>
          <w:tcPr>
            <w:tcW w:w="450" w:type="pct"/>
            <w:shd w:val="clear" w:color="auto" w:fill="auto"/>
          </w:tcPr>
          <w:p w14:paraId="66175B19" w14:textId="77777777" w:rsidR="001D3400" w:rsidRPr="00872EC2" w:rsidRDefault="001272F6" w:rsidP="00C4253A">
            <w:pPr>
              <w:pStyle w:val="TableText"/>
            </w:pPr>
            <w:r>
              <w:t>–</w:t>
            </w:r>
          </w:p>
        </w:tc>
        <w:tc>
          <w:tcPr>
            <w:tcW w:w="547" w:type="pct"/>
            <w:shd w:val="clear" w:color="auto" w:fill="auto"/>
          </w:tcPr>
          <w:p w14:paraId="66175B1A" w14:textId="77777777" w:rsidR="001D3400" w:rsidRPr="00872EC2" w:rsidRDefault="001272F6" w:rsidP="00C4253A">
            <w:pPr>
              <w:pStyle w:val="TableText"/>
            </w:pPr>
            <w:r w:rsidRPr="00872EC2">
              <w:t>72</w:t>
            </w:r>
          </w:p>
        </w:tc>
        <w:tc>
          <w:tcPr>
            <w:tcW w:w="469" w:type="pct"/>
            <w:shd w:val="clear" w:color="auto" w:fill="auto"/>
          </w:tcPr>
          <w:p w14:paraId="66175B1B" w14:textId="77777777" w:rsidR="001D3400" w:rsidRPr="00872EC2" w:rsidRDefault="001272F6" w:rsidP="00C4253A">
            <w:pPr>
              <w:pStyle w:val="TableText"/>
            </w:pPr>
            <w:r w:rsidRPr="00872EC2">
              <w:t>Chronic</w:t>
            </w:r>
          </w:p>
        </w:tc>
        <w:tc>
          <w:tcPr>
            <w:tcW w:w="703" w:type="pct"/>
            <w:shd w:val="clear" w:color="auto" w:fill="auto"/>
          </w:tcPr>
          <w:p w14:paraId="66175B1C" w14:textId="77777777" w:rsidR="001D3400" w:rsidRPr="00872EC2" w:rsidRDefault="001272F6" w:rsidP="00C4253A">
            <w:pPr>
              <w:pStyle w:val="TableText"/>
            </w:pPr>
            <w:r w:rsidRPr="00872EC2">
              <w:t>EC</w:t>
            </w:r>
            <w:r>
              <w:t>1</w:t>
            </w:r>
            <w:r w:rsidRPr="00872EC2">
              <w:t>0</w:t>
            </w:r>
          </w:p>
        </w:tc>
        <w:tc>
          <w:tcPr>
            <w:tcW w:w="547" w:type="pct"/>
            <w:shd w:val="clear" w:color="auto" w:fill="auto"/>
          </w:tcPr>
          <w:p w14:paraId="66175B1D" w14:textId="77777777" w:rsidR="001D3400" w:rsidRPr="00872EC2" w:rsidRDefault="001272F6" w:rsidP="00C4253A">
            <w:pPr>
              <w:pStyle w:val="TableText"/>
            </w:pPr>
            <w:r>
              <w:t>3 470</w:t>
            </w:r>
          </w:p>
        </w:tc>
        <w:tc>
          <w:tcPr>
            <w:tcW w:w="624" w:type="pct"/>
            <w:shd w:val="clear" w:color="auto" w:fill="auto"/>
          </w:tcPr>
          <w:p w14:paraId="66175B1E" w14:textId="77777777" w:rsidR="001D3400" w:rsidRPr="00872EC2" w:rsidRDefault="001272F6" w:rsidP="00C4253A">
            <w:pPr>
              <w:pStyle w:val="TableText"/>
            </w:pPr>
            <w:r w:rsidRPr="00872EC2">
              <w:t>3</w:t>
            </w:r>
            <w:r>
              <w:t xml:space="preserve"> 470 </w:t>
            </w:r>
            <w:r w:rsidRPr="002A1975">
              <w:rPr>
                <w:rStyle w:val="Strong"/>
                <w:vertAlign w:val="superscript"/>
              </w:rPr>
              <w:t>c</w:t>
            </w:r>
          </w:p>
        </w:tc>
      </w:tr>
      <w:tr w:rsidR="00B82CEC" w14:paraId="66175B28" w14:textId="77777777" w:rsidTr="00C4253A">
        <w:trPr>
          <w:cantSplit/>
        </w:trPr>
        <w:tc>
          <w:tcPr>
            <w:tcW w:w="702" w:type="pct"/>
            <w:vMerge w:val="restart"/>
            <w:shd w:val="clear" w:color="auto" w:fill="auto"/>
          </w:tcPr>
          <w:p w14:paraId="66175B20" w14:textId="77777777" w:rsidR="001D3400" w:rsidRPr="00C83EDD" w:rsidRDefault="001272F6" w:rsidP="00C4253A">
            <w:pPr>
              <w:pStyle w:val="TableText"/>
            </w:pPr>
            <w:r w:rsidRPr="00C83EDD">
              <w:t>Echinoderm</w:t>
            </w:r>
          </w:p>
        </w:tc>
        <w:tc>
          <w:tcPr>
            <w:tcW w:w="958" w:type="pct"/>
            <w:shd w:val="clear" w:color="auto" w:fill="auto"/>
          </w:tcPr>
          <w:p w14:paraId="66175B21" w14:textId="77777777" w:rsidR="001D3400" w:rsidRPr="005A3D73" w:rsidRDefault="001272F6" w:rsidP="00C4253A">
            <w:pPr>
              <w:pStyle w:val="TableText"/>
              <w:rPr>
                <w:rStyle w:val="Emphasis"/>
              </w:rPr>
            </w:pPr>
            <w:r w:rsidRPr="005A3D73">
              <w:rPr>
                <w:rStyle w:val="Emphasis"/>
              </w:rPr>
              <w:t xml:space="preserve">Hemicentrotus pulcherrimus </w:t>
            </w:r>
          </w:p>
        </w:tc>
        <w:tc>
          <w:tcPr>
            <w:tcW w:w="450" w:type="pct"/>
            <w:shd w:val="clear" w:color="auto" w:fill="auto"/>
          </w:tcPr>
          <w:p w14:paraId="66175B22" w14:textId="77777777" w:rsidR="001D3400" w:rsidRPr="00872EC2" w:rsidRDefault="001272F6" w:rsidP="00C4253A">
            <w:pPr>
              <w:pStyle w:val="TableText"/>
            </w:pPr>
            <w:r w:rsidRPr="00872EC2">
              <w:t>Juvenile</w:t>
            </w:r>
          </w:p>
        </w:tc>
        <w:tc>
          <w:tcPr>
            <w:tcW w:w="547" w:type="pct"/>
            <w:shd w:val="clear" w:color="auto" w:fill="auto"/>
          </w:tcPr>
          <w:p w14:paraId="66175B23" w14:textId="77777777" w:rsidR="001D3400" w:rsidRPr="00872EC2" w:rsidRDefault="001272F6" w:rsidP="00C4253A">
            <w:pPr>
              <w:pStyle w:val="TableText"/>
            </w:pPr>
            <w:r>
              <w:t>1 920</w:t>
            </w:r>
          </w:p>
        </w:tc>
        <w:tc>
          <w:tcPr>
            <w:tcW w:w="469" w:type="pct"/>
            <w:shd w:val="clear" w:color="auto" w:fill="auto"/>
          </w:tcPr>
          <w:p w14:paraId="66175B24" w14:textId="77777777" w:rsidR="001D3400" w:rsidRPr="00872EC2" w:rsidRDefault="001272F6" w:rsidP="00C4253A">
            <w:pPr>
              <w:pStyle w:val="TableText"/>
            </w:pPr>
            <w:r w:rsidRPr="00872EC2">
              <w:t>Chronic</w:t>
            </w:r>
          </w:p>
        </w:tc>
        <w:tc>
          <w:tcPr>
            <w:tcW w:w="703" w:type="pct"/>
            <w:shd w:val="clear" w:color="auto" w:fill="auto"/>
          </w:tcPr>
          <w:p w14:paraId="66175B25" w14:textId="77777777" w:rsidR="001D3400" w:rsidRPr="00872EC2" w:rsidRDefault="001272F6" w:rsidP="00C4253A">
            <w:pPr>
              <w:pStyle w:val="TableText"/>
            </w:pPr>
            <w:r w:rsidRPr="00872EC2">
              <w:t>LOEC</w:t>
            </w:r>
          </w:p>
        </w:tc>
        <w:tc>
          <w:tcPr>
            <w:tcW w:w="547" w:type="pct"/>
            <w:shd w:val="clear" w:color="auto" w:fill="auto"/>
          </w:tcPr>
          <w:p w14:paraId="66175B26" w14:textId="77777777" w:rsidR="001D3400" w:rsidRPr="00872EC2" w:rsidRDefault="001272F6" w:rsidP="00C4253A">
            <w:pPr>
              <w:pStyle w:val="TableText"/>
            </w:pPr>
            <w:r>
              <w:t>114</w:t>
            </w:r>
          </w:p>
        </w:tc>
        <w:tc>
          <w:tcPr>
            <w:tcW w:w="624" w:type="pct"/>
            <w:shd w:val="clear" w:color="auto" w:fill="auto"/>
          </w:tcPr>
          <w:p w14:paraId="66175B27" w14:textId="77777777" w:rsidR="001D3400" w:rsidRPr="00872EC2" w:rsidRDefault="001272F6" w:rsidP="00C4253A">
            <w:pPr>
              <w:pStyle w:val="TableText"/>
            </w:pPr>
            <w:r w:rsidRPr="00872EC2">
              <w:t>45.6</w:t>
            </w:r>
            <w:r w:rsidRPr="002A1975">
              <w:t xml:space="preserve"> </w:t>
            </w:r>
            <w:r w:rsidRPr="002A1975">
              <w:rPr>
                <w:rStyle w:val="Strong"/>
                <w:vertAlign w:val="superscript"/>
              </w:rPr>
              <w:t>d</w:t>
            </w:r>
          </w:p>
        </w:tc>
      </w:tr>
      <w:tr w:rsidR="00B82CEC" w14:paraId="66175B31" w14:textId="77777777" w:rsidTr="00C4253A">
        <w:trPr>
          <w:cantSplit/>
        </w:trPr>
        <w:tc>
          <w:tcPr>
            <w:tcW w:w="702" w:type="pct"/>
            <w:vMerge/>
            <w:shd w:val="clear" w:color="auto" w:fill="auto"/>
          </w:tcPr>
          <w:p w14:paraId="66175B29" w14:textId="77777777" w:rsidR="001D3400" w:rsidRPr="00C83EDD" w:rsidRDefault="001D3400" w:rsidP="00C4253A">
            <w:pPr>
              <w:pStyle w:val="TableText"/>
            </w:pPr>
          </w:p>
        </w:tc>
        <w:tc>
          <w:tcPr>
            <w:tcW w:w="958" w:type="pct"/>
            <w:shd w:val="clear" w:color="auto" w:fill="auto"/>
          </w:tcPr>
          <w:p w14:paraId="66175B2A" w14:textId="77777777" w:rsidR="001D3400" w:rsidRPr="005A3D73" w:rsidRDefault="001272F6" w:rsidP="00C4253A">
            <w:pPr>
              <w:pStyle w:val="TableText"/>
              <w:rPr>
                <w:rStyle w:val="Emphasis"/>
              </w:rPr>
            </w:pPr>
            <w:r w:rsidRPr="005A3D73">
              <w:rPr>
                <w:rStyle w:val="Emphasis"/>
              </w:rPr>
              <w:t xml:space="preserve">Paracentrotus lividus </w:t>
            </w:r>
          </w:p>
        </w:tc>
        <w:tc>
          <w:tcPr>
            <w:tcW w:w="450" w:type="pct"/>
            <w:shd w:val="clear" w:color="auto" w:fill="auto"/>
          </w:tcPr>
          <w:p w14:paraId="66175B2B" w14:textId="77777777" w:rsidR="001D3400" w:rsidRPr="00E46244" w:rsidRDefault="001272F6" w:rsidP="00C4253A">
            <w:pPr>
              <w:pStyle w:val="TableText"/>
            </w:pPr>
            <w:r w:rsidRPr="00E46244">
              <w:t>Embryo</w:t>
            </w:r>
          </w:p>
        </w:tc>
        <w:tc>
          <w:tcPr>
            <w:tcW w:w="547" w:type="pct"/>
            <w:shd w:val="clear" w:color="auto" w:fill="auto"/>
          </w:tcPr>
          <w:p w14:paraId="66175B2C" w14:textId="77777777" w:rsidR="001D3400" w:rsidRPr="00872EC2" w:rsidRDefault="001272F6" w:rsidP="00C4253A">
            <w:pPr>
              <w:pStyle w:val="TableText"/>
            </w:pPr>
            <w:r>
              <w:t>0.5</w:t>
            </w:r>
          </w:p>
        </w:tc>
        <w:tc>
          <w:tcPr>
            <w:tcW w:w="469" w:type="pct"/>
            <w:shd w:val="clear" w:color="auto" w:fill="auto"/>
          </w:tcPr>
          <w:p w14:paraId="66175B2D" w14:textId="77777777" w:rsidR="001D3400" w:rsidRPr="00872EC2" w:rsidRDefault="001272F6" w:rsidP="00C4253A">
            <w:pPr>
              <w:pStyle w:val="TableText"/>
            </w:pPr>
            <w:r>
              <w:t>Acute</w:t>
            </w:r>
          </w:p>
        </w:tc>
        <w:tc>
          <w:tcPr>
            <w:tcW w:w="703" w:type="pct"/>
            <w:shd w:val="clear" w:color="auto" w:fill="auto"/>
          </w:tcPr>
          <w:p w14:paraId="66175B2E" w14:textId="77777777" w:rsidR="001D3400" w:rsidRPr="00872EC2" w:rsidRDefault="001272F6" w:rsidP="00C4253A">
            <w:pPr>
              <w:pStyle w:val="TableText"/>
            </w:pPr>
            <w:r>
              <w:t>EC50</w:t>
            </w:r>
          </w:p>
        </w:tc>
        <w:tc>
          <w:tcPr>
            <w:tcW w:w="547" w:type="pct"/>
            <w:shd w:val="clear" w:color="auto" w:fill="auto"/>
          </w:tcPr>
          <w:p w14:paraId="66175B2F" w14:textId="77777777" w:rsidR="001D3400" w:rsidRPr="00872EC2" w:rsidRDefault="001272F6" w:rsidP="00C4253A">
            <w:pPr>
              <w:pStyle w:val="TableText"/>
            </w:pPr>
            <w:r>
              <w:t>388</w:t>
            </w:r>
          </w:p>
        </w:tc>
        <w:tc>
          <w:tcPr>
            <w:tcW w:w="624" w:type="pct"/>
            <w:shd w:val="clear" w:color="auto" w:fill="auto"/>
          </w:tcPr>
          <w:p w14:paraId="66175B30" w14:textId="77777777" w:rsidR="001D3400" w:rsidRPr="00872EC2" w:rsidRDefault="001272F6" w:rsidP="00C4253A">
            <w:pPr>
              <w:pStyle w:val="TableText"/>
            </w:pPr>
            <w:r>
              <w:t>38.8</w:t>
            </w:r>
            <w:r w:rsidRPr="002A1975">
              <w:t xml:space="preserve"> </w:t>
            </w:r>
            <w:r w:rsidRPr="002A1975">
              <w:rPr>
                <w:rStyle w:val="Strong"/>
                <w:vertAlign w:val="superscript"/>
              </w:rPr>
              <w:t>e</w:t>
            </w:r>
          </w:p>
        </w:tc>
      </w:tr>
      <w:tr w:rsidR="00B82CEC" w14:paraId="66175B3A" w14:textId="77777777" w:rsidTr="00C4253A">
        <w:trPr>
          <w:cantSplit/>
        </w:trPr>
        <w:tc>
          <w:tcPr>
            <w:tcW w:w="702" w:type="pct"/>
            <w:vMerge/>
            <w:shd w:val="clear" w:color="auto" w:fill="auto"/>
          </w:tcPr>
          <w:p w14:paraId="66175B32" w14:textId="77777777" w:rsidR="001D3400" w:rsidRPr="00C83EDD" w:rsidRDefault="001D3400" w:rsidP="00C4253A">
            <w:pPr>
              <w:pStyle w:val="TableText"/>
            </w:pPr>
          </w:p>
        </w:tc>
        <w:tc>
          <w:tcPr>
            <w:tcW w:w="958" w:type="pct"/>
            <w:shd w:val="clear" w:color="auto" w:fill="auto"/>
          </w:tcPr>
          <w:p w14:paraId="66175B33" w14:textId="77777777" w:rsidR="001D3400" w:rsidRPr="005A3D73" w:rsidRDefault="001272F6" w:rsidP="00C4253A">
            <w:pPr>
              <w:pStyle w:val="TableText"/>
              <w:rPr>
                <w:rStyle w:val="Emphasis"/>
              </w:rPr>
            </w:pPr>
            <w:r w:rsidRPr="005A3D73">
              <w:rPr>
                <w:rStyle w:val="Emphasis"/>
              </w:rPr>
              <w:t>Strongylocentrotus purpuratus</w:t>
            </w:r>
          </w:p>
        </w:tc>
        <w:tc>
          <w:tcPr>
            <w:tcW w:w="450" w:type="pct"/>
            <w:shd w:val="clear" w:color="auto" w:fill="auto"/>
          </w:tcPr>
          <w:p w14:paraId="66175B34" w14:textId="77777777" w:rsidR="001D3400" w:rsidRPr="00E46244" w:rsidRDefault="001272F6" w:rsidP="00C4253A">
            <w:pPr>
              <w:pStyle w:val="TableText"/>
            </w:pPr>
            <w:r w:rsidRPr="00E46244">
              <w:t>Larvae</w:t>
            </w:r>
          </w:p>
        </w:tc>
        <w:tc>
          <w:tcPr>
            <w:tcW w:w="547" w:type="pct"/>
            <w:shd w:val="clear" w:color="auto" w:fill="auto"/>
          </w:tcPr>
          <w:p w14:paraId="66175B35" w14:textId="77777777" w:rsidR="001D3400" w:rsidRPr="00872EC2" w:rsidRDefault="001272F6" w:rsidP="00C4253A">
            <w:pPr>
              <w:pStyle w:val="TableText"/>
            </w:pPr>
            <w:r w:rsidRPr="00872EC2">
              <w:t>96</w:t>
            </w:r>
          </w:p>
        </w:tc>
        <w:tc>
          <w:tcPr>
            <w:tcW w:w="469" w:type="pct"/>
            <w:shd w:val="clear" w:color="auto" w:fill="auto"/>
          </w:tcPr>
          <w:p w14:paraId="66175B36" w14:textId="77777777" w:rsidR="001D3400" w:rsidRPr="00872EC2" w:rsidRDefault="001272F6" w:rsidP="00C4253A">
            <w:pPr>
              <w:pStyle w:val="TableText"/>
            </w:pPr>
            <w:r w:rsidRPr="00872EC2">
              <w:t>Chronic</w:t>
            </w:r>
          </w:p>
        </w:tc>
        <w:tc>
          <w:tcPr>
            <w:tcW w:w="703" w:type="pct"/>
            <w:shd w:val="clear" w:color="auto" w:fill="auto"/>
          </w:tcPr>
          <w:p w14:paraId="66175B37" w14:textId="77777777" w:rsidR="001D3400" w:rsidRPr="00872EC2" w:rsidRDefault="001272F6" w:rsidP="00C4253A">
            <w:pPr>
              <w:pStyle w:val="TableText"/>
            </w:pPr>
            <w:r w:rsidRPr="00872EC2">
              <w:t>EC50</w:t>
            </w:r>
          </w:p>
        </w:tc>
        <w:tc>
          <w:tcPr>
            <w:tcW w:w="547" w:type="pct"/>
            <w:shd w:val="clear" w:color="auto" w:fill="auto"/>
          </w:tcPr>
          <w:p w14:paraId="66175B38" w14:textId="77777777" w:rsidR="001D3400" w:rsidRPr="00872EC2" w:rsidRDefault="001272F6" w:rsidP="00C4253A">
            <w:pPr>
              <w:pStyle w:val="TableText"/>
            </w:pPr>
            <w:r>
              <w:t>226.5</w:t>
            </w:r>
          </w:p>
        </w:tc>
        <w:tc>
          <w:tcPr>
            <w:tcW w:w="624" w:type="pct"/>
            <w:shd w:val="clear" w:color="auto" w:fill="auto"/>
          </w:tcPr>
          <w:p w14:paraId="66175B39" w14:textId="77777777" w:rsidR="001D3400" w:rsidRPr="00872EC2" w:rsidRDefault="001272F6" w:rsidP="00C4253A">
            <w:pPr>
              <w:pStyle w:val="TableText"/>
            </w:pPr>
            <w:r w:rsidRPr="00872EC2">
              <w:t>45.3</w:t>
            </w:r>
            <w:r>
              <w:t xml:space="preserve"> </w:t>
            </w:r>
            <w:r w:rsidRPr="002A1975">
              <w:rPr>
                <w:rStyle w:val="Strong"/>
                <w:vertAlign w:val="superscript"/>
              </w:rPr>
              <w:t>b</w:t>
            </w:r>
          </w:p>
        </w:tc>
      </w:tr>
      <w:tr w:rsidR="00B82CEC" w14:paraId="66175B43" w14:textId="77777777" w:rsidTr="00C4253A">
        <w:trPr>
          <w:cantSplit/>
        </w:trPr>
        <w:tc>
          <w:tcPr>
            <w:tcW w:w="702" w:type="pct"/>
            <w:shd w:val="clear" w:color="auto" w:fill="auto"/>
          </w:tcPr>
          <w:p w14:paraId="66175B3B" w14:textId="77777777" w:rsidR="001D3400" w:rsidRPr="00C83EDD" w:rsidRDefault="001272F6" w:rsidP="00C4253A">
            <w:pPr>
              <w:pStyle w:val="TableText"/>
            </w:pPr>
            <w:r w:rsidRPr="00C83EDD">
              <w:t>Mollusc</w:t>
            </w:r>
          </w:p>
        </w:tc>
        <w:tc>
          <w:tcPr>
            <w:tcW w:w="958" w:type="pct"/>
            <w:shd w:val="clear" w:color="auto" w:fill="auto"/>
          </w:tcPr>
          <w:p w14:paraId="66175B3C" w14:textId="77777777" w:rsidR="001D3400" w:rsidRPr="005A3D73" w:rsidRDefault="001272F6" w:rsidP="00C4253A">
            <w:pPr>
              <w:pStyle w:val="TableText"/>
              <w:rPr>
                <w:rStyle w:val="Emphasis"/>
              </w:rPr>
            </w:pPr>
            <w:r w:rsidRPr="005A3D73">
              <w:rPr>
                <w:rStyle w:val="Emphasis"/>
              </w:rPr>
              <w:t>Haliotis diversicolor supertexta</w:t>
            </w:r>
          </w:p>
        </w:tc>
        <w:tc>
          <w:tcPr>
            <w:tcW w:w="450" w:type="pct"/>
            <w:shd w:val="clear" w:color="auto" w:fill="auto"/>
          </w:tcPr>
          <w:p w14:paraId="66175B3D" w14:textId="77777777" w:rsidR="001D3400" w:rsidRPr="00E46244" w:rsidRDefault="001272F6" w:rsidP="00C4253A">
            <w:pPr>
              <w:pStyle w:val="TableText"/>
            </w:pPr>
            <w:r>
              <w:t>Embryo</w:t>
            </w:r>
          </w:p>
        </w:tc>
        <w:tc>
          <w:tcPr>
            <w:tcW w:w="547" w:type="pct"/>
            <w:shd w:val="clear" w:color="auto" w:fill="auto"/>
          </w:tcPr>
          <w:p w14:paraId="66175B3E" w14:textId="77777777" w:rsidR="001D3400" w:rsidRPr="00872EC2" w:rsidRDefault="001272F6" w:rsidP="00C4253A">
            <w:pPr>
              <w:pStyle w:val="TableText"/>
            </w:pPr>
            <w:r w:rsidRPr="00872EC2">
              <w:t>96</w:t>
            </w:r>
          </w:p>
        </w:tc>
        <w:tc>
          <w:tcPr>
            <w:tcW w:w="469" w:type="pct"/>
            <w:shd w:val="clear" w:color="auto" w:fill="auto"/>
          </w:tcPr>
          <w:p w14:paraId="66175B3F" w14:textId="77777777" w:rsidR="001D3400" w:rsidRPr="00872EC2" w:rsidRDefault="001272F6" w:rsidP="00C4253A">
            <w:pPr>
              <w:pStyle w:val="TableText"/>
            </w:pPr>
            <w:r w:rsidRPr="00872EC2">
              <w:t>Chronic</w:t>
            </w:r>
          </w:p>
        </w:tc>
        <w:tc>
          <w:tcPr>
            <w:tcW w:w="703" w:type="pct"/>
            <w:shd w:val="clear" w:color="auto" w:fill="auto"/>
          </w:tcPr>
          <w:p w14:paraId="66175B40" w14:textId="77777777" w:rsidR="001D3400" w:rsidRPr="00872EC2" w:rsidRDefault="001272F6" w:rsidP="00C4253A">
            <w:pPr>
              <w:pStyle w:val="TableText"/>
            </w:pPr>
            <w:r w:rsidRPr="00872EC2">
              <w:t>EC5</w:t>
            </w:r>
          </w:p>
        </w:tc>
        <w:tc>
          <w:tcPr>
            <w:tcW w:w="547" w:type="pct"/>
            <w:shd w:val="clear" w:color="auto" w:fill="auto"/>
          </w:tcPr>
          <w:p w14:paraId="66175B41" w14:textId="77777777" w:rsidR="001D3400" w:rsidRPr="00872EC2" w:rsidRDefault="001272F6" w:rsidP="00C4253A">
            <w:pPr>
              <w:pStyle w:val="TableText"/>
            </w:pPr>
            <w:r w:rsidRPr="00872EC2">
              <w:t xml:space="preserve">0.19 </w:t>
            </w:r>
            <w:r w:rsidRPr="002A1975">
              <w:rPr>
                <w:rStyle w:val="Strong"/>
                <w:vertAlign w:val="superscript"/>
              </w:rPr>
              <w:t>c,f</w:t>
            </w:r>
          </w:p>
        </w:tc>
        <w:tc>
          <w:tcPr>
            <w:tcW w:w="624" w:type="pct"/>
            <w:shd w:val="clear" w:color="auto" w:fill="auto"/>
          </w:tcPr>
          <w:p w14:paraId="66175B42" w14:textId="77777777" w:rsidR="001D3400" w:rsidRPr="00872EC2" w:rsidRDefault="001272F6" w:rsidP="00C4253A">
            <w:pPr>
              <w:pStyle w:val="TableText"/>
            </w:pPr>
            <w:r w:rsidRPr="00872EC2">
              <w:t xml:space="preserve">0.19 </w:t>
            </w:r>
            <w:r w:rsidRPr="002A1975">
              <w:rPr>
                <w:rStyle w:val="Strong"/>
                <w:vertAlign w:val="superscript"/>
              </w:rPr>
              <w:t>c,f</w:t>
            </w:r>
          </w:p>
        </w:tc>
      </w:tr>
      <w:tr w:rsidR="00B82CEC" w14:paraId="66175B4C" w14:textId="77777777" w:rsidTr="00C4253A">
        <w:trPr>
          <w:cantSplit/>
        </w:trPr>
        <w:tc>
          <w:tcPr>
            <w:tcW w:w="702" w:type="pct"/>
            <w:vMerge w:val="restart"/>
            <w:shd w:val="clear" w:color="auto" w:fill="auto"/>
          </w:tcPr>
          <w:p w14:paraId="66175B44" w14:textId="77777777" w:rsidR="001D3400" w:rsidRPr="00C83EDD" w:rsidRDefault="001272F6" w:rsidP="00C4253A">
            <w:pPr>
              <w:pStyle w:val="TableText"/>
            </w:pPr>
            <w:r w:rsidRPr="00C83EDD">
              <w:t>Crustacean</w:t>
            </w:r>
          </w:p>
        </w:tc>
        <w:tc>
          <w:tcPr>
            <w:tcW w:w="958" w:type="pct"/>
            <w:tcBorders>
              <w:bottom w:val="single" w:sz="4" w:space="0" w:color="auto"/>
            </w:tcBorders>
            <w:shd w:val="clear" w:color="auto" w:fill="auto"/>
          </w:tcPr>
          <w:p w14:paraId="66175B45" w14:textId="77777777" w:rsidR="001D3400" w:rsidRPr="005A3D73" w:rsidRDefault="001272F6" w:rsidP="00C4253A">
            <w:pPr>
              <w:pStyle w:val="TableText"/>
              <w:rPr>
                <w:rStyle w:val="Emphasis"/>
              </w:rPr>
            </w:pPr>
            <w:r w:rsidRPr="005A3D73">
              <w:rPr>
                <w:rStyle w:val="Emphasis"/>
              </w:rPr>
              <w:t>Tigriopus japonicus</w:t>
            </w:r>
          </w:p>
        </w:tc>
        <w:tc>
          <w:tcPr>
            <w:tcW w:w="450" w:type="pct"/>
            <w:tcBorders>
              <w:bottom w:val="single" w:sz="4" w:space="0" w:color="auto"/>
            </w:tcBorders>
            <w:shd w:val="clear" w:color="auto" w:fill="auto"/>
          </w:tcPr>
          <w:p w14:paraId="66175B46" w14:textId="77777777" w:rsidR="001D3400" w:rsidRPr="00E46244" w:rsidRDefault="001272F6" w:rsidP="00C4253A">
            <w:pPr>
              <w:pStyle w:val="TableText"/>
            </w:pPr>
            <w:r>
              <w:t>Adult</w:t>
            </w:r>
          </w:p>
        </w:tc>
        <w:tc>
          <w:tcPr>
            <w:tcW w:w="547" w:type="pct"/>
            <w:tcBorders>
              <w:bottom w:val="single" w:sz="4" w:space="0" w:color="auto"/>
            </w:tcBorders>
            <w:shd w:val="clear" w:color="auto" w:fill="auto"/>
          </w:tcPr>
          <w:p w14:paraId="66175B47" w14:textId="77777777" w:rsidR="001D3400" w:rsidRPr="00872EC2" w:rsidRDefault="001272F6" w:rsidP="00C4253A">
            <w:pPr>
              <w:pStyle w:val="TableText"/>
            </w:pPr>
            <w:r>
              <w:t>9</w:t>
            </w:r>
            <w:r w:rsidRPr="00872EC2">
              <w:t>6</w:t>
            </w:r>
          </w:p>
        </w:tc>
        <w:tc>
          <w:tcPr>
            <w:tcW w:w="469" w:type="pct"/>
            <w:tcBorders>
              <w:bottom w:val="single" w:sz="4" w:space="0" w:color="auto"/>
            </w:tcBorders>
            <w:shd w:val="clear" w:color="auto" w:fill="auto"/>
          </w:tcPr>
          <w:p w14:paraId="66175B48" w14:textId="77777777" w:rsidR="001D3400" w:rsidRPr="00872EC2" w:rsidRDefault="001272F6" w:rsidP="00C4253A">
            <w:pPr>
              <w:pStyle w:val="TableText"/>
            </w:pPr>
            <w:r>
              <w:t>Acute</w:t>
            </w:r>
          </w:p>
        </w:tc>
        <w:tc>
          <w:tcPr>
            <w:tcW w:w="703" w:type="pct"/>
            <w:tcBorders>
              <w:bottom w:val="single" w:sz="4" w:space="0" w:color="auto"/>
            </w:tcBorders>
            <w:shd w:val="clear" w:color="auto" w:fill="auto"/>
          </w:tcPr>
          <w:p w14:paraId="66175B49" w14:textId="77777777" w:rsidR="001D3400" w:rsidRPr="00872EC2" w:rsidRDefault="001272F6" w:rsidP="00C4253A">
            <w:pPr>
              <w:pStyle w:val="TableText"/>
            </w:pPr>
            <w:r w:rsidRPr="00872EC2">
              <w:t>LC</w:t>
            </w:r>
            <w:r>
              <w:t>50</w:t>
            </w:r>
          </w:p>
        </w:tc>
        <w:tc>
          <w:tcPr>
            <w:tcW w:w="547" w:type="pct"/>
            <w:tcBorders>
              <w:bottom w:val="single" w:sz="4" w:space="0" w:color="auto"/>
            </w:tcBorders>
            <w:shd w:val="clear" w:color="auto" w:fill="auto"/>
          </w:tcPr>
          <w:p w14:paraId="66175B4A" w14:textId="77777777" w:rsidR="001D3400" w:rsidRPr="00872EC2" w:rsidRDefault="001272F6" w:rsidP="00C4253A">
            <w:pPr>
              <w:pStyle w:val="TableText"/>
            </w:pPr>
            <w:r>
              <w:t>200</w:t>
            </w:r>
          </w:p>
        </w:tc>
        <w:tc>
          <w:tcPr>
            <w:tcW w:w="624" w:type="pct"/>
            <w:tcBorders>
              <w:bottom w:val="single" w:sz="4" w:space="0" w:color="auto"/>
            </w:tcBorders>
            <w:shd w:val="clear" w:color="auto" w:fill="auto"/>
          </w:tcPr>
          <w:p w14:paraId="66175B4B" w14:textId="77777777" w:rsidR="001D3400" w:rsidRPr="00872EC2" w:rsidRDefault="001272F6" w:rsidP="00C4253A">
            <w:pPr>
              <w:pStyle w:val="TableText"/>
            </w:pPr>
            <w:r>
              <w:t xml:space="preserve">20 </w:t>
            </w:r>
            <w:r w:rsidRPr="002A1975">
              <w:rPr>
                <w:rStyle w:val="Strong"/>
                <w:vertAlign w:val="superscript"/>
              </w:rPr>
              <w:t>e</w:t>
            </w:r>
          </w:p>
        </w:tc>
      </w:tr>
      <w:tr w:rsidR="00B82CEC" w14:paraId="66175B55" w14:textId="77777777" w:rsidTr="00C4253A">
        <w:trPr>
          <w:cantSplit/>
        </w:trPr>
        <w:tc>
          <w:tcPr>
            <w:tcW w:w="702" w:type="pct"/>
            <w:vMerge/>
            <w:tcBorders>
              <w:bottom w:val="single" w:sz="12" w:space="0" w:color="auto"/>
            </w:tcBorders>
            <w:shd w:val="clear" w:color="auto" w:fill="auto"/>
          </w:tcPr>
          <w:p w14:paraId="66175B4D" w14:textId="77777777" w:rsidR="001D3400" w:rsidRPr="00C83EDD" w:rsidRDefault="001D3400" w:rsidP="00C4253A">
            <w:pPr>
              <w:pStyle w:val="TableText"/>
            </w:pPr>
          </w:p>
        </w:tc>
        <w:tc>
          <w:tcPr>
            <w:tcW w:w="958" w:type="pct"/>
            <w:tcBorders>
              <w:bottom w:val="single" w:sz="12" w:space="0" w:color="auto"/>
            </w:tcBorders>
            <w:shd w:val="clear" w:color="auto" w:fill="auto"/>
          </w:tcPr>
          <w:p w14:paraId="66175B4E" w14:textId="77777777" w:rsidR="001D3400" w:rsidRPr="005A3D73" w:rsidRDefault="001272F6" w:rsidP="00C4253A">
            <w:pPr>
              <w:pStyle w:val="TableText"/>
              <w:rPr>
                <w:rStyle w:val="Emphasis"/>
              </w:rPr>
            </w:pPr>
            <w:r w:rsidRPr="005A3D73">
              <w:rPr>
                <w:rStyle w:val="Emphasis"/>
              </w:rPr>
              <w:t>Americamysis bahia</w:t>
            </w:r>
          </w:p>
        </w:tc>
        <w:tc>
          <w:tcPr>
            <w:tcW w:w="450" w:type="pct"/>
            <w:tcBorders>
              <w:bottom w:val="single" w:sz="12" w:space="0" w:color="auto"/>
            </w:tcBorders>
            <w:shd w:val="clear" w:color="auto" w:fill="auto"/>
          </w:tcPr>
          <w:p w14:paraId="66175B4F" w14:textId="77777777" w:rsidR="001D3400" w:rsidRPr="00E46244" w:rsidRDefault="001272F6" w:rsidP="00C4253A">
            <w:pPr>
              <w:pStyle w:val="TableText"/>
            </w:pPr>
            <w:r>
              <w:t>Larvae</w:t>
            </w:r>
          </w:p>
        </w:tc>
        <w:tc>
          <w:tcPr>
            <w:tcW w:w="547" w:type="pct"/>
            <w:tcBorders>
              <w:bottom w:val="single" w:sz="12" w:space="0" w:color="auto"/>
            </w:tcBorders>
            <w:shd w:val="clear" w:color="auto" w:fill="auto"/>
          </w:tcPr>
          <w:p w14:paraId="66175B50" w14:textId="77777777" w:rsidR="001D3400" w:rsidRPr="00872EC2" w:rsidRDefault="001272F6" w:rsidP="00C4253A">
            <w:pPr>
              <w:pStyle w:val="TableText"/>
            </w:pPr>
            <w:r>
              <w:t>96</w:t>
            </w:r>
          </w:p>
        </w:tc>
        <w:tc>
          <w:tcPr>
            <w:tcW w:w="469" w:type="pct"/>
            <w:tcBorders>
              <w:bottom w:val="single" w:sz="12" w:space="0" w:color="auto"/>
            </w:tcBorders>
            <w:shd w:val="clear" w:color="auto" w:fill="auto"/>
          </w:tcPr>
          <w:p w14:paraId="66175B51" w14:textId="77777777" w:rsidR="001D3400" w:rsidRPr="00872EC2" w:rsidRDefault="001272F6" w:rsidP="00C4253A">
            <w:pPr>
              <w:pStyle w:val="TableText"/>
            </w:pPr>
            <w:r>
              <w:t>Acute</w:t>
            </w:r>
          </w:p>
        </w:tc>
        <w:tc>
          <w:tcPr>
            <w:tcW w:w="703" w:type="pct"/>
            <w:tcBorders>
              <w:bottom w:val="single" w:sz="12" w:space="0" w:color="auto"/>
            </w:tcBorders>
            <w:shd w:val="clear" w:color="auto" w:fill="auto"/>
          </w:tcPr>
          <w:p w14:paraId="66175B52" w14:textId="77777777" w:rsidR="001D3400" w:rsidRPr="00872EC2" w:rsidRDefault="001272F6" w:rsidP="00C4253A">
            <w:pPr>
              <w:pStyle w:val="TableText"/>
            </w:pPr>
            <w:r>
              <w:t>LC50</w:t>
            </w:r>
          </w:p>
        </w:tc>
        <w:tc>
          <w:tcPr>
            <w:tcW w:w="547" w:type="pct"/>
            <w:tcBorders>
              <w:bottom w:val="single" w:sz="12" w:space="0" w:color="auto"/>
            </w:tcBorders>
            <w:shd w:val="clear" w:color="auto" w:fill="auto"/>
          </w:tcPr>
          <w:p w14:paraId="66175B53" w14:textId="77777777" w:rsidR="001D3400" w:rsidRPr="00872EC2" w:rsidRDefault="001272F6" w:rsidP="00C4253A">
            <w:pPr>
              <w:pStyle w:val="TableText"/>
            </w:pPr>
            <w:r>
              <w:t>1 030</w:t>
            </w:r>
          </w:p>
        </w:tc>
        <w:tc>
          <w:tcPr>
            <w:tcW w:w="624" w:type="pct"/>
            <w:tcBorders>
              <w:bottom w:val="single" w:sz="12" w:space="0" w:color="auto"/>
            </w:tcBorders>
            <w:shd w:val="clear" w:color="auto" w:fill="auto"/>
          </w:tcPr>
          <w:p w14:paraId="66175B54" w14:textId="77777777" w:rsidR="001D3400" w:rsidRPr="00872EC2" w:rsidRDefault="001272F6" w:rsidP="00C4253A">
            <w:pPr>
              <w:pStyle w:val="TableText"/>
            </w:pPr>
            <w:r>
              <w:t xml:space="preserve">103 </w:t>
            </w:r>
            <w:r w:rsidRPr="002A1975">
              <w:rPr>
                <w:rStyle w:val="Strong"/>
                <w:vertAlign w:val="superscript"/>
              </w:rPr>
              <w:t>e</w:t>
            </w:r>
          </w:p>
        </w:tc>
      </w:tr>
    </w:tbl>
    <w:p w14:paraId="66175B56" w14:textId="77777777" w:rsidR="001D3400" w:rsidRPr="004A4FD0" w:rsidRDefault="001272F6" w:rsidP="001D3400">
      <w:pPr>
        <w:pStyle w:val="FigureTableNoteSource"/>
        <w:rPr>
          <w:rStyle w:val="Strong"/>
          <w:b w:val="0"/>
          <w:bCs w:val="0"/>
        </w:rPr>
      </w:pPr>
      <w:r w:rsidRPr="004A4FD0">
        <w:rPr>
          <w:rStyle w:val="Strong"/>
          <w:b w:val="0"/>
          <w:bCs w:val="0"/>
        </w:rPr>
        <w:t xml:space="preserve">Note: </w:t>
      </w:r>
      <w:r>
        <w:rPr>
          <w:rStyle w:val="Strong"/>
          <w:b w:val="0"/>
          <w:bCs w:val="0"/>
        </w:rPr>
        <w:t>e</w:t>
      </w:r>
      <w:r w:rsidRPr="004A4FD0">
        <w:rPr>
          <w:rStyle w:val="Strong"/>
          <w:b w:val="0"/>
          <w:bCs w:val="0"/>
        </w:rPr>
        <w:t>stimated chronic values are reported to no more than three significant figures.</w:t>
      </w:r>
    </w:p>
    <w:p w14:paraId="66175B57" w14:textId="77777777" w:rsidR="001D3400" w:rsidRDefault="001272F6" w:rsidP="001D3400">
      <w:pPr>
        <w:pStyle w:val="FigureTableNoteSource"/>
      </w:pPr>
      <w:r w:rsidRPr="002A1975">
        <w:rPr>
          <w:rStyle w:val="Strong"/>
        </w:rPr>
        <w:t>a</w:t>
      </w:r>
      <w:r>
        <w:t xml:space="preserve"> T</w:t>
      </w:r>
      <w:r w:rsidRPr="00F34FF6">
        <w:t xml:space="preserve">he measure of toxicity being estimated/determined: </w:t>
      </w:r>
      <w:r>
        <w:t>EC/</w:t>
      </w:r>
      <w:r w:rsidRPr="00F34FF6">
        <w:t>L</w:t>
      </w:r>
      <w:r>
        <w:t>Cx</w:t>
      </w:r>
      <w:r w:rsidRPr="00F34FF6">
        <w:t xml:space="preserve">: </w:t>
      </w:r>
      <w:r>
        <w:t>x% effect/</w:t>
      </w:r>
      <w:r w:rsidRPr="00C310E3">
        <w:t>lethal concentration</w:t>
      </w:r>
      <w:r>
        <w:t xml:space="preserve">; LOEC: lowest observed effect concentration. </w:t>
      </w:r>
    </w:p>
    <w:p w14:paraId="66175B58" w14:textId="77777777" w:rsidR="001D3400" w:rsidRDefault="001272F6" w:rsidP="001D3400">
      <w:pPr>
        <w:pStyle w:val="FigureTableNoteSource"/>
      </w:pPr>
      <w:r w:rsidRPr="002A1975">
        <w:rPr>
          <w:rStyle w:val="Strong"/>
        </w:rPr>
        <w:t>b</w:t>
      </w:r>
      <w:r>
        <w:t xml:space="preserve"> Default conversion from chronic EC</w:t>
      </w:r>
      <w:r w:rsidRPr="005C748C">
        <w:t>50</w:t>
      </w:r>
      <w:r w:rsidRPr="008739A1">
        <w:rPr>
          <w:vertAlign w:val="subscript"/>
        </w:rPr>
        <w:t xml:space="preserve"> </w:t>
      </w:r>
      <w:r>
        <w:t>to chronic NOEC: chronic LC</w:t>
      </w:r>
      <w:r w:rsidRPr="005C748C">
        <w:t>50</w:t>
      </w:r>
      <w:r>
        <w:t xml:space="preserve"> ÷ 5 = chronic NOEC.</w:t>
      </w:r>
    </w:p>
    <w:p w14:paraId="66175B59" w14:textId="77777777" w:rsidR="001D3400" w:rsidRPr="00C310E3" w:rsidRDefault="001272F6" w:rsidP="001D3400">
      <w:pPr>
        <w:pStyle w:val="FigureTableNoteSource"/>
      </w:pPr>
      <w:r w:rsidRPr="002A1975">
        <w:rPr>
          <w:rStyle w:val="Strong"/>
        </w:rPr>
        <w:t>c</w:t>
      </w:r>
      <w:r>
        <w:t xml:space="preserve"> </w:t>
      </w:r>
      <w:r w:rsidRPr="00C310E3">
        <w:t>Actual chronic NOEC</w:t>
      </w:r>
      <w:r>
        <w:t>/EC10 or EC5</w:t>
      </w:r>
      <w:r w:rsidRPr="00C310E3">
        <w:t>.</w:t>
      </w:r>
    </w:p>
    <w:p w14:paraId="66175B5A" w14:textId="77777777" w:rsidR="001D3400" w:rsidRPr="00C310E3" w:rsidRDefault="001272F6" w:rsidP="001D3400">
      <w:pPr>
        <w:pStyle w:val="FigureTableNoteSource"/>
      </w:pPr>
      <w:r w:rsidRPr="002A1975">
        <w:rPr>
          <w:rStyle w:val="Strong"/>
        </w:rPr>
        <w:t>d</w:t>
      </w:r>
      <w:r>
        <w:t xml:space="preserve"> Default c</w:t>
      </w:r>
      <w:r w:rsidRPr="00C310E3">
        <w:t>onver</w:t>
      </w:r>
      <w:r>
        <w:t>sion</w:t>
      </w:r>
      <w:r w:rsidRPr="00C310E3">
        <w:t xml:space="preserve"> from </w:t>
      </w:r>
      <w:r>
        <w:t>chronic</w:t>
      </w:r>
      <w:r w:rsidRPr="00C310E3">
        <w:t xml:space="preserve"> L</w:t>
      </w:r>
      <w:r>
        <w:t>OE</w:t>
      </w:r>
      <w:r w:rsidRPr="00C310E3">
        <w:t xml:space="preserve">C </w:t>
      </w:r>
      <w:r>
        <w:t xml:space="preserve">to </w:t>
      </w:r>
      <w:r w:rsidRPr="00C310E3">
        <w:t>chronic NOEC</w:t>
      </w:r>
      <w:r>
        <w:t xml:space="preserve">: chronic </w:t>
      </w:r>
      <w:r w:rsidRPr="00C310E3">
        <w:t>L</w:t>
      </w:r>
      <w:r>
        <w:t>OE</w:t>
      </w:r>
      <w:r w:rsidRPr="00C310E3">
        <w:t>C</w:t>
      </w:r>
      <w:r>
        <w:t xml:space="preserve"> ÷ 2.5</w:t>
      </w:r>
      <w:r w:rsidRPr="00C310E3">
        <w:t xml:space="preserve"> = </w:t>
      </w:r>
      <w:r>
        <w:t xml:space="preserve">chronic </w:t>
      </w:r>
      <w:r w:rsidRPr="00C310E3">
        <w:t>NOEC.</w:t>
      </w:r>
    </w:p>
    <w:p w14:paraId="66175B5B" w14:textId="77777777" w:rsidR="001D3400" w:rsidRPr="00C310E3" w:rsidRDefault="001272F6" w:rsidP="001D3400">
      <w:pPr>
        <w:pStyle w:val="FigureTableNoteSource"/>
      </w:pPr>
      <w:r w:rsidRPr="002A1975">
        <w:rPr>
          <w:rStyle w:val="Strong"/>
        </w:rPr>
        <w:t>e</w:t>
      </w:r>
      <w:r>
        <w:t xml:space="preserve"> Default c</w:t>
      </w:r>
      <w:r w:rsidRPr="00C310E3">
        <w:t>onver</w:t>
      </w:r>
      <w:r>
        <w:t>sion</w:t>
      </w:r>
      <w:r w:rsidRPr="00C310E3">
        <w:t xml:space="preserve"> from acute </w:t>
      </w:r>
      <w:r>
        <w:t>EC/</w:t>
      </w:r>
      <w:r w:rsidRPr="00C310E3">
        <w:t>LC</w:t>
      </w:r>
      <w:r>
        <w:t>50</w:t>
      </w:r>
      <w:r w:rsidRPr="00C310E3">
        <w:t xml:space="preserve"> </w:t>
      </w:r>
      <w:r>
        <w:t xml:space="preserve">to </w:t>
      </w:r>
      <w:r w:rsidRPr="00C310E3">
        <w:t>chronic NOEC</w:t>
      </w:r>
      <w:r>
        <w:t>: acute EC/</w:t>
      </w:r>
      <w:r w:rsidRPr="00C310E3">
        <w:t>LC</w:t>
      </w:r>
      <w:r>
        <w:t>50 ÷ 10</w:t>
      </w:r>
      <w:r w:rsidRPr="00C310E3">
        <w:t xml:space="preserve"> = </w:t>
      </w:r>
      <w:r>
        <w:t xml:space="preserve">chronic </w:t>
      </w:r>
      <w:r w:rsidRPr="00C310E3">
        <w:t>NOEC.</w:t>
      </w:r>
    </w:p>
    <w:p w14:paraId="66175B5C" w14:textId="77777777" w:rsidR="001D3400" w:rsidRDefault="001272F6" w:rsidP="001D3400">
      <w:pPr>
        <w:pStyle w:val="FigureTableNoteSource"/>
      </w:pPr>
      <w:r w:rsidRPr="002A1975">
        <w:rPr>
          <w:rStyle w:val="Strong"/>
        </w:rPr>
        <w:t>f</w:t>
      </w:r>
      <w:r>
        <w:t xml:space="preserve"> Value is the geometric mean of 96 hour EC5 values of 0.18 and 0.21 </w:t>
      </w:r>
      <w:r w:rsidRPr="00971C4B">
        <w:t>µg/L</w:t>
      </w:r>
      <w:r>
        <w:t>.</w:t>
      </w:r>
    </w:p>
    <w:p w14:paraId="66175B5D" w14:textId="77777777" w:rsidR="00542F9A" w:rsidRDefault="001272F6" w:rsidP="00593272">
      <w:pPr>
        <w:rPr>
          <w:bCs/>
        </w:rPr>
      </w:pPr>
      <w:r>
        <w:rPr>
          <w:bCs/>
        </w:rPr>
        <w:t xml:space="preserve">Studies </w:t>
      </w:r>
      <w:r w:rsidR="00C20586">
        <w:rPr>
          <w:bCs/>
        </w:rPr>
        <w:t>that</w:t>
      </w:r>
      <w:r>
        <w:rPr>
          <w:bCs/>
        </w:rPr>
        <w:t xml:space="preserve"> reported </w:t>
      </w:r>
      <w:r w:rsidR="00850540">
        <w:rPr>
          <w:bCs/>
        </w:rPr>
        <w:t>salinity within the range of 25–</w:t>
      </w:r>
      <w:r>
        <w:rPr>
          <w:bCs/>
        </w:rPr>
        <w:t>36</w:t>
      </w:r>
      <w:r w:rsidR="00CB2516">
        <w:rPr>
          <w:rFonts w:ascii="Calibri" w:hAnsi="Calibri" w:cs="Calibri"/>
          <w:bCs/>
        </w:rPr>
        <w:t>‰</w:t>
      </w:r>
      <w:r>
        <w:rPr>
          <w:bCs/>
        </w:rPr>
        <w:t xml:space="preserve">, or </w:t>
      </w:r>
      <w:r w:rsidR="00DB7255">
        <w:rPr>
          <w:bCs/>
        </w:rPr>
        <w:t xml:space="preserve">that </w:t>
      </w:r>
      <w:r>
        <w:rPr>
          <w:bCs/>
        </w:rPr>
        <w:t xml:space="preserve">did not report salinity but used synthetic or natural </w:t>
      </w:r>
      <w:r w:rsidR="00DD68F6">
        <w:rPr>
          <w:bCs/>
        </w:rPr>
        <w:t xml:space="preserve">marine </w:t>
      </w:r>
      <w:r>
        <w:rPr>
          <w:bCs/>
        </w:rPr>
        <w:t>water</w:t>
      </w:r>
      <w:r w:rsidR="00DD68F6">
        <w:rPr>
          <w:bCs/>
        </w:rPr>
        <w:t>,</w:t>
      </w:r>
      <w:r>
        <w:rPr>
          <w:bCs/>
        </w:rPr>
        <w:t xml:space="preserve"> were considered </w:t>
      </w:r>
      <w:r w:rsidR="00064693">
        <w:rPr>
          <w:bCs/>
        </w:rPr>
        <w:t>representative</w:t>
      </w:r>
      <w:r>
        <w:rPr>
          <w:bCs/>
        </w:rPr>
        <w:t xml:space="preserve"> of marine conditions. Studies with sali</w:t>
      </w:r>
      <w:r w:rsidR="00850540">
        <w:rPr>
          <w:bCs/>
        </w:rPr>
        <w:t>nity outside of the range of 25–</w:t>
      </w:r>
      <w:r>
        <w:rPr>
          <w:bCs/>
        </w:rPr>
        <w:t>36</w:t>
      </w:r>
      <w:r w:rsidR="00CB2516">
        <w:rPr>
          <w:rFonts w:ascii="Calibri" w:hAnsi="Calibri" w:cs="Calibri"/>
          <w:bCs/>
        </w:rPr>
        <w:t>‰</w:t>
      </w:r>
      <w:r>
        <w:rPr>
          <w:bCs/>
        </w:rPr>
        <w:t xml:space="preserve"> were excluded from the derivation. </w:t>
      </w:r>
      <w:r w:rsidR="000B5022">
        <w:rPr>
          <w:bCs/>
        </w:rPr>
        <w:t xml:space="preserve">This resulted in the </w:t>
      </w:r>
      <w:r w:rsidR="000B5022" w:rsidRPr="00635B2C">
        <w:rPr>
          <w:bCs/>
        </w:rPr>
        <w:t xml:space="preserve">exclusion of </w:t>
      </w:r>
      <w:r w:rsidR="008C05F3" w:rsidRPr="00635B2C">
        <w:rPr>
          <w:bCs/>
        </w:rPr>
        <w:t xml:space="preserve">development and survival studies for </w:t>
      </w:r>
      <w:r w:rsidR="003B3155">
        <w:rPr>
          <w:bCs/>
        </w:rPr>
        <w:t>the</w:t>
      </w:r>
      <w:r w:rsidR="003B3155" w:rsidRPr="00635B2C">
        <w:rPr>
          <w:bCs/>
        </w:rPr>
        <w:t xml:space="preserve"> </w:t>
      </w:r>
      <w:r w:rsidR="008C05F3" w:rsidRPr="00635B2C">
        <w:rPr>
          <w:bCs/>
        </w:rPr>
        <w:t xml:space="preserve">copepod </w:t>
      </w:r>
      <w:r w:rsidR="008C05F3" w:rsidRPr="00631484">
        <w:rPr>
          <w:rStyle w:val="Emphasis"/>
        </w:rPr>
        <w:t>Acartia tonsa</w:t>
      </w:r>
      <w:r w:rsidR="008C05F3" w:rsidRPr="00635B2C">
        <w:rPr>
          <w:bCs/>
        </w:rPr>
        <w:t xml:space="preserve"> </w:t>
      </w:r>
      <w:r w:rsidR="003B3155">
        <w:rPr>
          <w:bCs/>
        </w:rPr>
        <w:t>(salinity 18</w:t>
      </w:r>
      <w:r w:rsidR="00CB2516">
        <w:rPr>
          <w:rFonts w:ascii="Calibri" w:hAnsi="Calibri" w:cs="Calibri"/>
          <w:bCs/>
        </w:rPr>
        <w:t>‰</w:t>
      </w:r>
      <w:r w:rsidR="00631484">
        <w:rPr>
          <w:rFonts w:ascii="Calibri" w:hAnsi="Calibri" w:cs="Calibri"/>
          <w:bCs/>
        </w:rPr>
        <w:t>)</w:t>
      </w:r>
      <w:r w:rsidR="00A5710B">
        <w:rPr>
          <w:bCs/>
        </w:rPr>
        <w:t xml:space="preserve"> </w:t>
      </w:r>
      <w:r w:rsidR="00631484">
        <w:rPr>
          <w:bCs/>
        </w:rPr>
        <w:t>(</w:t>
      </w:r>
      <w:r w:rsidR="000B5022" w:rsidRPr="00635B2C">
        <w:rPr>
          <w:bCs/>
        </w:rPr>
        <w:t>Anders</w:t>
      </w:r>
      <w:r w:rsidR="00FB3B20">
        <w:rPr>
          <w:bCs/>
        </w:rPr>
        <w:t>e</w:t>
      </w:r>
      <w:r w:rsidR="000B5022" w:rsidRPr="00635B2C">
        <w:rPr>
          <w:bCs/>
        </w:rPr>
        <w:t xml:space="preserve">n et al. </w:t>
      </w:r>
      <w:r w:rsidR="00967166">
        <w:rPr>
          <w:bCs/>
        </w:rPr>
        <w:t>1999</w:t>
      </w:r>
      <w:r w:rsidR="000B5022" w:rsidRPr="00635B2C">
        <w:rPr>
          <w:bCs/>
        </w:rPr>
        <w:t>)</w:t>
      </w:r>
      <w:r w:rsidR="003B3155">
        <w:rPr>
          <w:bCs/>
        </w:rPr>
        <w:t>,</w:t>
      </w:r>
      <w:r w:rsidR="000B5022" w:rsidRPr="00635B2C">
        <w:rPr>
          <w:bCs/>
        </w:rPr>
        <w:t xml:space="preserve"> </w:t>
      </w:r>
      <w:r w:rsidR="003B3155">
        <w:rPr>
          <w:bCs/>
        </w:rPr>
        <w:t>the</w:t>
      </w:r>
      <w:r w:rsidR="008C05F3" w:rsidRPr="00635B2C">
        <w:rPr>
          <w:bCs/>
        </w:rPr>
        <w:t xml:space="preserve"> microalga </w:t>
      </w:r>
      <w:r w:rsidR="008C05F3" w:rsidRPr="00631484">
        <w:rPr>
          <w:rStyle w:val="Emphasis"/>
        </w:rPr>
        <w:t>Skeletonema costatum</w:t>
      </w:r>
      <w:r w:rsidR="008C05F3" w:rsidRPr="00635B2C">
        <w:rPr>
          <w:bCs/>
        </w:rPr>
        <w:t xml:space="preserve">, </w:t>
      </w:r>
      <w:r w:rsidR="00971C4B">
        <w:rPr>
          <w:bCs/>
        </w:rPr>
        <w:t xml:space="preserve">the </w:t>
      </w:r>
      <w:r w:rsidR="008C05F3" w:rsidRPr="00635B2C">
        <w:rPr>
          <w:bCs/>
        </w:rPr>
        <w:t>mysid</w:t>
      </w:r>
      <w:r w:rsidR="003C2E55">
        <w:rPr>
          <w:bCs/>
        </w:rPr>
        <w:t xml:space="preserve"> </w:t>
      </w:r>
      <w:r w:rsidR="008C05F3" w:rsidRPr="00631484">
        <w:rPr>
          <w:rStyle w:val="Emphasis"/>
        </w:rPr>
        <w:t>Mysidopsis bahia</w:t>
      </w:r>
      <w:r w:rsidR="00C76F27" w:rsidRPr="00C76F27">
        <w:t>,</w:t>
      </w:r>
      <w:r w:rsidR="003C2E55" w:rsidRPr="00C76F27">
        <w:t xml:space="preserve"> </w:t>
      </w:r>
      <w:r w:rsidR="008C05F3" w:rsidRPr="00C76F27">
        <w:t>a</w:t>
      </w:r>
      <w:r w:rsidR="008C05F3" w:rsidRPr="00635B2C">
        <w:rPr>
          <w:bCs/>
        </w:rPr>
        <w:t>nd</w:t>
      </w:r>
      <w:r w:rsidR="00971C4B">
        <w:rPr>
          <w:bCs/>
        </w:rPr>
        <w:t xml:space="preserve"> the</w:t>
      </w:r>
      <w:r w:rsidR="008C05F3">
        <w:rPr>
          <w:bCs/>
        </w:rPr>
        <w:t xml:space="preserve"> fish</w:t>
      </w:r>
      <w:r w:rsidR="003C2E55">
        <w:rPr>
          <w:bCs/>
        </w:rPr>
        <w:t xml:space="preserve"> </w:t>
      </w:r>
      <w:r w:rsidR="008C05F3" w:rsidRPr="00631484">
        <w:rPr>
          <w:rStyle w:val="Emphasis"/>
        </w:rPr>
        <w:t>Menidia</w:t>
      </w:r>
      <w:r w:rsidR="003C2E55">
        <w:rPr>
          <w:bCs/>
        </w:rPr>
        <w:t xml:space="preserve"> (salinity 20</w:t>
      </w:r>
      <w:r w:rsidR="003C2E55">
        <w:rPr>
          <w:rFonts w:ascii="Calibri" w:hAnsi="Calibri" w:cs="Calibri"/>
          <w:bCs/>
        </w:rPr>
        <w:t>‰</w:t>
      </w:r>
      <w:r w:rsidR="00631484">
        <w:rPr>
          <w:rFonts w:ascii="Calibri" w:hAnsi="Calibri" w:cs="Calibri"/>
          <w:bCs/>
        </w:rPr>
        <w:t>)</w:t>
      </w:r>
      <w:r w:rsidR="008C05F3">
        <w:rPr>
          <w:bCs/>
        </w:rPr>
        <w:t xml:space="preserve"> </w:t>
      </w:r>
      <w:r w:rsidR="00C76F27">
        <w:rPr>
          <w:bCs/>
        </w:rPr>
        <w:t>(</w:t>
      </w:r>
      <w:r w:rsidR="000B5022">
        <w:rPr>
          <w:bCs/>
        </w:rPr>
        <w:t xml:space="preserve">Alexander et al. 1988). </w:t>
      </w:r>
    </w:p>
    <w:p w14:paraId="66175B5E" w14:textId="77777777" w:rsidR="00DD7785" w:rsidRPr="00C62C23" w:rsidRDefault="001272F6" w:rsidP="00593272">
      <w:r>
        <w:rPr>
          <w:bCs/>
        </w:rPr>
        <w:t xml:space="preserve">Studies </w:t>
      </w:r>
      <w:r w:rsidR="00C76F27">
        <w:rPr>
          <w:bCs/>
        </w:rPr>
        <w:t>with</w:t>
      </w:r>
      <w:r>
        <w:rPr>
          <w:bCs/>
        </w:rPr>
        <w:t xml:space="preserve"> </w:t>
      </w:r>
      <w:r w:rsidR="008135C0">
        <w:rPr>
          <w:bCs/>
        </w:rPr>
        <w:t xml:space="preserve">a </w:t>
      </w:r>
      <w:r w:rsidR="00C76F27">
        <w:rPr>
          <w:bCs/>
        </w:rPr>
        <w:t>&gt;</w:t>
      </w:r>
      <w:r w:rsidR="003C5971">
        <w:rPr>
          <w:bCs/>
        </w:rPr>
        <w:t>10-</w:t>
      </w:r>
      <w:r>
        <w:rPr>
          <w:bCs/>
        </w:rPr>
        <w:t xml:space="preserve">fold difference in the exposure concentrations were excluded from the </w:t>
      </w:r>
      <w:r w:rsidR="00C76F27">
        <w:rPr>
          <w:bCs/>
        </w:rPr>
        <w:t xml:space="preserve">DGV </w:t>
      </w:r>
      <w:r w:rsidR="00971C4B">
        <w:rPr>
          <w:bCs/>
        </w:rPr>
        <w:t>derivation</w:t>
      </w:r>
      <w:r>
        <w:rPr>
          <w:bCs/>
        </w:rPr>
        <w:t xml:space="preserve">. This </w:t>
      </w:r>
      <w:r>
        <w:t xml:space="preserve">resulted in the exclusion </w:t>
      </w:r>
      <w:r w:rsidRPr="001C3AF4">
        <w:t xml:space="preserve">of </w:t>
      </w:r>
      <w:r w:rsidR="001C3AF4" w:rsidRPr="001C3AF4">
        <w:t xml:space="preserve">development </w:t>
      </w:r>
      <w:r w:rsidRPr="001C3AF4">
        <w:t xml:space="preserve">endpoints </w:t>
      </w:r>
      <w:r w:rsidR="008C05F3" w:rsidRPr="001C3AF4">
        <w:t>for</w:t>
      </w:r>
      <w:r w:rsidR="001C3AF4" w:rsidRPr="00C34CD6">
        <w:t xml:space="preserve"> the copepod </w:t>
      </w:r>
      <w:r w:rsidR="001C3AF4" w:rsidRPr="00CE36F9">
        <w:rPr>
          <w:rStyle w:val="Emphasis"/>
        </w:rPr>
        <w:t>Tigriopus japonicus</w:t>
      </w:r>
      <w:r w:rsidR="001C3AF4" w:rsidRPr="00C34CD6">
        <w:t xml:space="preserve"> </w:t>
      </w:r>
      <w:r w:rsidR="001C3AF4" w:rsidRPr="001C3AF4">
        <w:t>(</w:t>
      </w:r>
      <w:r w:rsidRPr="001C3AF4">
        <w:t>Marcial et al. 2003) and</w:t>
      </w:r>
      <w:r>
        <w:t xml:space="preserve"> </w:t>
      </w:r>
      <w:r w:rsidR="001C3AF4">
        <w:t>fertilisation success</w:t>
      </w:r>
      <w:r w:rsidR="003C2E55">
        <w:t xml:space="preserve"> endpoints</w:t>
      </w:r>
      <w:r w:rsidR="001C3AF4">
        <w:t xml:space="preserve"> </w:t>
      </w:r>
      <w:r w:rsidR="003C2E55">
        <w:t xml:space="preserve">for </w:t>
      </w:r>
      <w:r w:rsidR="001C3AF4">
        <w:t xml:space="preserve">the sea urchin </w:t>
      </w:r>
      <w:r w:rsidR="003C2E55" w:rsidRPr="00CE36F9">
        <w:rPr>
          <w:rStyle w:val="Emphasis"/>
        </w:rPr>
        <w:t xml:space="preserve">P. </w:t>
      </w:r>
      <w:r w:rsidR="00291E24" w:rsidRPr="00CE36F9">
        <w:rPr>
          <w:rStyle w:val="Emphasis"/>
        </w:rPr>
        <w:t>miliaris</w:t>
      </w:r>
      <w:r w:rsidR="001C3AF4" w:rsidRPr="00291E24">
        <w:t xml:space="preserve"> (</w:t>
      </w:r>
      <w:r w:rsidRPr="00291E24">
        <w:t>Schafer et al</w:t>
      </w:r>
      <w:r w:rsidR="003C2E55">
        <w:t>.</w:t>
      </w:r>
      <w:r w:rsidRPr="00291E24">
        <w:t xml:space="preserve"> 2009). In</w:t>
      </w:r>
      <w:r>
        <w:t xml:space="preserve"> addition, </w:t>
      </w:r>
      <w:r w:rsidRPr="001C3AF4">
        <w:t>endpoints</w:t>
      </w:r>
      <w:r w:rsidR="001C3AF4" w:rsidRPr="001C3AF4">
        <w:t xml:space="preserve"> </w:t>
      </w:r>
      <w:r w:rsidR="001C3AF4" w:rsidRPr="00C34CD6">
        <w:t xml:space="preserve">for growth in the fish </w:t>
      </w:r>
      <w:r w:rsidR="003C2E55" w:rsidRPr="00CE36F9">
        <w:rPr>
          <w:rStyle w:val="Emphasis"/>
        </w:rPr>
        <w:t xml:space="preserve">O. </w:t>
      </w:r>
      <w:r w:rsidR="001C3AF4" w:rsidRPr="00CE36F9">
        <w:rPr>
          <w:rStyle w:val="Emphasis"/>
        </w:rPr>
        <w:t>melastigma</w:t>
      </w:r>
      <w:r w:rsidR="001C3AF4" w:rsidRPr="00C34CD6">
        <w:t xml:space="preserve"> </w:t>
      </w:r>
      <w:r w:rsidRPr="001C3AF4">
        <w:t>from Huang et al</w:t>
      </w:r>
      <w:r w:rsidR="00850540">
        <w:t>.</w:t>
      </w:r>
      <w:r w:rsidRPr="001C3AF4">
        <w:t xml:space="preserve"> (2012) were excluded</w:t>
      </w:r>
      <w:r w:rsidR="003C2E55">
        <w:t>,</w:t>
      </w:r>
      <w:r>
        <w:t xml:space="preserve"> as the experiment only considered </w:t>
      </w:r>
      <w:r w:rsidRPr="00DD7785">
        <w:t xml:space="preserve">one </w:t>
      </w:r>
      <w:r>
        <w:t xml:space="preserve">exposure </w:t>
      </w:r>
      <w:r w:rsidRPr="00DD7785">
        <w:t>concentration</w:t>
      </w:r>
      <w:r w:rsidR="00F62921">
        <w:t xml:space="preserve"> and</w:t>
      </w:r>
      <w:r w:rsidRPr="00DD7785">
        <w:t>, therefore</w:t>
      </w:r>
      <w:r w:rsidR="00F62921">
        <w:t>,</w:t>
      </w:r>
      <w:r w:rsidRPr="00DD7785">
        <w:t xml:space="preserve"> a </w:t>
      </w:r>
      <w:r w:rsidR="003C5971" w:rsidRPr="00DD7785">
        <w:t>dose</w:t>
      </w:r>
      <w:r w:rsidR="00CE36F9">
        <w:t>–</w:t>
      </w:r>
      <w:r w:rsidRPr="00DD7785">
        <w:t>response could not be obtained.</w:t>
      </w:r>
    </w:p>
    <w:p w14:paraId="66175B5F" w14:textId="77777777" w:rsidR="00676F05" w:rsidRPr="00D243D3" w:rsidRDefault="001272F6" w:rsidP="008B26CD">
      <w:r>
        <w:t>W</w:t>
      </w:r>
      <w:r w:rsidRPr="00190508">
        <w:t xml:space="preserve">here only one </w:t>
      </w:r>
      <w:r w:rsidR="00CA113A">
        <w:t>acceptable toxicity value</w:t>
      </w:r>
      <w:r w:rsidR="00CA113A" w:rsidRPr="00190508">
        <w:t xml:space="preserve"> </w:t>
      </w:r>
      <w:r w:rsidRPr="00190508">
        <w:t xml:space="preserve">was available for a species, that </w:t>
      </w:r>
      <w:r w:rsidR="00CA113A">
        <w:t>value</w:t>
      </w:r>
      <w:r w:rsidR="00CA113A" w:rsidRPr="00190508">
        <w:t xml:space="preserve"> </w:t>
      </w:r>
      <w:r w:rsidRPr="00190508">
        <w:t xml:space="preserve">was </w:t>
      </w:r>
      <w:r w:rsidR="00CA113A">
        <w:t xml:space="preserve">selected for the final dataset used </w:t>
      </w:r>
      <w:r w:rsidR="00461406">
        <w:t>to</w:t>
      </w:r>
      <w:r w:rsidRPr="00190508">
        <w:t xml:space="preserve"> calculat</w:t>
      </w:r>
      <w:r w:rsidR="00461406">
        <w:t>e</w:t>
      </w:r>
      <w:r w:rsidRPr="00190508">
        <w:t xml:space="preserve"> the </w:t>
      </w:r>
      <w:r w:rsidR="00CA113A">
        <w:t>DGVs</w:t>
      </w:r>
      <w:r w:rsidRPr="00190508">
        <w:t xml:space="preserve">. </w:t>
      </w:r>
      <w:r w:rsidRPr="00DA457B">
        <w:t xml:space="preserve">For species with more than one </w:t>
      </w:r>
      <w:r w:rsidR="00CA113A">
        <w:t>acceptable toxicity value</w:t>
      </w:r>
      <w:r w:rsidR="00CA113A" w:rsidRPr="00DA457B">
        <w:t xml:space="preserve"> </w:t>
      </w:r>
      <w:r w:rsidRPr="00DA457B">
        <w:t xml:space="preserve">available, </w:t>
      </w:r>
      <w:r>
        <w:t xml:space="preserve">the </w:t>
      </w:r>
      <w:r w:rsidR="00CA113A">
        <w:t>value</w:t>
      </w:r>
      <w:r>
        <w:t xml:space="preserve"> selected for the </w:t>
      </w:r>
      <w:r w:rsidR="00CA113A">
        <w:t>final dataset was</w:t>
      </w:r>
      <w:r w:rsidR="00DB7255">
        <w:t xml:space="preserve"> </w:t>
      </w:r>
      <w:r>
        <w:t xml:space="preserve">in accordance </w:t>
      </w:r>
      <w:r w:rsidR="00DB7255">
        <w:t xml:space="preserve">with </w:t>
      </w:r>
      <w:r w:rsidRPr="00DA457B">
        <w:t xml:space="preserve">Warne </w:t>
      </w:r>
      <w:r w:rsidRPr="00A879B7">
        <w:rPr>
          <w:iCs/>
        </w:rPr>
        <w:t>et al.</w:t>
      </w:r>
      <w:r w:rsidR="00F952B5">
        <w:rPr>
          <w:i/>
        </w:rPr>
        <w:t xml:space="preserve"> </w:t>
      </w:r>
      <w:r w:rsidR="00F952B5">
        <w:t>(</w:t>
      </w:r>
      <w:r w:rsidRPr="00DA457B">
        <w:t>2</w:t>
      </w:r>
      <w:r w:rsidRPr="008B26CD">
        <w:t>018</w:t>
      </w:r>
      <w:r w:rsidR="00F952B5" w:rsidRPr="008B26CD">
        <w:t>)</w:t>
      </w:r>
      <w:r w:rsidRPr="008B26CD">
        <w:t xml:space="preserve">. Overall, </w:t>
      </w:r>
      <w:r w:rsidR="00D175AE">
        <w:t>eight</w:t>
      </w:r>
      <w:r w:rsidR="0032458B" w:rsidRPr="008B26CD">
        <w:t xml:space="preserve"> </w:t>
      </w:r>
      <w:r w:rsidR="00F952B5" w:rsidRPr="008B26CD">
        <w:t>species</w:t>
      </w:r>
      <w:r w:rsidRPr="008B26CD">
        <w:t xml:space="preserve"> were considered for the </w:t>
      </w:r>
      <w:r w:rsidR="005C44E0">
        <w:t>final dataset</w:t>
      </w:r>
      <w:r w:rsidRPr="008B26CD">
        <w:t xml:space="preserve">. These species included: </w:t>
      </w:r>
      <w:r w:rsidR="008B26CD" w:rsidRPr="008B26CD">
        <w:t xml:space="preserve">three </w:t>
      </w:r>
      <w:r w:rsidR="008135C0">
        <w:t>sea urchins</w:t>
      </w:r>
      <w:r w:rsidR="008B26CD" w:rsidRPr="008B26CD">
        <w:t xml:space="preserve">, </w:t>
      </w:r>
      <w:r w:rsidR="000138D1" w:rsidRPr="008B26CD">
        <w:t>two</w:t>
      </w:r>
      <w:r w:rsidRPr="008B26CD">
        <w:t xml:space="preserve"> </w:t>
      </w:r>
      <w:r w:rsidR="008135C0" w:rsidRPr="008B26CD">
        <w:t>dinoflagellates</w:t>
      </w:r>
      <w:r w:rsidRPr="008B26CD">
        <w:t xml:space="preserve">, </w:t>
      </w:r>
      <w:r w:rsidR="0032458B">
        <w:t>t</w:t>
      </w:r>
      <w:r w:rsidR="00D175AE">
        <w:t>wo</w:t>
      </w:r>
      <w:r w:rsidR="0032458B">
        <w:t xml:space="preserve"> crustaceans, and </w:t>
      </w:r>
      <w:r w:rsidR="008B26CD" w:rsidRPr="008B26CD">
        <w:t xml:space="preserve">one </w:t>
      </w:r>
      <w:r w:rsidR="00817179">
        <w:t>mollusc (</w:t>
      </w:r>
      <w:r w:rsidR="008135C0">
        <w:t>abalone</w:t>
      </w:r>
      <w:r w:rsidR="00817179">
        <w:t>)</w:t>
      </w:r>
      <w:r w:rsidRPr="008B26CD">
        <w:t>.</w:t>
      </w:r>
      <w:r>
        <w:t xml:space="preserve"> </w:t>
      </w:r>
      <w:r w:rsidR="00DB2C8B">
        <w:t>T</w:t>
      </w:r>
      <w:r w:rsidR="00C62C23">
        <w:t xml:space="preserve">he toxicity data used for these </w:t>
      </w:r>
      <w:r w:rsidR="00D175AE">
        <w:t>eight</w:t>
      </w:r>
      <w:r w:rsidR="00A803F0">
        <w:t xml:space="preserve"> </w:t>
      </w:r>
      <w:r w:rsidR="00C62C23">
        <w:t>species</w:t>
      </w:r>
      <w:r w:rsidR="00DB2C8B">
        <w:t xml:space="preserve"> comprised </w:t>
      </w:r>
      <w:r w:rsidR="00A2380E">
        <w:t xml:space="preserve">one chronic LOEC value, </w:t>
      </w:r>
      <w:r w:rsidR="00064693">
        <w:t>t</w:t>
      </w:r>
      <w:r w:rsidR="007D55ED">
        <w:t>wo</w:t>
      </w:r>
      <w:r w:rsidR="00064693">
        <w:t xml:space="preserve"> chronic EC50 </w:t>
      </w:r>
      <w:r w:rsidR="005A0A29">
        <w:t>values</w:t>
      </w:r>
      <w:r w:rsidR="00064693">
        <w:t xml:space="preserve">, one </w:t>
      </w:r>
      <w:r w:rsidR="00A803F0">
        <w:t>chronic</w:t>
      </w:r>
      <w:r w:rsidR="008135C0">
        <w:t xml:space="preserve"> </w:t>
      </w:r>
      <w:r w:rsidR="00064693">
        <w:t xml:space="preserve">EC10 </w:t>
      </w:r>
      <w:r w:rsidR="005A0A29">
        <w:t>value</w:t>
      </w:r>
      <w:r w:rsidR="00A803F0">
        <w:t xml:space="preserve">, </w:t>
      </w:r>
      <w:r w:rsidR="00064693">
        <w:t>one</w:t>
      </w:r>
      <w:r w:rsidR="007B6F71">
        <w:t xml:space="preserve"> geome</w:t>
      </w:r>
      <w:r w:rsidR="005A0A29">
        <w:t>tric me</w:t>
      </w:r>
      <w:r w:rsidR="007B6F71">
        <w:t xml:space="preserve">an calculated from two </w:t>
      </w:r>
      <w:r w:rsidR="00064693">
        <w:t xml:space="preserve">EC5 </w:t>
      </w:r>
      <w:r w:rsidR="005A0A29">
        <w:t>values</w:t>
      </w:r>
      <w:r w:rsidR="00A803F0">
        <w:t xml:space="preserve">, and </w:t>
      </w:r>
      <w:r w:rsidR="00FA1494">
        <w:t xml:space="preserve">three </w:t>
      </w:r>
      <w:r w:rsidR="00A803F0">
        <w:t xml:space="preserve">acute </w:t>
      </w:r>
      <w:r w:rsidR="00FA1494">
        <w:t>EC/</w:t>
      </w:r>
      <w:r>
        <w:t>L</w:t>
      </w:r>
      <w:r w:rsidR="00A803F0">
        <w:t>C50 value</w:t>
      </w:r>
      <w:r w:rsidR="00663A1A">
        <w:t>s</w:t>
      </w:r>
      <w:r w:rsidR="00064693">
        <w:t>.</w:t>
      </w:r>
      <w:r w:rsidR="00B0138E">
        <w:t xml:space="preserve"> </w:t>
      </w:r>
      <w:r>
        <w:t xml:space="preserve">The </w:t>
      </w:r>
      <w:r w:rsidR="00DB2C8B">
        <w:t>toxicity data</w:t>
      </w:r>
      <w:r>
        <w:t xml:space="preserve"> for these species span</w:t>
      </w:r>
      <w:r w:rsidR="00DB2C8B">
        <w:t>ned</w:t>
      </w:r>
      <w:r>
        <w:t xml:space="preserve"> </w:t>
      </w:r>
      <w:r w:rsidR="00817179">
        <w:t xml:space="preserve">over </w:t>
      </w:r>
      <w:r>
        <w:t>four orders of magnitude.</w:t>
      </w:r>
      <w:r w:rsidR="00D51C68">
        <w:t xml:space="preserve"> </w:t>
      </w:r>
      <w:r w:rsidR="001D7F4E">
        <w:t>C</w:t>
      </w:r>
      <w:r w:rsidR="002C6F2A">
        <w:t xml:space="preserve">hronic toxicity data </w:t>
      </w:r>
      <w:r w:rsidR="001D7F4E">
        <w:t xml:space="preserve">were available </w:t>
      </w:r>
      <w:r w:rsidR="002C6F2A">
        <w:t xml:space="preserve">for </w:t>
      </w:r>
      <w:r w:rsidR="0011301C">
        <w:t>five</w:t>
      </w:r>
      <w:r w:rsidR="002C6F2A">
        <w:t xml:space="preserve"> species from three taxonomic groups</w:t>
      </w:r>
      <w:r w:rsidR="000744AE">
        <w:t>—</w:t>
      </w:r>
      <w:r w:rsidR="001D7F4E">
        <w:t xml:space="preserve">one taxonomic group short of the minimum requirement for using the </w:t>
      </w:r>
      <w:r w:rsidR="00AD0AA6">
        <w:t>species sensitivity distribution (</w:t>
      </w:r>
      <w:r w:rsidR="001D7F4E">
        <w:t>SSD</w:t>
      </w:r>
      <w:r w:rsidR="00AD0AA6">
        <w:t>)</w:t>
      </w:r>
      <w:r w:rsidR="001D7F4E">
        <w:t xml:space="preserve"> method</w:t>
      </w:r>
      <w:r w:rsidR="00CE73D6">
        <w:t xml:space="preserve"> (Warne et al. 2018)</w:t>
      </w:r>
      <w:r w:rsidR="001D7F4E">
        <w:t>. Therefore, the dataset</w:t>
      </w:r>
      <w:r w:rsidR="002C6F2A">
        <w:t xml:space="preserve"> needed to be supplemented with </w:t>
      </w:r>
      <w:r w:rsidR="00D51C68">
        <w:t xml:space="preserve">acute toxicity data (converted to chronic estimates) </w:t>
      </w:r>
      <w:r w:rsidR="002C6F2A">
        <w:t>for the two crustacean species</w:t>
      </w:r>
      <w:r w:rsidR="00D51C68">
        <w:t xml:space="preserve"> to attain the minimum </w:t>
      </w:r>
      <w:r w:rsidR="00181B0F">
        <w:t>taxonomic representation</w:t>
      </w:r>
      <w:r w:rsidR="00D51C68">
        <w:t xml:space="preserve"> of four taxonomic groups.</w:t>
      </w:r>
      <w:r w:rsidR="00DB2C8B">
        <w:t xml:space="preserve"> Also, although chronic toxicity data were available for the sea urchin </w:t>
      </w:r>
      <w:r w:rsidR="00DB2C8B" w:rsidRPr="00681822">
        <w:rPr>
          <w:rStyle w:val="Emphasis"/>
        </w:rPr>
        <w:t>P.</w:t>
      </w:r>
      <w:r w:rsidR="00AB23A6">
        <w:rPr>
          <w:rStyle w:val="Emphasis"/>
        </w:rPr>
        <w:t> </w:t>
      </w:r>
      <w:r w:rsidR="00DB2C8B" w:rsidRPr="00681822">
        <w:rPr>
          <w:rStyle w:val="Emphasis"/>
        </w:rPr>
        <w:t>lividis</w:t>
      </w:r>
      <w:r w:rsidR="00DB2C8B">
        <w:t>, an acute EC50 of 388</w:t>
      </w:r>
      <w:r w:rsidR="00850540">
        <w:t> </w:t>
      </w:r>
      <w:r w:rsidR="00DB2C8B">
        <w:rPr>
          <w:rFonts w:ascii="Calibri" w:hAnsi="Calibri" w:cs="Calibri"/>
        </w:rPr>
        <w:t>µ</w:t>
      </w:r>
      <w:r w:rsidR="00DB2C8B">
        <w:t>g/L (converted to 38.8</w:t>
      </w:r>
      <w:r w:rsidR="00850540">
        <w:t> </w:t>
      </w:r>
      <w:r w:rsidR="00DB2C8B">
        <w:rPr>
          <w:rFonts w:ascii="Calibri" w:hAnsi="Calibri" w:cs="Calibri"/>
        </w:rPr>
        <w:t>µ</w:t>
      </w:r>
      <w:r w:rsidR="00DB2C8B">
        <w:t xml:space="preserve">g/L) was used </w:t>
      </w:r>
      <w:r w:rsidR="0041537B">
        <w:t>instead. The acute EC</w:t>
      </w:r>
      <w:r w:rsidR="00243086">
        <w:t>50</w:t>
      </w:r>
      <w:r w:rsidR="00DB2C8B">
        <w:t xml:space="preserve"> </w:t>
      </w:r>
      <w:r w:rsidR="00A84362">
        <w:t>was similar to the lowest reliable no/low effect estimate of 362</w:t>
      </w:r>
      <w:r w:rsidR="00850540">
        <w:rPr>
          <w:rFonts w:ascii="Calibri" w:hAnsi="Calibri" w:cs="Calibri"/>
        </w:rPr>
        <w:t> </w:t>
      </w:r>
      <w:r w:rsidR="00A84362">
        <w:rPr>
          <w:rFonts w:ascii="Calibri" w:hAnsi="Calibri" w:cs="Calibri"/>
        </w:rPr>
        <w:t>µ</w:t>
      </w:r>
      <w:r w:rsidR="00A84362">
        <w:t>g/L (EC5, embryo development</w:t>
      </w:r>
      <w:r w:rsidR="00681822">
        <w:t>)</w:t>
      </w:r>
      <w:r w:rsidR="00A84362">
        <w:t xml:space="preserve"> </w:t>
      </w:r>
      <w:r w:rsidR="00681822">
        <w:t>(</w:t>
      </w:r>
      <w:r w:rsidR="00A84362" w:rsidRPr="0035689B">
        <w:t>Özlem</w:t>
      </w:r>
      <w:r w:rsidR="00A84362">
        <w:t xml:space="preserve"> &amp;</w:t>
      </w:r>
      <w:r w:rsidR="00A84362" w:rsidRPr="0035689B">
        <w:t xml:space="preserve"> Hatice</w:t>
      </w:r>
      <w:r w:rsidR="00A84362">
        <w:t xml:space="preserve"> 2008)</w:t>
      </w:r>
      <w:r w:rsidR="00817179">
        <w:t>,</w:t>
      </w:r>
      <w:r w:rsidR="00A84362">
        <w:t xml:space="preserve"> but </w:t>
      </w:r>
      <w:r w:rsidR="00DB2C8B">
        <w:t>resulted in a more conservative value</w:t>
      </w:r>
      <w:r w:rsidR="00A84362">
        <w:t xml:space="preserve"> once converted to a chronic no/low effect equivalent</w:t>
      </w:r>
      <w:r w:rsidR="00DB2C8B">
        <w:t xml:space="preserve">. </w:t>
      </w:r>
      <w:r w:rsidR="00FB2279">
        <w:t xml:space="preserve">This was considered appropriate because data from </w:t>
      </w:r>
      <w:r w:rsidR="00FB2279" w:rsidRPr="0035689B">
        <w:t>Özlem</w:t>
      </w:r>
      <w:r w:rsidR="00FB2279">
        <w:t xml:space="preserve"> </w:t>
      </w:r>
      <w:r w:rsidR="00681822">
        <w:t>and</w:t>
      </w:r>
      <w:r w:rsidR="00FB2279" w:rsidRPr="0035689B">
        <w:t xml:space="preserve"> Hatice</w:t>
      </w:r>
      <w:r w:rsidR="00FB2279">
        <w:t xml:space="preserve"> (2008) suggested effects on egg fertilisation and embryos could occur at concentrations below the chronic EC5 of 362</w:t>
      </w:r>
      <w:r w:rsidR="00850540">
        <w:t> </w:t>
      </w:r>
      <w:r w:rsidR="00FB2279">
        <w:rPr>
          <w:rFonts w:ascii="Calibri" w:hAnsi="Calibri" w:cs="Calibri"/>
        </w:rPr>
        <w:t>µ</w:t>
      </w:r>
      <w:r w:rsidR="00FB2279">
        <w:t>g/L.</w:t>
      </w:r>
    </w:p>
    <w:p w14:paraId="66175B60" w14:textId="77777777" w:rsidR="00167FF3" w:rsidRPr="00114E27" w:rsidRDefault="001272F6" w:rsidP="00542F9A">
      <w:pPr>
        <w:spacing w:before="240"/>
        <w:rPr>
          <w:rFonts w:cs="Arial"/>
        </w:rPr>
      </w:pPr>
      <w:r>
        <w:t>M</w:t>
      </w:r>
      <w:r w:rsidRPr="00190508">
        <w:t>odal</w:t>
      </w:r>
      <w:r>
        <w:t xml:space="preserve">ity checks </w:t>
      </w:r>
      <w:r w:rsidR="00A92BED">
        <w:t xml:space="preserve">on the dataset </w:t>
      </w:r>
      <w:r>
        <w:t xml:space="preserve">were performed according to the </w:t>
      </w:r>
      <w:r w:rsidR="005A0A29">
        <w:t>method</w:t>
      </w:r>
      <w:r w:rsidRPr="00190508">
        <w:t xml:space="preserve"> stipulated in </w:t>
      </w:r>
      <w:r w:rsidRPr="00E56DEA">
        <w:t>Warne</w:t>
      </w:r>
      <w:r w:rsidRPr="00C34CD6">
        <w:t xml:space="preserve"> et al.</w:t>
      </w:r>
      <w:r w:rsidRPr="00190508">
        <w:t xml:space="preserve"> </w:t>
      </w:r>
      <w:r w:rsidR="00C62C23">
        <w:t>(</w:t>
      </w:r>
      <w:r w:rsidRPr="00190508">
        <w:t>2018</w:t>
      </w:r>
      <w:r w:rsidR="00C62C23">
        <w:t xml:space="preserve">), </w:t>
      </w:r>
      <w:r w:rsidR="00C62C23" w:rsidRPr="00B0138E">
        <w:t xml:space="preserve">with the details of the assessment provided in </w:t>
      </w:r>
      <w:r w:rsidR="00226F8B">
        <w:fldChar w:fldCharType="begin"/>
      </w:r>
      <w:r w:rsidR="00226F8B">
        <w:instrText xml:space="preserve"> REF _Ref63754622 \h </w:instrText>
      </w:r>
      <w:r w:rsidR="00226F8B">
        <w:fldChar w:fldCharType="separate"/>
      </w:r>
      <w:r w:rsidR="00FE279A">
        <w:t>Appendix </w:t>
      </w:r>
      <w:r w:rsidR="00FE279A" w:rsidRPr="000C7ECF">
        <w:t xml:space="preserve">B: </w:t>
      </w:r>
      <w:r w:rsidR="00FE279A">
        <w:t>Modality assessment for bisphenol A</w:t>
      </w:r>
      <w:r w:rsidR="00226F8B">
        <w:fldChar w:fldCharType="end"/>
      </w:r>
      <w:r w:rsidR="003C5E11" w:rsidRPr="00B0138E">
        <w:t>.</w:t>
      </w:r>
      <w:r w:rsidR="004D64F0" w:rsidRPr="00B0138E">
        <w:t xml:space="preserve"> </w:t>
      </w:r>
      <w:r w:rsidR="004D64F0" w:rsidRPr="00B0138E">
        <w:rPr>
          <w:rFonts w:cs="Arial"/>
        </w:rPr>
        <w:t xml:space="preserve">The weight of evidence assessment </w:t>
      </w:r>
      <w:r w:rsidR="00B0138E" w:rsidRPr="00B0138E">
        <w:rPr>
          <w:rFonts w:cs="Arial"/>
        </w:rPr>
        <w:t xml:space="preserve">indicated </w:t>
      </w:r>
      <w:r w:rsidR="004D64F0" w:rsidRPr="00B0138E">
        <w:rPr>
          <w:rFonts w:cs="Arial"/>
        </w:rPr>
        <w:t xml:space="preserve">that </w:t>
      </w:r>
      <w:r w:rsidR="00B0138E" w:rsidRPr="00B0138E">
        <w:rPr>
          <w:rFonts w:cs="Arial"/>
        </w:rPr>
        <w:t xml:space="preserve">there </w:t>
      </w:r>
      <w:r w:rsidR="00DB7255" w:rsidRPr="00B0138E">
        <w:rPr>
          <w:rFonts w:cs="Arial"/>
        </w:rPr>
        <w:t>w</w:t>
      </w:r>
      <w:r w:rsidR="00DB7255">
        <w:rPr>
          <w:rFonts w:cs="Arial"/>
        </w:rPr>
        <w:t>ere</w:t>
      </w:r>
      <w:r w:rsidR="00DB7255" w:rsidRPr="00B0138E">
        <w:rPr>
          <w:rFonts w:cs="Arial"/>
        </w:rPr>
        <w:t xml:space="preserve"> </w:t>
      </w:r>
      <w:r w:rsidR="00B0138E" w:rsidRPr="00B0138E">
        <w:rPr>
          <w:rFonts w:cs="Arial"/>
        </w:rPr>
        <w:t xml:space="preserve">insufficient data to </w:t>
      </w:r>
      <w:r w:rsidR="004A4FD0">
        <w:rPr>
          <w:rFonts w:cs="Arial"/>
        </w:rPr>
        <w:t>determine if the dataset was bimodal or multimodal</w:t>
      </w:r>
      <w:r w:rsidR="00B0138E" w:rsidRPr="00B0138E">
        <w:rPr>
          <w:rFonts w:cs="Arial"/>
        </w:rPr>
        <w:t xml:space="preserve"> </w:t>
      </w:r>
      <w:r w:rsidR="004D64F0" w:rsidRPr="00B0138E">
        <w:rPr>
          <w:rFonts w:cs="Arial"/>
        </w:rPr>
        <w:t xml:space="preserve">and, hence, </w:t>
      </w:r>
      <w:r w:rsidR="005757C4">
        <w:rPr>
          <w:rFonts w:cs="Arial"/>
        </w:rPr>
        <w:t xml:space="preserve">it </w:t>
      </w:r>
      <w:r w:rsidR="004D64F0" w:rsidRPr="00B0138E">
        <w:rPr>
          <w:rFonts w:cs="Arial"/>
        </w:rPr>
        <w:t xml:space="preserve">supported use of the data for </w:t>
      </w:r>
      <w:r w:rsidR="00DA33E5">
        <w:rPr>
          <w:rFonts w:cs="Arial"/>
        </w:rPr>
        <w:t>eight</w:t>
      </w:r>
      <w:r w:rsidR="00DA33E5" w:rsidRPr="00B0138E">
        <w:rPr>
          <w:rFonts w:cs="Arial"/>
        </w:rPr>
        <w:t xml:space="preserve"> </w:t>
      </w:r>
      <w:r w:rsidR="004D64F0" w:rsidRPr="00B0138E">
        <w:rPr>
          <w:rFonts w:cs="Arial"/>
        </w:rPr>
        <w:t>species for derivation of the DGVs.</w:t>
      </w:r>
    </w:p>
    <w:p w14:paraId="66175B61" w14:textId="77777777" w:rsidR="00167FF3" w:rsidRDefault="001272F6" w:rsidP="00167FF3">
      <w:pPr>
        <w:pStyle w:val="Heading3"/>
      </w:pPr>
      <w:bookmarkStart w:id="12" w:name="_Toc68691039"/>
      <w:r>
        <w:t>Species sensitivity distribution</w:t>
      </w:r>
      <w:bookmarkEnd w:id="12"/>
    </w:p>
    <w:p w14:paraId="66175B62" w14:textId="77777777" w:rsidR="00167FF3" w:rsidRPr="003B6184" w:rsidRDefault="001272F6" w:rsidP="00243020">
      <w:pPr>
        <w:rPr>
          <w:bCs/>
        </w:rPr>
      </w:pPr>
      <w:r w:rsidRPr="00243020">
        <w:t xml:space="preserve">The cumulative frequency (species sensitivity) distribution (SSD) of the </w:t>
      </w:r>
      <w:r w:rsidR="00D175AE" w:rsidRPr="00243020">
        <w:t>eight</w:t>
      </w:r>
      <w:r w:rsidR="003D70C0" w:rsidRPr="00243020">
        <w:t xml:space="preserve"> acute </w:t>
      </w:r>
      <w:r w:rsidR="0063482F" w:rsidRPr="00243020">
        <w:t>(converted)</w:t>
      </w:r>
      <w:r w:rsidR="0063482F">
        <w:t xml:space="preserve"> </w:t>
      </w:r>
      <w:r w:rsidR="003D70C0" w:rsidRPr="00243020">
        <w:t xml:space="preserve">and </w:t>
      </w:r>
      <w:r w:rsidRPr="00243020">
        <w:t xml:space="preserve">chronic </w:t>
      </w:r>
      <w:r w:rsidR="00243020">
        <w:t>BPA</w:t>
      </w:r>
      <w:r w:rsidR="00A26E34" w:rsidRPr="00243020">
        <w:t xml:space="preserve"> </w:t>
      </w:r>
      <w:r w:rsidR="00837679" w:rsidRPr="00243020">
        <w:t xml:space="preserve">marine </w:t>
      </w:r>
      <w:r w:rsidR="00243020">
        <w:t xml:space="preserve">water </w:t>
      </w:r>
      <w:r w:rsidRPr="00243020">
        <w:t xml:space="preserve">toxicity data reported in </w:t>
      </w:r>
      <w:r w:rsidR="00226F8B">
        <w:fldChar w:fldCharType="begin"/>
      </w:r>
      <w:r w:rsidR="00226F8B">
        <w:instrText xml:space="preserve"> REF _Ref6321734 \h </w:instrText>
      </w:r>
      <w:r w:rsidR="00226F8B">
        <w:fldChar w:fldCharType="separate"/>
      </w:r>
      <w:r w:rsidR="00FE279A">
        <w:rPr>
          <w:b/>
          <w:bCs/>
          <w:lang w:val="en-US"/>
        </w:rPr>
        <w:t>Error! Reference source not found.</w:t>
      </w:r>
      <w:r w:rsidR="00226F8B">
        <w:fldChar w:fldCharType="end"/>
      </w:r>
      <w:r w:rsidRPr="00243020">
        <w:t xml:space="preserve"> is shown in</w:t>
      </w:r>
      <w:r w:rsidR="00E0429F">
        <w:t xml:space="preserve"> </w:t>
      </w:r>
      <w:r w:rsidR="00E0429F">
        <w:fldChar w:fldCharType="begin"/>
      </w:r>
      <w:r w:rsidR="00E0429F">
        <w:instrText xml:space="preserve"> REF _Ref63753898 \h </w:instrText>
      </w:r>
      <w:r w:rsidR="00E0429F">
        <w:fldChar w:fldCharType="separate"/>
      </w:r>
      <w:r w:rsidR="00FE279A">
        <w:t>Figure </w:t>
      </w:r>
      <w:r w:rsidR="00FE279A">
        <w:rPr>
          <w:noProof/>
        </w:rPr>
        <w:t>1</w:t>
      </w:r>
      <w:r w:rsidR="00E0429F">
        <w:fldChar w:fldCharType="end"/>
      </w:r>
      <w:r w:rsidR="00243020">
        <w:t>.</w:t>
      </w:r>
      <w:r w:rsidR="00243020" w:rsidRPr="00243020">
        <w:t xml:space="preserve"> The model was judged to provide a poor fit to the data, specifically at the lower and upper tails of the distribution. The implications of the poor fit of the lower tail are addressed in</w:t>
      </w:r>
      <w:r w:rsidR="00E81A16">
        <w:t xml:space="preserve"> Section </w:t>
      </w:r>
      <w:r w:rsidR="00E81A16">
        <w:fldChar w:fldCharType="begin"/>
      </w:r>
      <w:r w:rsidR="00E81A16">
        <w:instrText xml:space="preserve"> REF _Ref63753750 \r \h </w:instrText>
      </w:r>
      <w:r w:rsidR="00E81A16">
        <w:fldChar w:fldCharType="separate"/>
      </w:r>
      <w:r w:rsidR="00FE279A">
        <w:t>4.3</w:t>
      </w:r>
      <w:r w:rsidR="00E81A16">
        <w:fldChar w:fldCharType="end"/>
      </w:r>
      <w:r w:rsidR="00E81A16">
        <w:t>.</w:t>
      </w:r>
      <w:r>
        <w:t xml:space="preserve"> </w:t>
      </w:r>
    </w:p>
    <w:p w14:paraId="66175B63" w14:textId="77777777" w:rsidR="00704559" w:rsidRDefault="001272F6" w:rsidP="0020083B">
      <w:bookmarkStart w:id="13" w:name="_Ref6321769"/>
      <w:bookmarkStart w:id="14" w:name="_Toc4497481"/>
      <w:bookmarkStart w:id="15" w:name="_Toc6322405"/>
      <w:r>
        <w:rPr>
          <w:noProof/>
          <w:lang w:eastAsia="en-AU"/>
        </w:rPr>
        <w:drawing>
          <wp:inline distT="0" distB="0" distL="0" distR="0" wp14:anchorId="66175C8D" wp14:editId="66175C8E">
            <wp:extent cx="4039235" cy="3732663"/>
            <wp:effectExtent l="0" t="0" r="0" b="1270"/>
            <wp:docPr id="5" name="Picture 5" descr="Species sensitivity distribution, BPA in marine water&#10;&#10;Figure is a species sensitivity distribution (SSD) that shows 8 species that are potentially affected by concentrations of BPA (microgram per litre). Chronic EC5 and NOEC/EC10, acute-to-chronic NOEC/EC10, and estimated chronic NOEC/EC10 toxicity data are sh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887102" name="Picture 5" descr="Species sensitivity distribution, BPA in marine water&#10;&#10;Figure is a species sensitivity distribution (SSD) that shows 8 species that are potentially affected by concentrations of BPA (microgram per litre). Chronic EC5 and NOEC/EC10, acute-to-chronic NOEC/EC10, and estimated chronic NOEC/EC10 toxicity data are shown."/>
                    <pic:cNvPicPr/>
                  </pic:nvPicPr>
                  <pic:blipFill>
                    <a:blip r:embed="rId22">
                      <a:extLst>
                        <a:ext uri="{28A0092B-C50C-407E-A947-70E740481C1C}">
                          <a14:useLocalDpi xmlns:a14="http://schemas.microsoft.com/office/drawing/2010/main" val="0"/>
                        </a:ext>
                      </a:extLst>
                    </a:blip>
                    <a:srcRect t="10583" r="6486" b="3000"/>
                    <a:stretch>
                      <a:fillRect/>
                    </a:stretch>
                  </pic:blipFill>
                  <pic:spPr bwMode="auto">
                    <a:xfrm>
                      <a:off x="0" y="0"/>
                      <a:ext cx="4039827" cy="3733210"/>
                    </a:xfrm>
                    <a:prstGeom prst="rect">
                      <a:avLst/>
                    </a:prstGeom>
                    <a:ln>
                      <a:noFill/>
                    </a:ln>
                    <a:extLst>
                      <a:ext uri="{53640926-AAD7-44D8-BBD7-CCE9431645EC}">
                        <a14:shadowObscured xmlns:a14="http://schemas.microsoft.com/office/drawing/2010/main"/>
                      </a:ext>
                    </a:extLst>
                  </pic:spPr>
                </pic:pic>
              </a:graphicData>
            </a:graphic>
          </wp:inline>
        </w:drawing>
      </w:r>
    </w:p>
    <w:p w14:paraId="66175B64" w14:textId="77777777" w:rsidR="00DF3898" w:rsidRPr="0020083B" w:rsidRDefault="001272F6" w:rsidP="00E0429F">
      <w:pPr>
        <w:pStyle w:val="Caption"/>
        <w:rPr>
          <w:rStyle w:val="FigurecaptionChar"/>
          <w:rFonts w:asciiTheme="minorHAnsi" w:eastAsiaTheme="majorEastAsia" w:hAnsiTheme="minorHAnsi" w:cstheme="majorBidi"/>
          <w:sz w:val="22"/>
          <w:lang w:bidi="ar-SA"/>
        </w:rPr>
      </w:pPr>
      <w:bookmarkStart w:id="16" w:name="_Ref63753898"/>
      <w:bookmarkStart w:id="17" w:name="_Toc68691046"/>
      <w:bookmarkEnd w:id="13"/>
      <w:r>
        <w:t>Figure </w:t>
      </w:r>
      <w:r w:rsidR="00235993">
        <w:fldChar w:fldCharType="begin"/>
      </w:r>
      <w:r w:rsidR="00235993">
        <w:instrText xml:space="preserve"> SEQ Figure \* ARABIC </w:instrText>
      </w:r>
      <w:r w:rsidR="00235993">
        <w:fldChar w:fldCharType="separate"/>
      </w:r>
      <w:r w:rsidR="00FE279A">
        <w:rPr>
          <w:noProof/>
        </w:rPr>
        <w:t>1</w:t>
      </w:r>
      <w:r w:rsidR="00235993">
        <w:rPr>
          <w:noProof/>
        </w:rPr>
        <w:fldChar w:fldCharType="end"/>
      </w:r>
      <w:bookmarkEnd w:id="16"/>
      <w:r w:rsidR="005A3D73" w:rsidRPr="0020083B">
        <w:t xml:space="preserve"> </w:t>
      </w:r>
      <w:bookmarkEnd w:id="14"/>
      <w:bookmarkEnd w:id="15"/>
      <w:r w:rsidR="00F0649C">
        <w:t>Species sensitivity</w:t>
      </w:r>
      <w:r w:rsidR="005A3D73" w:rsidRPr="0020083B">
        <w:rPr>
          <w:rStyle w:val="FigurecaptionChar"/>
          <w:rFonts w:asciiTheme="minorHAnsi" w:eastAsiaTheme="majorEastAsia" w:hAnsiTheme="minorHAnsi" w:cstheme="majorBidi"/>
          <w:sz w:val="22"/>
          <w:lang w:bidi="ar-SA"/>
        </w:rPr>
        <w:t xml:space="preserve"> distribution</w:t>
      </w:r>
      <w:r w:rsidR="00F0649C">
        <w:rPr>
          <w:rStyle w:val="FigurecaptionChar"/>
          <w:rFonts w:asciiTheme="minorHAnsi" w:eastAsiaTheme="majorEastAsia" w:hAnsiTheme="minorHAnsi" w:cstheme="majorBidi"/>
          <w:sz w:val="22"/>
          <w:lang w:bidi="ar-SA"/>
        </w:rPr>
        <w:t>, BPA in marine water</w:t>
      </w:r>
      <w:bookmarkEnd w:id="17"/>
      <w:r w:rsidR="00E01B73" w:rsidRPr="0020083B">
        <w:rPr>
          <w:rStyle w:val="FigurecaptionChar"/>
          <w:rFonts w:asciiTheme="minorHAnsi" w:eastAsiaTheme="majorEastAsia" w:hAnsiTheme="minorHAnsi" w:cstheme="majorBidi"/>
          <w:sz w:val="22"/>
          <w:lang w:bidi="ar-SA"/>
        </w:rPr>
        <w:t xml:space="preserve"> </w:t>
      </w:r>
    </w:p>
    <w:p w14:paraId="66175B65" w14:textId="77777777" w:rsidR="001303C0" w:rsidRDefault="001272F6" w:rsidP="009D255C">
      <w:pPr>
        <w:pStyle w:val="Heading3"/>
        <w:spacing w:before="360"/>
      </w:pPr>
      <w:bookmarkStart w:id="18" w:name="_Ref63753750"/>
      <w:bookmarkStart w:id="19" w:name="_Toc68691040"/>
      <w:r>
        <w:t>Default guideline values</w:t>
      </w:r>
      <w:bookmarkEnd w:id="18"/>
      <w:bookmarkEnd w:id="19"/>
    </w:p>
    <w:p w14:paraId="66175B66" w14:textId="77777777" w:rsidR="001303C0" w:rsidRDefault="001272F6" w:rsidP="0020083B">
      <w:pPr>
        <w:rPr>
          <w:highlight w:val="yellow"/>
        </w:rPr>
      </w:pPr>
      <w:r w:rsidRPr="009D54BA">
        <w:t xml:space="preserve">It is important that the DGVs </w:t>
      </w:r>
      <w:r w:rsidR="00AD5092">
        <w:t>(</w:t>
      </w:r>
      <w:r w:rsidR="00226F8B">
        <w:fldChar w:fldCharType="begin"/>
      </w:r>
      <w:r w:rsidR="00226F8B">
        <w:instrText xml:space="preserve"> REF _Ref63754421 \h </w:instrText>
      </w:r>
      <w:r w:rsidR="00226F8B">
        <w:fldChar w:fldCharType="separate"/>
      </w:r>
      <w:r w:rsidR="00FE279A">
        <w:t>Table </w:t>
      </w:r>
      <w:r w:rsidR="00FE279A">
        <w:rPr>
          <w:noProof/>
        </w:rPr>
        <w:t>2</w:t>
      </w:r>
      <w:r w:rsidR="00226F8B">
        <w:fldChar w:fldCharType="end"/>
      </w:r>
      <w:r w:rsidR="009D54BA" w:rsidRPr="009D54BA">
        <w:t xml:space="preserve">) </w:t>
      </w:r>
      <w:r w:rsidRPr="009D54BA">
        <w:t xml:space="preserve">and associated information in this technical brief are used in </w:t>
      </w:r>
      <w:r w:rsidRPr="000E475D">
        <w:t>accordance with the detailed guidance provided in the Australian and New Zealand Guidelines for Fresh and Marine Water Quality website</w:t>
      </w:r>
      <w:r w:rsidR="001C424F">
        <w:t xml:space="preserve"> (ANZG 2018)</w:t>
      </w:r>
      <w:r w:rsidRPr="000E475D">
        <w:t>.</w:t>
      </w:r>
      <w:r w:rsidR="004C3820">
        <w:t xml:space="preserve"> </w:t>
      </w:r>
    </w:p>
    <w:p w14:paraId="66175B67" w14:textId="77777777" w:rsidR="008C42D0" w:rsidRPr="007506B0" w:rsidRDefault="001272F6" w:rsidP="0020083B">
      <w:pPr>
        <w:rPr>
          <w:rFonts w:cs="Arial"/>
        </w:rPr>
      </w:pPr>
      <w:r>
        <w:rPr>
          <w:bCs/>
        </w:rPr>
        <w:t>The DGVs for 99</w:t>
      </w:r>
      <w:r w:rsidR="00501743">
        <w:rPr>
          <w:bCs/>
        </w:rPr>
        <w:t>%</w:t>
      </w:r>
      <w:r>
        <w:rPr>
          <w:bCs/>
        </w:rPr>
        <w:t>, 95</w:t>
      </w:r>
      <w:r w:rsidR="00501743">
        <w:rPr>
          <w:bCs/>
        </w:rPr>
        <w:t>%</w:t>
      </w:r>
      <w:r>
        <w:rPr>
          <w:bCs/>
        </w:rPr>
        <w:t>, 90</w:t>
      </w:r>
      <w:r w:rsidR="00501743">
        <w:rPr>
          <w:bCs/>
        </w:rPr>
        <w:t>%</w:t>
      </w:r>
      <w:r>
        <w:rPr>
          <w:bCs/>
        </w:rPr>
        <w:t xml:space="preserve"> and 80% species protection are shown in </w:t>
      </w:r>
      <w:r w:rsidR="00226F8B">
        <w:rPr>
          <w:bCs/>
        </w:rPr>
        <w:fldChar w:fldCharType="begin"/>
      </w:r>
      <w:r w:rsidR="00226F8B">
        <w:rPr>
          <w:bCs/>
        </w:rPr>
        <w:instrText xml:space="preserve"> REF _Ref63754421 \h </w:instrText>
      </w:r>
      <w:r w:rsidR="00226F8B">
        <w:rPr>
          <w:bCs/>
        </w:rPr>
      </w:r>
      <w:r w:rsidR="00226F8B">
        <w:rPr>
          <w:bCs/>
        </w:rPr>
        <w:fldChar w:fldCharType="separate"/>
      </w:r>
      <w:r w:rsidR="00FE279A">
        <w:t>Table </w:t>
      </w:r>
      <w:r w:rsidR="00FE279A">
        <w:rPr>
          <w:noProof/>
        </w:rPr>
        <w:t>2</w:t>
      </w:r>
      <w:r w:rsidR="00226F8B">
        <w:rPr>
          <w:bCs/>
        </w:rPr>
        <w:fldChar w:fldCharType="end"/>
      </w:r>
      <w:r>
        <w:rPr>
          <w:bCs/>
        </w:rPr>
        <w:t xml:space="preserve">. </w:t>
      </w:r>
      <w:r>
        <w:rPr>
          <w:rFonts w:cs="Arial"/>
        </w:rPr>
        <w:t>Some of the DGVs may be below current</w:t>
      </w:r>
      <w:r w:rsidR="00501743">
        <w:rPr>
          <w:rFonts w:cs="Arial"/>
        </w:rPr>
        <w:t xml:space="preserve"> </w:t>
      </w:r>
      <w:r>
        <w:rPr>
          <w:rFonts w:cs="Arial"/>
        </w:rPr>
        <w:t>analytical limits of reporting for BPA. However, the available toxicity data indicate that toxic effects can occur below the current limits of reporting. ANZG (2018</w:t>
      </w:r>
      <w:r w:rsidR="00501743">
        <w:rPr>
          <w:rFonts w:cs="Arial"/>
        </w:rPr>
        <w:t>)</w:t>
      </w:r>
      <w:r>
        <w:rPr>
          <w:rFonts w:cs="Arial"/>
        </w:rPr>
        <w:t xml:space="preserve"> </w:t>
      </w:r>
      <w:r w:rsidR="00501743">
        <w:rPr>
          <w:rFonts w:cs="Arial"/>
        </w:rPr>
        <w:t>(</w:t>
      </w:r>
      <w:r>
        <w:rPr>
          <w:rFonts w:cs="Arial"/>
        </w:rPr>
        <w:t xml:space="preserve">see </w:t>
      </w:r>
      <w:hyperlink r:id="rId23" w:anchor="default-guideline-values-and-analytical-detection-limits" w:history="1">
        <w:r w:rsidRPr="00D50780">
          <w:rPr>
            <w:rStyle w:val="Hyperlink"/>
            <w:rFonts w:cs="Arial"/>
          </w:rPr>
          <w:t>Accounting for local conditions</w:t>
        </w:r>
      </w:hyperlink>
      <w:r>
        <w:rPr>
          <w:rFonts w:cs="Arial"/>
        </w:rPr>
        <w:t xml:space="preserve">) provides guidance on what to do </w:t>
      </w:r>
      <w:r w:rsidR="00501743">
        <w:rPr>
          <w:rFonts w:cs="Arial"/>
        </w:rPr>
        <w:t>if</w:t>
      </w:r>
      <w:r>
        <w:rPr>
          <w:rFonts w:cs="Arial"/>
        </w:rPr>
        <w:t xml:space="preserve"> guideline values are below analytical detection limits. </w:t>
      </w:r>
    </w:p>
    <w:p w14:paraId="66175B68" w14:textId="77777777" w:rsidR="00A2380E" w:rsidRDefault="001272F6" w:rsidP="00226F8B">
      <w:pPr>
        <w:pStyle w:val="Caption"/>
      </w:pPr>
      <w:bookmarkStart w:id="20" w:name="_Ref63754421"/>
      <w:bookmarkStart w:id="21" w:name="_Toc132890396"/>
      <w:r>
        <w:t>Table </w:t>
      </w:r>
      <w:r w:rsidR="00235993">
        <w:fldChar w:fldCharType="begin"/>
      </w:r>
      <w:r w:rsidR="00235993">
        <w:instrText xml:space="preserve"> SEQ </w:instrText>
      </w:r>
      <w:r w:rsidR="00235993">
        <w:instrText xml:space="preserve">Table \* ARABIC </w:instrText>
      </w:r>
      <w:r w:rsidR="00235993">
        <w:fldChar w:fldCharType="separate"/>
      </w:r>
      <w:r w:rsidR="00FE279A">
        <w:rPr>
          <w:noProof/>
        </w:rPr>
        <w:t>2</w:t>
      </w:r>
      <w:r w:rsidR="00235993">
        <w:rPr>
          <w:noProof/>
        </w:rPr>
        <w:fldChar w:fldCharType="end"/>
      </w:r>
      <w:bookmarkEnd w:id="20"/>
      <w:r w:rsidR="005A3D73">
        <w:t xml:space="preserve"> </w:t>
      </w:r>
      <w:r w:rsidR="005A3D73" w:rsidRPr="00520F65">
        <w:rPr>
          <w:noProof/>
        </w:rPr>
        <w:t xml:space="preserve">Toxicant default guideline values, </w:t>
      </w:r>
      <w:r w:rsidR="002C6F2A">
        <w:rPr>
          <w:noProof/>
        </w:rPr>
        <w:t>BPA</w:t>
      </w:r>
      <w:r w:rsidR="005A3D73">
        <w:rPr>
          <w:noProof/>
        </w:rPr>
        <w:t xml:space="preserve"> </w:t>
      </w:r>
      <w:r w:rsidR="005A3D73" w:rsidRPr="00520F65">
        <w:rPr>
          <w:noProof/>
        </w:rPr>
        <w:t xml:space="preserve">in </w:t>
      </w:r>
      <w:r w:rsidR="005A3D73">
        <w:rPr>
          <w:noProof/>
        </w:rPr>
        <w:t xml:space="preserve">marine </w:t>
      </w:r>
      <w:r w:rsidR="005A3D73" w:rsidRPr="00AD5092">
        <w:rPr>
          <w:noProof/>
        </w:rPr>
        <w:t xml:space="preserve">water, </w:t>
      </w:r>
      <w:r w:rsidR="005A3D73" w:rsidRPr="00C34CD6">
        <w:rPr>
          <w:noProof/>
        </w:rPr>
        <w:t>low reliability</w:t>
      </w:r>
      <w:bookmarkEnd w:id="21"/>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oxicant default guideline values, BPA in marine water, low reliability"/>
        <w:tblDescription w:val="Table shows the guideline values for a range of protection levels for BPA in marine water. The four levels of species protection are 99, 95, 90 and 80%. The corresponding default guideline values are 0.04, 0.63, 2.2 and 8.0 (microgram per litre), respectively."/>
      </w:tblPr>
      <w:tblGrid>
        <w:gridCol w:w="4535"/>
        <w:gridCol w:w="4535"/>
      </w:tblGrid>
      <w:tr w:rsidR="00B82CEC" w14:paraId="66175B6B" w14:textId="77777777" w:rsidTr="005B0943">
        <w:trPr>
          <w:cantSplit/>
          <w:tblHeader/>
        </w:trPr>
        <w:tc>
          <w:tcPr>
            <w:tcW w:w="2500" w:type="pct"/>
            <w:tcBorders>
              <w:top w:val="single" w:sz="12" w:space="0" w:color="auto"/>
              <w:bottom w:val="single" w:sz="12" w:space="0" w:color="auto"/>
            </w:tcBorders>
          </w:tcPr>
          <w:p w14:paraId="66175B69" w14:textId="77777777" w:rsidR="00A2380E" w:rsidRPr="00295D89" w:rsidRDefault="001272F6" w:rsidP="008B7155">
            <w:pPr>
              <w:pStyle w:val="TableHeading"/>
            </w:pPr>
            <w:r>
              <w:t>Level of</w:t>
            </w:r>
            <w:r w:rsidRPr="00295D89">
              <w:t xml:space="preserve"> species protection (%)</w:t>
            </w:r>
          </w:p>
        </w:tc>
        <w:tc>
          <w:tcPr>
            <w:tcW w:w="2500" w:type="pct"/>
            <w:tcBorders>
              <w:top w:val="single" w:sz="12" w:space="0" w:color="auto"/>
              <w:bottom w:val="single" w:sz="12" w:space="0" w:color="auto"/>
            </w:tcBorders>
          </w:tcPr>
          <w:p w14:paraId="66175B6A" w14:textId="77777777" w:rsidR="00A2380E" w:rsidRPr="00295D89" w:rsidRDefault="001272F6" w:rsidP="008B7155">
            <w:pPr>
              <w:pStyle w:val="TableHeading"/>
              <w:jc w:val="right"/>
            </w:pPr>
            <w:r w:rsidRPr="00295D89">
              <w:t>D</w:t>
            </w:r>
            <w:r>
              <w:t>GV for BPA in marine water</w:t>
            </w:r>
            <w:r w:rsidRPr="00295D89">
              <w:t xml:space="preserve"> (</w:t>
            </w:r>
            <w:r w:rsidRPr="003807D3">
              <w:rPr>
                <w:rFonts w:ascii="Symbol" w:hAnsi="Symbol"/>
                <w:bCs/>
              </w:rPr>
              <w:sym w:font="Symbol" w:char="F06D"/>
            </w:r>
            <w:r w:rsidRPr="00295D89">
              <w:t>g/L)</w:t>
            </w:r>
            <w:r w:rsidR="001D3400" w:rsidRPr="001D3400">
              <w:rPr>
                <w:vertAlign w:val="superscript"/>
              </w:rPr>
              <w:t>a</w:t>
            </w:r>
          </w:p>
        </w:tc>
      </w:tr>
      <w:tr w:rsidR="00B82CEC" w14:paraId="66175B6E" w14:textId="77777777" w:rsidTr="005B0943">
        <w:trPr>
          <w:cantSplit/>
          <w:trHeight w:val="284"/>
        </w:trPr>
        <w:tc>
          <w:tcPr>
            <w:tcW w:w="2500" w:type="pct"/>
            <w:tcBorders>
              <w:top w:val="single" w:sz="12" w:space="0" w:color="auto"/>
              <w:bottom w:val="single" w:sz="4" w:space="0" w:color="auto"/>
            </w:tcBorders>
          </w:tcPr>
          <w:p w14:paraId="66175B6C" w14:textId="77777777" w:rsidR="00A2380E" w:rsidRPr="00295D89" w:rsidRDefault="001272F6" w:rsidP="008B7155">
            <w:pPr>
              <w:pStyle w:val="TableText"/>
              <w:ind w:firstLine="459"/>
            </w:pPr>
            <w:r w:rsidRPr="00295D89">
              <w:t>99</w:t>
            </w:r>
          </w:p>
        </w:tc>
        <w:tc>
          <w:tcPr>
            <w:tcW w:w="2500" w:type="pct"/>
            <w:tcBorders>
              <w:top w:val="single" w:sz="12" w:space="0" w:color="auto"/>
              <w:bottom w:val="single" w:sz="4" w:space="0" w:color="auto"/>
            </w:tcBorders>
          </w:tcPr>
          <w:p w14:paraId="66175B6D" w14:textId="77777777" w:rsidR="00A2380E" w:rsidRPr="00295D89" w:rsidRDefault="001272F6" w:rsidP="008B7155">
            <w:pPr>
              <w:pStyle w:val="TableText"/>
              <w:ind w:right="457"/>
              <w:jc w:val="right"/>
            </w:pPr>
            <w:r>
              <w:t>0.</w:t>
            </w:r>
            <w:r w:rsidR="00E67E58">
              <w:t>04</w:t>
            </w:r>
          </w:p>
        </w:tc>
      </w:tr>
      <w:tr w:rsidR="00B82CEC" w14:paraId="66175B71" w14:textId="77777777" w:rsidTr="005B0943">
        <w:trPr>
          <w:cantSplit/>
          <w:trHeight w:val="284"/>
        </w:trPr>
        <w:tc>
          <w:tcPr>
            <w:tcW w:w="2500" w:type="pct"/>
            <w:tcBorders>
              <w:top w:val="single" w:sz="4" w:space="0" w:color="auto"/>
              <w:bottom w:val="single" w:sz="4" w:space="0" w:color="auto"/>
            </w:tcBorders>
          </w:tcPr>
          <w:p w14:paraId="66175B6F" w14:textId="77777777" w:rsidR="00A2380E" w:rsidRPr="00295D89" w:rsidRDefault="001272F6" w:rsidP="008B7155">
            <w:pPr>
              <w:pStyle w:val="TableText"/>
              <w:ind w:firstLine="459"/>
            </w:pPr>
            <w:r w:rsidRPr="00295D89">
              <w:t>95</w:t>
            </w:r>
          </w:p>
        </w:tc>
        <w:tc>
          <w:tcPr>
            <w:tcW w:w="2500" w:type="pct"/>
            <w:tcBorders>
              <w:top w:val="single" w:sz="4" w:space="0" w:color="auto"/>
              <w:bottom w:val="single" w:sz="4" w:space="0" w:color="auto"/>
            </w:tcBorders>
          </w:tcPr>
          <w:p w14:paraId="66175B70" w14:textId="77777777" w:rsidR="00A2380E" w:rsidRPr="00295D89" w:rsidRDefault="001272F6" w:rsidP="008B7155">
            <w:pPr>
              <w:pStyle w:val="TableText"/>
              <w:ind w:right="457"/>
              <w:jc w:val="right"/>
            </w:pPr>
            <w:r>
              <w:t>0.</w:t>
            </w:r>
            <w:r w:rsidR="00E67E58">
              <w:t>63</w:t>
            </w:r>
          </w:p>
        </w:tc>
      </w:tr>
      <w:tr w:rsidR="00B82CEC" w14:paraId="66175B74" w14:textId="77777777" w:rsidTr="005B0943">
        <w:trPr>
          <w:cantSplit/>
          <w:trHeight w:val="284"/>
        </w:trPr>
        <w:tc>
          <w:tcPr>
            <w:tcW w:w="2500" w:type="pct"/>
            <w:tcBorders>
              <w:top w:val="single" w:sz="4" w:space="0" w:color="auto"/>
              <w:bottom w:val="single" w:sz="4" w:space="0" w:color="auto"/>
            </w:tcBorders>
          </w:tcPr>
          <w:p w14:paraId="66175B72" w14:textId="77777777" w:rsidR="00A2380E" w:rsidRPr="00295D89" w:rsidRDefault="001272F6" w:rsidP="008B7155">
            <w:pPr>
              <w:pStyle w:val="TableText"/>
              <w:ind w:firstLine="459"/>
            </w:pPr>
            <w:r w:rsidRPr="00295D89">
              <w:t>90</w:t>
            </w:r>
          </w:p>
        </w:tc>
        <w:tc>
          <w:tcPr>
            <w:tcW w:w="2500" w:type="pct"/>
            <w:tcBorders>
              <w:top w:val="single" w:sz="4" w:space="0" w:color="auto"/>
              <w:bottom w:val="single" w:sz="4" w:space="0" w:color="auto"/>
            </w:tcBorders>
          </w:tcPr>
          <w:p w14:paraId="66175B73" w14:textId="77777777" w:rsidR="00A2380E" w:rsidRPr="00295D89" w:rsidRDefault="001272F6" w:rsidP="008B7155">
            <w:pPr>
              <w:pStyle w:val="TableText"/>
              <w:ind w:right="457"/>
              <w:jc w:val="right"/>
            </w:pPr>
            <w:r>
              <w:t>2.2</w:t>
            </w:r>
          </w:p>
        </w:tc>
      </w:tr>
      <w:tr w:rsidR="00B82CEC" w14:paraId="66175B77" w14:textId="77777777" w:rsidTr="005B0943">
        <w:trPr>
          <w:cantSplit/>
          <w:trHeight w:val="284"/>
        </w:trPr>
        <w:tc>
          <w:tcPr>
            <w:tcW w:w="2500" w:type="pct"/>
            <w:tcBorders>
              <w:top w:val="single" w:sz="4" w:space="0" w:color="auto"/>
              <w:bottom w:val="single" w:sz="12" w:space="0" w:color="auto"/>
            </w:tcBorders>
          </w:tcPr>
          <w:p w14:paraId="66175B75" w14:textId="77777777" w:rsidR="00A2380E" w:rsidRPr="00295D89" w:rsidRDefault="001272F6" w:rsidP="008B7155">
            <w:pPr>
              <w:pStyle w:val="TableText"/>
              <w:ind w:firstLine="459"/>
            </w:pPr>
            <w:r w:rsidRPr="00295D89">
              <w:t>80</w:t>
            </w:r>
          </w:p>
        </w:tc>
        <w:tc>
          <w:tcPr>
            <w:tcW w:w="2500" w:type="pct"/>
            <w:tcBorders>
              <w:top w:val="single" w:sz="4" w:space="0" w:color="auto"/>
              <w:bottom w:val="single" w:sz="12" w:space="0" w:color="auto"/>
            </w:tcBorders>
          </w:tcPr>
          <w:p w14:paraId="66175B76" w14:textId="77777777" w:rsidR="00A2380E" w:rsidRPr="00295D89" w:rsidRDefault="001272F6" w:rsidP="008B7155">
            <w:pPr>
              <w:pStyle w:val="TableText"/>
              <w:ind w:right="457"/>
              <w:jc w:val="right"/>
            </w:pPr>
            <w:r>
              <w:t>8.0</w:t>
            </w:r>
          </w:p>
        </w:tc>
      </w:tr>
    </w:tbl>
    <w:p w14:paraId="66175B78" w14:textId="77777777" w:rsidR="001D3400" w:rsidRDefault="001272F6" w:rsidP="001D3400">
      <w:pPr>
        <w:rPr>
          <w:rFonts w:cs="Arial"/>
        </w:rPr>
      </w:pPr>
      <w:r w:rsidRPr="003B13B6">
        <w:rPr>
          <w:rStyle w:val="Strong"/>
          <w:sz w:val="16"/>
          <w:szCs w:val="16"/>
        </w:rPr>
        <w:t>a</w:t>
      </w:r>
      <w:r w:rsidRPr="00396EEE">
        <w:rPr>
          <w:rStyle w:val="Strong"/>
        </w:rPr>
        <w:t xml:space="preserve"> </w:t>
      </w:r>
      <w:r w:rsidRPr="00357CE9">
        <w:rPr>
          <w:rStyle w:val="Strong"/>
          <w:b w:val="0"/>
          <w:bCs w:val="0"/>
          <w:sz w:val="16"/>
          <w:szCs w:val="16"/>
        </w:rPr>
        <w:t xml:space="preserve">The </w:t>
      </w:r>
      <w:r w:rsidRPr="00357CE9">
        <w:rPr>
          <w:rStyle w:val="FigurecaptionChar"/>
          <w:rFonts w:asciiTheme="minorHAnsi" w:hAnsiTheme="minorHAnsi"/>
          <w:sz w:val="16"/>
          <w:szCs w:val="16"/>
        </w:rPr>
        <w:t xml:space="preserve">DGVs were derived </w:t>
      </w:r>
      <w:r w:rsidRPr="00357CE9">
        <w:rPr>
          <w:rFonts w:cstheme="minorHAnsi"/>
          <w:sz w:val="16"/>
          <w:szCs w:val="16"/>
        </w:rPr>
        <w:t xml:space="preserve">using </w:t>
      </w:r>
      <w:r w:rsidRPr="00357CE9">
        <w:rPr>
          <w:sz w:val="16"/>
          <w:szCs w:val="16"/>
        </w:rPr>
        <w:t xml:space="preserve">the </w:t>
      </w:r>
      <w:r w:rsidRPr="006A0DD2">
        <w:rPr>
          <w:sz w:val="16"/>
          <w:szCs w:val="16"/>
        </w:rPr>
        <w:t xml:space="preserve">Burrlioz 2.0 software </w:t>
      </w:r>
      <w:r>
        <w:rPr>
          <w:sz w:val="16"/>
          <w:szCs w:val="16"/>
        </w:rPr>
        <w:t>and</w:t>
      </w:r>
      <w:r w:rsidRPr="003559D7">
        <w:rPr>
          <w:sz w:val="16"/>
          <w:szCs w:val="16"/>
        </w:rPr>
        <w:t xml:space="preserve"> rounded</w:t>
      </w:r>
      <w:r>
        <w:rPr>
          <w:sz w:val="16"/>
          <w:szCs w:val="16"/>
        </w:rPr>
        <w:t xml:space="preserve"> to either one or two significant figures.</w:t>
      </w:r>
    </w:p>
    <w:p w14:paraId="66175B79" w14:textId="77777777" w:rsidR="00031DE0" w:rsidRDefault="001272F6" w:rsidP="00031DE0">
      <w:pPr>
        <w:rPr>
          <w:bCs/>
        </w:rPr>
      </w:pPr>
      <w:r w:rsidRPr="00FB0B1E">
        <w:rPr>
          <w:rFonts w:cs="Arial"/>
        </w:rPr>
        <w:t xml:space="preserve">The DGVs were compared to the </w:t>
      </w:r>
      <w:r w:rsidR="00E77F1D" w:rsidRPr="00FB0B1E">
        <w:rPr>
          <w:rFonts w:cs="Arial"/>
        </w:rPr>
        <w:t xml:space="preserve">permissible </w:t>
      </w:r>
      <w:r w:rsidRPr="00FB0B1E">
        <w:rPr>
          <w:rFonts w:cs="Arial"/>
        </w:rPr>
        <w:t>chronic</w:t>
      </w:r>
      <w:r w:rsidR="008E5842" w:rsidRPr="00FB0B1E">
        <w:rPr>
          <w:rFonts w:cs="Arial"/>
        </w:rPr>
        <w:t xml:space="preserve"> and acute </w:t>
      </w:r>
      <w:r w:rsidRPr="00FB0B1E">
        <w:rPr>
          <w:rFonts w:cs="Arial"/>
        </w:rPr>
        <w:t xml:space="preserve">toxicity data </w:t>
      </w:r>
      <w:r w:rsidR="00594FCE">
        <w:rPr>
          <w:rFonts w:cs="Arial"/>
        </w:rPr>
        <w:t>(</w:t>
      </w:r>
      <w:r w:rsidR="00E77F1D" w:rsidRPr="00FB0B1E">
        <w:rPr>
          <w:rFonts w:cs="Arial"/>
        </w:rPr>
        <w:t>that</w:t>
      </w:r>
      <w:r w:rsidR="005A5D40" w:rsidRPr="00FB0B1E">
        <w:rPr>
          <w:rFonts w:cs="Arial"/>
        </w:rPr>
        <w:t xml:space="preserve"> had been converted where necessary to represent chronic </w:t>
      </w:r>
      <w:r w:rsidR="00DD2702">
        <w:rPr>
          <w:rFonts w:cs="Arial"/>
        </w:rPr>
        <w:t>negligible</w:t>
      </w:r>
      <w:r w:rsidR="005A5D40" w:rsidRPr="00FB0B1E">
        <w:rPr>
          <w:rFonts w:cs="Arial"/>
        </w:rPr>
        <w:t xml:space="preserve"> effect data</w:t>
      </w:r>
      <w:r w:rsidR="00594FCE">
        <w:rPr>
          <w:rFonts w:cs="Arial"/>
        </w:rPr>
        <w:t>)</w:t>
      </w:r>
      <w:r w:rsidRPr="00FB0B1E">
        <w:rPr>
          <w:rFonts w:cs="Arial"/>
        </w:rPr>
        <w:t xml:space="preserve"> </w:t>
      </w:r>
      <w:r w:rsidRPr="00FB0B1E">
        <w:t xml:space="preserve">(i.e. </w:t>
      </w:r>
      <w:r w:rsidR="008E5842" w:rsidRPr="00FB0B1E">
        <w:t>19</w:t>
      </w:r>
      <w:r w:rsidRPr="00FB0B1E">
        <w:t xml:space="preserve"> values for </w:t>
      </w:r>
      <w:r w:rsidR="008E5842" w:rsidRPr="00FB0B1E">
        <w:t>eight</w:t>
      </w:r>
      <w:r w:rsidRPr="00FB0B1E">
        <w:t xml:space="preserve"> species). </w:t>
      </w:r>
      <w:r w:rsidR="002F091E" w:rsidRPr="00FB0B1E">
        <w:t xml:space="preserve">The DGVs for 99%, 95%, 90% and 80% species protection were </w:t>
      </w:r>
      <w:r w:rsidR="00E77F1D" w:rsidRPr="00FB0B1E">
        <w:t>protective of (i.e. lower than)</w:t>
      </w:r>
      <w:r w:rsidR="00322500" w:rsidRPr="00FB0B1E">
        <w:t xml:space="preserve"> </w:t>
      </w:r>
      <w:r w:rsidR="008E5842" w:rsidRPr="00FB0B1E">
        <w:t>100</w:t>
      </w:r>
      <w:r w:rsidR="002F091E" w:rsidRPr="00FB0B1E">
        <w:t xml:space="preserve">%, </w:t>
      </w:r>
      <w:r w:rsidR="00E77F1D" w:rsidRPr="00FB0B1E">
        <w:t>7</w:t>
      </w:r>
      <w:r w:rsidR="003D1C0C" w:rsidRPr="00FB0B1E">
        <w:t>6</w:t>
      </w:r>
      <w:r w:rsidR="002F091E" w:rsidRPr="00FB0B1E">
        <w:t xml:space="preserve">%, </w:t>
      </w:r>
      <w:r w:rsidR="00E77F1D" w:rsidRPr="00FB0B1E">
        <w:t>7</w:t>
      </w:r>
      <w:r w:rsidR="003D1C0C" w:rsidRPr="00FB0B1E">
        <w:t>6</w:t>
      </w:r>
      <w:r w:rsidR="002F091E" w:rsidRPr="00FB0B1E">
        <w:t xml:space="preserve">% and </w:t>
      </w:r>
      <w:r w:rsidR="003D1C0C" w:rsidRPr="00FB0B1E">
        <w:t>65</w:t>
      </w:r>
      <w:r w:rsidR="002F091E" w:rsidRPr="00FB0B1E">
        <w:t xml:space="preserve">% of the </w:t>
      </w:r>
      <w:r w:rsidR="00322500" w:rsidRPr="00FB0B1E">
        <w:t>toxicity values</w:t>
      </w:r>
      <w:r w:rsidR="002F091E" w:rsidRPr="00FB0B1E">
        <w:t>, respectively,</w:t>
      </w:r>
      <w:r w:rsidR="00322500" w:rsidRPr="00FB0B1E">
        <w:t xml:space="preserve"> indicating that</w:t>
      </w:r>
      <w:r w:rsidR="002F091E" w:rsidRPr="00FB0B1E">
        <w:t xml:space="preserve"> </w:t>
      </w:r>
      <w:r w:rsidRPr="00FB0B1E">
        <w:rPr>
          <w:rFonts w:cs="Arial"/>
        </w:rPr>
        <w:t xml:space="preserve">the theoretical protection offered by the </w:t>
      </w:r>
      <w:r w:rsidR="008E5842" w:rsidRPr="00FB0B1E">
        <w:t xml:space="preserve">95%, 90% and 80% species protection </w:t>
      </w:r>
      <w:r w:rsidRPr="00FB0B1E">
        <w:rPr>
          <w:rFonts w:cs="Arial"/>
        </w:rPr>
        <w:t xml:space="preserve">DGVs </w:t>
      </w:r>
      <w:r w:rsidR="002F091E" w:rsidRPr="00FB0B1E">
        <w:rPr>
          <w:rFonts w:cs="Arial"/>
        </w:rPr>
        <w:t>may</w:t>
      </w:r>
      <w:r w:rsidRPr="00FB0B1E">
        <w:rPr>
          <w:rFonts w:cs="Arial"/>
        </w:rPr>
        <w:t xml:space="preserve"> be </w:t>
      </w:r>
      <w:r w:rsidR="00E424C1" w:rsidRPr="00FB0B1E">
        <w:rPr>
          <w:rFonts w:cs="Arial"/>
        </w:rPr>
        <w:t>in</w:t>
      </w:r>
      <w:r w:rsidRPr="00FB0B1E">
        <w:rPr>
          <w:rFonts w:cs="Arial"/>
        </w:rPr>
        <w:t>adequate.</w:t>
      </w:r>
      <w:r w:rsidR="00E424C1" w:rsidRPr="00FB0B1E">
        <w:rPr>
          <w:rFonts w:cs="Arial"/>
        </w:rPr>
        <w:t xml:space="preserve"> </w:t>
      </w:r>
      <w:r w:rsidR="00322500" w:rsidRPr="00FB0B1E">
        <w:rPr>
          <w:rFonts w:cs="Arial"/>
        </w:rPr>
        <w:t>This is reflective of the poor model fit at the lower tail of the SSD (</w:t>
      </w:r>
      <w:r w:rsidR="00E0429F">
        <w:rPr>
          <w:rFonts w:cs="Arial"/>
        </w:rPr>
        <w:fldChar w:fldCharType="begin"/>
      </w:r>
      <w:r w:rsidR="00E0429F">
        <w:rPr>
          <w:rFonts w:cs="Arial"/>
        </w:rPr>
        <w:instrText xml:space="preserve"> REF _Ref63753898 \h </w:instrText>
      </w:r>
      <w:r w:rsidR="00E0429F">
        <w:rPr>
          <w:rFonts w:cs="Arial"/>
        </w:rPr>
      </w:r>
      <w:r w:rsidR="00E0429F">
        <w:rPr>
          <w:rFonts w:cs="Arial"/>
        </w:rPr>
        <w:fldChar w:fldCharType="separate"/>
      </w:r>
      <w:r w:rsidR="00FE279A">
        <w:t>Figure </w:t>
      </w:r>
      <w:r w:rsidR="00FE279A">
        <w:rPr>
          <w:noProof/>
        </w:rPr>
        <w:t>1</w:t>
      </w:r>
      <w:r w:rsidR="00E0429F">
        <w:rPr>
          <w:rFonts w:cs="Arial"/>
        </w:rPr>
        <w:fldChar w:fldCharType="end"/>
      </w:r>
      <w:r w:rsidR="00322500" w:rsidRPr="00FB0B1E">
        <w:rPr>
          <w:rFonts w:cs="Arial"/>
        </w:rPr>
        <w:t xml:space="preserve">). </w:t>
      </w:r>
      <w:r w:rsidR="00477663" w:rsidRPr="00FB0B1E">
        <w:rPr>
          <w:rFonts w:cs="Arial"/>
        </w:rPr>
        <w:t xml:space="preserve">However, </w:t>
      </w:r>
      <w:r w:rsidR="00567DD1" w:rsidRPr="00FB0B1E">
        <w:rPr>
          <w:rFonts w:cs="Arial"/>
        </w:rPr>
        <w:t xml:space="preserve">all the values that exceeded the 95% and 90% species protection DGVs were from one species, the abalone </w:t>
      </w:r>
      <w:r w:rsidR="00567DD1" w:rsidRPr="000A7BC5">
        <w:rPr>
          <w:rStyle w:val="Emphasis"/>
        </w:rPr>
        <w:t>H. diversicolor supertexta</w:t>
      </w:r>
      <w:r w:rsidR="00567DD1" w:rsidRPr="00FB0B1E">
        <w:rPr>
          <w:rFonts w:cs="Arial"/>
        </w:rPr>
        <w:t xml:space="preserve">, which was </w:t>
      </w:r>
      <w:r w:rsidR="003D1C0C" w:rsidRPr="00FB0B1E">
        <w:rPr>
          <w:rFonts w:cs="Arial"/>
        </w:rPr>
        <w:t xml:space="preserve">two </w:t>
      </w:r>
      <w:r w:rsidR="00567DD1" w:rsidRPr="00FB0B1E">
        <w:rPr>
          <w:rFonts w:cs="Arial"/>
        </w:rPr>
        <w:t>order</w:t>
      </w:r>
      <w:r w:rsidR="003D1C0C" w:rsidRPr="00FB0B1E">
        <w:rPr>
          <w:rFonts w:cs="Arial"/>
        </w:rPr>
        <w:t>s</w:t>
      </w:r>
      <w:r w:rsidR="00567DD1" w:rsidRPr="00FB0B1E">
        <w:rPr>
          <w:rFonts w:cs="Arial"/>
        </w:rPr>
        <w:t xml:space="preserve"> of magnitude more sensitive than the next most sensitive</w:t>
      </w:r>
      <w:r w:rsidR="003D1C0C" w:rsidRPr="00FB0B1E">
        <w:rPr>
          <w:rFonts w:cs="Arial"/>
        </w:rPr>
        <w:t xml:space="preserve"> </w:t>
      </w:r>
      <w:r w:rsidR="00567DD1" w:rsidRPr="00FB0B1E">
        <w:rPr>
          <w:rFonts w:cs="Arial"/>
        </w:rPr>
        <w:t>species</w:t>
      </w:r>
      <w:r w:rsidR="002F5FFC" w:rsidRPr="00FB0B1E">
        <w:rPr>
          <w:rFonts w:cs="Arial"/>
        </w:rPr>
        <w:t xml:space="preserve">, the </w:t>
      </w:r>
      <w:r w:rsidR="003D1C0C" w:rsidRPr="00FB0B1E">
        <w:rPr>
          <w:rFonts w:cs="Arial"/>
        </w:rPr>
        <w:t>copepod</w:t>
      </w:r>
      <w:r w:rsidR="002F5FFC" w:rsidRPr="00FB0B1E">
        <w:rPr>
          <w:rFonts w:cs="Arial"/>
        </w:rPr>
        <w:t xml:space="preserve"> </w:t>
      </w:r>
      <w:r w:rsidR="003D1C0C" w:rsidRPr="000A7BC5">
        <w:rPr>
          <w:rStyle w:val="Emphasis"/>
        </w:rPr>
        <w:t>T</w:t>
      </w:r>
      <w:r w:rsidR="000A7BC5" w:rsidRPr="000A7BC5">
        <w:rPr>
          <w:rStyle w:val="Emphasis"/>
        </w:rPr>
        <w:t>.</w:t>
      </w:r>
      <w:r w:rsidR="00226F8B">
        <w:rPr>
          <w:rStyle w:val="Emphasis"/>
        </w:rPr>
        <w:t> </w:t>
      </w:r>
      <w:r w:rsidR="003D1C0C" w:rsidRPr="000A7BC5">
        <w:rPr>
          <w:rStyle w:val="Emphasis"/>
        </w:rPr>
        <w:t>japonicus</w:t>
      </w:r>
      <w:r w:rsidR="003D1C0C" w:rsidRPr="00FB0B1E">
        <w:rPr>
          <w:rFonts w:cs="Arial"/>
          <w:iCs/>
        </w:rPr>
        <w:t xml:space="preserve"> and the three echinoderm</w:t>
      </w:r>
      <w:r w:rsidR="000A7BC5">
        <w:rPr>
          <w:rFonts w:cs="Arial"/>
          <w:iCs/>
        </w:rPr>
        <w:t>s</w:t>
      </w:r>
      <w:r w:rsidR="003D1C0C" w:rsidRPr="00FB0B1E">
        <w:rPr>
          <w:rFonts w:cs="Arial"/>
          <w:i/>
        </w:rPr>
        <w:t xml:space="preserve"> </w:t>
      </w:r>
      <w:r w:rsidR="00567DD1" w:rsidRPr="00FB0B1E">
        <w:rPr>
          <w:rFonts w:cs="Arial"/>
        </w:rPr>
        <w:t>(</w:t>
      </w:r>
      <w:r w:rsidR="00226F8B">
        <w:rPr>
          <w:rFonts w:cs="Arial"/>
        </w:rPr>
        <w:fldChar w:fldCharType="begin"/>
      </w:r>
      <w:r w:rsidR="00226F8B">
        <w:rPr>
          <w:rFonts w:cs="Arial"/>
        </w:rPr>
        <w:instrText xml:space="preserve"> REF _Ref6321734 \h </w:instrText>
      </w:r>
      <w:r w:rsidR="00226F8B">
        <w:rPr>
          <w:rFonts w:cs="Arial"/>
        </w:rPr>
      </w:r>
      <w:r w:rsidR="00226F8B">
        <w:rPr>
          <w:rFonts w:cs="Arial"/>
        </w:rPr>
        <w:fldChar w:fldCharType="separate"/>
      </w:r>
      <w:r w:rsidR="00FE279A">
        <w:rPr>
          <w:rFonts w:cs="Arial"/>
          <w:b/>
          <w:bCs/>
          <w:lang w:val="en-US"/>
        </w:rPr>
        <w:t>Error! Reference source not found.</w:t>
      </w:r>
      <w:r w:rsidR="00226F8B">
        <w:rPr>
          <w:rFonts w:cs="Arial"/>
        </w:rPr>
        <w:fldChar w:fldCharType="end"/>
      </w:r>
      <w:r w:rsidR="000A7BC5">
        <w:rPr>
          <w:rFonts w:cs="Arial"/>
        </w:rPr>
        <w:t>,</w:t>
      </w:r>
      <w:r w:rsidR="00567DD1" w:rsidRPr="00FB0B1E">
        <w:rPr>
          <w:rFonts w:cs="Arial"/>
        </w:rPr>
        <w:t xml:space="preserve"> </w:t>
      </w:r>
      <w:r w:rsidR="00E0429F">
        <w:rPr>
          <w:rFonts w:cs="Arial"/>
        </w:rPr>
        <w:fldChar w:fldCharType="begin"/>
      </w:r>
      <w:r w:rsidR="00E0429F">
        <w:rPr>
          <w:rFonts w:cs="Arial"/>
        </w:rPr>
        <w:instrText xml:space="preserve"> REF _Ref63753898 \h </w:instrText>
      </w:r>
      <w:r w:rsidR="00E0429F">
        <w:rPr>
          <w:rFonts w:cs="Arial"/>
        </w:rPr>
      </w:r>
      <w:r w:rsidR="00E0429F">
        <w:rPr>
          <w:rFonts w:cs="Arial"/>
        </w:rPr>
        <w:fldChar w:fldCharType="separate"/>
      </w:r>
      <w:r w:rsidR="00FE279A">
        <w:t>Figure </w:t>
      </w:r>
      <w:r w:rsidR="00FE279A">
        <w:rPr>
          <w:noProof/>
        </w:rPr>
        <w:t>1</w:t>
      </w:r>
      <w:r w:rsidR="00E0429F">
        <w:rPr>
          <w:rFonts w:cs="Arial"/>
        </w:rPr>
        <w:fldChar w:fldCharType="end"/>
      </w:r>
      <w:r w:rsidR="00567DD1" w:rsidRPr="00FB0B1E">
        <w:rPr>
          <w:rFonts w:cs="Arial"/>
        </w:rPr>
        <w:t xml:space="preserve">). </w:t>
      </w:r>
      <w:r w:rsidR="00567DD1" w:rsidRPr="00FB0B1E">
        <w:rPr>
          <w:bCs/>
        </w:rPr>
        <w:t>If there are concerns that the DGV for a specific ecosystem condition and associated level of protection</w:t>
      </w:r>
      <w:r w:rsidR="002F5FFC" w:rsidRPr="00FB0B1E">
        <w:rPr>
          <w:bCs/>
        </w:rPr>
        <w:t xml:space="preserve"> </w:t>
      </w:r>
      <w:r w:rsidR="00567DD1" w:rsidRPr="00FB0B1E">
        <w:rPr>
          <w:bCs/>
        </w:rPr>
        <w:t>may not offer sufficient protection for key species</w:t>
      </w:r>
      <w:r w:rsidR="002F5FFC" w:rsidRPr="00FB0B1E">
        <w:rPr>
          <w:bCs/>
        </w:rPr>
        <w:t xml:space="preserve"> (</w:t>
      </w:r>
      <w:r w:rsidR="003D1C0C" w:rsidRPr="00FB0B1E">
        <w:rPr>
          <w:bCs/>
        </w:rPr>
        <w:t>e.g.</w:t>
      </w:r>
      <w:r w:rsidR="002F5FFC" w:rsidRPr="00FB0B1E">
        <w:rPr>
          <w:bCs/>
        </w:rPr>
        <w:t xml:space="preserve"> abalone)</w:t>
      </w:r>
      <w:r w:rsidR="00567DD1" w:rsidRPr="00FB0B1E">
        <w:rPr>
          <w:bCs/>
        </w:rPr>
        <w:t xml:space="preserve"> in the water body of interest</w:t>
      </w:r>
      <w:r w:rsidR="00322500" w:rsidRPr="00FB0B1E">
        <w:rPr>
          <w:bCs/>
        </w:rPr>
        <w:t>,</w:t>
      </w:r>
      <w:r w:rsidR="002F091E" w:rsidRPr="00FB0B1E">
        <w:rPr>
          <w:bCs/>
        </w:rPr>
        <w:t xml:space="preserve"> </w:t>
      </w:r>
      <w:r w:rsidR="002F091E" w:rsidRPr="00FB0B1E">
        <w:t>a</w:t>
      </w:r>
      <w:r w:rsidR="000A7BC5">
        <w:t xml:space="preserve"> conservative</w:t>
      </w:r>
      <w:r w:rsidR="002F091E" w:rsidRPr="00FB0B1E">
        <w:t xml:space="preserve"> application of the DGVs </w:t>
      </w:r>
      <w:r w:rsidR="00477663" w:rsidRPr="00FB0B1E">
        <w:t>may be warranted</w:t>
      </w:r>
      <w:r w:rsidR="000A7BC5">
        <w:t>.</w:t>
      </w:r>
      <w:r w:rsidR="002F091E" w:rsidRPr="00FB0B1E">
        <w:t xml:space="preserve"> </w:t>
      </w:r>
      <w:r w:rsidR="000A7BC5">
        <w:t>F</w:t>
      </w:r>
      <w:r w:rsidR="002F091E" w:rsidRPr="00FB0B1E">
        <w:t>or example, the</w:t>
      </w:r>
      <w:r w:rsidR="00E424C1" w:rsidRPr="00FB0B1E">
        <w:rPr>
          <w:bCs/>
        </w:rPr>
        <w:t xml:space="preserve"> 99% species protection DGV of 0.</w:t>
      </w:r>
      <w:r w:rsidR="003D1C0C" w:rsidRPr="00FB0B1E">
        <w:rPr>
          <w:bCs/>
        </w:rPr>
        <w:t>04</w:t>
      </w:r>
      <w:r w:rsidR="00850540">
        <w:rPr>
          <w:bCs/>
        </w:rPr>
        <w:t> </w:t>
      </w:r>
      <w:r w:rsidR="00E424C1" w:rsidRPr="00FB0B1E">
        <w:rPr>
          <w:rFonts w:cstheme="minorHAnsi"/>
          <w:bCs/>
        </w:rPr>
        <w:t>µ</w:t>
      </w:r>
      <w:r w:rsidR="00E424C1" w:rsidRPr="00FB0B1E">
        <w:rPr>
          <w:bCs/>
        </w:rPr>
        <w:t xml:space="preserve">g/L </w:t>
      </w:r>
      <w:r w:rsidR="00477663" w:rsidRPr="00FB0B1E">
        <w:rPr>
          <w:bCs/>
        </w:rPr>
        <w:t>could be applied to</w:t>
      </w:r>
      <w:r w:rsidR="00E424C1" w:rsidRPr="00FB0B1E">
        <w:rPr>
          <w:bCs/>
        </w:rPr>
        <w:t xml:space="preserve"> </w:t>
      </w:r>
      <w:r w:rsidR="0095286E" w:rsidRPr="00FB0B1E">
        <w:rPr>
          <w:bCs/>
        </w:rPr>
        <w:t xml:space="preserve">a </w:t>
      </w:r>
      <w:r w:rsidR="00E424C1" w:rsidRPr="00FB0B1E">
        <w:rPr>
          <w:bCs/>
        </w:rPr>
        <w:t>slightly</w:t>
      </w:r>
      <w:r w:rsidR="000A7BC5">
        <w:rPr>
          <w:bCs/>
        </w:rPr>
        <w:t>-</w:t>
      </w:r>
      <w:r w:rsidR="00E424C1" w:rsidRPr="00FB0B1E">
        <w:rPr>
          <w:bCs/>
        </w:rPr>
        <w:t>to</w:t>
      </w:r>
      <w:r w:rsidR="000A7BC5">
        <w:rPr>
          <w:bCs/>
        </w:rPr>
        <w:t>-</w:t>
      </w:r>
      <w:r w:rsidR="00E424C1" w:rsidRPr="00FB0B1E">
        <w:rPr>
          <w:bCs/>
        </w:rPr>
        <w:t>moderate</w:t>
      </w:r>
      <w:r w:rsidR="002D2826" w:rsidRPr="00FB0B1E">
        <w:rPr>
          <w:bCs/>
        </w:rPr>
        <w:t>ly</w:t>
      </w:r>
      <w:r w:rsidR="00E424C1" w:rsidRPr="00FB0B1E">
        <w:rPr>
          <w:bCs/>
        </w:rPr>
        <w:t xml:space="preserve"> disturbed ecosystem</w:t>
      </w:r>
      <w:r w:rsidR="00477663" w:rsidRPr="00FB0B1E">
        <w:rPr>
          <w:bCs/>
        </w:rPr>
        <w:t xml:space="preserve"> </w:t>
      </w:r>
      <w:r w:rsidR="00A916E1" w:rsidRPr="00FB0B1E">
        <w:rPr>
          <w:bCs/>
        </w:rPr>
        <w:t xml:space="preserve">(also see additional guidance on </w:t>
      </w:r>
      <w:r w:rsidR="00D57DFD">
        <w:rPr>
          <w:bCs/>
        </w:rPr>
        <w:t xml:space="preserve">DGV </w:t>
      </w:r>
      <w:r w:rsidR="00A916E1" w:rsidRPr="00FB0B1E">
        <w:rPr>
          <w:bCs/>
        </w:rPr>
        <w:t xml:space="preserve">application in </w:t>
      </w:r>
      <w:r w:rsidR="00E0429F">
        <w:rPr>
          <w:bCs/>
        </w:rPr>
        <w:t>Section </w:t>
      </w:r>
      <w:r w:rsidR="00E0429F">
        <w:rPr>
          <w:bCs/>
        </w:rPr>
        <w:fldChar w:fldCharType="begin"/>
      </w:r>
      <w:r w:rsidR="00E0429F">
        <w:rPr>
          <w:bCs/>
        </w:rPr>
        <w:instrText xml:space="preserve"> REF _Ref63753823 \r \h </w:instrText>
      </w:r>
      <w:r w:rsidR="00E0429F">
        <w:rPr>
          <w:bCs/>
        </w:rPr>
      </w:r>
      <w:r w:rsidR="00E0429F">
        <w:rPr>
          <w:bCs/>
        </w:rPr>
        <w:fldChar w:fldCharType="separate"/>
      </w:r>
      <w:r w:rsidR="00FE279A">
        <w:rPr>
          <w:bCs/>
        </w:rPr>
        <w:t>4.4</w:t>
      </w:r>
      <w:r w:rsidR="00E0429F">
        <w:rPr>
          <w:bCs/>
        </w:rPr>
        <w:fldChar w:fldCharType="end"/>
      </w:r>
      <w:r w:rsidR="00A916E1" w:rsidRPr="00FB0B1E">
        <w:rPr>
          <w:bCs/>
        </w:rPr>
        <w:t>)</w:t>
      </w:r>
      <w:r w:rsidR="00E424C1" w:rsidRPr="00FB0B1E">
        <w:rPr>
          <w:bCs/>
        </w:rPr>
        <w:t>.</w:t>
      </w:r>
    </w:p>
    <w:p w14:paraId="66175B7A" w14:textId="77777777" w:rsidR="001303C0" w:rsidRDefault="001272F6" w:rsidP="001303C0">
      <w:pPr>
        <w:pStyle w:val="Heading3"/>
      </w:pPr>
      <w:bookmarkStart w:id="22" w:name="_Ref63753823"/>
      <w:bookmarkStart w:id="23" w:name="_Toc68691041"/>
      <w:r>
        <w:t>Reliability classification</w:t>
      </w:r>
      <w:bookmarkEnd w:id="22"/>
      <w:bookmarkEnd w:id="23"/>
      <w:r>
        <w:t xml:space="preserve"> </w:t>
      </w:r>
    </w:p>
    <w:p w14:paraId="66175B7B" w14:textId="77777777" w:rsidR="001303C0" w:rsidRPr="00AD5092" w:rsidRDefault="001272F6" w:rsidP="001303C0">
      <w:pPr>
        <w:rPr>
          <w:lang w:eastAsia="ja-JP"/>
        </w:rPr>
      </w:pPr>
      <w:r>
        <w:rPr>
          <w:lang w:eastAsia="ja-JP"/>
        </w:rPr>
        <w:t>T</w:t>
      </w:r>
      <w:r w:rsidRPr="0070728E">
        <w:rPr>
          <w:lang w:eastAsia="ja-JP"/>
        </w:rPr>
        <w:t xml:space="preserve">he </w:t>
      </w:r>
      <w:r w:rsidR="00D57DFD">
        <w:rPr>
          <w:lang w:eastAsia="ja-JP"/>
        </w:rPr>
        <w:t>BPA</w:t>
      </w:r>
      <w:r w:rsidR="0098562C" w:rsidRPr="0070728E">
        <w:rPr>
          <w:lang w:eastAsia="ja-JP"/>
        </w:rPr>
        <w:t xml:space="preserve"> marine </w:t>
      </w:r>
      <w:r w:rsidR="00D57DFD">
        <w:rPr>
          <w:lang w:eastAsia="ja-JP"/>
        </w:rPr>
        <w:t xml:space="preserve">water </w:t>
      </w:r>
      <w:r w:rsidRPr="0070728E">
        <w:rPr>
          <w:lang w:eastAsia="ja-JP"/>
        </w:rPr>
        <w:t xml:space="preserve">DGVs </w:t>
      </w:r>
      <w:r w:rsidR="00D57DFD">
        <w:rPr>
          <w:lang w:eastAsia="ja-JP"/>
        </w:rPr>
        <w:t xml:space="preserve">have </w:t>
      </w:r>
      <w:r w:rsidRPr="00AD5092">
        <w:rPr>
          <w:lang w:eastAsia="ja-JP"/>
        </w:rPr>
        <w:t xml:space="preserve">a </w:t>
      </w:r>
      <w:r w:rsidR="00397BC4" w:rsidRPr="00C34CD6">
        <w:rPr>
          <w:lang w:eastAsia="ja-JP"/>
        </w:rPr>
        <w:t>low</w:t>
      </w:r>
      <w:r w:rsidR="00397BC4" w:rsidRPr="00AD5092">
        <w:rPr>
          <w:lang w:eastAsia="ja-JP"/>
        </w:rPr>
        <w:t xml:space="preserve"> </w:t>
      </w:r>
      <w:r w:rsidRPr="00AD5092">
        <w:rPr>
          <w:lang w:eastAsia="ja-JP"/>
        </w:rPr>
        <w:t>reliability classification (Warne et al. 2018) based on the outcomes for the following three criteria:</w:t>
      </w:r>
    </w:p>
    <w:p w14:paraId="66175B7C" w14:textId="77777777" w:rsidR="001303C0" w:rsidRPr="00E65281" w:rsidRDefault="001272F6" w:rsidP="00E65281">
      <w:pPr>
        <w:pStyle w:val="ListBullet"/>
      </w:pPr>
      <w:r w:rsidRPr="00E65281">
        <w:t>Sample size—</w:t>
      </w:r>
      <w:r w:rsidR="00004D35" w:rsidRPr="00E65281">
        <w:t>eight</w:t>
      </w:r>
      <w:r w:rsidR="00DB4BCF" w:rsidRPr="00E65281">
        <w:t xml:space="preserve"> </w:t>
      </w:r>
      <w:r w:rsidRPr="00E65281">
        <w:t>(</w:t>
      </w:r>
      <w:r w:rsidR="008B7155" w:rsidRPr="00E65281">
        <w:t>good</w:t>
      </w:r>
      <w:r w:rsidRPr="00E65281">
        <w:t>)</w:t>
      </w:r>
    </w:p>
    <w:p w14:paraId="66175B7D" w14:textId="77777777" w:rsidR="00E46244" w:rsidRPr="00E65281" w:rsidRDefault="001272F6" w:rsidP="00E65281">
      <w:pPr>
        <w:pStyle w:val="ListBullet"/>
      </w:pPr>
      <w:r w:rsidRPr="00E65281">
        <w:t xml:space="preserve">Type of toxicity data—chronic </w:t>
      </w:r>
      <w:r w:rsidR="00575C52" w:rsidRPr="00E65281">
        <w:t>and converted acute</w:t>
      </w:r>
    </w:p>
    <w:p w14:paraId="66175B7E" w14:textId="77777777" w:rsidR="00134419" w:rsidRPr="00E65281" w:rsidRDefault="001272F6" w:rsidP="00E65281">
      <w:pPr>
        <w:pStyle w:val="ListBullet"/>
      </w:pPr>
      <w:r w:rsidRPr="00E65281">
        <w:t>SSD model fit—</w:t>
      </w:r>
      <w:r w:rsidR="00DB4BCF" w:rsidRPr="00E65281">
        <w:t xml:space="preserve">poor </w:t>
      </w:r>
      <w:r w:rsidRPr="00E65281">
        <w:t>(</w:t>
      </w:r>
      <w:r w:rsidR="00DB4BCF" w:rsidRPr="00E65281">
        <w:t>Burr Type III</w:t>
      </w:r>
      <w:r w:rsidR="0070728E" w:rsidRPr="00E65281">
        <w:t xml:space="preserve"> model</w:t>
      </w:r>
      <w:r w:rsidRPr="00E65281">
        <w:t>).</w:t>
      </w:r>
    </w:p>
    <w:p w14:paraId="66175B7F" w14:textId="77777777" w:rsidR="001303C0" w:rsidRDefault="001272F6" w:rsidP="00850540">
      <w:pPr>
        <w:rPr>
          <w:lang w:eastAsia="ja-JP"/>
        </w:rPr>
      </w:pPr>
      <w:r>
        <w:t xml:space="preserve">As recommended in ANZG (2018), </w:t>
      </w:r>
      <w:r w:rsidRPr="00A03366">
        <w:t xml:space="preserve">low reliability </w:t>
      </w:r>
      <w:r>
        <w:t>guideline values</w:t>
      </w:r>
      <w:r w:rsidRPr="00A03366">
        <w:t xml:space="preserve"> </w:t>
      </w:r>
      <w:r>
        <w:t>are</w:t>
      </w:r>
      <w:r w:rsidR="008427BF">
        <w:t xml:space="preserve"> typically</w:t>
      </w:r>
      <w:r>
        <w:t xml:space="preserve"> not adequate to</w:t>
      </w:r>
      <w:r w:rsidRPr="00A03366">
        <w:t xml:space="preserve"> assess water quality, but can be used as interim values until </w:t>
      </w:r>
      <w:r>
        <w:t>more reliable values</w:t>
      </w:r>
      <w:r w:rsidRPr="00A03366">
        <w:t xml:space="preserve"> are derived</w:t>
      </w:r>
      <w:r>
        <w:t>. If used as interim values, they</w:t>
      </w:r>
      <w:r w:rsidRPr="00A03366">
        <w:t xml:space="preserve"> should</w:t>
      </w:r>
      <w:r w:rsidR="00D57DFD">
        <w:t xml:space="preserve"> always </w:t>
      </w:r>
      <w:r w:rsidRPr="00A03366">
        <w:t xml:space="preserve">be used in conjunction with other lines of evidence. </w:t>
      </w:r>
      <w:r w:rsidR="003C2730">
        <w:rPr>
          <w:lang w:eastAsia="ja-JP"/>
        </w:rPr>
        <w:t>Moreover</w:t>
      </w:r>
      <w:r w:rsidR="00E46244">
        <w:rPr>
          <w:lang w:eastAsia="ja-JP"/>
        </w:rPr>
        <w:t xml:space="preserve">, </w:t>
      </w:r>
      <w:r w:rsidR="00320D93">
        <w:rPr>
          <w:lang w:eastAsia="ja-JP"/>
        </w:rPr>
        <w:t xml:space="preserve">the </w:t>
      </w:r>
      <w:r>
        <w:rPr>
          <w:lang w:eastAsia="ja-JP"/>
        </w:rPr>
        <w:t xml:space="preserve">BPA toxicity </w:t>
      </w:r>
      <w:r w:rsidR="00320D93">
        <w:rPr>
          <w:lang w:eastAsia="ja-JP"/>
        </w:rPr>
        <w:t xml:space="preserve">data span over </w:t>
      </w:r>
      <w:r w:rsidR="00DB4BCF">
        <w:rPr>
          <w:lang w:eastAsia="ja-JP"/>
        </w:rPr>
        <w:t>four</w:t>
      </w:r>
      <w:r w:rsidR="00221F3D">
        <w:rPr>
          <w:lang w:eastAsia="ja-JP"/>
        </w:rPr>
        <w:t xml:space="preserve"> </w:t>
      </w:r>
      <w:r w:rsidR="00320D93">
        <w:rPr>
          <w:lang w:eastAsia="ja-JP"/>
        </w:rPr>
        <w:t xml:space="preserve">orders </w:t>
      </w:r>
      <w:r w:rsidR="00320D93" w:rsidRPr="00575C52">
        <w:rPr>
          <w:lang w:eastAsia="ja-JP"/>
        </w:rPr>
        <w:t>of magnitude</w:t>
      </w:r>
      <w:r w:rsidR="00221F3D" w:rsidRPr="00575C52">
        <w:rPr>
          <w:lang w:eastAsia="ja-JP"/>
        </w:rPr>
        <w:t xml:space="preserve">, </w:t>
      </w:r>
      <w:r w:rsidR="00134419" w:rsidRPr="00575C52">
        <w:rPr>
          <w:lang w:eastAsia="ja-JP"/>
        </w:rPr>
        <w:t xml:space="preserve">which </w:t>
      </w:r>
      <w:r w:rsidR="00221F3D" w:rsidRPr="00575C52">
        <w:rPr>
          <w:lang w:eastAsia="ja-JP"/>
        </w:rPr>
        <w:t>typically increases the</w:t>
      </w:r>
      <w:r w:rsidR="00134419" w:rsidRPr="00575C52">
        <w:rPr>
          <w:lang w:eastAsia="ja-JP"/>
        </w:rPr>
        <w:t xml:space="preserve"> uncertainty </w:t>
      </w:r>
      <w:r w:rsidR="00221F3D" w:rsidRPr="00575C52">
        <w:rPr>
          <w:lang w:eastAsia="ja-JP"/>
        </w:rPr>
        <w:t xml:space="preserve">in the DGVs, especially </w:t>
      </w:r>
      <w:r w:rsidR="00134419" w:rsidRPr="00575C52">
        <w:rPr>
          <w:lang w:eastAsia="ja-JP"/>
        </w:rPr>
        <w:t>at the 99% species protection level</w:t>
      </w:r>
      <w:r w:rsidR="00221F3D" w:rsidRPr="00575C52">
        <w:rPr>
          <w:lang w:eastAsia="ja-JP"/>
        </w:rPr>
        <w:t>. Consequently, the 99% species protection DG</w:t>
      </w:r>
      <w:r w:rsidR="00BA619C" w:rsidRPr="00575C52">
        <w:rPr>
          <w:lang w:eastAsia="ja-JP"/>
        </w:rPr>
        <w:t xml:space="preserve">V </w:t>
      </w:r>
      <w:r w:rsidR="00221F3D" w:rsidRPr="00575C52">
        <w:rPr>
          <w:lang w:eastAsia="ja-JP"/>
        </w:rPr>
        <w:t xml:space="preserve">should be treated with </w:t>
      </w:r>
      <w:r w:rsidR="00790684" w:rsidRPr="00575C52">
        <w:rPr>
          <w:lang w:eastAsia="ja-JP"/>
        </w:rPr>
        <w:t>additional</w:t>
      </w:r>
      <w:r w:rsidR="00221F3D" w:rsidRPr="00575C52">
        <w:rPr>
          <w:lang w:eastAsia="ja-JP"/>
        </w:rPr>
        <w:t xml:space="preserve"> caution.</w:t>
      </w:r>
    </w:p>
    <w:p w14:paraId="66175B80" w14:textId="77777777" w:rsidR="00E65281" w:rsidRDefault="001272F6">
      <w:pPr>
        <w:spacing w:after="0" w:line="240" w:lineRule="auto"/>
        <w:rPr>
          <w:lang w:eastAsia="ja-JP"/>
        </w:rPr>
      </w:pPr>
      <w:r>
        <w:rPr>
          <w:lang w:eastAsia="ja-JP"/>
        </w:rPr>
        <w:br w:type="page"/>
      </w:r>
    </w:p>
    <w:p w14:paraId="66175B81" w14:textId="77777777" w:rsidR="000756BD" w:rsidRDefault="001272F6" w:rsidP="001303C0">
      <w:pPr>
        <w:pStyle w:val="Heading2"/>
        <w:numPr>
          <w:ilvl w:val="0"/>
          <w:numId w:val="0"/>
        </w:numPr>
      </w:pPr>
      <w:bookmarkStart w:id="24" w:name="_Toc68691042"/>
      <w:r>
        <w:t>Glossary</w:t>
      </w:r>
      <w:bookmarkEnd w:id="24"/>
    </w:p>
    <w:tbl>
      <w:tblPr>
        <w:tblW w:w="5000" w:type="pct"/>
        <w:tblBorders>
          <w:top w:val="single" w:sz="4" w:space="0" w:color="auto"/>
          <w:bottom w:val="single" w:sz="4" w:space="0" w:color="auto"/>
        </w:tblBorders>
        <w:tblLook w:val="04A0" w:firstRow="1" w:lastRow="0" w:firstColumn="1" w:lastColumn="0" w:noHBand="0" w:noVBand="1"/>
      </w:tblPr>
      <w:tblGrid>
        <w:gridCol w:w="2737"/>
        <w:gridCol w:w="6333"/>
      </w:tblGrid>
      <w:tr w:rsidR="00B82CEC" w14:paraId="66175B84" w14:textId="77777777" w:rsidTr="00E65281">
        <w:trPr>
          <w:cantSplit/>
          <w:tblHeader/>
        </w:trPr>
        <w:tc>
          <w:tcPr>
            <w:tcW w:w="1509" w:type="pct"/>
            <w:tcBorders>
              <w:top w:val="single" w:sz="12" w:space="0" w:color="auto"/>
              <w:bottom w:val="single" w:sz="12" w:space="0" w:color="auto"/>
            </w:tcBorders>
          </w:tcPr>
          <w:p w14:paraId="66175B82" w14:textId="77777777" w:rsidR="001303C0" w:rsidRPr="00585FD8" w:rsidRDefault="001272F6" w:rsidP="007336AC">
            <w:pPr>
              <w:pStyle w:val="TableHeading"/>
              <w:rPr>
                <w:lang w:eastAsia="ja-JP"/>
              </w:rPr>
            </w:pPr>
            <w:r w:rsidRPr="00585FD8">
              <w:rPr>
                <w:lang w:eastAsia="ja-JP"/>
              </w:rPr>
              <w:t>Term</w:t>
            </w:r>
          </w:p>
        </w:tc>
        <w:tc>
          <w:tcPr>
            <w:tcW w:w="3491" w:type="pct"/>
            <w:tcBorders>
              <w:top w:val="single" w:sz="12" w:space="0" w:color="auto"/>
              <w:bottom w:val="single" w:sz="12" w:space="0" w:color="auto"/>
            </w:tcBorders>
          </w:tcPr>
          <w:p w14:paraId="66175B83" w14:textId="77777777" w:rsidR="001303C0" w:rsidRPr="00585FD8" w:rsidRDefault="001272F6" w:rsidP="007336AC">
            <w:pPr>
              <w:pStyle w:val="TableHeading"/>
              <w:rPr>
                <w:lang w:eastAsia="ja-JP"/>
              </w:rPr>
            </w:pPr>
            <w:r w:rsidRPr="00585FD8">
              <w:rPr>
                <w:lang w:eastAsia="ja-JP"/>
              </w:rPr>
              <w:t>Definition</w:t>
            </w:r>
          </w:p>
        </w:tc>
      </w:tr>
      <w:tr w:rsidR="00B82CEC" w14:paraId="66175B87" w14:textId="77777777" w:rsidTr="00E65281">
        <w:trPr>
          <w:cantSplit/>
        </w:trPr>
        <w:tc>
          <w:tcPr>
            <w:tcW w:w="1509" w:type="pct"/>
            <w:tcBorders>
              <w:top w:val="single" w:sz="12" w:space="0" w:color="auto"/>
              <w:bottom w:val="single" w:sz="4" w:space="0" w:color="auto"/>
            </w:tcBorders>
          </w:tcPr>
          <w:p w14:paraId="66175B85" w14:textId="77777777" w:rsidR="001303C0" w:rsidRPr="00E65281" w:rsidRDefault="001272F6" w:rsidP="00E65281">
            <w:pPr>
              <w:pStyle w:val="TableText"/>
            </w:pPr>
            <w:r w:rsidRPr="00E65281">
              <w:t>acute toxicity</w:t>
            </w:r>
          </w:p>
        </w:tc>
        <w:tc>
          <w:tcPr>
            <w:tcW w:w="3491" w:type="pct"/>
            <w:tcBorders>
              <w:top w:val="single" w:sz="12" w:space="0" w:color="auto"/>
              <w:bottom w:val="single" w:sz="4" w:space="0" w:color="auto"/>
            </w:tcBorders>
          </w:tcPr>
          <w:p w14:paraId="66175B86" w14:textId="77777777" w:rsidR="001303C0" w:rsidRPr="00E65281" w:rsidRDefault="001272F6" w:rsidP="00E65281">
            <w:pPr>
              <w:pStyle w:val="TableText"/>
            </w:pPr>
            <w:r w:rsidRPr="00E65281">
              <w:t>A lethal or adverse sub-lethal effect that occurs as the result of a short exposure period to a chemical relative to the organism’s life span.</w:t>
            </w:r>
          </w:p>
        </w:tc>
      </w:tr>
      <w:tr w:rsidR="00B82CEC" w14:paraId="66175B8A" w14:textId="77777777" w:rsidTr="00E65281">
        <w:trPr>
          <w:cantSplit/>
        </w:trPr>
        <w:tc>
          <w:tcPr>
            <w:tcW w:w="1509" w:type="pct"/>
            <w:tcBorders>
              <w:top w:val="single" w:sz="4" w:space="0" w:color="auto"/>
              <w:bottom w:val="single" w:sz="4" w:space="0" w:color="auto"/>
            </w:tcBorders>
          </w:tcPr>
          <w:p w14:paraId="66175B88" w14:textId="77777777" w:rsidR="001303C0" w:rsidRPr="00585FD8" w:rsidRDefault="001272F6" w:rsidP="00ED07D1">
            <w:pPr>
              <w:pStyle w:val="TableText"/>
              <w:rPr>
                <w:lang w:eastAsia="ja-JP"/>
              </w:rPr>
            </w:pPr>
            <w:r w:rsidRPr="00585FD8">
              <w:rPr>
                <w:lang w:eastAsia="ja-JP"/>
              </w:rPr>
              <w:t>acute</w:t>
            </w:r>
            <w:r>
              <w:rPr>
                <w:lang w:eastAsia="ja-JP"/>
              </w:rPr>
              <w:t>-</w:t>
            </w:r>
            <w:r w:rsidR="005A3D73" w:rsidRPr="00585FD8">
              <w:rPr>
                <w:lang w:eastAsia="ja-JP"/>
              </w:rPr>
              <w:t>to</w:t>
            </w:r>
            <w:r>
              <w:rPr>
                <w:lang w:eastAsia="ja-JP"/>
              </w:rPr>
              <w:t>-</w:t>
            </w:r>
            <w:r w:rsidR="005A3D73" w:rsidRPr="00585FD8">
              <w:rPr>
                <w:lang w:eastAsia="ja-JP"/>
              </w:rPr>
              <w:t>chronic ratio</w:t>
            </w:r>
            <w:r w:rsidR="005A3D73">
              <w:rPr>
                <w:lang w:eastAsia="ja-JP"/>
              </w:rPr>
              <w:t xml:space="preserve"> </w:t>
            </w:r>
          </w:p>
        </w:tc>
        <w:tc>
          <w:tcPr>
            <w:tcW w:w="3491" w:type="pct"/>
            <w:tcBorders>
              <w:top w:val="single" w:sz="4" w:space="0" w:color="auto"/>
              <w:bottom w:val="single" w:sz="4" w:space="0" w:color="auto"/>
            </w:tcBorders>
          </w:tcPr>
          <w:p w14:paraId="66175B89" w14:textId="77777777" w:rsidR="001303C0" w:rsidRPr="00585FD8" w:rsidRDefault="001272F6" w:rsidP="007336AC">
            <w:pPr>
              <w:pStyle w:val="TableText"/>
              <w:rPr>
                <w:lang w:eastAsia="ja-JP"/>
              </w:rPr>
            </w:pPr>
            <w:r>
              <w:rPr>
                <w:lang w:eastAsia="ja-JP"/>
              </w:rPr>
              <w:t>T</w:t>
            </w:r>
            <w:r w:rsidRPr="008A7ACC">
              <w:rPr>
                <w:lang w:eastAsia="ja-JP"/>
              </w:rPr>
              <w:t>he species mean acute value (LC/EC50) divided by the chronic value (e.g. NOEC or EC10) for the same species</w:t>
            </w:r>
            <w:r w:rsidRPr="005B156B">
              <w:rPr>
                <w:lang w:eastAsia="ja-JP"/>
              </w:rPr>
              <w:t>.</w:t>
            </w:r>
          </w:p>
        </w:tc>
      </w:tr>
      <w:tr w:rsidR="00B82CEC" w14:paraId="66175B8D" w14:textId="77777777" w:rsidTr="00E65281">
        <w:trPr>
          <w:cantSplit/>
        </w:trPr>
        <w:tc>
          <w:tcPr>
            <w:tcW w:w="1509" w:type="pct"/>
            <w:tcBorders>
              <w:top w:val="single" w:sz="4" w:space="0" w:color="auto"/>
              <w:bottom w:val="single" w:sz="4" w:space="0" w:color="auto"/>
            </w:tcBorders>
          </w:tcPr>
          <w:p w14:paraId="66175B8B" w14:textId="77777777" w:rsidR="00620280" w:rsidRDefault="001272F6" w:rsidP="007336AC">
            <w:pPr>
              <w:pStyle w:val="TableText"/>
              <w:rPr>
                <w:lang w:eastAsia="ja-JP"/>
              </w:rPr>
            </w:pPr>
            <w:r>
              <w:rPr>
                <w:lang w:eastAsia="ja-JP"/>
              </w:rPr>
              <w:t>bioaccumulation</w:t>
            </w:r>
          </w:p>
        </w:tc>
        <w:tc>
          <w:tcPr>
            <w:tcW w:w="3491" w:type="pct"/>
            <w:tcBorders>
              <w:top w:val="single" w:sz="4" w:space="0" w:color="auto"/>
              <w:bottom w:val="single" w:sz="4" w:space="0" w:color="auto"/>
            </w:tcBorders>
          </w:tcPr>
          <w:p w14:paraId="66175B8C" w14:textId="77777777" w:rsidR="00620280" w:rsidRPr="00620280" w:rsidRDefault="001272F6" w:rsidP="00620280">
            <w:pPr>
              <w:pStyle w:val="TableText"/>
            </w:pPr>
            <w:r w:rsidRPr="00620280">
              <w:t>The process by which chemical substances are accumulated by aquatic organisms by all routes of exposures (dietary and the ambient environment).</w:t>
            </w:r>
          </w:p>
        </w:tc>
      </w:tr>
      <w:tr w:rsidR="00B82CEC" w14:paraId="66175B90" w14:textId="77777777" w:rsidTr="00E65281">
        <w:trPr>
          <w:cantSplit/>
        </w:trPr>
        <w:tc>
          <w:tcPr>
            <w:tcW w:w="1509" w:type="pct"/>
            <w:tcBorders>
              <w:top w:val="single" w:sz="4" w:space="0" w:color="auto"/>
              <w:bottom w:val="single" w:sz="4" w:space="0" w:color="auto"/>
            </w:tcBorders>
          </w:tcPr>
          <w:p w14:paraId="66175B8E" w14:textId="77777777" w:rsidR="00757DB6" w:rsidRDefault="001272F6" w:rsidP="007336AC">
            <w:pPr>
              <w:pStyle w:val="TableText"/>
              <w:rPr>
                <w:lang w:eastAsia="ja-JP"/>
              </w:rPr>
            </w:pPr>
            <w:r>
              <w:t>bioconcentration factor (BCF)</w:t>
            </w:r>
          </w:p>
        </w:tc>
        <w:tc>
          <w:tcPr>
            <w:tcW w:w="3491" w:type="pct"/>
            <w:tcBorders>
              <w:top w:val="single" w:sz="4" w:space="0" w:color="auto"/>
              <w:bottom w:val="single" w:sz="4" w:space="0" w:color="auto"/>
            </w:tcBorders>
          </w:tcPr>
          <w:p w14:paraId="66175B8F" w14:textId="77777777" w:rsidR="00757DB6" w:rsidRPr="00620280" w:rsidRDefault="001272F6" w:rsidP="00620280">
            <w:pPr>
              <w:pStyle w:val="TableText"/>
            </w:pPr>
            <w:r>
              <w:t>T</w:t>
            </w:r>
            <w:r w:rsidRPr="00757DB6">
              <w:t>he ratio of the concentration of a contaminant in an organism to its concentration in the ambient water (or sediment) at a steady state. It can be expressed on a wet weight, dry weight or lipid weight basis.</w:t>
            </w:r>
          </w:p>
        </w:tc>
      </w:tr>
      <w:tr w:rsidR="00B82CEC" w14:paraId="66175B93" w14:textId="77777777" w:rsidTr="00E65281">
        <w:trPr>
          <w:cantSplit/>
        </w:trPr>
        <w:tc>
          <w:tcPr>
            <w:tcW w:w="1509" w:type="pct"/>
            <w:tcBorders>
              <w:top w:val="single" w:sz="4" w:space="0" w:color="auto"/>
              <w:bottom w:val="single" w:sz="4" w:space="0" w:color="auto"/>
            </w:tcBorders>
          </w:tcPr>
          <w:p w14:paraId="66175B91" w14:textId="77777777" w:rsidR="001303C0" w:rsidRPr="00585FD8" w:rsidRDefault="001272F6" w:rsidP="007336AC">
            <w:pPr>
              <w:pStyle w:val="TableText"/>
              <w:rPr>
                <w:lang w:eastAsia="ja-JP"/>
              </w:rPr>
            </w:pPr>
            <w:r w:rsidRPr="00585FD8">
              <w:rPr>
                <w:lang w:eastAsia="ja-JP"/>
              </w:rPr>
              <w:t>chronic toxicity</w:t>
            </w:r>
          </w:p>
        </w:tc>
        <w:tc>
          <w:tcPr>
            <w:tcW w:w="3491" w:type="pct"/>
            <w:tcBorders>
              <w:top w:val="single" w:sz="4" w:space="0" w:color="auto"/>
              <w:bottom w:val="single" w:sz="4" w:space="0" w:color="auto"/>
            </w:tcBorders>
          </w:tcPr>
          <w:p w14:paraId="66175B92" w14:textId="77777777" w:rsidR="001303C0" w:rsidRPr="00585FD8" w:rsidRDefault="001272F6" w:rsidP="007336AC">
            <w:pPr>
              <w:pStyle w:val="TableText"/>
            </w:pPr>
            <w:r w:rsidRPr="00C34CD6">
              <w:t>A lethal or sub</w:t>
            </w:r>
            <w:r w:rsidR="00C6462F">
              <w:t>-</w:t>
            </w:r>
            <w:r w:rsidRPr="00C34CD6">
              <w:t>lethal adverse effect that occurs after exposure to a chemical for a period of time that is a substantial portion of the organism’s life span or an adverse effect on a sensitive early life stage.</w:t>
            </w:r>
          </w:p>
        </w:tc>
      </w:tr>
      <w:tr w:rsidR="00B82CEC" w14:paraId="66175B96" w14:textId="77777777" w:rsidTr="00E65281">
        <w:trPr>
          <w:cantSplit/>
        </w:trPr>
        <w:tc>
          <w:tcPr>
            <w:tcW w:w="1509" w:type="pct"/>
            <w:tcBorders>
              <w:top w:val="single" w:sz="4" w:space="0" w:color="auto"/>
              <w:bottom w:val="single" w:sz="4" w:space="0" w:color="auto"/>
            </w:tcBorders>
          </w:tcPr>
          <w:p w14:paraId="66175B94" w14:textId="77777777" w:rsidR="001303C0" w:rsidRPr="00585FD8" w:rsidRDefault="001272F6" w:rsidP="007336AC">
            <w:pPr>
              <w:pStyle w:val="TableText"/>
              <w:rPr>
                <w:lang w:eastAsia="ja-JP"/>
              </w:rPr>
            </w:pPr>
            <w:r w:rsidRPr="00585FD8">
              <w:rPr>
                <w:lang w:eastAsia="ja-JP"/>
              </w:rPr>
              <w:t>default guideline value (DGV)</w:t>
            </w:r>
          </w:p>
        </w:tc>
        <w:tc>
          <w:tcPr>
            <w:tcW w:w="3491" w:type="pct"/>
            <w:tcBorders>
              <w:top w:val="single" w:sz="4" w:space="0" w:color="auto"/>
              <w:bottom w:val="single" w:sz="4" w:space="0" w:color="auto"/>
            </w:tcBorders>
          </w:tcPr>
          <w:p w14:paraId="66175B95" w14:textId="77777777" w:rsidR="001303C0" w:rsidRPr="00585FD8" w:rsidRDefault="001272F6" w:rsidP="0086040D">
            <w:pPr>
              <w:pStyle w:val="TableText"/>
            </w:pPr>
            <w:r w:rsidRPr="00C34CD6">
              <w:t xml:space="preserve">A guideline value recommended for generic application in the absence of a more specific guideline value (e.g. a site-specific guideline value) in the Australian and New Zealand Guidelines for Fresh and Marine Water Quality. Formerly known as </w:t>
            </w:r>
            <w:r w:rsidR="0086040D">
              <w:t>‘t</w:t>
            </w:r>
            <w:r w:rsidRPr="00C34CD6">
              <w:t>rigger values</w:t>
            </w:r>
            <w:r w:rsidR="0086040D">
              <w:t>’</w:t>
            </w:r>
            <w:r w:rsidRPr="00C34CD6">
              <w:t>.</w:t>
            </w:r>
          </w:p>
        </w:tc>
      </w:tr>
      <w:tr w:rsidR="00B82CEC" w14:paraId="66175B99" w14:textId="77777777" w:rsidTr="00E65281">
        <w:trPr>
          <w:cantSplit/>
        </w:trPr>
        <w:tc>
          <w:tcPr>
            <w:tcW w:w="1509" w:type="pct"/>
            <w:tcBorders>
              <w:top w:val="single" w:sz="4" w:space="0" w:color="auto"/>
              <w:bottom w:val="single" w:sz="4" w:space="0" w:color="auto"/>
            </w:tcBorders>
          </w:tcPr>
          <w:p w14:paraId="66175B97" w14:textId="77777777" w:rsidR="001303C0" w:rsidRPr="00585FD8" w:rsidRDefault="001272F6" w:rsidP="007336AC">
            <w:pPr>
              <w:pStyle w:val="TableText"/>
              <w:rPr>
                <w:lang w:eastAsia="ja-JP"/>
              </w:rPr>
            </w:pPr>
            <w:r w:rsidRPr="00585FD8">
              <w:rPr>
                <w:lang w:eastAsia="ja-JP"/>
              </w:rPr>
              <w:t>EC50 (median effective concentration)</w:t>
            </w:r>
          </w:p>
        </w:tc>
        <w:tc>
          <w:tcPr>
            <w:tcW w:w="3491" w:type="pct"/>
            <w:tcBorders>
              <w:top w:val="single" w:sz="4" w:space="0" w:color="auto"/>
              <w:bottom w:val="single" w:sz="4" w:space="0" w:color="auto"/>
            </w:tcBorders>
          </w:tcPr>
          <w:p w14:paraId="66175B98" w14:textId="77777777" w:rsidR="001303C0" w:rsidRPr="00585FD8" w:rsidRDefault="001272F6" w:rsidP="007336AC">
            <w:pPr>
              <w:pStyle w:val="TableText"/>
            </w:pPr>
            <w:r w:rsidRPr="00C34CD6">
              <w:t>The concentration of a substance in water or sediment that is estimated to produce a 50% change in the response being measured or a certain effect in 50% of the test organisms relative to the control response, under specified conditions.</w:t>
            </w:r>
          </w:p>
        </w:tc>
      </w:tr>
      <w:tr w:rsidR="00B82CEC" w14:paraId="66175B9C" w14:textId="77777777" w:rsidTr="00E65281">
        <w:trPr>
          <w:cantSplit/>
        </w:trPr>
        <w:tc>
          <w:tcPr>
            <w:tcW w:w="1509" w:type="pct"/>
            <w:tcBorders>
              <w:top w:val="single" w:sz="4" w:space="0" w:color="auto"/>
              <w:bottom w:val="single" w:sz="4" w:space="0" w:color="auto"/>
            </w:tcBorders>
          </w:tcPr>
          <w:p w14:paraId="66175B9A" w14:textId="77777777" w:rsidR="00C85B18" w:rsidRPr="00585FD8" w:rsidRDefault="001272F6" w:rsidP="007336AC">
            <w:pPr>
              <w:pStyle w:val="TableText"/>
              <w:rPr>
                <w:lang w:eastAsia="ja-JP"/>
              </w:rPr>
            </w:pPr>
            <w:r>
              <w:t>ECx</w:t>
            </w:r>
          </w:p>
        </w:tc>
        <w:tc>
          <w:tcPr>
            <w:tcW w:w="3491" w:type="pct"/>
            <w:tcBorders>
              <w:top w:val="single" w:sz="4" w:space="0" w:color="auto"/>
              <w:bottom w:val="single" w:sz="4" w:space="0" w:color="auto"/>
            </w:tcBorders>
          </w:tcPr>
          <w:p w14:paraId="66175B9B" w14:textId="77777777" w:rsidR="00C85B18" w:rsidRPr="00C34CD6" w:rsidRDefault="001272F6" w:rsidP="007336AC">
            <w:pPr>
              <w:pStyle w:val="TableText"/>
            </w:pPr>
            <w:r>
              <w:t>T</w:t>
            </w:r>
            <w:r w:rsidRPr="00C85B18">
              <w:t>he concentration of a substance in water or sediment that is estimated to produce an x% change in the response being measured or a certain effect in x% of the test organisms, under specified conditions.</w:t>
            </w:r>
          </w:p>
        </w:tc>
      </w:tr>
      <w:tr w:rsidR="00B82CEC" w14:paraId="66175B9F" w14:textId="77777777" w:rsidTr="00E65281">
        <w:trPr>
          <w:cantSplit/>
        </w:trPr>
        <w:tc>
          <w:tcPr>
            <w:tcW w:w="1509" w:type="pct"/>
            <w:tcBorders>
              <w:top w:val="single" w:sz="4" w:space="0" w:color="auto"/>
              <w:bottom w:val="single" w:sz="4" w:space="0" w:color="auto"/>
            </w:tcBorders>
          </w:tcPr>
          <w:p w14:paraId="66175B9D" w14:textId="77777777" w:rsidR="001303C0" w:rsidRPr="00585FD8" w:rsidRDefault="001272F6" w:rsidP="007336AC">
            <w:pPr>
              <w:pStyle w:val="TableText"/>
              <w:rPr>
                <w:lang w:eastAsia="ja-JP"/>
              </w:rPr>
            </w:pPr>
            <w:r w:rsidRPr="00585FD8">
              <w:rPr>
                <w:lang w:eastAsia="ja-JP"/>
              </w:rPr>
              <w:t>endpoint</w:t>
            </w:r>
          </w:p>
        </w:tc>
        <w:tc>
          <w:tcPr>
            <w:tcW w:w="3491" w:type="pct"/>
            <w:tcBorders>
              <w:top w:val="single" w:sz="4" w:space="0" w:color="auto"/>
              <w:bottom w:val="single" w:sz="4" w:space="0" w:color="auto"/>
            </w:tcBorders>
          </w:tcPr>
          <w:p w14:paraId="66175B9E" w14:textId="77777777" w:rsidR="001303C0" w:rsidRPr="00585FD8" w:rsidRDefault="001272F6" w:rsidP="007336AC">
            <w:pPr>
              <w:pStyle w:val="TableText"/>
            </w:pPr>
            <w:r w:rsidRPr="00C34CD6">
              <w:t>The specific response of an organism that is measured in a toxicity test (e.g. mortality, growth, a particular biomarker).</w:t>
            </w:r>
          </w:p>
        </w:tc>
      </w:tr>
      <w:tr w:rsidR="00B82CEC" w14:paraId="66175BA2" w14:textId="77777777" w:rsidTr="00E65281">
        <w:trPr>
          <w:cantSplit/>
        </w:trPr>
        <w:tc>
          <w:tcPr>
            <w:tcW w:w="1509" w:type="pct"/>
            <w:tcBorders>
              <w:top w:val="single" w:sz="4" w:space="0" w:color="auto"/>
              <w:bottom w:val="single" w:sz="4" w:space="0" w:color="auto"/>
            </w:tcBorders>
          </w:tcPr>
          <w:p w14:paraId="66175BA0" w14:textId="77777777" w:rsidR="001303C0" w:rsidRPr="00585FD8" w:rsidRDefault="001272F6" w:rsidP="00C85B18">
            <w:pPr>
              <w:pStyle w:val="TableText"/>
              <w:rPr>
                <w:lang w:eastAsia="ja-JP"/>
              </w:rPr>
            </w:pPr>
            <w:r w:rsidRPr="00585FD8">
              <w:rPr>
                <w:lang w:eastAsia="ja-JP"/>
              </w:rPr>
              <w:t>guideline value</w:t>
            </w:r>
          </w:p>
        </w:tc>
        <w:tc>
          <w:tcPr>
            <w:tcW w:w="3491" w:type="pct"/>
            <w:tcBorders>
              <w:top w:val="single" w:sz="4" w:space="0" w:color="auto"/>
              <w:bottom w:val="single" w:sz="4" w:space="0" w:color="auto"/>
            </w:tcBorders>
          </w:tcPr>
          <w:p w14:paraId="66175BA1" w14:textId="77777777" w:rsidR="001303C0" w:rsidRPr="00585FD8" w:rsidRDefault="001272F6" w:rsidP="007336AC">
            <w:pPr>
              <w:pStyle w:val="TableText"/>
              <w:rPr>
                <w:lang w:eastAsia="ja-JP"/>
              </w:rPr>
            </w:pPr>
            <w:r w:rsidRPr="00585FD8">
              <w:rPr>
                <w:lang w:eastAsia="ja-JP"/>
              </w:rPr>
              <w:t xml:space="preserve">A measurable quantity (e.g. concentration) or condition of an indicator for a specific </w:t>
            </w:r>
            <w:r>
              <w:rPr>
                <w:lang w:eastAsia="ja-JP"/>
              </w:rPr>
              <w:t>community value</w:t>
            </w:r>
            <w:r w:rsidRPr="00585FD8">
              <w:rPr>
                <w:lang w:eastAsia="ja-JP"/>
              </w:rPr>
              <w:t xml:space="preserve"> below which (or above which, in the case of stressors such as pH, dissolved oxygen and many biodiversity responses) there is considered to be a low risk of unacceptable effects occurring to that </w:t>
            </w:r>
            <w:r>
              <w:rPr>
                <w:lang w:eastAsia="ja-JP"/>
              </w:rPr>
              <w:t>community</w:t>
            </w:r>
            <w:r w:rsidRPr="00585FD8">
              <w:rPr>
                <w:lang w:eastAsia="ja-JP"/>
              </w:rPr>
              <w:t xml:space="preserve"> value. Guideline values for more than one indicator should be used simultaneously in a multiple lines of evidence approach.</w:t>
            </w:r>
            <w:r w:rsidR="00B27A69">
              <w:rPr>
                <w:lang w:eastAsia="ja-JP"/>
              </w:rPr>
              <w:t xml:space="preserve"> (Also refer to default guideline value and site-specific guideline value.)</w:t>
            </w:r>
          </w:p>
        </w:tc>
      </w:tr>
      <w:tr w:rsidR="00B82CEC" w14:paraId="66175BA5" w14:textId="77777777" w:rsidTr="00E65281">
        <w:trPr>
          <w:cantSplit/>
        </w:trPr>
        <w:tc>
          <w:tcPr>
            <w:tcW w:w="1509" w:type="pct"/>
            <w:tcBorders>
              <w:top w:val="single" w:sz="4" w:space="0" w:color="auto"/>
              <w:bottom w:val="single" w:sz="4" w:space="0" w:color="auto"/>
            </w:tcBorders>
          </w:tcPr>
          <w:p w14:paraId="66175BA3" w14:textId="77777777" w:rsidR="00A1110C" w:rsidRDefault="001272F6" w:rsidP="007336AC">
            <w:pPr>
              <w:pStyle w:val="TableText"/>
              <w:rPr>
                <w:lang w:eastAsia="ja-JP"/>
              </w:rPr>
            </w:pPr>
            <w:r>
              <w:rPr>
                <w:lang w:eastAsia="ja-JP"/>
              </w:rPr>
              <w:t>K</w:t>
            </w:r>
            <w:r w:rsidRPr="00A1110C">
              <w:rPr>
                <w:vertAlign w:val="subscript"/>
                <w:lang w:eastAsia="ja-JP"/>
              </w:rPr>
              <w:t>OC</w:t>
            </w:r>
          </w:p>
        </w:tc>
        <w:tc>
          <w:tcPr>
            <w:tcW w:w="3491" w:type="pct"/>
            <w:tcBorders>
              <w:top w:val="single" w:sz="4" w:space="0" w:color="auto"/>
              <w:bottom w:val="single" w:sz="4" w:space="0" w:color="auto"/>
            </w:tcBorders>
          </w:tcPr>
          <w:p w14:paraId="66175BA4" w14:textId="77777777" w:rsidR="00A1110C" w:rsidRDefault="001272F6" w:rsidP="002C66F3">
            <w:pPr>
              <w:pStyle w:val="TableText"/>
              <w:rPr>
                <w:shd w:val="clear" w:color="auto" w:fill="FFFFFF"/>
              </w:rPr>
            </w:pPr>
            <w:r w:rsidRPr="00A1110C">
              <w:rPr>
                <w:shd w:val="clear" w:color="auto" w:fill="FFFFFF"/>
              </w:rPr>
              <w:t>Soil adsorption coefficient</w:t>
            </w:r>
            <w:r w:rsidR="002C66F3">
              <w:rPr>
                <w:shd w:val="clear" w:color="auto" w:fill="FFFFFF"/>
              </w:rPr>
              <w:t>—</w:t>
            </w:r>
            <w:r w:rsidRPr="00A1110C">
              <w:rPr>
                <w:shd w:val="clear" w:color="auto" w:fill="FFFFFF"/>
              </w:rPr>
              <w:t>measures the amount of chemical substance adsorbed onto soil per amount of water.</w:t>
            </w:r>
          </w:p>
        </w:tc>
      </w:tr>
      <w:tr w:rsidR="00B82CEC" w14:paraId="66175BA8" w14:textId="77777777" w:rsidTr="00E65281">
        <w:trPr>
          <w:cantSplit/>
        </w:trPr>
        <w:tc>
          <w:tcPr>
            <w:tcW w:w="1509" w:type="pct"/>
            <w:tcBorders>
              <w:top w:val="single" w:sz="4" w:space="0" w:color="auto"/>
              <w:bottom w:val="single" w:sz="4" w:space="0" w:color="auto"/>
            </w:tcBorders>
          </w:tcPr>
          <w:p w14:paraId="66175BA6" w14:textId="77777777" w:rsidR="001303C0" w:rsidRPr="00585FD8" w:rsidRDefault="001272F6" w:rsidP="007336AC">
            <w:pPr>
              <w:pStyle w:val="TableText"/>
              <w:rPr>
                <w:lang w:eastAsia="ja-JP"/>
              </w:rPr>
            </w:pPr>
            <w:r w:rsidRPr="00585FD8">
              <w:rPr>
                <w:lang w:eastAsia="ja-JP"/>
              </w:rPr>
              <w:t>LC50 (median lethal concentration)</w:t>
            </w:r>
          </w:p>
        </w:tc>
        <w:tc>
          <w:tcPr>
            <w:tcW w:w="3491" w:type="pct"/>
            <w:tcBorders>
              <w:top w:val="single" w:sz="4" w:space="0" w:color="auto"/>
              <w:bottom w:val="single" w:sz="4" w:space="0" w:color="auto"/>
            </w:tcBorders>
          </w:tcPr>
          <w:p w14:paraId="66175BA7" w14:textId="77777777" w:rsidR="001303C0" w:rsidRPr="00C34CD6" w:rsidRDefault="001272F6" w:rsidP="007336AC">
            <w:pPr>
              <w:pStyle w:val="TableText"/>
              <w:rPr>
                <w:shd w:val="clear" w:color="auto" w:fill="FFFFFF"/>
              </w:rPr>
            </w:pPr>
            <w:r w:rsidRPr="00C34CD6">
              <w:rPr>
                <w:shd w:val="clear" w:color="auto" w:fill="FFFFFF"/>
              </w:rPr>
              <w:t>The concentration of a substance in water or sediment that is estimated to be lethal to 50% of a group of test organisms, relative to the control response, under specified conditions.</w:t>
            </w:r>
          </w:p>
        </w:tc>
      </w:tr>
      <w:tr w:rsidR="00B82CEC" w14:paraId="66175BAB" w14:textId="77777777" w:rsidTr="00E65281">
        <w:trPr>
          <w:cantSplit/>
        </w:trPr>
        <w:tc>
          <w:tcPr>
            <w:tcW w:w="1509" w:type="pct"/>
            <w:tcBorders>
              <w:top w:val="single" w:sz="4" w:space="0" w:color="auto"/>
              <w:bottom w:val="single" w:sz="4" w:space="0" w:color="auto"/>
            </w:tcBorders>
          </w:tcPr>
          <w:p w14:paraId="66175BA9" w14:textId="77777777" w:rsidR="001303C0" w:rsidRPr="00585FD8" w:rsidRDefault="001272F6" w:rsidP="007037B2">
            <w:pPr>
              <w:pStyle w:val="TableText"/>
              <w:rPr>
                <w:lang w:eastAsia="ja-JP"/>
              </w:rPr>
            </w:pPr>
            <w:r>
              <w:rPr>
                <w:lang w:eastAsia="ja-JP"/>
              </w:rPr>
              <w:t>l</w:t>
            </w:r>
            <w:r w:rsidRPr="00585FD8">
              <w:rPr>
                <w:lang w:eastAsia="ja-JP"/>
              </w:rPr>
              <w:t>owes</w:t>
            </w:r>
            <w:r>
              <w:rPr>
                <w:lang w:eastAsia="ja-JP"/>
              </w:rPr>
              <w:t>t observed effect concentration (</w:t>
            </w:r>
            <w:r w:rsidR="005A3D73" w:rsidRPr="00585FD8">
              <w:rPr>
                <w:lang w:eastAsia="ja-JP"/>
              </w:rPr>
              <w:t>LOEC</w:t>
            </w:r>
            <w:r>
              <w:rPr>
                <w:lang w:eastAsia="ja-JP"/>
              </w:rPr>
              <w:t>)</w:t>
            </w:r>
            <w:r w:rsidR="005A3D73" w:rsidRPr="00585FD8">
              <w:rPr>
                <w:lang w:eastAsia="ja-JP"/>
              </w:rPr>
              <w:t xml:space="preserve"> </w:t>
            </w:r>
          </w:p>
        </w:tc>
        <w:tc>
          <w:tcPr>
            <w:tcW w:w="3491" w:type="pct"/>
            <w:tcBorders>
              <w:top w:val="single" w:sz="4" w:space="0" w:color="auto"/>
              <w:bottom w:val="single" w:sz="4" w:space="0" w:color="auto"/>
            </w:tcBorders>
          </w:tcPr>
          <w:p w14:paraId="66175BAA" w14:textId="77777777" w:rsidR="001303C0" w:rsidRPr="00C34CD6" w:rsidRDefault="001272F6" w:rsidP="007336AC">
            <w:pPr>
              <w:pStyle w:val="TableText"/>
              <w:rPr>
                <w:shd w:val="clear" w:color="auto" w:fill="FFFFFF"/>
              </w:rPr>
            </w:pPr>
            <w:r w:rsidRPr="00C34CD6">
              <w:rPr>
                <w:shd w:val="clear" w:color="auto" w:fill="FFFFFF"/>
              </w:rPr>
              <w:t>The lowest concentration of a material used in a toxicity test that has a statistically significant adverse effect on the exposed population of test organisms as compared with the controls.</w:t>
            </w:r>
          </w:p>
        </w:tc>
      </w:tr>
      <w:tr w:rsidR="00B82CEC" w14:paraId="66175BAE" w14:textId="77777777" w:rsidTr="00E65281">
        <w:trPr>
          <w:cantSplit/>
        </w:trPr>
        <w:tc>
          <w:tcPr>
            <w:tcW w:w="1509" w:type="pct"/>
            <w:tcBorders>
              <w:top w:val="single" w:sz="4" w:space="0" w:color="auto"/>
              <w:bottom w:val="single" w:sz="4" w:space="0" w:color="auto"/>
            </w:tcBorders>
          </w:tcPr>
          <w:p w14:paraId="66175BAC" w14:textId="77777777" w:rsidR="001303C0" w:rsidRPr="00585FD8" w:rsidRDefault="001272F6" w:rsidP="003C1163">
            <w:pPr>
              <w:pStyle w:val="TableText"/>
              <w:rPr>
                <w:lang w:eastAsia="ja-JP"/>
              </w:rPr>
            </w:pPr>
            <w:r>
              <w:rPr>
                <w:lang w:eastAsia="ja-JP"/>
              </w:rPr>
              <w:t>n</w:t>
            </w:r>
            <w:r w:rsidRPr="00585FD8">
              <w:rPr>
                <w:lang w:eastAsia="ja-JP"/>
              </w:rPr>
              <w:t>o observed effect concentration</w:t>
            </w:r>
            <w:r>
              <w:rPr>
                <w:lang w:eastAsia="ja-JP"/>
              </w:rPr>
              <w:t xml:space="preserve"> (NOEC)</w:t>
            </w:r>
          </w:p>
        </w:tc>
        <w:tc>
          <w:tcPr>
            <w:tcW w:w="3491" w:type="pct"/>
            <w:tcBorders>
              <w:top w:val="single" w:sz="4" w:space="0" w:color="auto"/>
              <w:bottom w:val="single" w:sz="4" w:space="0" w:color="auto"/>
            </w:tcBorders>
          </w:tcPr>
          <w:p w14:paraId="66175BAD" w14:textId="77777777" w:rsidR="001303C0" w:rsidRPr="00585FD8" w:rsidRDefault="001272F6" w:rsidP="007336AC">
            <w:pPr>
              <w:pStyle w:val="TableText"/>
            </w:pPr>
            <w:r w:rsidRPr="00C34CD6">
              <w:t>The highest concentration of a material used in a toxicity test that has no statistically significant adverse effect on the exposed population of test organisms as compared with the controls.</w:t>
            </w:r>
          </w:p>
        </w:tc>
      </w:tr>
      <w:tr w:rsidR="00B82CEC" w14:paraId="66175BB1" w14:textId="77777777" w:rsidTr="00E65281">
        <w:trPr>
          <w:cantSplit/>
        </w:trPr>
        <w:tc>
          <w:tcPr>
            <w:tcW w:w="1509" w:type="pct"/>
            <w:tcBorders>
              <w:top w:val="single" w:sz="4" w:space="0" w:color="auto"/>
              <w:bottom w:val="single" w:sz="4" w:space="0" w:color="auto"/>
            </w:tcBorders>
          </w:tcPr>
          <w:p w14:paraId="66175BAF" w14:textId="77777777" w:rsidR="00620280" w:rsidRPr="00620280" w:rsidRDefault="001272F6" w:rsidP="00620280">
            <w:pPr>
              <w:pStyle w:val="TableText"/>
            </w:pPr>
            <w:r w:rsidRPr="00620280">
              <w:t>periphyton</w:t>
            </w:r>
          </w:p>
        </w:tc>
        <w:tc>
          <w:tcPr>
            <w:tcW w:w="3491" w:type="pct"/>
            <w:tcBorders>
              <w:top w:val="single" w:sz="4" w:space="0" w:color="auto"/>
              <w:bottom w:val="single" w:sz="4" w:space="0" w:color="auto"/>
            </w:tcBorders>
          </w:tcPr>
          <w:p w14:paraId="66175BB0" w14:textId="77777777" w:rsidR="00620280" w:rsidRPr="00620280" w:rsidRDefault="001272F6" w:rsidP="00620280">
            <w:pPr>
              <w:pStyle w:val="TableText"/>
            </w:pPr>
            <w:r w:rsidRPr="00620280">
              <w:t>The organisms attached to submerged plants.</w:t>
            </w:r>
          </w:p>
        </w:tc>
      </w:tr>
      <w:tr w:rsidR="00B82CEC" w14:paraId="66175BB4" w14:textId="77777777" w:rsidTr="00E65281">
        <w:trPr>
          <w:cantSplit/>
        </w:trPr>
        <w:tc>
          <w:tcPr>
            <w:tcW w:w="1509" w:type="pct"/>
            <w:tcBorders>
              <w:top w:val="single" w:sz="4" w:space="0" w:color="auto"/>
              <w:bottom w:val="single" w:sz="4" w:space="0" w:color="auto"/>
            </w:tcBorders>
          </w:tcPr>
          <w:p w14:paraId="66175BB2" w14:textId="77777777" w:rsidR="00B27A69" w:rsidRPr="00620280" w:rsidRDefault="001272F6" w:rsidP="00620280">
            <w:pPr>
              <w:pStyle w:val="TableText"/>
            </w:pPr>
            <w:r>
              <w:t>site-specific guideline value</w:t>
            </w:r>
          </w:p>
        </w:tc>
        <w:tc>
          <w:tcPr>
            <w:tcW w:w="3491" w:type="pct"/>
            <w:tcBorders>
              <w:top w:val="single" w:sz="4" w:space="0" w:color="auto"/>
              <w:bottom w:val="single" w:sz="4" w:space="0" w:color="auto"/>
            </w:tcBorders>
          </w:tcPr>
          <w:p w14:paraId="66175BB3" w14:textId="77777777" w:rsidR="00B27A69" w:rsidRPr="00620280" w:rsidRDefault="001272F6" w:rsidP="00620280">
            <w:pPr>
              <w:pStyle w:val="TableText"/>
            </w:pPr>
            <w:r>
              <w:t>A</w:t>
            </w:r>
            <w:r w:rsidRPr="00A95506">
              <w:t xml:space="preserve"> guideline value that is relevant to the specific location or conditions that are the focus of a given assessment or issue.</w:t>
            </w:r>
          </w:p>
        </w:tc>
      </w:tr>
      <w:tr w:rsidR="00B82CEC" w14:paraId="66175BB7" w14:textId="77777777" w:rsidTr="00E65281">
        <w:trPr>
          <w:cantSplit/>
        </w:trPr>
        <w:tc>
          <w:tcPr>
            <w:tcW w:w="1509" w:type="pct"/>
            <w:tcBorders>
              <w:top w:val="single" w:sz="4" w:space="0" w:color="auto"/>
              <w:bottom w:val="single" w:sz="4" w:space="0" w:color="auto"/>
            </w:tcBorders>
          </w:tcPr>
          <w:p w14:paraId="66175BB5" w14:textId="77777777" w:rsidR="001303C0" w:rsidRPr="00585FD8" w:rsidRDefault="001272F6" w:rsidP="007336AC">
            <w:pPr>
              <w:pStyle w:val="TableText"/>
              <w:rPr>
                <w:lang w:eastAsia="ja-JP"/>
              </w:rPr>
            </w:pPr>
            <w:r w:rsidRPr="00585FD8">
              <w:rPr>
                <w:lang w:eastAsia="ja-JP"/>
              </w:rPr>
              <w:t>species</w:t>
            </w:r>
            <w:r>
              <w:rPr>
                <w:lang w:eastAsia="ja-JP"/>
              </w:rPr>
              <w:t xml:space="preserve"> </w:t>
            </w:r>
            <w:r w:rsidR="005A3D73">
              <w:rPr>
                <w:lang w:eastAsia="ja-JP"/>
              </w:rPr>
              <w:t>(biological)</w:t>
            </w:r>
          </w:p>
        </w:tc>
        <w:tc>
          <w:tcPr>
            <w:tcW w:w="3491" w:type="pct"/>
            <w:tcBorders>
              <w:top w:val="single" w:sz="4" w:space="0" w:color="auto"/>
              <w:bottom w:val="single" w:sz="4" w:space="0" w:color="auto"/>
            </w:tcBorders>
          </w:tcPr>
          <w:p w14:paraId="66175BB6" w14:textId="77777777" w:rsidR="001303C0" w:rsidRPr="00585FD8" w:rsidRDefault="001272F6" w:rsidP="007336AC">
            <w:pPr>
              <w:pStyle w:val="TableText"/>
              <w:rPr>
                <w:lang w:eastAsia="ja-JP"/>
              </w:rPr>
            </w:pPr>
            <w:r w:rsidRPr="00585FD8">
              <w:rPr>
                <w:lang w:eastAsia="ja-JP"/>
              </w:rPr>
              <w:t>A group of organisms that resemble each other to a greater degree than members of other groups and that form a reproductively isolated group that will not produce viable offspring if bred with members of another group.</w:t>
            </w:r>
          </w:p>
        </w:tc>
      </w:tr>
      <w:tr w:rsidR="00B82CEC" w14:paraId="66175BBA" w14:textId="77777777" w:rsidTr="00E65281">
        <w:trPr>
          <w:cantSplit/>
        </w:trPr>
        <w:tc>
          <w:tcPr>
            <w:tcW w:w="1509" w:type="pct"/>
            <w:tcBorders>
              <w:top w:val="single" w:sz="4" w:space="0" w:color="auto"/>
              <w:bottom w:val="single" w:sz="4" w:space="0" w:color="auto"/>
            </w:tcBorders>
          </w:tcPr>
          <w:p w14:paraId="66175BB8" w14:textId="77777777" w:rsidR="001303C0" w:rsidRPr="00585FD8" w:rsidRDefault="001272F6" w:rsidP="007336AC">
            <w:pPr>
              <w:pStyle w:val="TableText"/>
              <w:rPr>
                <w:lang w:eastAsia="ja-JP"/>
              </w:rPr>
            </w:pPr>
            <w:r>
              <w:rPr>
                <w:lang w:eastAsia="ja-JP"/>
              </w:rPr>
              <w:t>s</w:t>
            </w:r>
            <w:r w:rsidRPr="00585FD8">
              <w:rPr>
                <w:lang w:eastAsia="ja-JP"/>
              </w:rPr>
              <w:t xml:space="preserve">pecies sensitivity distribution </w:t>
            </w:r>
            <w:r>
              <w:rPr>
                <w:lang w:eastAsia="ja-JP"/>
              </w:rPr>
              <w:t>(</w:t>
            </w:r>
            <w:r w:rsidRPr="00585FD8">
              <w:rPr>
                <w:lang w:eastAsia="ja-JP"/>
              </w:rPr>
              <w:t>SSD</w:t>
            </w:r>
            <w:r>
              <w:rPr>
                <w:lang w:eastAsia="ja-JP"/>
              </w:rPr>
              <w:t>)</w:t>
            </w:r>
            <w:r w:rsidRPr="00585FD8">
              <w:rPr>
                <w:lang w:eastAsia="ja-JP"/>
              </w:rPr>
              <w:t xml:space="preserve"> </w:t>
            </w:r>
          </w:p>
        </w:tc>
        <w:tc>
          <w:tcPr>
            <w:tcW w:w="3491" w:type="pct"/>
            <w:tcBorders>
              <w:top w:val="single" w:sz="4" w:space="0" w:color="auto"/>
              <w:bottom w:val="single" w:sz="4" w:space="0" w:color="auto"/>
            </w:tcBorders>
          </w:tcPr>
          <w:p w14:paraId="66175BB9" w14:textId="77777777" w:rsidR="001303C0" w:rsidRPr="00585FD8" w:rsidRDefault="001272F6" w:rsidP="00876D39">
            <w:pPr>
              <w:pStyle w:val="TableText"/>
              <w:rPr>
                <w:lang w:eastAsia="ja-JP"/>
              </w:rPr>
            </w:pPr>
            <w:r w:rsidRPr="00585FD8">
              <w:rPr>
                <w:lang w:eastAsia="ja-JP"/>
              </w:rPr>
              <w:t>A method that plots the cumulative frequency of species</w:t>
            </w:r>
            <w:r w:rsidR="007A7BA0">
              <w:rPr>
                <w:lang w:eastAsia="ja-JP"/>
              </w:rPr>
              <w:t>’</w:t>
            </w:r>
            <w:r w:rsidRPr="00585FD8">
              <w:rPr>
                <w:lang w:eastAsia="ja-JP"/>
              </w:rPr>
              <w:t xml:space="preserve"> sensitivit</w:t>
            </w:r>
            <w:r w:rsidR="00876D39">
              <w:rPr>
                <w:lang w:eastAsia="ja-JP"/>
              </w:rPr>
              <w:t>ies</w:t>
            </w:r>
            <w:r w:rsidRPr="00585FD8">
              <w:rPr>
                <w:lang w:eastAsia="ja-JP"/>
              </w:rPr>
              <w:t xml:space="preserve"> </w:t>
            </w:r>
            <w:r w:rsidR="00876D39">
              <w:rPr>
                <w:lang w:eastAsia="ja-JP"/>
              </w:rPr>
              <w:t xml:space="preserve">to a toxicant </w:t>
            </w:r>
            <w:r w:rsidRPr="00585FD8">
              <w:rPr>
                <w:lang w:eastAsia="ja-JP"/>
              </w:rPr>
              <w:t xml:space="preserve">and fits </w:t>
            </w:r>
            <w:r>
              <w:rPr>
                <w:lang w:eastAsia="ja-JP"/>
              </w:rPr>
              <w:t>a</w:t>
            </w:r>
            <w:r w:rsidRPr="00585FD8">
              <w:rPr>
                <w:lang w:eastAsia="ja-JP"/>
              </w:rPr>
              <w:t xml:space="preserve"> statistical distribution to the data. From the distribution</w:t>
            </w:r>
            <w:r>
              <w:rPr>
                <w:lang w:eastAsia="ja-JP"/>
              </w:rPr>
              <w:t>,</w:t>
            </w:r>
            <w:r w:rsidRPr="00585FD8">
              <w:rPr>
                <w:lang w:eastAsia="ja-JP"/>
              </w:rPr>
              <w:t xml:space="preserve"> the concentration that should theoretically protect a selected percentage of species can be determined.</w:t>
            </w:r>
          </w:p>
        </w:tc>
      </w:tr>
      <w:tr w:rsidR="00B82CEC" w14:paraId="66175BBD" w14:textId="77777777" w:rsidTr="00E65281">
        <w:trPr>
          <w:cantSplit/>
        </w:trPr>
        <w:tc>
          <w:tcPr>
            <w:tcW w:w="1509" w:type="pct"/>
            <w:tcBorders>
              <w:top w:val="single" w:sz="4" w:space="0" w:color="auto"/>
              <w:bottom w:val="single" w:sz="4" w:space="0" w:color="auto"/>
            </w:tcBorders>
          </w:tcPr>
          <w:p w14:paraId="66175BBB" w14:textId="77777777" w:rsidR="001303C0" w:rsidRPr="00585FD8" w:rsidRDefault="001272F6" w:rsidP="007336AC">
            <w:pPr>
              <w:pStyle w:val="TableText"/>
              <w:rPr>
                <w:lang w:eastAsia="ja-JP"/>
              </w:rPr>
            </w:pPr>
            <w:r w:rsidRPr="00585FD8">
              <w:rPr>
                <w:lang w:eastAsia="ja-JP"/>
              </w:rPr>
              <w:t>toxicity</w:t>
            </w:r>
          </w:p>
        </w:tc>
        <w:tc>
          <w:tcPr>
            <w:tcW w:w="3491" w:type="pct"/>
            <w:tcBorders>
              <w:top w:val="single" w:sz="4" w:space="0" w:color="auto"/>
              <w:bottom w:val="single" w:sz="4" w:space="0" w:color="auto"/>
            </w:tcBorders>
          </w:tcPr>
          <w:p w14:paraId="66175BBC" w14:textId="77777777" w:rsidR="001303C0" w:rsidRPr="00585FD8" w:rsidRDefault="001272F6" w:rsidP="007336AC">
            <w:pPr>
              <w:pStyle w:val="TableText"/>
              <w:rPr>
                <w:lang w:eastAsia="ja-JP"/>
              </w:rPr>
            </w:pPr>
            <w:r w:rsidRPr="00585FD8">
              <w:rPr>
                <w:lang w:eastAsia="ja-JP"/>
              </w:rPr>
              <w:t>The inherent potential or capacity of a material to cause adverse effects in a living organism.</w:t>
            </w:r>
          </w:p>
        </w:tc>
      </w:tr>
      <w:tr w:rsidR="00B82CEC" w14:paraId="66175BC0" w14:textId="77777777" w:rsidTr="00E65281">
        <w:trPr>
          <w:cantSplit/>
        </w:trPr>
        <w:tc>
          <w:tcPr>
            <w:tcW w:w="1509" w:type="pct"/>
            <w:tcBorders>
              <w:top w:val="single" w:sz="4" w:space="0" w:color="auto"/>
              <w:bottom w:val="single" w:sz="12" w:space="0" w:color="auto"/>
            </w:tcBorders>
          </w:tcPr>
          <w:p w14:paraId="66175BBE" w14:textId="77777777" w:rsidR="001303C0" w:rsidRPr="00585FD8" w:rsidRDefault="001272F6" w:rsidP="007336AC">
            <w:pPr>
              <w:pStyle w:val="TableText"/>
              <w:rPr>
                <w:lang w:eastAsia="ja-JP"/>
              </w:rPr>
            </w:pPr>
            <w:r w:rsidRPr="00585FD8">
              <w:rPr>
                <w:lang w:eastAsia="ja-JP"/>
              </w:rPr>
              <w:t>toxicity test</w:t>
            </w:r>
          </w:p>
        </w:tc>
        <w:tc>
          <w:tcPr>
            <w:tcW w:w="3491" w:type="pct"/>
            <w:tcBorders>
              <w:top w:val="single" w:sz="4" w:space="0" w:color="auto"/>
              <w:bottom w:val="single" w:sz="12" w:space="0" w:color="auto"/>
            </w:tcBorders>
          </w:tcPr>
          <w:p w14:paraId="66175BBF" w14:textId="77777777" w:rsidR="001303C0" w:rsidRPr="00585FD8" w:rsidRDefault="001272F6" w:rsidP="007336AC">
            <w:pPr>
              <w:pStyle w:val="TableText"/>
              <w:rPr>
                <w:lang w:eastAsia="ja-JP"/>
              </w:rPr>
            </w:pPr>
            <w:r w:rsidRPr="00585FD8">
              <w:rPr>
                <w:lang w:eastAsia="ja-JP"/>
              </w:rPr>
              <w:t xml:space="preserve">The </w:t>
            </w:r>
            <w:r w:rsidR="007A7BA0" w:rsidRPr="00C34CD6">
              <w:rPr>
                <w:lang w:eastAsia="ja-JP"/>
              </w:rPr>
              <w:t>means by which the toxicity of a chemical or other test material is determined. A toxicity test is used to measure the degree of response produced by exposure to a specific level of stimulus (or concentration of chemical) for a specified test period.</w:t>
            </w:r>
          </w:p>
        </w:tc>
      </w:tr>
    </w:tbl>
    <w:p w14:paraId="66175BC1" w14:textId="77777777" w:rsidR="001303C0" w:rsidRPr="00585FD8" w:rsidRDefault="001303C0" w:rsidP="001303C0">
      <w:pPr>
        <w:rPr>
          <w:lang w:eastAsia="ja-JP"/>
        </w:rPr>
      </w:pPr>
    </w:p>
    <w:p w14:paraId="66175BC2" w14:textId="77777777" w:rsidR="00606A7B" w:rsidRDefault="00606A7B" w:rsidP="001303C0">
      <w:pPr>
        <w:rPr>
          <w:lang w:eastAsia="ja-JP"/>
        </w:rPr>
        <w:sectPr w:rsidR="00606A7B" w:rsidSect="005A3D73">
          <w:headerReference w:type="default" r:id="rId24"/>
          <w:headerReference w:type="first" r:id="rId25"/>
          <w:footerReference w:type="first" r:id="rId26"/>
          <w:pgSz w:w="11906" w:h="16838"/>
          <w:pgMar w:top="1418" w:right="1418" w:bottom="1418" w:left="1418" w:header="567" w:footer="283" w:gutter="0"/>
          <w:pgNumType w:start="1"/>
          <w:cols w:space="708"/>
          <w:titlePg/>
          <w:docGrid w:linePitch="360"/>
        </w:sectPr>
      </w:pPr>
    </w:p>
    <w:p w14:paraId="66175BC3" w14:textId="77777777" w:rsidR="001C0D1C" w:rsidRDefault="001272F6">
      <w:pPr>
        <w:pStyle w:val="Heading2"/>
        <w:numPr>
          <w:ilvl w:val="0"/>
          <w:numId w:val="0"/>
        </w:numPr>
      </w:pPr>
      <w:bookmarkStart w:id="25" w:name="_Ref63754598"/>
      <w:bookmarkStart w:id="26" w:name="_Toc68691043"/>
      <w:r>
        <w:t>Appendix </w:t>
      </w:r>
      <w:r w:rsidR="005A3D73">
        <w:t xml:space="preserve">A: </w:t>
      </w:r>
      <w:r w:rsidR="0028085F">
        <w:t>T</w:t>
      </w:r>
      <w:r w:rsidR="0028085F" w:rsidRPr="000C7ECF">
        <w:t>oxicity data that passed the screening and quality assessment</w:t>
      </w:r>
      <w:r w:rsidR="001941E5">
        <w:t xml:space="preserve"> and were used to derive the default guideline values</w:t>
      </w:r>
      <w:bookmarkEnd w:id="25"/>
      <w:bookmarkEnd w:id="26"/>
    </w:p>
    <w:p w14:paraId="66175BC4" w14:textId="77777777" w:rsidR="006B7C34" w:rsidRPr="00E65281" w:rsidRDefault="001272F6" w:rsidP="00226F8B">
      <w:pPr>
        <w:pStyle w:val="Caption"/>
      </w:pPr>
      <w:bookmarkStart w:id="27" w:name="_Ref63754525"/>
      <w:bookmarkStart w:id="28" w:name="_Toc68691054"/>
      <w:r>
        <w:t>Table A </w:t>
      </w:r>
      <w:r w:rsidR="00235993">
        <w:fldChar w:fldCharType="begin"/>
      </w:r>
      <w:r w:rsidR="00235993">
        <w:instrText xml:space="preserve"> SEQ Table_A \* ARABIC </w:instrText>
      </w:r>
      <w:r w:rsidR="00235993">
        <w:fldChar w:fldCharType="separate"/>
      </w:r>
      <w:r w:rsidR="00FE279A">
        <w:rPr>
          <w:noProof/>
        </w:rPr>
        <w:t>1</w:t>
      </w:r>
      <w:r w:rsidR="00235993">
        <w:rPr>
          <w:noProof/>
        </w:rPr>
        <w:fldChar w:fldCharType="end"/>
      </w:r>
      <w:bookmarkEnd w:id="27"/>
      <w:r w:rsidR="005A3D73" w:rsidRPr="00E65281">
        <w:t xml:space="preserve"> </w:t>
      </w:r>
      <w:r w:rsidR="00582796" w:rsidRPr="00582796">
        <w:t xml:space="preserve">Summary, toxicity data that passed the screening and quality assurance processes, BPA in </w:t>
      </w:r>
      <w:r w:rsidR="00582796">
        <w:t xml:space="preserve">marine </w:t>
      </w:r>
      <w:r w:rsidR="00582796" w:rsidRPr="00582796">
        <w:t>water</w:t>
      </w:r>
      <w:bookmarkEnd w:id="28"/>
    </w:p>
    <w:tbl>
      <w:tblPr>
        <w:tblW w:w="5000" w:type="pct"/>
        <w:tblBorders>
          <w:top w:val="single" w:sz="6" w:space="0" w:color="auto"/>
          <w:bottom w:val="single" w:sz="4" w:space="0" w:color="auto"/>
          <w:insideH w:val="single" w:sz="4" w:space="0" w:color="auto"/>
        </w:tblBorders>
        <w:tblLayout w:type="fixed"/>
        <w:tblLook w:val="0000" w:firstRow="0" w:lastRow="0" w:firstColumn="0" w:lastColumn="0" w:noHBand="0" w:noVBand="0"/>
        <w:tblCaption w:val="Summary, toxicity data that passed the screening and quality assurance processes, BPA in marine water"/>
        <w:tblDescription w:val="Table lists 8 species with their taxonomic group. The different life stages for each species are provided with the following test information: exposure duration (hour), test type, toxicity measure (test endpoint), test medium, temperature, salinity, pH, concentration (microgram per litre) and reference."/>
      </w:tblPr>
      <w:tblGrid>
        <w:gridCol w:w="1275"/>
        <w:gridCol w:w="1702"/>
        <w:gridCol w:w="991"/>
        <w:gridCol w:w="1419"/>
        <w:gridCol w:w="991"/>
        <w:gridCol w:w="1559"/>
        <w:gridCol w:w="1134"/>
        <w:gridCol w:w="851"/>
        <w:gridCol w:w="851"/>
        <w:gridCol w:w="568"/>
        <w:gridCol w:w="1416"/>
        <w:gridCol w:w="1813"/>
      </w:tblGrid>
      <w:tr w:rsidR="00B82CEC" w14:paraId="66175BD1" w14:textId="77777777" w:rsidTr="0067492A">
        <w:trPr>
          <w:cantSplit/>
          <w:tblHeader/>
        </w:trPr>
        <w:tc>
          <w:tcPr>
            <w:tcW w:w="438" w:type="pct"/>
            <w:tcBorders>
              <w:top w:val="single" w:sz="12" w:space="0" w:color="auto"/>
              <w:bottom w:val="single" w:sz="12" w:space="0" w:color="auto"/>
            </w:tcBorders>
            <w:shd w:val="clear" w:color="auto" w:fill="auto"/>
          </w:tcPr>
          <w:p w14:paraId="66175BC5" w14:textId="77777777" w:rsidR="00201048" w:rsidRPr="00334DA7" w:rsidRDefault="001272F6" w:rsidP="00334DA7">
            <w:pPr>
              <w:pStyle w:val="TableHeading"/>
            </w:pPr>
            <w:r>
              <w:t>Taxonomic group</w:t>
            </w:r>
          </w:p>
        </w:tc>
        <w:tc>
          <w:tcPr>
            <w:tcW w:w="584" w:type="pct"/>
            <w:tcBorders>
              <w:top w:val="single" w:sz="12" w:space="0" w:color="auto"/>
              <w:bottom w:val="single" w:sz="12" w:space="0" w:color="auto"/>
            </w:tcBorders>
            <w:shd w:val="clear" w:color="auto" w:fill="auto"/>
          </w:tcPr>
          <w:p w14:paraId="66175BC6" w14:textId="77777777" w:rsidR="00201048" w:rsidRPr="00334DA7" w:rsidRDefault="001272F6" w:rsidP="00334DA7">
            <w:pPr>
              <w:pStyle w:val="TableHeading"/>
            </w:pPr>
            <w:r w:rsidRPr="00334DA7">
              <w:t>Species</w:t>
            </w:r>
          </w:p>
        </w:tc>
        <w:tc>
          <w:tcPr>
            <w:tcW w:w="340" w:type="pct"/>
            <w:tcBorders>
              <w:top w:val="single" w:sz="12" w:space="0" w:color="auto"/>
              <w:bottom w:val="single" w:sz="12" w:space="0" w:color="auto"/>
            </w:tcBorders>
            <w:shd w:val="clear" w:color="auto" w:fill="auto"/>
          </w:tcPr>
          <w:p w14:paraId="66175BC7" w14:textId="77777777" w:rsidR="00201048" w:rsidRPr="00334DA7" w:rsidRDefault="001272F6" w:rsidP="00334DA7">
            <w:pPr>
              <w:pStyle w:val="TableHeading"/>
            </w:pPr>
            <w:r w:rsidRPr="00334DA7">
              <w:t>Life stage</w:t>
            </w:r>
          </w:p>
        </w:tc>
        <w:tc>
          <w:tcPr>
            <w:tcW w:w="487" w:type="pct"/>
            <w:tcBorders>
              <w:top w:val="single" w:sz="12" w:space="0" w:color="auto"/>
              <w:bottom w:val="single" w:sz="12" w:space="0" w:color="auto"/>
            </w:tcBorders>
            <w:shd w:val="clear" w:color="auto" w:fill="auto"/>
          </w:tcPr>
          <w:p w14:paraId="66175BC8" w14:textId="77777777" w:rsidR="00201048" w:rsidRPr="00334DA7" w:rsidRDefault="001272F6" w:rsidP="00334DA7">
            <w:pPr>
              <w:pStyle w:val="TableHeading"/>
            </w:pPr>
            <w:r w:rsidRPr="00334DA7">
              <w:t>Exposure duration (h</w:t>
            </w:r>
            <w:r w:rsidR="00582796">
              <w:t>our</w:t>
            </w:r>
            <w:r w:rsidRPr="00334DA7">
              <w:t>)</w:t>
            </w:r>
          </w:p>
        </w:tc>
        <w:tc>
          <w:tcPr>
            <w:tcW w:w="340" w:type="pct"/>
            <w:tcBorders>
              <w:top w:val="single" w:sz="12" w:space="0" w:color="auto"/>
              <w:bottom w:val="single" w:sz="12" w:space="0" w:color="auto"/>
            </w:tcBorders>
            <w:shd w:val="clear" w:color="auto" w:fill="auto"/>
          </w:tcPr>
          <w:p w14:paraId="66175BC9" w14:textId="77777777" w:rsidR="00201048" w:rsidRPr="00334DA7" w:rsidRDefault="001272F6" w:rsidP="00334DA7">
            <w:pPr>
              <w:pStyle w:val="TableHeading"/>
            </w:pPr>
            <w:r w:rsidRPr="00334DA7">
              <w:t>Test type</w:t>
            </w:r>
          </w:p>
        </w:tc>
        <w:tc>
          <w:tcPr>
            <w:tcW w:w="535" w:type="pct"/>
            <w:tcBorders>
              <w:top w:val="single" w:sz="12" w:space="0" w:color="auto"/>
              <w:bottom w:val="single" w:sz="12" w:space="0" w:color="auto"/>
            </w:tcBorders>
            <w:shd w:val="clear" w:color="auto" w:fill="auto"/>
          </w:tcPr>
          <w:p w14:paraId="66175BCA" w14:textId="77777777" w:rsidR="00201048" w:rsidRPr="00334DA7" w:rsidRDefault="001272F6" w:rsidP="00334DA7">
            <w:pPr>
              <w:pStyle w:val="TableHeading"/>
            </w:pPr>
            <w:r>
              <w:t>Toxicity measure</w:t>
            </w:r>
            <w:r w:rsidR="005A3D73" w:rsidRPr="00334DA7">
              <w:t xml:space="preserve"> </w:t>
            </w:r>
            <w:r w:rsidRPr="00334DA7">
              <w:t>(test endpoint)</w:t>
            </w:r>
            <w:r w:rsidR="00293357">
              <w:t> </w:t>
            </w:r>
            <w:r w:rsidR="00293357" w:rsidRPr="009107BC">
              <w:rPr>
                <w:rStyle w:val="Strong"/>
                <w:vertAlign w:val="superscript"/>
              </w:rPr>
              <w:t>a</w:t>
            </w:r>
          </w:p>
        </w:tc>
        <w:tc>
          <w:tcPr>
            <w:tcW w:w="389" w:type="pct"/>
            <w:tcBorders>
              <w:top w:val="single" w:sz="12" w:space="0" w:color="auto"/>
              <w:bottom w:val="single" w:sz="12" w:space="0" w:color="auto"/>
            </w:tcBorders>
            <w:shd w:val="clear" w:color="auto" w:fill="auto"/>
          </w:tcPr>
          <w:p w14:paraId="66175BCB" w14:textId="77777777" w:rsidR="00201048" w:rsidRPr="00334DA7" w:rsidRDefault="001272F6" w:rsidP="00334DA7">
            <w:pPr>
              <w:pStyle w:val="TableHeading"/>
            </w:pPr>
            <w:r w:rsidRPr="00334DA7">
              <w:t>Test medium</w:t>
            </w:r>
          </w:p>
        </w:tc>
        <w:tc>
          <w:tcPr>
            <w:tcW w:w="292" w:type="pct"/>
            <w:tcBorders>
              <w:top w:val="single" w:sz="12" w:space="0" w:color="auto"/>
              <w:bottom w:val="single" w:sz="12" w:space="0" w:color="auto"/>
            </w:tcBorders>
            <w:shd w:val="clear" w:color="auto" w:fill="auto"/>
          </w:tcPr>
          <w:p w14:paraId="66175BCC" w14:textId="77777777" w:rsidR="00201048" w:rsidRPr="00334DA7" w:rsidRDefault="001272F6" w:rsidP="009107BC">
            <w:pPr>
              <w:pStyle w:val="TableHeading"/>
            </w:pPr>
            <w:r w:rsidRPr="00334DA7">
              <w:t>Temp</w:t>
            </w:r>
            <w:r w:rsidR="0067492A">
              <w:t>.</w:t>
            </w:r>
            <w:r w:rsidRPr="00334DA7">
              <w:t xml:space="preserve"> (</w:t>
            </w:r>
            <w:r w:rsidRPr="00334DA7">
              <w:rPr>
                <w:rFonts w:ascii="Symbol" w:hAnsi="Symbol"/>
              </w:rPr>
              <w:sym w:font="Symbol" w:char="F0B0"/>
            </w:r>
            <w:r w:rsidRPr="00334DA7">
              <w:t>C)</w:t>
            </w:r>
          </w:p>
        </w:tc>
        <w:tc>
          <w:tcPr>
            <w:tcW w:w="292" w:type="pct"/>
            <w:tcBorders>
              <w:top w:val="single" w:sz="12" w:space="0" w:color="auto"/>
              <w:bottom w:val="single" w:sz="12" w:space="0" w:color="auto"/>
            </w:tcBorders>
            <w:shd w:val="clear" w:color="auto" w:fill="auto"/>
          </w:tcPr>
          <w:p w14:paraId="66175BCD" w14:textId="77777777" w:rsidR="00201048" w:rsidRPr="00334DA7" w:rsidRDefault="001272F6" w:rsidP="00334DA7">
            <w:pPr>
              <w:pStyle w:val="TableHeading"/>
            </w:pPr>
            <w:r w:rsidRPr="00334DA7">
              <w:t>Salinity (‰)</w:t>
            </w:r>
          </w:p>
        </w:tc>
        <w:tc>
          <w:tcPr>
            <w:tcW w:w="195" w:type="pct"/>
            <w:tcBorders>
              <w:top w:val="single" w:sz="12" w:space="0" w:color="auto"/>
              <w:bottom w:val="single" w:sz="12" w:space="0" w:color="auto"/>
            </w:tcBorders>
            <w:shd w:val="clear" w:color="auto" w:fill="auto"/>
          </w:tcPr>
          <w:p w14:paraId="66175BCE" w14:textId="77777777" w:rsidR="00201048" w:rsidRPr="00334DA7" w:rsidRDefault="001272F6" w:rsidP="00334DA7">
            <w:pPr>
              <w:pStyle w:val="TableHeading"/>
            </w:pPr>
            <w:r w:rsidRPr="00334DA7">
              <w:t>pH</w:t>
            </w:r>
          </w:p>
        </w:tc>
        <w:tc>
          <w:tcPr>
            <w:tcW w:w="486" w:type="pct"/>
            <w:tcBorders>
              <w:top w:val="single" w:sz="12" w:space="0" w:color="auto"/>
              <w:bottom w:val="single" w:sz="12" w:space="0" w:color="auto"/>
            </w:tcBorders>
            <w:shd w:val="clear" w:color="auto" w:fill="auto"/>
          </w:tcPr>
          <w:p w14:paraId="66175BCF" w14:textId="77777777" w:rsidR="00201048" w:rsidRPr="00334DA7" w:rsidRDefault="001272F6" w:rsidP="009107BC">
            <w:pPr>
              <w:pStyle w:val="TableHeading"/>
            </w:pPr>
            <w:r w:rsidRPr="00334DA7">
              <w:t>Conc</w:t>
            </w:r>
            <w:r w:rsidR="009107BC">
              <w:t>entration</w:t>
            </w:r>
            <w:r w:rsidRPr="00334DA7">
              <w:t xml:space="preserve"> (µg/L)</w:t>
            </w:r>
            <w:r w:rsidR="009107BC">
              <w:t> </w:t>
            </w:r>
            <w:r w:rsidR="00F713E2" w:rsidRPr="009107BC">
              <w:rPr>
                <w:rStyle w:val="Strong"/>
                <w:vertAlign w:val="superscript"/>
              </w:rPr>
              <w:t>b</w:t>
            </w:r>
          </w:p>
        </w:tc>
        <w:tc>
          <w:tcPr>
            <w:tcW w:w="622" w:type="pct"/>
            <w:tcBorders>
              <w:top w:val="single" w:sz="12" w:space="0" w:color="auto"/>
              <w:bottom w:val="single" w:sz="12" w:space="0" w:color="auto"/>
            </w:tcBorders>
            <w:shd w:val="clear" w:color="auto" w:fill="auto"/>
          </w:tcPr>
          <w:p w14:paraId="66175BD0" w14:textId="77777777" w:rsidR="00201048" w:rsidRPr="00334DA7" w:rsidRDefault="001272F6" w:rsidP="00334DA7">
            <w:pPr>
              <w:pStyle w:val="TableHeading"/>
            </w:pPr>
            <w:r w:rsidRPr="00334DA7">
              <w:t>Reference</w:t>
            </w:r>
          </w:p>
        </w:tc>
      </w:tr>
      <w:tr w:rsidR="00B82CEC" w14:paraId="66175BDE" w14:textId="77777777" w:rsidTr="0067492A">
        <w:trPr>
          <w:cantSplit/>
        </w:trPr>
        <w:tc>
          <w:tcPr>
            <w:tcW w:w="438" w:type="pct"/>
            <w:vMerge w:val="restart"/>
            <w:tcBorders>
              <w:top w:val="single" w:sz="12" w:space="0" w:color="auto"/>
            </w:tcBorders>
            <w:shd w:val="clear" w:color="auto" w:fill="auto"/>
          </w:tcPr>
          <w:p w14:paraId="66175BD2" w14:textId="77777777" w:rsidR="00334DA7" w:rsidRPr="00E46244" w:rsidRDefault="001272F6" w:rsidP="00334DA7">
            <w:pPr>
              <w:pStyle w:val="TableText"/>
              <w:rPr>
                <w:rFonts w:ascii="Myriad Pro" w:hAnsi="Myriad Pro"/>
                <w:highlight w:val="yellow"/>
              </w:rPr>
            </w:pPr>
            <w:r>
              <w:t>Amphibian</w:t>
            </w:r>
          </w:p>
        </w:tc>
        <w:tc>
          <w:tcPr>
            <w:tcW w:w="584" w:type="pct"/>
            <w:tcBorders>
              <w:top w:val="single" w:sz="12" w:space="0" w:color="auto"/>
            </w:tcBorders>
            <w:shd w:val="clear" w:color="auto" w:fill="auto"/>
          </w:tcPr>
          <w:p w14:paraId="66175BD3" w14:textId="77777777" w:rsidR="00334DA7" w:rsidRPr="009107BC" w:rsidRDefault="001272F6" w:rsidP="009107BC">
            <w:pPr>
              <w:pStyle w:val="TableText"/>
              <w:rPr>
                <w:rStyle w:val="Emphasis"/>
                <w:highlight w:val="yellow"/>
              </w:rPr>
            </w:pPr>
            <w:r w:rsidRPr="009107BC">
              <w:rPr>
                <w:rStyle w:val="Emphasis"/>
              </w:rPr>
              <w:t>Margalefidinium polykrikoides</w:t>
            </w:r>
          </w:p>
        </w:tc>
        <w:tc>
          <w:tcPr>
            <w:tcW w:w="340" w:type="pct"/>
            <w:tcBorders>
              <w:top w:val="single" w:sz="12" w:space="0" w:color="auto"/>
            </w:tcBorders>
            <w:shd w:val="clear" w:color="auto" w:fill="auto"/>
          </w:tcPr>
          <w:p w14:paraId="66175BD4" w14:textId="77777777" w:rsidR="00334DA7" w:rsidRPr="00E46244" w:rsidRDefault="001272F6" w:rsidP="00334DA7">
            <w:pPr>
              <w:pStyle w:val="TableText"/>
              <w:rPr>
                <w:rFonts w:ascii="Myriad Pro" w:hAnsi="Myriad Pro"/>
                <w:highlight w:val="yellow"/>
              </w:rPr>
            </w:pPr>
            <w:r>
              <w:t>–</w:t>
            </w:r>
          </w:p>
        </w:tc>
        <w:tc>
          <w:tcPr>
            <w:tcW w:w="487" w:type="pct"/>
            <w:tcBorders>
              <w:top w:val="single" w:sz="12" w:space="0" w:color="auto"/>
            </w:tcBorders>
            <w:shd w:val="clear" w:color="auto" w:fill="auto"/>
          </w:tcPr>
          <w:p w14:paraId="66175BD5" w14:textId="77777777" w:rsidR="00334DA7" w:rsidRPr="00E46244" w:rsidRDefault="001272F6" w:rsidP="00334DA7">
            <w:pPr>
              <w:pStyle w:val="TableText"/>
              <w:rPr>
                <w:rFonts w:ascii="Myriad Pro" w:hAnsi="Myriad Pro"/>
                <w:highlight w:val="yellow"/>
              </w:rPr>
            </w:pPr>
            <w:r w:rsidRPr="00872EC2">
              <w:t>72</w:t>
            </w:r>
          </w:p>
        </w:tc>
        <w:tc>
          <w:tcPr>
            <w:tcW w:w="340" w:type="pct"/>
            <w:tcBorders>
              <w:top w:val="single" w:sz="12" w:space="0" w:color="auto"/>
            </w:tcBorders>
            <w:shd w:val="clear" w:color="auto" w:fill="auto"/>
          </w:tcPr>
          <w:p w14:paraId="66175BD6" w14:textId="77777777" w:rsidR="00334DA7" w:rsidRPr="00E46244" w:rsidRDefault="001272F6" w:rsidP="00334DA7">
            <w:pPr>
              <w:pStyle w:val="TableText"/>
              <w:rPr>
                <w:rFonts w:ascii="Myriad Pro" w:hAnsi="Myriad Pro"/>
                <w:highlight w:val="yellow"/>
              </w:rPr>
            </w:pPr>
            <w:r w:rsidRPr="00872EC2">
              <w:t>Chronic</w:t>
            </w:r>
          </w:p>
        </w:tc>
        <w:tc>
          <w:tcPr>
            <w:tcW w:w="535" w:type="pct"/>
            <w:tcBorders>
              <w:top w:val="single" w:sz="12" w:space="0" w:color="auto"/>
            </w:tcBorders>
            <w:shd w:val="clear" w:color="auto" w:fill="auto"/>
          </w:tcPr>
          <w:p w14:paraId="66175BD7" w14:textId="77777777" w:rsidR="00334DA7" w:rsidRPr="00E46244" w:rsidRDefault="001272F6" w:rsidP="00334DA7">
            <w:pPr>
              <w:pStyle w:val="TableText"/>
              <w:rPr>
                <w:rFonts w:ascii="Myriad Pro" w:hAnsi="Myriad Pro"/>
                <w:highlight w:val="yellow"/>
              </w:rPr>
            </w:pPr>
            <w:r>
              <w:t>EC10</w:t>
            </w:r>
            <w:r w:rsidR="0067492A">
              <w:t xml:space="preserve"> </w:t>
            </w:r>
            <w:r w:rsidRPr="00872EC2">
              <w:t>(Cell count)</w:t>
            </w:r>
          </w:p>
        </w:tc>
        <w:tc>
          <w:tcPr>
            <w:tcW w:w="389" w:type="pct"/>
            <w:tcBorders>
              <w:top w:val="single" w:sz="12" w:space="0" w:color="auto"/>
            </w:tcBorders>
            <w:shd w:val="clear" w:color="auto" w:fill="auto"/>
          </w:tcPr>
          <w:p w14:paraId="66175BD8" w14:textId="77777777" w:rsidR="00334DA7" w:rsidRPr="00E46244" w:rsidRDefault="001272F6" w:rsidP="00334DA7">
            <w:pPr>
              <w:pStyle w:val="TableText"/>
              <w:rPr>
                <w:rFonts w:ascii="Myriad Pro" w:hAnsi="Myriad Pro"/>
                <w:highlight w:val="yellow"/>
              </w:rPr>
            </w:pPr>
            <w:r w:rsidRPr="00872EC2">
              <w:t>Filtered sea water</w:t>
            </w:r>
          </w:p>
        </w:tc>
        <w:tc>
          <w:tcPr>
            <w:tcW w:w="292" w:type="pct"/>
            <w:tcBorders>
              <w:top w:val="single" w:sz="12" w:space="0" w:color="auto"/>
            </w:tcBorders>
            <w:shd w:val="clear" w:color="auto" w:fill="auto"/>
          </w:tcPr>
          <w:p w14:paraId="66175BD9" w14:textId="77777777" w:rsidR="00334DA7" w:rsidRPr="00E46244" w:rsidRDefault="001272F6" w:rsidP="00334DA7">
            <w:pPr>
              <w:pStyle w:val="TableText"/>
              <w:rPr>
                <w:rFonts w:ascii="Myriad Pro" w:hAnsi="Myriad Pro"/>
                <w:highlight w:val="yellow"/>
              </w:rPr>
            </w:pPr>
            <w:r w:rsidRPr="00872EC2">
              <w:t>20</w:t>
            </w:r>
          </w:p>
        </w:tc>
        <w:tc>
          <w:tcPr>
            <w:tcW w:w="292" w:type="pct"/>
            <w:tcBorders>
              <w:top w:val="single" w:sz="12" w:space="0" w:color="auto"/>
            </w:tcBorders>
            <w:shd w:val="clear" w:color="auto" w:fill="auto"/>
          </w:tcPr>
          <w:p w14:paraId="66175BDA" w14:textId="77777777" w:rsidR="00334DA7" w:rsidRPr="00E46244" w:rsidRDefault="001272F6" w:rsidP="00334DA7">
            <w:pPr>
              <w:pStyle w:val="TableText"/>
              <w:rPr>
                <w:rFonts w:ascii="Myriad Pro" w:hAnsi="Myriad Pro"/>
                <w:highlight w:val="yellow"/>
              </w:rPr>
            </w:pPr>
            <w:r>
              <w:t>–</w:t>
            </w:r>
          </w:p>
        </w:tc>
        <w:tc>
          <w:tcPr>
            <w:tcW w:w="195" w:type="pct"/>
            <w:tcBorders>
              <w:top w:val="single" w:sz="12" w:space="0" w:color="auto"/>
            </w:tcBorders>
            <w:shd w:val="clear" w:color="auto" w:fill="auto"/>
          </w:tcPr>
          <w:p w14:paraId="66175BDB" w14:textId="77777777" w:rsidR="00334DA7" w:rsidRPr="00E46244" w:rsidRDefault="001272F6" w:rsidP="00334DA7">
            <w:pPr>
              <w:pStyle w:val="TableText"/>
              <w:rPr>
                <w:rFonts w:ascii="Myriad Pro" w:hAnsi="Myriad Pro"/>
                <w:highlight w:val="yellow"/>
              </w:rPr>
            </w:pPr>
            <w:r>
              <w:t>–</w:t>
            </w:r>
          </w:p>
        </w:tc>
        <w:tc>
          <w:tcPr>
            <w:tcW w:w="486" w:type="pct"/>
            <w:tcBorders>
              <w:top w:val="single" w:sz="12" w:space="0" w:color="auto"/>
            </w:tcBorders>
            <w:shd w:val="clear" w:color="auto" w:fill="auto"/>
          </w:tcPr>
          <w:p w14:paraId="66175BDC" w14:textId="77777777" w:rsidR="00334DA7" w:rsidRPr="00E46244" w:rsidRDefault="001272F6" w:rsidP="00334DA7">
            <w:pPr>
              <w:pStyle w:val="TableText"/>
              <w:rPr>
                <w:rFonts w:ascii="Myriad Pro" w:hAnsi="Myriad Pro"/>
                <w:highlight w:val="yellow"/>
              </w:rPr>
            </w:pPr>
            <w:r w:rsidRPr="00872EC2">
              <w:t>3</w:t>
            </w:r>
            <w:r w:rsidR="000208E1">
              <w:t> </w:t>
            </w:r>
            <w:r w:rsidRPr="00872EC2">
              <w:t>470</w:t>
            </w:r>
          </w:p>
        </w:tc>
        <w:tc>
          <w:tcPr>
            <w:tcW w:w="622" w:type="pct"/>
            <w:tcBorders>
              <w:top w:val="single" w:sz="12" w:space="0" w:color="auto"/>
            </w:tcBorders>
            <w:shd w:val="clear" w:color="auto" w:fill="auto"/>
          </w:tcPr>
          <w:p w14:paraId="66175BDD" w14:textId="77777777" w:rsidR="00334DA7" w:rsidRPr="00E46244" w:rsidRDefault="001272F6" w:rsidP="009107BC">
            <w:pPr>
              <w:pStyle w:val="TableText"/>
              <w:rPr>
                <w:rFonts w:ascii="Myriad Pro" w:hAnsi="Myriad Pro"/>
                <w:highlight w:val="yellow"/>
              </w:rPr>
            </w:pPr>
            <w:r w:rsidRPr="00872EC2">
              <w:t xml:space="preserve">Ebenezer </w:t>
            </w:r>
            <w:r w:rsidR="009107BC">
              <w:t>&amp;</w:t>
            </w:r>
            <w:r w:rsidRPr="00872EC2">
              <w:t xml:space="preserve"> Ki </w:t>
            </w:r>
            <w:r w:rsidR="000A12EB">
              <w:t>(</w:t>
            </w:r>
            <w:r w:rsidRPr="00872EC2">
              <w:t>2012</w:t>
            </w:r>
            <w:r w:rsidR="000A12EB">
              <w:t>)</w:t>
            </w:r>
          </w:p>
        </w:tc>
      </w:tr>
      <w:tr w:rsidR="00B82CEC" w14:paraId="66175BEB" w14:textId="77777777" w:rsidTr="0067492A">
        <w:trPr>
          <w:cantSplit/>
        </w:trPr>
        <w:tc>
          <w:tcPr>
            <w:tcW w:w="438" w:type="pct"/>
            <w:vMerge/>
            <w:shd w:val="clear" w:color="auto" w:fill="auto"/>
          </w:tcPr>
          <w:p w14:paraId="66175BDF" w14:textId="77777777" w:rsidR="00334DA7" w:rsidRPr="00E46244" w:rsidRDefault="00334DA7" w:rsidP="00334DA7">
            <w:pPr>
              <w:pStyle w:val="TableText"/>
              <w:rPr>
                <w:rFonts w:ascii="Myriad Pro" w:hAnsi="Myriad Pro"/>
                <w:highlight w:val="yellow"/>
              </w:rPr>
            </w:pPr>
          </w:p>
        </w:tc>
        <w:tc>
          <w:tcPr>
            <w:tcW w:w="584" w:type="pct"/>
            <w:shd w:val="clear" w:color="auto" w:fill="auto"/>
          </w:tcPr>
          <w:p w14:paraId="66175BE0" w14:textId="77777777" w:rsidR="00334DA7" w:rsidRPr="009107BC" w:rsidRDefault="001272F6" w:rsidP="009107BC">
            <w:pPr>
              <w:pStyle w:val="TableText"/>
              <w:rPr>
                <w:rStyle w:val="Emphasis"/>
                <w:highlight w:val="yellow"/>
              </w:rPr>
            </w:pPr>
            <w:r w:rsidRPr="009107BC">
              <w:rPr>
                <w:rStyle w:val="Emphasis"/>
              </w:rPr>
              <w:t>Prorocentrum cordatum</w:t>
            </w:r>
          </w:p>
        </w:tc>
        <w:tc>
          <w:tcPr>
            <w:tcW w:w="340" w:type="pct"/>
            <w:shd w:val="clear" w:color="auto" w:fill="auto"/>
          </w:tcPr>
          <w:p w14:paraId="66175BE1" w14:textId="77777777" w:rsidR="00334DA7" w:rsidRPr="00E46244" w:rsidRDefault="001272F6" w:rsidP="00334DA7">
            <w:pPr>
              <w:pStyle w:val="TableText"/>
              <w:rPr>
                <w:rFonts w:ascii="Myriad Pro" w:hAnsi="Myriad Pro"/>
                <w:highlight w:val="yellow"/>
              </w:rPr>
            </w:pPr>
            <w:r>
              <w:t>–</w:t>
            </w:r>
          </w:p>
        </w:tc>
        <w:tc>
          <w:tcPr>
            <w:tcW w:w="487" w:type="pct"/>
            <w:shd w:val="clear" w:color="auto" w:fill="auto"/>
          </w:tcPr>
          <w:p w14:paraId="66175BE2" w14:textId="77777777" w:rsidR="00334DA7" w:rsidRPr="00E46244" w:rsidRDefault="001272F6" w:rsidP="00334DA7">
            <w:pPr>
              <w:pStyle w:val="TableText"/>
              <w:rPr>
                <w:rFonts w:ascii="Myriad Pro" w:hAnsi="Myriad Pro"/>
                <w:highlight w:val="yellow"/>
              </w:rPr>
            </w:pPr>
            <w:r w:rsidRPr="00872EC2">
              <w:t>72</w:t>
            </w:r>
          </w:p>
        </w:tc>
        <w:tc>
          <w:tcPr>
            <w:tcW w:w="340" w:type="pct"/>
            <w:shd w:val="clear" w:color="auto" w:fill="auto"/>
          </w:tcPr>
          <w:p w14:paraId="66175BE3" w14:textId="77777777" w:rsidR="00334DA7" w:rsidRPr="00E46244" w:rsidRDefault="001272F6" w:rsidP="00334DA7">
            <w:pPr>
              <w:pStyle w:val="TableText"/>
              <w:rPr>
                <w:rFonts w:ascii="Myriad Pro" w:hAnsi="Myriad Pro"/>
                <w:highlight w:val="yellow"/>
              </w:rPr>
            </w:pPr>
            <w:r w:rsidRPr="00872EC2">
              <w:t>Chronic</w:t>
            </w:r>
          </w:p>
        </w:tc>
        <w:tc>
          <w:tcPr>
            <w:tcW w:w="535" w:type="pct"/>
            <w:shd w:val="clear" w:color="auto" w:fill="auto"/>
          </w:tcPr>
          <w:p w14:paraId="66175BE4" w14:textId="77777777" w:rsidR="00334DA7" w:rsidRPr="00E46244" w:rsidRDefault="001272F6" w:rsidP="00334DA7">
            <w:pPr>
              <w:pStyle w:val="TableText"/>
              <w:rPr>
                <w:rFonts w:ascii="Myriad Pro" w:hAnsi="Myriad Pro"/>
                <w:highlight w:val="yellow"/>
              </w:rPr>
            </w:pPr>
            <w:r>
              <w:t>EC50</w:t>
            </w:r>
            <w:r w:rsidR="0067492A">
              <w:t xml:space="preserve"> </w:t>
            </w:r>
            <w:r w:rsidRPr="00872EC2">
              <w:t>(Cell count)</w:t>
            </w:r>
          </w:p>
        </w:tc>
        <w:tc>
          <w:tcPr>
            <w:tcW w:w="389" w:type="pct"/>
            <w:shd w:val="clear" w:color="auto" w:fill="auto"/>
          </w:tcPr>
          <w:p w14:paraId="66175BE5" w14:textId="77777777" w:rsidR="00334DA7" w:rsidRPr="00E46244" w:rsidRDefault="001272F6" w:rsidP="00334DA7">
            <w:pPr>
              <w:pStyle w:val="TableText"/>
              <w:rPr>
                <w:rFonts w:ascii="Myriad Pro" w:hAnsi="Myriad Pro"/>
                <w:highlight w:val="yellow"/>
              </w:rPr>
            </w:pPr>
            <w:r w:rsidRPr="00872EC2">
              <w:t>Sea</w:t>
            </w:r>
            <w:r w:rsidR="00310D6A">
              <w:t xml:space="preserve"> </w:t>
            </w:r>
            <w:r w:rsidRPr="00872EC2">
              <w:t>water</w:t>
            </w:r>
          </w:p>
        </w:tc>
        <w:tc>
          <w:tcPr>
            <w:tcW w:w="292" w:type="pct"/>
            <w:shd w:val="clear" w:color="auto" w:fill="auto"/>
          </w:tcPr>
          <w:p w14:paraId="66175BE6" w14:textId="77777777" w:rsidR="00334DA7" w:rsidRPr="00E46244" w:rsidRDefault="001272F6" w:rsidP="00334DA7">
            <w:pPr>
              <w:pStyle w:val="TableText"/>
              <w:rPr>
                <w:rFonts w:ascii="Myriad Pro" w:hAnsi="Myriad Pro"/>
                <w:highlight w:val="yellow"/>
              </w:rPr>
            </w:pPr>
            <w:r w:rsidRPr="00872EC2">
              <w:t>20</w:t>
            </w:r>
          </w:p>
        </w:tc>
        <w:tc>
          <w:tcPr>
            <w:tcW w:w="292" w:type="pct"/>
            <w:shd w:val="clear" w:color="auto" w:fill="auto"/>
          </w:tcPr>
          <w:p w14:paraId="66175BE7" w14:textId="77777777" w:rsidR="00334DA7" w:rsidRPr="00E46244" w:rsidRDefault="001272F6" w:rsidP="00334DA7">
            <w:pPr>
              <w:pStyle w:val="TableText"/>
              <w:rPr>
                <w:rFonts w:ascii="Myriad Pro" w:hAnsi="Myriad Pro"/>
                <w:highlight w:val="yellow"/>
              </w:rPr>
            </w:pPr>
            <w:r>
              <w:t>–</w:t>
            </w:r>
          </w:p>
        </w:tc>
        <w:tc>
          <w:tcPr>
            <w:tcW w:w="195" w:type="pct"/>
            <w:shd w:val="clear" w:color="auto" w:fill="auto"/>
          </w:tcPr>
          <w:p w14:paraId="66175BE8" w14:textId="77777777" w:rsidR="00334DA7" w:rsidRPr="00E46244" w:rsidRDefault="001272F6" w:rsidP="00334DA7">
            <w:pPr>
              <w:pStyle w:val="TableText"/>
              <w:rPr>
                <w:rFonts w:ascii="Myriad Pro" w:hAnsi="Myriad Pro"/>
                <w:highlight w:val="yellow"/>
              </w:rPr>
            </w:pPr>
            <w:r>
              <w:t>–</w:t>
            </w:r>
          </w:p>
        </w:tc>
        <w:tc>
          <w:tcPr>
            <w:tcW w:w="486" w:type="pct"/>
            <w:shd w:val="clear" w:color="auto" w:fill="auto"/>
          </w:tcPr>
          <w:p w14:paraId="66175BE9" w14:textId="77777777" w:rsidR="00334DA7" w:rsidRPr="00E46244" w:rsidRDefault="001272F6" w:rsidP="00334DA7">
            <w:pPr>
              <w:pStyle w:val="TableText"/>
              <w:rPr>
                <w:rFonts w:ascii="Myriad Pro" w:hAnsi="Myriad Pro"/>
                <w:highlight w:val="yellow"/>
              </w:rPr>
            </w:pPr>
            <w:r w:rsidRPr="00872EC2">
              <w:t>1</w:t>
            </w:r>
            <w:r w:rsidR="000208E1">
              <w:t> </w:t>
            </w:r>
            <w:r w:rsidRPr="00872EC2">
              <w:t>510</w:t>
            </w:r>
            <w:r>
              <w:t xml:space="preserve"> </w:t>
            </w:r>
            <w:r w:rsidRPr="00012E22">
              <w:rPr>
                <w:rStyle w:val="Strong"/>
                <w:vertAlign w:val="superscript"/>
              </w:rPr>
              <w:t>c</w:t>
            </w:r>
          </w:p>
        </w:tc>
        <w:tc>
          <w:tcPr>
            <w:tcW w:w="622" w:type="pct"/>
            <w:shd w:val="clear" w:color="auto" w:fill="auto"/>
          </w:tcPr>
          <w:p w14:paraId="66175BEA" w14:textId="77777777" w:rsidR="00334DA7" w:rsidRPr="00E46244" w:rsidRDefault="001272F6" w:rsidP="00334DA7">
            <w:pPr>
              <w:pStyle w:val="TableText"/>
              <w:rPr>
                <w:rFonts w:ascii="Myriad Pro" w:hAnsi="Myriad Pro"/>
                <w:highlight w:val="yellow"/>
              </w:rPr>
            </w:pPr>
            <w:r w:rsidRPr="00872EC2">
              <w:t xml:space="preserve">Guo et al. </w:t>
            </w:r>
            <w:r w:rsidR="000A12EB">
              <w:t>(</w:t>
            </w:r>
            <w:r w:rsidRPr="00872EC2">
              <w:t>2012</w:t>
            </w:r>
            <w:r w:rsidR="000A12EB">
              <w:t>)</w:t>
            </w:r>
          </w:p>
        </w:tc>
      </w:tr>
      <w:tr w:rsidR="00B82CEC" w14:paraId="66175BF8" w14:textId="77777777" w:rsidTr="0067492A">
        <w:trPr>
          <w:cantSplit/>
        </w:trPr>
        <w:tc>
          <w:tcPr>
            <w:tcW w:w="438" w:type="pct"/>
            <w:vMerge w:val="restart"/>
            <w:shd w:val="clear" w:color="auto" w:fill="auto"/>
          </w:tcPr>
          <w:p w14:paraId="66175BEC" w14:textId="77777777" w:rsidR="00334DA7" w:rsidRPr="00E46244" w:rsidRDefault="001272F6" w:rsidP="00310D6A">
            <w:pPr>
              <w:pStyle w:val="TableText"/>
              <w:rPr>
                <w:rFonts w:ascii="Myriad Pro" w:hAnsi="Myriad Pro"/>
                <w:highlight w:val="yellow"/>
              </w:rPr>
            </w:pPr>
            <w:r w:rsidRPr="00872EC2">
              <w:t>Echinoderm</w:t>
            </w:r>
          </w:p>
        </w:tc>
        <w:tc>
          <w:tcPr>
            <w:tcW w:w="584" w:type="pct"/>
            <w:shd w:val="clear" w:color="auto" w:fill="auto"/>
          </w:tcPr>
          <w:p w14:paraId="66175BED" w14:textId="77777777" w:rsidR="00334DA7" w:rsidRPr="009107BC" w:rsidRDefault="001272F6" w:rsidP="009107BC">
            <w:pPr>
              <w:pStyle w:val="TableText"/>
              <w:rPr>
                <w:rStyle w:val="Emphasis"/>
                <w:highlight w:val="yellow"/>
              </w:rPr>
            </w:pPr>
            <w:r w:rsidRPr="009107BC">
              <w:rPr>
                <w:rStyle w:val="Emphasis"/>
              </w:rPr>
              <w:t>Hemicentrotus pulcherrimus</w:t>
            </w:r>
          </w:p>
        </w:tc>
        <w:tc>
          <w:tcPr>
            <w:tcW w:w="340" w:type="pct"/>
            <w:shd w:val="clear" w:color="auto" w:fill="auto"/>
          </w:tcPr>
          <w:p w14:paraId="66175BEE" w14:textId="77777777" w:rsidR="00334DA7" w:rsidRPr="00E46244" w:rsidRDefault="001272F6" w:rsidP="00334DA7">
            <w:pPr>
              <w:pStyle w:val="TableText"/>
              <w:rPr>
                <w:rFonts w:ascii="Myriad Pro" w:hAnsi="Myriad Pro"/>
                <w:highlight w:val="yellow"/>
              </w:rPr>
            </w:pPr>
            <w:r w:rsidRPr="00872EC2">
              <w:t>Juvenile</w:t>
            </w:r>
          </w:p>
        </w:tc>
        <w:tc>
          <w:tcPr>
            <w:tcW w:w="487" w:type="pct"/>
            <w:shd w:val="clear" w:color="auto" w:fill="auto"/>
          </w:tcPr>
          <w:p w14:paraId="66175BEF" w14:textId="77777777" w:rsidR="00334DA7" w:rsidRPr="00E46244" w:rsidRDefault="001272F6" w:rsidP="00334DA7">
            <w:pPr>
              <w:pStyle w:val="TableText"/>
              <w:rPr>
                <w:rFonts w:ascii="Myriad Pro" w:hAnsi="Myriad Pro"/>
                <w:highlight w:val="yellow"/>
              </w:rPr>
            </w:pPr>
            <w:r w:rsidRPr="00872EC2">
              <w:t>1</w:t>
            </w:r>
            <w:r w:rsidR="00310D6A">
              <w:t> </w:t>
            </w:r>
            <w:r w:rsidRPr="00872EC2">
              <w:t>920</w:t>
            </w:r>
          </w:p>
        </w:tc>
        <w:tc>
          <w:tcPr>
            <w:tcW w:w="340" w:type="pct"/>
            <w:shd w:val="clear" w:color="auto" w:fill="auto"/>
          </w:tcPr>
          <w:p w14:paraId="66175BF0" w14:textId="77777777" w:rsidR="00334DA7" w:rsidRPr="00E46244" w:rsidRDefault="001272F6" w:rsidP="00334DA7">
            <w:pPr>
              <w:pStyle w:val="TableText"/>
              <w:rPr>
                <w:rFonts w:ascii="Myriad Pro" w:hAnsi="Myriad Pro"/>
                <w:highlight w:val="yellow"/>
              </w:rPr>
            </w:pPr>
            <w:r w:rsidRPr="00872EC2">
              <w:t>Chronic</w:t>
            </w:r>
          </w:p>
        </w:tc>
        <w:tc>
          <w:tcPr>
            <w:tcW w:w="535" w:type="pct"/>
            <w:shd w:val="clear" w:color="auto" w:fill="auto"/>
          </w:tcPr>
          <w:p w14:paraId="66175BF1" w14:textId="77777777" w:rsidR="00334DA7" w:rsidRPr="00E46244" w:rsidRDefault="001272F6" w:rsidP="00334DA7">
            <w:pPr>
              <w:pStyle w:val="TableText"/>
              <w:rPr>
                <w:rFonts w:ascii="Myriad Pro" w:hAnsi="Myriad Pro"/>
                <w:highlight w:val="yellow"/>
              </w:rPr>
            </w:pPr>
            <w:r>
              <w:t>LOEC</w:t>
            </w:r>
            <w:r w:rsidR="0067492A">
              <w:t xml:space="preserve"> </w:t>
            </w:r>
            <w:r w:rsidRPr="00872EC2">
              <w:t>(Diameter)</w:t>
            </w:r>
          </w:p>
        </w:tc>
        <w:tc>
          <w:tcPr>
            <w:tcW w:w="389" w:type="pct"/>
            <w:shd w:val="clear" w:color="auto" w:fill="auto"/>
          </w:tcPr>
          <w:p w14:paraId="66175BF2" w14:textId="77777777" w:rsidR="00334DA7" w:rsidRPr="00E46244" w:rsidRDefault="001272F6" w:rsidP="00334DA7">
            <w:pPr>
              <w:pStyle w:val="TableText"/>
              <w:rPr>
                <w:rFonts w:ascii="Myriad Pro" w:hAnsi="Myriad Pro"/>
                <w:highlight w:val="yellow"/>
              </w:rPr>
            </w:pPr>
            <w:r w:rsidRPr="00872EC2">
              <w:t>Sea</w:t>
            </w:r>
            <w:r w:rsidR="00310D6A">
              <w:t xml:space="preserve"> </w:t>
            </w:r>
            <w:r w:rsidRPr="00872EC2">
              <w:t>water</w:t>
            </w:r>
          </w:p>
        </w:tc>
        <w:tc>
          <w:tcPr>
            <w:tcW w:w="292" w:type="pct"/>
            <w:shd w:val="clear" w:color="auto" w:fill="auto"/>
          </w:tcPr>
          <w:p w14:paraId="66175BF3" w14:textId="77777777" w:rsidR="00334DA7" w:rsidRPr="00E46244" w:rsidRDefault="001272F6" w:rsidP="00334DA7">
            <w:pPr>
              <w:pStyle w:val="TableText"/>
              <w:rPr>
                <w:rFonts w:ascii="Myriad Pro" w:hAnsi="Myriad Pro"/>
                <w:highlight w:val="yellow"/>
              </w:rPr>
            </w:pPr>
            <w:r w:rsidRPr="00872EC2">
              <w:t>18</w:t>
            </w:r>
          </w:p>
        </w:tc>
        <w:tc>
          <w:tcPr>
            <w:tcW w:w="292" w:type="pct"/>
            <w:shd w:val="clear" w:color="auto" w:fill="auto"/>
          </w:tcPr>
          <w:p w14:paraId="66175BF4" w14:textId="77777777" w:rsidR="00334DA7" w:rsidRPr="00E46244" w:rsidRDefault="001272F6" w:rsidP="00334DA7">
            <w:pPr>
              <w:pStyle w:val="TableText"/>
              <w:rPr>
                <w:rFonts w:ascii="Myriad Pro" w:hAnsi="Myriad Pro"/>
                <w:highlight w:val="yellow"/>
              </w:rPr>
            </w:pPr>
            <w:r>
              <w:t>–</w:t>
            </w:r>
          </w:p>
        </w:tc>
        <w:tc>
          <w:tcPr>
            <w:tcW w:w="195" w:type="pct"/>
            <w:shd w:val="clear" w:color="auto" w:fill="auto"/>
          </w:tcPr>
          <w:p w14:paraId="66175BF5" w14:textId="77777777" w:rsidR="00334DA7" w:rsidRPr="00E46244" w:rsidRDefault="001272F6" w:rsidP="00334DA7">
            <w:pPr>
              <w:pStyle w:val="TableText"/>
              <w:rPr>
                <w:rFonts w:ascii="Myriad Pro" w:hAnsi="Myriad Pro"/>
                <w:highlight w:val="yellow"/>
              </w:rPr>
            </w:pPr>
            <w:r>
              <w:t>–</w:t>
            </w:r>
          </w:p>
        </w:tc>
        <w:tc>
          <w:tcPr>
            <w:tcW w:w="486" w:type="pct"/>
            <w:shd w:val="clear" w:color="auto" w:fill="auto"/>
          </w:tcPr>
          <w:p w14:paraId="66175BF6" w14:textId="77777777" w:rsidR="00334DA7" w:rsidRPr="00E46244" w:rsidRDefault="001272F6" w:rsidP="00334DA7">
            <w:pPr>
              <w:pStyle w:val="TableText"/>
              <w:rPr>
                <w:rFonts w:ascii="Myriad Pro" w:hAnsi="Myriad Pro"/>
                <w:highlight w:val="yellow"/>
              </w:rPr>
            </w:pPr>
            <w:r w:rsidRPr="00872EC2">
              <w:t>114</w:t>
            </w:r>
            <w:r>
              <w:t xml:space="preserve"> </w:t>
            </w:r>
            <w:r w:rsidRPr="00012E22">
              <w:rPr>
                <w:rStyle w:val="Strong"/>
                <w:vertAlign w:val="superscript"/>
              </w:rPr>
              <w:t>d</w:t>
            </w:r>
          </w:p>
        </w:tc>
        <w:tc>
          <w:tcPr>
            <w:tcW w:w="622" w:type="pct"/>
            <w:shd w:val="clear" w:color="auto" w:fill="auto"/>
          </w:tcPr>
          <w:p w14:paraId="66175BF7" w14:textId="77777777" w:rsidR="00334DA7" w:rsidRPr="00E46244" w:rsidRDefault="001272F6" w:rsidP="00334DA7">
            <w:pPr>
              <w:pStyle w:val="TableText"/>
              <w:rPr>
                <w:rFonts w:ascii="Myriad Pro" w:hAnsi="Myriad Pro"/>
                <w:highlight w:val="yellow"/>
              </w:rPr>
            </w:pPr>
            <w:r w:rsidRPr="00872EC2">
              <w:t xml:space="preserve">Kiyomoto et al. </w:t>
            </w:r>
            <w:r w:rsidR="000A12EB">
              <w:t>(</w:t>
            </w:r>
            <w:r w:rsidRPr="00872EC2">
              <w:t>2006</w:t>
            </w:r>
            <w:r w:rsidR="000A12EB">
              <w:t>)</w:t>
            </w:r>
          </w:p>
        </w:tc>
      </w:tr>
      <w:tr w:rsidR="00B82CEC" w14:paraId="66175C05" w14:textId="77777777" w:rsidTr="0067492A">
        <w:trPr>
          <w:cantSplit/>
        </w:trPr>
        <w:tc>
          <w:tcPr>
            <w:tcW w:w="438" w:type="pct"/>
            <w:vMerge/>
            <w:shd w:val="clear" w:color="auto" w:fill="auto"/>
          </w:tcPr>
          <w:p w14:paraId="66175BF9" w14:textId="77777777" w:rsidR="00334DA7" w:rsidRPr="00E46244" w:rsidRDefault="00334DA7" w:rsidP="00334DA7">
            <w:pPr>
              <w:pStyle w:val="TableText"/>
              <w:rPr>
                <w:rFonts w:ascii="Myriad Pro" w:hAnsi="Myriad Pro"/>
                <w:highlight w:val="yellow"/>
              </w:rPr>
            </w:pPr>
          </w:p>
        </w:tc>
        <w:tc>
          <w:tcPr>
            <w:tcW w:w="584" w:type="pct"/>
            <w:shd w:val="clear" w:color="auto" w:fill="auto"/>
          </w:tcPr>
          <w:p w14:paraId="66175BFA" w14:textId="77777777" w:rsidR="00334DA7" w:rsidRPr="009107BC" w:rsidRDefault="001272F6" w:rsidP="009107BC">
            <w:pPr>
              <w:pStyle w:val="TableText"/>
              <w:rPr>
                <w:rStyle w:val="Emphasis"/>
                <w:highlight w:val="yellow"/>
              </w:rPr>
            </w:pPr>
            <w:r w:rsidRPr="009107BC">
              <w:rPr>
                <w:rStyle w:val="Emphasis"/>
              </w:rPr>
              <w:t>Strongylocentrotus purpuratus</w:t>
            </w:r>
          </w:p>
        </w:tc>
        <w:tc>
          <w:tcPr>
            <w:tcW w:w="340" w:type="pct"/>
            <w:shd w:val="clear" w:color="auto" w:fill="auto"/>
          </w:tcPr>
          <w:p w14:paraId="66175BFB" w14:textId="77777777" w:rsidR="00334DA7" w:rsidRPr="00E46244" w:rsidRDefault="001272F6" w:rsidP="00334DA7">
            <w:pPr>
              <w:pStyle w:val="TableText"/>
              <w:rPr>
                <w:rFonts w:ascii="Myriad Pro" w:hAnsi="Myriad Pro"/>
                <w:highlight w:val="yellow"/>
              </w:rPr>
            </w:pPr>
            <w:r w:rsidRPr="00872EC2">
              <w:t>Larvae</w:t>
            </w:r>
          </w:p>
        </w:tc>
        <w:tc>
          <w:tcPr>
            <w:tcW w:w="487" w:type="pct"/>
            <w:shd w:val="clear" w:color="auto" w:fill="auto"/>
          </w:tcPr>
          <w:p w14:paraId="66175BFC" w14:textId="77777777" w:rsidR="00334DA7" w:rsidRPr="00E46244" w:rsidRDefault="001272F6" w:rsidP="00334DA7">
            <w:pPr>
              <w:pStyle w:val="TableText"/>
              <w:rPr>
                <w:rFonts w:ascii="Myriad Pro" w:hAnsi="Myriad Pro"/>
                <w:highlight w:val="yellow"/>
              </w:rPr>
            </w:pPr>
            <w:r w:rsidRPr="00872EC2">
              <w:t>96</w:t>
            </w:r>
          </w:p>
        </w:tc>
        <w:tc>
          <w:tcPr>
            <w:tcW w:w="340" w:type="pct"/>
            <w:shd w:val="clear" w:color="auto" w:fill="auto"/>
          </w:tcPr>
          <w:p w14:paraId="66175BFD" w14:textId="77777777" w:rsidR="00334DA7" w:rsidRPr="00E46244" w:rsidRDefault="001272F6" w:rsidP="00334DA7">
            <w:pPr>
              <w:pStyle w:val="TableText"/>
              <w:rPr>
                <w:rFonts w:ascii="Myriad Pro" w:hAnsi="Myriad Pro"/>
                <w:highlight w:val="yellow"/>
              </w:rPr>
            </w:pPr>
            <w:r w:rsidRPr="00872EC2">
              <w:t>Chronic</w:t>
            </w:r>
          </w:p>
        </w:tc>
        <w:tc>
          <w:tcPr>
            <w:tcW w:w="535" w:type="pct"/>
            <w:shd w:val="clear" w:color="auto" w:fill="auto"/>
          </w:tcPr>
          <w:p w14:paraId="66175BFE" w14:textId="77777777" w:rsidR="00334DA7" w:rsidRPr="00E46244" w:rsidRDefault="001272F6" w:rsidP="00334DA7">
            <w:pPr>
              <w:pStyle w:val="TableText"/>
              <w:rPr>
                <w:rFonts w:ascii="Myriad Pro" w:hAnsi="Myriad Pro"/>
                <w:highlight w:val="yellow"/>
              </w:rPr>
            </w:pPr>
            <w:r>
              <w:t>EC50</w:t>
            </w:r>
            <w:r w:rsidR="0067492A">
              <w:t xml:space="preserve"> </w:t>
            </w:r>
            <w:r w:rsidRPr="00872EC2">
              <w:t>(Development)</w:t>
            </w:r>
          </w:p>
        </w:tc>
        <w:tc>
          <w:tcPr>
            <w:tcW w:w="389" w:type="pct"/>
            <w:shd w:val="clear" w:color="auto" w:fill="auto"/>
          </w:tcPr>
          <w:p w14:paraId="66175BFF" w14:textId="77777777" w:rsidR="00334DA7" w:rsidRPr="00E46244" w:rsidRDefault="001272F6" w:rsidP="00334DA7">
            <w:pPr>
              <w:pStyle w:val="TableText"/>
              <w:rPr>
                <w:rFonts w:ascii="Myriad Pro" w:hAnsi="Myriad Pro"/>
                <w:highlight w:val="yellow"/>
              </w:rPr>
            </w:pPr>
            <w:r w:rsidRPr="00872EC2">
              <w:t>Sea</w:t>
            </w:r>
            <w:r w:rsidR="00310D6A">
              <w:t xml:space="preserve"> </w:t>
            </w:r>
            <w:r w:rsidRPr="00872EC2">
              <w:t>water and solvent</w:t>
            </w:r>
          </w:p>
        </w:tc>
        <w:tc>
          <w:tcPr>
            <w:tcW w:w="292" w:type="pct"/>
            <w:shd w:val="clear" w:color="auto" w:fill="auto"/>
          </w:tcPr>
          <w:p w14:paraId="66175C00" w14:textId="77777777" w:rsidR="00334DA7" w:rsidRPr="00E46244" w:rsidRDefault="001272F6" w:rsidP="00334DA7">
            <w:pPr>
              <w:pStyle w:val="TableText"/>
              <w:rPr>
                <w:rFonts w:ascii="Myriad Pro" w:hAnsi="Myriad Pro"/>
                <w:highlight w:val="yellow"/>
              </w:rPr>
            </w:pPr>
            <w:r w:rsidRPr="00872EC2">
              <w:t>17</w:t>
            </w:r>
          </w:p>
        </w:tc>
        <w:tc>
          <w:tcPr>
            <w:tcW w:w="292" w:type="pct"/>
            <w:shd w:val="clear" w:color="auto" w:fill="auto"/>
          </w:tcPr>
          <w:p w14:paraId="66175C01" w14:textId="77777777" w:rsidR="00334DA7" w:rsidRPr="00E46244" w:rsidRDefault="001272F6" w:rsidP="00334DA7">
            <w:pPr>
              <w:pStyle w:val="TableText"/>
              <w:rPr>
                <w:rFonts w:ascii="Myriad Pro" w:hAnsi="Myriad Pro"/>
                <w:highlight w:val="yellow"/>
              </w:rPr>
            </w:pPr>
            <w:r>
              <w:t>–</w:t>
            </w:r>
          </w:p>
        </w:tc>
        <w:tc>
          <w:tcPr>
            <w:tcW w:w="195" w:type="pct"/>
            <w:shd w:val="clear" w:color="auto" w:fill="auto"/>
          </w:tcPr>
          <w:p w14:paraId="66175C02" w14:textId="77777777" w:rsidR="00334DA7" w:rsidRPr="00E46244" w:rsidRDefault="001272F6" w:rsidP="00334DA7">
            <w:pPr>
              <w:pStyle w:val="TableText"/>
              <w:rPr>
                <w:rFonts w:ascii="Myriad Pro" w:hAnsi="Myriad Pro"/>
                <w:highlight w:val="yellow"/>
              </w:rPr>
            </w:pPr>
            <w:r>
              <w:t>–</w:t>
            </w:r>
          </w:p>
        </w:tc>
        <w:tc>
          <w:tcPr>
            <w:tcW w:w="486" w:type="pct"/>
            <w:shd w:val="clear" w:color="auto" w:fill="auto"/>
          </w:tcPr>
          <w:p w14:paraId="66175C03" w14:textId="77777777" w:rsidR="00334DA7" w:rsidRPr="00E46244" w:rsidRDefault="001272F6" w:rsidP="00334DA7">
            <w:pPr>
              <w:pStyle w:val="TableText"/>
              <w:rPr>
                <w:rFonts w:ascii="Myriad Pro" w:hAnsi="Myriad Pro"/>
                <w:highlight w:val="yellow"/>
              </w:rPr>
            </w:pPr>
            <w:r w:rsidRPr="00872EC2">
              <w:t>226.5</w:t>
            </w:r>
            <w:r>
              <w:t xml:space="preserve"> </w:t>
            </w:r>
            <w:r w:rsidRPr="00012E22">
              <w:rPr>
                <w:rStyle w:val="Strong"/>
                <w:vertAlign w:val="superscript"/>
              </w:rPr>
              <w:t>c</w:t>
            </w:r>
          </w:p>
        </w:tc>
        <w:tc>
          <w:tcPr>
            <w:tcW w:w="622" w:type="pct"/>
            <w:shd w:val="clear" w:color="auto" w:fill="auto"/>
          </w:tcPr>
          <w:p w14:paraId="66175C04" w14:textId="77777777" w:rsidR="00334DA7" w:rsidRPr="00E46244" w:rsidRDefault="001272F6" w:rsidP="00334DA7">
            <w:pPr>
              <w:pStyle w:val="TableText"/>
              <w:rPr>
                <w:rFonts w:ascii="Myriad Pro" w:hAnsi="Myriad Pro"/>
                <w:highlight w:val="yellow"/>
              </w:rPr>
            </w:pPr>
            <w:r w:rsidRPr="00872EC2">
              <w:t xml:space="preserve">Roepke et al. </w:t>
            </w:r>
            <w:r w:rsidR="000A12EB">
              <w:t>(</w:t>
            </w:r>
            <w:r w:rsidRPr="00872EC2">
              <w:t>2005</w:t>
            </w:r>
            <w:r w:rsidR="000A12EB">
              <w:t>)</w:t>
            </w:r>
          </w:p>
        </w:tc>
      </w:tr>
      <w:tr w:rsidR="00B82CEC" w14:paraId="66175C12" w14:textId="77777777" w:rsidTr="0067492A">
        <w:trPr>
          <w:cantSplit/>
        </w:trPr>
        <w:tc>
          <w:tcPr>
            <w:tcW w:w="438" w:type="pct"/>
            <w:vMerge/>
            <w:shd w:val="clear" w:color="auto" w:fill="auto"/>
          </w:tcPr>
          <w:p w14:paraId="66175C06" w14:textId="77777777" w:rsidR="00334DA7" w:rsidRPr="00E46244" w:rsidRDefault="00334DA7" w:rsidP="00334DA7">
            <w:pPr>
              <w:pStyle w:val="TableText"/>
              <w:rPr>
                <w:rFonts w:ascii="Myriad Pro" w:hAnsi="Myriad Pro"/>
                <w:highlight w:val="yellow"/>
              </w:rPr>
            </w:pPr>
          </w:p>
        </w:tc>
        <w:tc>
          <w:tcPr>
            <w:tcW w:w="584" w:type="pct"/>
            <w:shd w:val="clear" w:color="auto" w:fill="auto"/>
          </w:tcPr>
          <w:p w14:paraId="66175C07" w14:textId="77777777" w:rsidR="00334DA7" w:rsidRPr="009107BC" w:rsidRDefault="001272F6" w:rsidP="009107BC">
            <w:pPr>
              <w:pStyle w:val="TableText"/>
              <w:rPr>
                <w:rStyle w:val="Emphasis"/>
                <w:highlight w:val="yellow"/>
              </w:rPr>
            </w:pPr>
            <w:r w:rsidRPr="009107BC">
              <w:rPr>
                <w:rStyle w:val="Emphasis"/>
              </w:rPr>
              <w:t>Paracentrotus lividus</w:t>
            </w:r>
          </w:p>
        </w:tc>
        <w:tc>
          <w:tcPr>
            <w:tcW w:w="340" w:type="pct"/>
            <w:shd w:val="clear" w:color="auto" w:fill="auto"/>
          </w:tcPr>
          <w:p w14:paraId="66175C08" w14:textId="77777777" w:rsidR="00334DA7" w:rsidRPr="00E46244" w:rsidRDefault="001272F6" w:rsidP="00334DA7">
            <w:pPr>
              <w:pStyle w:val="TableText"/>
              <w:rPr>
                <w:rFonts w:ascii="Myriad Pro" w:hAnsi="Myriad Pro"/>
                <w:highlight w:val="yellow"/>
              </w:rPr>
            </w:pPr>
            <w:r w:rsidRPr="00872EC2">
              <w:t>Embryo</w:t>
            </w:r>
          </w:p>
        </w:tc>
        <w:tc>
          <w:tcPr>
            <w:tcW w:w="487" w:type="pct"/>
            <w:shd w:val="clear" w:color="auto" w:fill="auto"/>
          </w:tcPr>
          <w:p w14:paraId="66175C09" w14:textId="77777777" w:rsidR="00334DA7" w:rsidRPr="00E46244" w:rsidRDefault="001272F6" w:rsidP="00334DA7">
            <w:pPr>
              <w:pStyle w:val="TableText"/>
              <w:rPr>
                <w:rFonts w:ascii="Myriad Pro" w:hAnsi="Myriad Pro"/>
                <w:highlight w:val="yellow"/>
              </w:rPr>
            </w:pPr>
            <w:r>
              <w:t>0.5</w:t>
            </w:r>
          </w:p>
        </w:tc>
        <w:tc>
          <w:tcPr>
            <w:tcW w:w="340" w:type="pct"/>
            <w:shd w:val="clear" w:color="auto" w:fill="auto"/>
          </w:tcPr>
          <w:p w14:paraId="66175C0A" w14:textId="77777777" w:rsidR="00334DA7" w:rsidRPr="00E46244" w:rsidRDefault="001272F6" w:rsidP="00334DA7">
            <w:pPr>
              <w:pStyle w:val="TableText"/>
              <w:rPr>
                <w:rFonts w:ascii="Myriad Pro" w:hAnsi="Myriad Pro"/>
                <w:highlight w:val="yellow"/>
              </w:rPr>
            </w:pPr>
            <w:r>
              <w:t>Acute</w:t>
            </w:r>
          </w:p>
        </w:tc>
        <w:tc>
          <w:tcPr>
            <w:tcW w:w="535" w:type="pct"/>
            <w:shd w:val="clear" w:color="auto" w:fill="auto"/>
          </w:tcPr>
          <w:p w14:paraId="66175C0B" w14:textId="77777777" w:rsidR="00334DA7" w:rsidRPr="00E46244" w:rsidRDefault="001272F6" w:rsidP="00334DA7">
            <w:pPr>
              <w:pStyle w:val="TableText"/>
              <w:rPr>
                <w:rFonts w:ascii="Myriad Pro" w:hAnsi="Myriad Pro"/>
                <w:highlight w:val="yellow"/>
              </w:rPr>
            </w:pPr>
            <w:r>
              <w:t>EC50</w:t>
            </w:r>
            <w:r w:rsidR="0067492A">
              <w:t xml:space="preserve"> </w:t>
            </w:r>
            <w:r w:rsidRPr="00872EC2">
              <w:t>(Development)</w:t>
            </w:r>
          </w:p>
        </w:tc>
        <w:tc>
          <w:tcPr>
            <w:tcW w:w="389" w:type="pct"/>
            <w:shd w:val="clear" w:color="auto" w:fill="auto"/>
          </w:tcPr>
          <w:p w14:paraId="66175C0C" w14:textId="77777777" w:rsidR="00334DA7" w:rsidRPr="00E46244" w:rsidRDefault="001272F6" w:rsidP="00334DA7">
            <w:pPr>
              <w:pStyle w:val="TableText"/>
              <w:rPr>
                <w:rFonts w:ascii="Myriad Pro" w:hAnsi="Myriad Pro"/>
                <w:highlight w:val="yellow"/>
              </w:rPr>
            </w:pPr>
            <w:r w:rsidRPr="00872EC2">
              <w:t>Filtered sea water</w:t>
            </w:r>
          </w:p>
        </w:tc>
        <w:tc>
          <w:tcPr>
            <w:tcW w:w="292" w:type="pct"/>
            <w:shd w:val="clear" w:color="auto" w:fill="auto"/>
          </w:tcPr>
          <w:p w14:paraId="66175C0D" w14:textId="77777777" w:rsidR="00334DA7" w:rsidRPr="00E46244" w:rsidRDefault="001272F6" w:rsidP="00334DA7">
            <w:pPr>
              <w:pStyle w:val="TableText"/>
              <w:rPr>
                <w:rFonts w:ascii="Myriad Pro" w:hAnsi="Myriad Pro"/>
                <w:highlight w:val="yellow"/>
              </w:rPr>
            </w:pPr>
            <w:r>
              <w:t>16</w:t>
            </w:r>
          </w:p>
        </w:tc>
        <w:tc>
          <w:tcPr>
            <w:tcW w:w="292" w:type="pct"/>
            <w:shd w:val="clear" w:color="auto" w:fill="auto"/>
          </w:tcPr>
          <w:p w14:paraId="66175C0E" w14:textId="77777777" w:rsidR="00334DA7" w:rsidRPr="00E46244" w:rsidRDefault="001272F6" w:rsidP="00334DA7">
            <w:pPr>
              <w:pStyle w:val="TableText"/>
              <w:rPr>
                <w:rFonts w:ascii="Myriad Pro" w:hAnsi="Myriad Pro"/>
                <w:highlight w:val="yellow"/>
              </w:rPr>
            </w:pPr>
            <w:r>
              <w:t>–</w:t>
            </w:r>
          </w:p>
        </w:tc>
        <w:tc>
          <w:tcPr>
            <w:tcW w:w="195" w:type="pct"/>
            <w:shd w:val="clear" w:color="auto" w:fill="auto"/>
          </w:tcPr>
          <w:p w14:paraId="66175C0F" w14:textId="77777777" w:rsidR="00334DA7" w:rsidRPr="00E46244" w:rsidRDefault="001272F6" w:rsidP="00334DA7">
            <w:pPr>
              <w:pStyle w:val="TableText"/>
              <w:rPr>
                <w:rFonts w:ascii="Myriad Pro" w:hAnsi="Myriad Pro"/>
                <w:highlight w:val="yellow"/>
              </w:rPr>
            </w:pPr>
            <w:r>
              <w:t>–</w:t>
            </w:r>
          </w:p>
        </w:tc>
        <w:tc>
          <w:tcPr>
            <w:tcW w:w="486" w:type="pct"/>
            <w:shd w:val="clear" w:color="auto" w:fill="auto"/>
          </w:tcPr>
          <w:p w14:paraId="66175C10" w14:textId="77777777" w:rsidR="00334DA7" w:rsidRPr="00E46244" w:rsidRDefault="001272F6" w:rsidP="00334DA7">
            <w:pPr>
              <w:pStyle w:val="TableText"/>
              <w:rPr>
                <w:rFonts w:ascii="Myriad Pro" w:hAnsi="Myriad Pro"/>
                <w:highlight w:val="yellow"/>
              </w:rPr>
            </w:pPr>
            <w:r>
              <w:t xml:space="preserve">388 </w:t>
            </w:r>
            <w:r w:rsidRPr="00012E22">
              <w:rPr>
                <w:rStyle w:val="Strong"/>
                <w:vertAlign w:val="superscript"/>
              </w:rPr>
              <w:t>e</w:t>
            </w:r>
          </w:p>
        </w:tc>
        <w:tc>
          <w:tcPr>
            <w:tcW w:w="622" w:type="pct"/>
            <w:shd w:val="clear" w:color="auto" w:fill="auto"/>
          </w:tcPr>
          <w:p w14:paraId="66175C11" w14:textId="77777777" w:rsidR="00334DA7" w:rsidRPr="00E46244" w:rsidRDefault="001272F6" w:rsidP="00334DA7">
            <w:pPr>
              <w:pStyle w:val="TableText"/>
              <w:rPr>
                <w:rFonts w:ascii="Myriad Pro" w:hAnsi="Myriad Pro"/>
                <w:highlight w:val="yellow"/>
              </w:rPr>
            </w:pPr>
            <w:r>
              <w:t xml:space="preserve">Bosnjak et al. </w:t>
            </w:r>
            <w:r w:rsidR="000A12EB">
              <w:t>(</w:t>
            </w:r>
            <w:r>
              <w:t>2014</w:t>
            </w:r>
            <w:r w:rsidR="000A12EB">
              <w:t>)</w:t>
            </w:r>
          </w:p>
        </w:tc>
      </w:tr>
      <w:tr w:rsidR="00B82CEC" w14:paraId="66175C1F" w14:textId="77777777" w:rsidTr="0067492A">
        <w:trPr>
          <w:cantSplit/>
        </w:trPr>
        <w:tc>
          <w:tcPr>
            <w:tcW w:w="438" w:type="pct"/>
            <w:vMerge w:val="restart"/>
            <w:shd w:val="clear" w:color="auto" w:fill="auto"/>
          </w:tcPr>
          <w:p w14:paraId="66175C13" w14:textId="77777777" w:rsidR="00334DA7" w:rsidRPr="00E46244" w:rsidRDefault="001272F6" w:rsidP="00334DA7">
            <w:pPr>
              <w:pStyle w:val="TableText"/>
              <w:rPr>
                <w:rFonts w:ascii="Myriad Pro" w:hAnsi="Myriad Pro"/>
                <w:highlight w:val="yellow"/>
              </w:rPr>
            </w:pPr>
            <w:r>
              <w:t>Crustacean</w:t>
            </w:r>
          </w:p>
        </w:tc>
        <w:tc>
          <w:tcPr>
            <w:tcW w:w="584" w:type="pct"/>
            <w:shd w:val="clear" w:color="auto" w:fill="auto"/>
          </w:tcPr>
          <w:p w14:paraId="66175C14" w14:textId="77777777" w:rsidR="00334DA7" w:rsidRPr="009107BC" w:rsidRDefault="001272F6" w:rsidP="009107BC">
            <w:pPr>
              <w:pStyle w:val="TableText"/>
              <w:rPr>
                <w:rStyle w:val="Emphasis"/>
                <w:highlight w:val="yellow"/>
              </w:rPr>
            </w:pPr>
            <w:r w:rsidRPr="009107BC">
              <w:rPr>
                <w:rStyle w:val="Emphasis"/>
              </w:rPr>
              <w:t>Tigriopus japonicus</w:t>
            </w:r>
          </w:p>
        </w:tc>
        <w:tc>
          <w:tcPr>
            <w:tcW w:w="340" w:type="pct"/>
            <w:shd w:val="clear" w:color="auto" w:fill="auto"/>
          </w:tcPr>
          <w:p w14:paraId="66175C15" w14:textId="77777777" w:rsidR="00334DA7" w:rsidRPr="00E46244" w:rsidRDefault="001272F6" w:rsidP="00334DA7">
            <w:pPr>
              <w:pStyle w:val="TableText"/>
              <w:rPr>
                <w:rFonts w:ascii="Myriad Pro" w:hAnsi="Myriad Pro"/>
                <w:highlight w:val="yellow"/>
              </w:rPr>
            </w:pPr>
            <w:r>
              <w:t>Adult</w:t>
            </w:r>
          </w:p>
        </w:tc>
        <w:tc>
          <w:tcPr>
            <w:tcW w:w="487" w:type="pct"/>
            <w:shd w:val="clear" w:color="auto" w:fill="auto"/>
          </w:tcPr>
          <w:p w14:paraId="66175C16" w14:textId="77777777" w:rsidR="00334DA7" w:rsidRPr="00E46244" w:rsidRDefault="001272F6" w:rsidP="00334DA7">
            <w:pPr>
              <w:pStyle w:val="TableText"/>
              <w:rPr>
                <w:rFonts w:ascii="Myriad Pro" w:hAnsi="Myriad Pro"/>
                <w:highlight w:val="yellow"/>
              </w:rPr>
            </w:pPr>
            <w:r>
              <w:t>96</w:t>
            </w:r>
          </w:p>
        </w:tc>
        <w:tc>
          <w:tcPr>
            <w:tcW w:w="340" w:type="pct"/>
            <w:shd w:val="clear" w:color="auto" w:fill="auto"/>
          </w:tcPr>
          <w:p w14:paraId="66175C17" w14:textId="77777777" w:rsidR="00334DA7" w:rsidRPr="00E46244" w:rsidRDefault="001272F6" w:rsidP="00334DA7">
            <w:pPr>
              <w:pStyle w:val="TableText"/>
              <w:rPr>
                <w:rFonts w:ascii="Myriad Pro" w:hAnsi="Myriad Pro"/>
                <w:highlight w:val="yellow"/>
              </w:rPr>
            </w:pPr>
            <w:r>
              <w:t>Acute</w:t>
            </w:r>
          </w:p>
        </w:tc>
        <w:tc>
          <w:tcPr>
            <w:tcW w:w="535" w:type="pct"/>
            <w:shd w:val="clear" w:color="auto" w:fill="auto"/>
          </w:tcPr>
          <w:p w14:paraId="66175C18" w14:textId="77777777" w:rsidR="00334DA7" w:rsidRPr="00E46244" w:rsidRDefault="001272F6" w:rsidP="005C3CA2">
            <w:pPr>
              <w:pStyle w:val="TableText"/>
              <w:rPr>
                <w:rFonts w:ascii="Myriad Pro" w:hAnsi="Myriad Pro"/>
                <w:highlight w:val="yellow"/>
              </w:rPr>
            </w:pPr>
            <w:r w:rsidRPr="00872EC2">
              <w:t>LC</w:t>
            </w:r>
            <w:r>
              <w:t>50</w:t>
            </w:r>
            <w:r w:rsidR="0067492A">
              <w:t xml:space="preserve"> </w:t>
            </w:r>
            <w:r w:rsidRPr="00872EC2">
              <w:t>(</w:t>
            </w:r>
            <w:r>
              <w:t>Survival</w:t>
            </w:r>
            <w:r w:rsidRPr="00872EC2">
              <w:t>)</w:t>
            </w:r>
          </w:p>
        </w:tc>
        <w:tc>
          <w:tcPr>
            <w:tcW w:w="389" w:type="pct"/>
            <w:shd w:val="clear" w:color="auto" w:fill="auto"/>
          </w:tcPr>
          <w:p w14:paraId="66175C19" w14:textId="77777777" w:rsidR="00334DA7" w:rsidRPr="00E46244" w:rsidRDefault="001272F6" w:rsidP="00334DA7">
            <w:pPr>
              <w:pStyle w:val="TableText"/>
              <w:rPr>
                <w:rFonts w:ascii="Myriad Pro" w:hAnsi="Myriad Pro"/>
                <w:highlight w:val="yellow"/>
              </w:rPr>
            </w:pPr>
            <w:r w:rsidRPr="00872EC2">
              <w:t>Sea</w:t>
            </w:r>
            <w:r w:rsidR="00310D6A">
              <w:t xml:space="preserve"> </w:t>
            </w:r>
            <w:r w:rsidRPr="00872EC2">
              <w:t>water</w:t>
            </w:r>
          </w:p>
        </w:tc>
        <w:tc>
          <w:tcPr>
            <w:tcW w:w="292" w:type="pct"/>
            <w:shd w:val="clear" w:color="auto" w:fill="auto"/>
          </w:tcPr>
          <w:p w14:paraId="66175C1A" w14:textId="77777777" w:rsidR="00334DA7" w:rsidRPr="00C34CD6" w:rsidRDefault="001272F6" w:rsidP="009107BC">
            <w:pPr>
              <w:pStyle w:val="TableText"/>
              <w:rPr>
                <w:rFonts w:ascii="Myriad Pro" w:hAnsi="Myriad Pro"/>
              </w:rPr>
            </w:pPr>
            <w:r w:rsidRPr="00C34CD6">
              <w:t>20 ± 1</w:t>
            </w:r>
          </w:p>
        </w:tc>
        <w:tc>
          <w:tcPr>
            <w:tcW w:w="292" w:type="pct"/>
            <w:shd w:val="clear" w:color="auto" w:fill="auto"/>
          </w:tcPr>
          <w:p w14:paraId="66175C1B" w14:textId="77777777" w:rsidR="00334DA7" w:rsidRPr="00E46244" w:rsidRDefault="001272F6" w:rsidP="00334DA7">
            <w:pPr>
              <w:pStyle w:val="TableText"/>
              <w:rPr>
                <w:rFonts w:ascii="Myriad Pro" w:hAnsi="Myriad Pro"/>
                <w:highlight w:val="yellow"/>
              </w:rPr>
            </w:pPr>
            <w:r w:rsidRPr="00872EC2">
              <w:t>32</w:t>
            </w:r>
          </w:p>
        </w:tc>
        <w:tc>
          <w:tcPr>
            <w:tcW w:w="195" w:type="pct"/>
            <w:shd w:val="clear" w:color="auto" w:fill="auto"/>
          </w:tcPr>
          <w:p w14:paraId="66175C1C" w14:textId="77777777" w:rsidR="00334DA7" w:rsidRPr="00E46244" w:rsidRDefault="001272F6" w:rsidP="00334DA7">
            <w:pPr>
              <w:pStyle w:val="TableText"/>
              <w:rPr>
                <w:rFonts w:ascii="Myriad Pro" w:hAnsi="Myriad Pro"/>
                <w:highlight w:val="yellow"/>
              </w:rPr>
            </w:pPr>
            <w:r>
              <w:t>–</w:t>
            </w:r>
          </w:p>
        </w:tc>
        <w:tc>
          <w:tcPr>
            <w:tcW w:w="486" w:type="pct"/>
            <w:shd w:val="clear" w:color="auto" w:fill="auto"/>
          </w:tcPr>
          <w:p w14:paraId="66175C1D" w14:textId="77777777" w:rsidR="00334DA7" w:rsidRPr="00E46244" w:rsidRDefault="001272F6" w:rsidP="00334DA7">
            <w:pPr>
              <w:pStyle w:val="TableText"/>
              <w:rPr>
                <w:rFonts w:ascii="Myriad Pro" w:hAnsi="Myriad Pro"/>
                <w:highlight w:val="yellow"/>
              </w:rPr>
            </w:pPr>
            <w:r>
              <w:t>200</w:t>
            </w:r>
            <w:r w:rsidRPr="00012E22">
              <w:t xml:space="preserve"> </w:t>
            </w:r>
            <w:r w:rsidRPr="00012E22">
              <w:rPr>
                <w:rStyle w:val="Strong"/>
                <w:vertAlign w:val="superscript"/>
              </w:rPr>
              <w:t>e</w:t>
            </w:r>
          </w:p>
        </w:tc>
        <w:tc>
          <w:tcPr>
            <w:tcW w:w="622" w:type="pct"/>
            <w:shd w:val="clear" w:color="auto" w:fill="auto"/>
          </w:tcPr>
          <w:p w14:paraId="66175C1E" w14:textId="77777777" w:rsidR="00334DA7" w:rsidRPr="00E46244" w:rsidRDefault="001272F6" w:rsidP="00334DA7">
            <w:pPr>
              <w:pStyle w:val="TableText"/>
              <w:rPr>
                <w:rFonts w:ascii="Myriad Pro" w:hAnsi="Myriad Pro"/>
                <w:highlight w:val="yellow"/>
              </w:rPr>
            </w:pPr>
            <w:r w:rsidRPr="000F75CD">
              <w:t>L</w:t>
            </w:r>
            <w:r w:rsidRPr="00C34CD6">
              <w:t xml:space="preserve">ee </w:t>
            </w:r>
            <w:r w:rsidRPr="000F75CD">
              <w:t xml:space="preserve">et al. </w:t>
            </w:r>
            <w:r w:rsidR="000A12EB">
              <w:t>(</w:t>
            </w:r>
            <w:r w:rsidRPr="000F75CD">
              <w:t>20</w:t>
            </w:r>
            <w:r w:rsidRPr="00C34CD6">
              <w:t>07</w:t>
            </w:r>
            <w:r w:rsidR="000A12EB">
              <w:t>)</w:t>
            </w:r>
          </w:p>
        </w:tc>
      </w:tr>
      <w:tr w:rsidR="00B82CEC" w14:paraId="66175C2C" w14:textId="77777777" w:rsidTr="0067492A">
        <w:trPr>
          <w:cantSplit/>
        </w:trPr>
        <w:tc>
          <w:tcPr>
            <w:tcW w:w="438" w:type="pct"/>
            <w:vMerge/>
            <w:tcBorders>
              <w:bottom w:val="single" w:sz="4" w:space="0" w:color="auto"/>
            </w:tcBorders>
            <w:shd w:val="clear" w:color="auto" w:fill="auto"/>
          </w:tcPr>
          <w:p w14:paraId="66175C20" w14:textId="77777777" w:rsidR="00334DA7" w:rsidRPr="00E46244" w:rsidRDefault="00334DA7" w:rsidP="00334DA7">
            <w:pPr>
              <w:pStyle w:val="TableText"/>
              <w:rPr>
                <w:rFonts w:ascii="Myriad Pro" w:hAnsi="Myriad Pro"/>
                <w:highlight w:val="yellow"/>
              </w:rPr>
            </w:pPr>
          </w:p>
        </w:tc>
        <w:tc>
          <w:tcPr>
            <w:tcW w:w="584" w:type="pct"/>
            <w:shd w:val="clear" w:color="auto" w:fill="auto"/>
          </w:tcPr>
          <w:p w14:paraId="66175C21" w14:textId="77777777" w:rsidR="00334DA7" w:rsidRPr="009107BC" w:rsidRDefault="001272F6" w:rsidP="009107BC">
            <w:pPr>
              <w:pStyle w:val="TableText"/>
              <w:rPr>
                <w:rStyle w:val="Emphasis"/>
                <w:highlight w:val="yellow"/>
              </w:rPr>
            </w:pPr>
            <w:r w:rsidRPr="009107BC">
              <w:rPr>
                <w:rStyle w:val="Emphasis"/>
              </w:rPr>
              <w:t>Americamysis bahia</w:t>
            </w:r>
          </w:p>
        </w:tc>
        <w:tc>
          <w:tcPr>
            <w:tcW w:w="340" w:type="pct"/>
            <w:shd w:val="clear" w:color="auto" w:fill="auto"/>
          </w:tcPr>
          <w:p w14:paraId="66175C22" w14:textId="77777777" w:rsidR="00334DA7" w:rsidRPr="003B1B9D" w:rsidRDefault="001272F6" w:rsidP="00334DA7">
            <w:pPr>
              <w:pStyle w:val="TableText"/>
              <w:rPr>
                <w:rFonts w:ascii="Myriad Pro" w:hAnsi="Myriad Pro"/>
                <w:highlight w:val="yellow"/>
              </w:rPr>
            </w:pPr>
            <w:r w:rsidRPr="00872EC2">
              <w:t>Larvae</w:t>
            </w:r>
            <w:r w:rsidRPr="000F75CD">
              <w:rPr>
                <w:highlight w:val="yellow"/>
              </w:rPr>
              <w:t xml:space="preserve"> </w:t>
            </w:r>
          </w:p>
        </w:tc>
        <w:tc>
          <w:tcPr>
            <w:tcW w:w="487" w:type="pct"/>
            <w:shd w:val="clear" w:color="auto" w:fill="auto"/>
          </w:tcPr>
          <w:p w14:paraId="66175C23" w14:textId="77777777" w:rsidR="00334DA7" w:rsidRPr="00C34CD6" w:rsidRDefault="001272F6" w:rsidP="00334DA7">
            <w:pPr>
              <w:pStyle w:val="TableText"/>
              <w:rPr>
                <w:rFonts w:ascii="Myriad Pro" w:hAnsi="Myriad Pro"/>
              </w:rPr>
            </w:pPr>
            <w:r w:rsidRPr="000F75CD">
              <w:t>96</w:t>
            </w:r>
          </w:p>
        </w:tc>
        <w:tc>
          <w:tcPr>
            <w:tcW w:w="340" w:type="pct"/>
            <w:shd w:val="clear" w:color="auto" w:fill="auto"/>
          </w:tcPr>
          <w:p w14:paraId="66175C24" w14:textId="77777777" w:rsidR="00334DA7" w:rsidRPr="00C34CD6" w:rsidRDefault="001272F6" w:rsidP="00334DA7">
            <w:pPr>
              <w:pStyle w:val="TableText"/>
              <w:rPr>
                <w:rFonts w:ascii="Myriad Pro" w:hAnsi="Myriad Pro"/>
              </w:rPr>
            </w:pPr>
            <w:r w:rsidRPr="000F75CD">
              <w:t>Acute</w:t>
            </w:r>
          </w:p>
        </w:tc>
        <w:tc>
          <w:tcPr>
            <w:tcW w:w="535" w:type="pct"/>
            <w:shd w:val="clear" w:color="auto" w:fill="auto"/>
          </w:tcPr>
          <w:p w14:paraId="66175C25" w14:textId="77777777" w:rsidR="00334DA7" w:rsidRPr="00C34CD6" w:rsidRDefault="001272F6" w:rsidP="005C3CA2">
            <w:pPr>
              <w:pStyle w:val="TableText"/>
              <w:rPr>
                <w:rFonts w:ascii="Myriad Pro" w:hAnsi="Myriad Pro"/>
              </w:rPr>
            </w:pPr>
            <w:r w:rsidRPr="00C34CD6">
              <w:t>L</w:t>
            </w:r>
            <w:r w:rsidRPr="000F75CD">
              <w:t>C5</w:t>
            </w:r>
            <w:r w:rsidRPr="00C34CD6">
              <w:t>0</w:t>
            </w:r>
            <w:r w:rsidR="0067492A">
              <w:t xml:space="preserve"> </w:t>
            </w:r>
            <w:r w:rsidRPr="000F75CD">
              <w:t>(Survival</w:t>
            </w:r>
            <w:r w:rsidRPr="00B20FD1">
              <w:t>)</w:t>
            </w:r>
          </w:p>
        </w:tc>
        <w:tc>
          <w:tcPr>
            <w:tcW w:w="389" w:type="pct"/>
            <w:shd w:val="clear" w:color="auto" w:fill="auto"/>
          </w:tcPr>
          <w:p w14:paraId="66175C26" w14:textId="77777777" w:rsidR="00334DA7" w:rsidRPr="003B1B9D" w:rsidRDefault="001272F6" w:rsidP="00334DA7">
            <w:pPr>
              <w:pStyle w:val="TableText"/>
              <w:rPr>
                <w:rFonts w:ascii="Myriad Pro" w:hAnsi="Myriad Pro"/>
                <w:highlight w:val="yellow"/>
              </w:rPr>
            </w:pPr>
            <w:r w:rsidRPr="00872EC2">
              <w:t>Sea</w:t>
            </w:r>
            <w:r w:rsidR="00310D6A">
              <w:t xml:space="preserve"> </w:t>
            </w:r>
            <w:r w:rsidRPr="00872EC2">
              <w:t>water</w:t>
            </w:r>
          </w:p>
        </w:tc>
        <w:tc>
          <w:tcPr>
            <w:tcW w:w="292" w:type="pct"/>
            <w:shd w:val="clear" w:color="auto" w:fill="auto"/>
          </w:tcPr>
          <w:p w14:paraId="66175C27" w14:textId="77777777" w:rsidR="00334DA7" w:rsidRPr="00C34CD6" w:rsidRDefault="001272F6" w:rsidP="000208E1">
            <w:pPr>
              <w:pStyle w:val="TableText"/>
              <w:rPr>
                <w:rFonts w:ascii="Myriad Pro" w:hAnsi="Myriad Pro"/>
              </w:rPr>
            </w:pPr>
            <w:r w:rsidRPr="000F75CD">
              <w:t>2</w:t>
            </w:r>
            <w:r w:rsidRPr="00C34CD6">
              <w:t>4</w:t>
            </w:r>
            <w:r w:rsidR="000208E1">
              <w:t>–</w:t>
            </w:r>
            <w:r w:rsidRPr="00C34CD6">
              <w:t>26</w:t>
            </w:r>
          </w:p>
        </w:tc>
        <w:tc>
          <w:tcPr>
            <w:tcW w:w="292" w:type="pct"/>
            <w:shd w:val="clear" w:color="auto" w:fill="auto"/>
          </w:tcPr>
          <w:p w14:paraId="66175C28" w14:textId="77777777" w:rsidR="00334DA7" w:rsidRPr="00C34CD6" w:rsidRDefault="001272F6" w:rsidP="00334DA7">
            <w:pPr>
              <w:pStyle w:val="TableText"/>
              <w:rPr>
                <w:rFonts w:ascii="Myriad Pro" w:hAnsi="Myriad Pro"/>
              </w:rPr>
            </w:pPr>
            <w:r w:rsidRPr="00C34CD6">
              <w:t>25</w:t>
            </w:r>
          </w:p>
        </w:tc>
        <w:tc>
          <w:tcPr>
            <w:tcW w:w="195" w:type="pct"/>
            <w:shd w:val="clear" w:color="auto" w:fill="auto"/>
          </w:tcPr>
          <w:p w14:paraId="66175C29" w14:textId="77777777" w:rsidR="00334DA7" w:rsidRPr="00C34CD6" w:rsidRDefault="001272F6" w:rsidP="00334DA7">
            <w:pPr>
              <w:pStyle w:val="TableText"/>
              <w:rPr>
                <w:rFonts w:ascii="Myriad Pro" w:hAnsi="Myriad Pro"/>
              </w:rPr>
            </w:pPr>
            <w:r>
              <w:t>–</w:t>
            </w:r>
          </w:p>
        </w:tc>
        <w:tc>
          <w:tcPr>
            <w:tcW w:w="486" w:type="pct"/>
            <w:shd w:val="clear" w:color="auto" w:fill="auto"/>
          </w:tcPr>
          <w:p w14:paraId="66175C2A" w14:textId="77777777" w:rsidR="00334DA7" w:rsidRPr="003B1B9D" w:rsidRDefault="001272F6" w:rsidP="00334DA7">
            <w:pPr>
              <w:pStyle w:val="TableText"/>
              <w:rPr>
                <w:rFonts w:ascii="Myriad Pro" w:hAnsi="Myriad Pro"/>
                <w:highlight w:val="yellow"/>
              </w:rPr>
            </w:pPr>
            <w:r w:rsidRPr="00C34CD6">
              <w:t>1</w:t>
            </w:r>
            <w:r w:rsidR="000208E1">
              <w:t> </w:t>
            </w:r>
            <w:r w:rsidRPr="00C34CD6">
              <w:t>030</w:t>
            </w:r>
            <w:r w:rsidRPr="00012E22">
              <w:t xml:space="preserve"> </w:t>
            </w:r>
            <w:r w:rsidRPr="00012E22">
              <w:rPr>
                <w:rStyle w:val="Strong"/>
                <w:vertAlign w:val="superscript"/>
              </w:rPr>
              <w:t>e</w:t>
            </w:r>
          </w:p>
        </w:tc>
        <w:tc>
          <w:tcPr>
            <w:tcW w:w="622" w:type="pct"/>
            <w:shd w:val="clear" w:color="auto" w:fill="auto"/>
          </w:tcPr>
          <w:p w14:paraId="66175C2B" w14:textId="77777777" w:rsidR="00334DA7" w:rsidRPr="00C34CD6" w:rsidRDefault="001272F6" w:rsidP="00334DA7">
            <w:pPr>
              <w:pStyle w:val="TableText"/>
              <w:rPr>
                <w:rFonts w:ascii="Myriad Pro" w:hAnsi="Myriad Pro"/>
              </w:rPr>
            </w:pPr>
            <w:r w:rsidRPr="000F75CD">
              <w:t>Hirano</w:t>
            </w:r>
            <w:r>
              <w:t xml:space="preserve"> </w:t>
            </w:r>
            <w:r w:rsidRPr="000F75CD">
              <w:t xml:space="preserve">et al. </w:t>
            </w:r>
            <w:r w:rsidR="000A12EB">
              <w:t>(</w:t>
            </w:r>
            <w:r w:rsidRPr="000F75CD">
              <w:t>20</w:t>
            </w:r>
            <w:r w:rsidRPr="00C34CD6">
              <w:t>04</w:t>
            </w:r>
            <w:r w:rsidR="000A12EB">
              <w:t>)</w:t>
            </w:r>
          </w:p>
        </w:tc>
      </w:tr>
      <w:tr w:rsidR="00B82CEC" w14:paraId="66175C39" w14:textId="77777777" w:rsidTr="0067492A">
        <w:trPr>
          <w:cantSplit/>
        </w:trPr>
        <w:tc>
          <w:tcPr>
            <w:tcW w:w="438" w:type="pct"/>
            <w:vMerge w:val="restart"/>
            <w:tcBorders>
              <w:top w:val="single" w:sz="4" w:space="0" w:color="auto"/>
              <w:bottom w:val="single" w:sz="12" w:space="0" w:color="auto"/>
            </w:tcBorders>
            <w:shd w:val="clear" w:color="auto" w:fill="auto"/>
          </w:tcPr>
          <w:p w14:paraId="66175C2D" w14:textId="77777777" w:rsidR="005C2727" w:rsidRPr="00AD5092" w:rsidRDefault="001272F6" w:rsidP="00334DA7">
            <w:pPr>
              <w:pStyle w:val="TableText"/>
            </w:pPr>
            <w:r>
              <w:t>Mollusc</w:t>
            </w:r>
          </w:p>
        </w:tc>
        <w:tc>
          <w:tcPr>
            <w:tcW w:w="584" w:type="pct"/>
            <w:vMerge w:val="restart"/>
            <w:shd w:val="clear" w:color="auto" w:fill="auto"/>
          </w:tcPr>
          <w:p w14:paraId="66175C2E" w14:textId="77777777" w:rsidR="005C2727" w:rsidRPr="009107BC" w:rsidRDefault="001272F6" w:rsidP="009107BC">
            <w:pPr>
              <w:pStyle w:val="TableText"/>
              <w:rPr>
                <w:rStyle w:val="Emphasis"/>
              </w:rPr>
            </w:pPr>
            <w:r w:rsidRPr="009107BC">
              <w:rPr>
                <w:rStyle w:val="Emphasis"/>
              </w:rPr>
              <w:t>Haliotis diversicolor supertexta</w:t>
            </w:r>
          </w:p>
        </w:tc>
        <w:tc>
          <w:tcPr>
            <w:tcW w:w="340" w:type="pct"/>
            <w:tcBorders>
              <w:bottom w:val="single" w:sz="4" w:space="0" w:color="auto"/>
            </w:tcBorders>
            <w:shd w:val="clear" w:color="auto" w:fill="auto"/>
          </w:tcPr>
          <w:p w14:paraId="66175C2F" w14:textId="77777777" w:rsidR="005C2727" w:rsidRPr="00AD5092" w:rsidRDefault="001272F6" w:rsidP="00334DA7">
            <w:pPr>
              <w:pStyle w:val="TableText"/>
            </w:pPr>
            <w:r>
              <w:t>Embryo</w:t>
            </w:r>
          </w:p>
        </w:tc>
        <w:tc>
          <w:tcPr>
            <w:tcW w:w="487" w:type="pct"/>
            <w:tcBorders>
              <w:bottom w:val="single" w:sz="4" w:space="0" w:color="auto"/>
            </w:tcBorders>
            <w:shd w:val="clear" w:color="auto" w:fill="auto"/>
          </w:tcPr>
          <w:p w14:paraId="66175C30" w14:textId="77777777" w:rsidR="005C2727" w:rsidRPr="00AD5092" w:rsidRDefault="001272F6" w:rsidP="00334DA7">
            <w:pPr>
              <w:pStyle w:val="TableText"/>
            </w:pPr>
            <w:r w:rsidRPr="00872EC2">
              <w:t>96</w:t>
            </w:r>
          </w:p>
        </w:tc>
        <w:tc>
          <w:tcPr>
            <w:tcW w:w="340" w:type="pct"/>
            <w:tcBorders>
              <w:bottom w:val="single" w:sz="4" w:space="0" w:color="auto"/>
            </w:tcBorders>
            <w:shd w:val="clear" w:color="auto" w:fill="auto"/>
          </w:tcPr>
          <w:p w14:paraId="66175C31" w14:textId="77777777" w:rsidR="005C2727" w:rsidRPr="00AD5092" w:rsidRDefault="001272F6" w:rsidP="00334DA7">
            <w:pPr>
              <w:pStyle w:val="TableText"/>
            </w:pPr>
            <w:r w:rsidRPr="00872EC2">
              <w:t>Chronic</w:t>
            </w:r>
          </w:p>
        </w:tc>
        <w:tc>
          <w:tcPr>
            <w:tcW w:w="535" w:type="pct"/>
            <w:tcBorders>
              <w:bottom w:val="single" w:sz="4" w:space="0" w:color="auto"/>
            </w:tcBorders>
            <w:shd w:val="clear" w:color="auto" w:fill="auto"/>
          </w:tcPr>
          <w:p w14:paraId="66175C32" w14:textId="77777777" w:rsidR="005C2727" w:rsidRPr="00AD5092" w:rsidRDefault="001272F6" w:rsidP="00334DA7">
            <w:pPr>
              <w:pStyle w:val="TableText"/>
            </w:pPr>
            <w:r w:rsidRPr="00872EC2">
              <w:t>EC5 (Development)</w:t>
            </w:r>
          </w:p>
        </w:tc>
        <w:tc>
          <w:tcPr>
            <w:tcW w:w="389" w:type="pct"/>
            <w:tcBorders>
              <w:bottom w:val="single" w:sz="4" w:space="0" w:color="auto"/>
            </w:tcBorders>
            <w:shd w:val="clear" w:color="auto" w:fill="auto"/>
          </w:tcPr>
          <w:p w14:paraId="66175C33" w14:textId="77777777" w:rsidR="005C2727" w:rsidRPr="00AD5092" w:rsidRDefault="001272F6" w:rsidP="00334DA7">
            <w:pPr>
              <w:pStyle w:val="TableText"/>
            </w:pPr>
            <w:r w:rsidRPr="00872EC2">
              <w:t>Filtered sea water</w:t>
            </w:r>
          </w:p>
        </w:tc>
        <w:tc>
          <w:tcPr>
            <w:tcW w:w="292" w:type="pct"/>
            <w:tcBorders>
              <w:bottom w:val="single" w:sz="4" w:space="0" w:color="auto"/>
            </w:tcBorders>
            <w:shd w:val="clear" w:color="auto" w:fill="auto"/>
          </w:tcPr>
          <w:p w14:paraId="66175C34" w14:textId="77777777" w:rsidR="005C2727" w:rsidRPr="00AD5092" w:rsidRDefault="001272F6" w:rsidP="009107BC">
            <w:pPr>
              <w:pStyle w:val="TableText"/>
            </w:pPr>
            <w:r w:rsidRPr="00872EC2">
              <w:t>25 ± 1</w:t>
            </w:r>
          </w:p>
        </w:tc>
        <w:tc>
          <w:tcPr>
            <w:tcW w:w="292" w:type="pct"/>
            <w:tcBorders>
              <w:bottom w:val="single" w:sz="4" w:space="0" w:color="auto"/>
            </w:tcBorders>
            <w:shd w:val="clear" w:color="auto" w:fill="auto"/>
          </w:tcPr>
          <w:p w14:paraId="66175C35" w14:textId="77777777" w:rsidR="005C2727" w:rsidRPr="00AD5092" w:rsidRDefault="001272F6" w:rsidP="00334DA7">
            <w:pPr>
              <w:pStyle w:val="TableText"/>
            </w:pPr>
            <w:r w:rsidRPr="00872EC2">
              <w:t>30</w:t>
            </w:r>
          </w:p>
        </w:tc>
        <w:tc>
          <w:tcPr>
            <w:tcW w:w="195" w:type="pct"/>
            <w:tcBorders>
              <w:bottom w:val="single" w:sz="4" w:space="0" w:color="auto"/>
            </w:tcBorders>
            <w:shd w:val="clear" w:color="auto" w:fill="auto"/>
          </w:tcPr>
          <w:p w14:paraId="66175C36" w14:textId="77777777" w:rsidR="005C2727" w:rsidRPr="00AD5092" w:rsidRDefault="001272F6" w:rsidP="00334DA7">
            <w:pPr>
              <w:pStyle w:val="TableText"/>
            </w:pPr>
            <w:r w:rsidRPr="00872EC2">
              <w:t>8.1</w:t>
            </w:r>
          </w:p>
        </w:tc>
        <w:tc>
          <w:tcPr>
            <w:tcW w:w="486" w:type="pct"/>
            <w:tcBorders>
              <w:bottom w:val="single" w:sz="4" w:space="0" w:color="auto"/>
            </w:tcBorders>
            <w:shd w:val="clear" w:color="auto" w:fill="auto"/>
          </w:tcPr>
          <w:p w14:paraId="66175C37" w14:textId="77777777" w:rsidR="005C2727" w:rsidRPr="00AD5092" w:rsidRDefault="001272F6" w:rsidP="00334DA7">
            <w:pPr>
              <w:pStyle w:val="TableText"/>
            </w:pPr>
            <w:r w:rsidRPr="00872EC2">
              <w:t xml:space="preserve">0.21 </w:t>
            </w:r>
            <w:r w:rsidRPr="00012E22">
              <w:rPr>
                <w:rStyle w:val="Strong"/>
                <w:vertAlign w:val="superscript"/>
              </w:rPr>
              <w:t>f</w:t>
            </w:r>
          </w:p>
        </w:tc>
        <w:tc>
          <w:tcPr>
            <w:tcW w:w="622" w:type="pct"/>
            <w:tcBorders>
              <w:bottom w:val="single" w:sz="4" w:space="0" w:color="auto"/>
            </w:tcBorders>
            <w:shd w:val="clear" w:color="auto" w:fill="auto"/>
          </w:tcPr>
          <w:p w14:paraId="66175C38" w14:textId="77777777" w:rsidR="005C2727" w:rsidRPr="00AD5092" w:rsidRDefault="001272F6" w:rsidP="00334DA7">
            <w:pPr>
              <w:pStyle w:val="TableText"/>
            </w:pPr>
            <w:r w:rsidRPr="00872EC2">
              <w:t xml:space="preserve">Liu et al. </w:t>
            </w:r>
            <w:r>
              <w:t>(</w:t>
            </w:r>
            <w:r w:rsidRPr="00872EC2">
              <w:t>2011</w:t>
            </w:r>
            <w:r>
              <w:t>)</w:t>
            </w:r>
          </w:p>
        </w:tc>
      </w:tr>
      <w:tr w:rsidR="00B82CEC" w14:paraId="66175C46" w14:textId="77777777" w:rsidTr="0067492A">
        <w:trPr>
          <w:cantSplit/>
        </w:trPr>
        <w:tc>
          <w:tcPr>
            <w:tcW w:w="438" w:type="pct"/>
            <w:vMerge/>
            <w:tcBorders>
              <w:top w:val="nil"/>
              <w:bottom w:val="single" w:sz="12" w:space="0" w:color="auto"/>
            </w:tcBorders>
            <w:shd w:val="clear" w:color="auto" w:fill="auto"/>
          </w:tcPr>
          <w:p w14:paraId="66175C3A" w14:textId="77777777" w:rsidR="005C2727" w:rsidRPr="00004D35" w:rsidRDefault="005C2727" w:rsidP="00334DA7">
            <w:pPr>
              <w:pStyle w:val="TableText"/>
              <w:rPr>
                <w:rFonts w:ascii="Myriad Pro" w:hAnsi="Myriad Pro"/>
              </w:rPr>
            </w:pPr>
          </w:p>
        </w:tc>
        <w:tc>
          <w:tcPr>
            <w:tcW w:w="584" w:type="pct"/>
            <w:vMerge/>
            <w:tcBorders>
              <w:bottom w:val="single" w:sz="12" w:space="0" w:color="auto"/>
            </w:tcBorders>
            <w:shd w:val="clear" w:color="auto" w:fill="auto"/>
          </w:tcPr>
          <w:p w14:paraId="66175C3B" w14:textId="77777777" w:rsidR="005C2727" w:rsidRPr="009107BC" w:rsidRDefault="005C2727" w:rsidP="009107BC">
            <w:pPr>
              <w:pStyle w:val="TableText"/>
              <w:rPr>
                <w:rStyle w:val="Emphasis"/>
              </w:rPr>
            </w:pPr>
          </w:p>
        </w:tc>
        <w:tc>
          <w:tcPr>
            <w:tcW w:w="340" w:type="pct"/>
            <w:tcBorders>
              <w:top w:val="single" w:sz="4" w:space="0" w:color="auto"/>
              <w:bottom w:val="single" w:sz="12" w:space="0" w:color="auto"/>
            </w:tcBorders>
            <w:shd w:val="clear" w:color="auto" w:fill="auto"/>
          </w:tcPr>
          <w:p w14:paraId="66175C3C" w14:textId="77777777" w:rsidR="005C2727" w:rsidRPr="005C1C31" w:rsidRDefault="001272F6" w:rsidP="00334DA7">
            <w:pPr>
              <w:pStyle w:val="TableText"/>
              <w:rPr>
                <w:rFonts w:cstheme="minorHAnsi"/>
              </w:rPr>
            </w:pPr>
            <w:r w:rsidRPr="005C1C31">
              <w:rPr>
                <w:rFonts w:cstheme="minorHAnsi"/>
              </w:rPr>
              <w:t>Embryo</w:t>
            </w:r>
          </w:p>
        </w:tc>
        <w:tc>
          <w:tcPr>
            <w:tcW w:w="487" w:type="pct"/>
            <w:tcBorders>
              <w:top w:val="single" w:sz="4" w:space="0" w:color="auto"/>
              <w:bottom w:val="single" w:sz="12" w:space="0" w:color="auto"/>
            </w:tcBorders>
            <w:shd w:val="clear" w:color="auto" w:fill="auto"/>
          </w:tcPr>
          <w:p w14:paraId="66175C3D" w14:textId="77777777" w:rsidR="005C2727" w:rsidRPr="005C1C31" w:rsidRDefault="001272F6" w:rsidP="00334DA7">
            <w:pPr>
              <w:pStyle w:val="TableText"/>
              <w:rPr>
                <w:rFonts w:cstheme="minorHAnsi"/>
              </w:rPr>
            </w:pPr>
            <w:r w:rsidRPr="005C1C31">
              <w:rPr>
                <w:rFonts w:cstheme="minorHAnsi"/>
              </w:rPr>
              <w:t>96</w:t>
            </w:r>
          </w:p>
        </w:tc>
        <w:tc>
          <w:tcPr>
            <w:tcW w:w="340" w:type="pct"/>
            <w:tcBorders>
              <w:top w:val="single" w:sz="4" w:space="0" w:color="auto"/>
              <w:bottom w:val="single" w:sz="12" w:space="0" w:color="auto"/>
            </w:tcBorders>
            <w:shd w:val="clear" w:color="auto" w:fill="auto"/>
          </w:tcPr>
          <w:p w14:paraId="66175C3E" w14:textId="77777777" w:rsidR="005C2727" w:rsidRPr="005C1C31" w:rsidRDefault="001272F6" w:rsidP="00334DA7">
            <w:pPr>
              <w:pStyle w:val="TableText"/>
              <w:rPr>
                <w:rFonts w:cstheme="minorHAnsi"/>
              </w:rPr>
            </w:pPr>
            <w:r w:rsidRPr="005C1C31">
              <w:rPr>
                <w:rFonts w:cstheme="minorHAnsi"/>
              </w:rPr>
              <w:t>Chronic</w:t>
            </w:r>
          </w:p>
        </w:tc>
        <w:tc>
          <w:tcPr>
            <w:tcW w:w="535" w:type="pct"/>
            <w:tcBorders>
              <w:top w:val="single" w:sz="4" w:space="0" w:color="auto"/>
              <w:bottom w:val="single" w:sz="12" w:space="0" w:color="auto"/>
            </w:tcBorders>
            <w:shd w:val="clear" w:color="auto" w:fill="auto"/>
          </w:tcPr>
          <w:p w14:paraId="66175C3F" w14:textId="77777777" w:rsidR="005C2727" w:rsidRPr="005C1C31" w:rsidRDefault="001272F6" w:rsidP="00334DA7">
            <w:pPr>
              <w:pStyle w:val="TableText"/>
              <w:rPr>
                <w:rFonts w:cstheme="minorHAnsi"/>
              </w:rPr>
            </w:pPr>
            <w:r w:rsidRPr="005C1C31">
              <w:rPr>
                <w:rFonts w:cstheme="minorHAnsi"/>
              </w:rPr>
              <w:t>EC5 (Development)</w:t>
            </w:r>
          </w:p>
        </w:tc>
        <w:tc>
          <w:tcPr>
            <w:tcW w:w="389" w:type="pct"/>
            <w:tcBorders>
              <w:top w:val="single" w:sz="4" w:space="0" w:color="auto"/>
              <w:bottom w:val="single" w:sz="12" w:space="0" w:color="auto"/>
            </w:tcBorders>
            <w:shd w:val="clear" w:color="auto" w:fill="auto"/>
          </w:tcPr>
          <w:p w14:paraId="66175C40" w14:textId="77777777" w:rsidR="005C2727" w:rsidRPr="005C1C31" w:rsidRDefault="001272F6" w:rsidP="00334DA7">
            <w:pPr>
              <w:pStyle w:val="TableText"/>
              <w:rPr>
                <w:rFonts w:cstheme="minorHAnsi"/>
              </w:rPr>
            </w:pPr>
            <w:r w:rsidRPr="005C1C31">
              <w:rPr>
                <w:rFonts w:cstheme="minorHAnsi"/>
              </w:rPr>
              <w:t>Filtered sea water</w:t>
            </w:r>
          </w:p>
        </w:tc>
        <w:tc>
          <w:tcPr>
            <w:tcW w:w="292" w:type="pct"/>
            <w:tcBorders>
              <w:top w:val="single" w:sz="4" w:space="0" w:color="auto"/>
              <w:bottom w:val="single" w:sz="12" w:space="0" w:color="auto"/>
            </w:tcBorders>
            <w:shd w:val="clear" w:color="auto" w:fill="auto"/>
          </w:tcPr>
          <w:p w14:paraId="66175C41" w14:textId="77777777" w:rsidR="005C2727" w:rsidRPr="005C1C31" w:rsidRDefault="001272F6" w:rsidP="009107BC">
            <w:pPr>
              <w:pStyle w:val="TableText"/>
              <w:rPr>
                <w:rFonts w:cstheme="minorHAnsi"/>
              </w:rPr>
            </w:pPr>
            <w:r w:rsidRPr="005C1C31">
              <w:rPr>
                <w:rFonts w:cstheme="minorHAnsi"/>
              </w:rPr>
              <w:t>25 ± 1</w:t>
            </w:r>
          </w:p>
        </w:tc>
        <w:tc>
          <w:tcPr>
            <w:tcW w:w="292" w:type="pct"/>
            <w:tcBorders>
              <w:top w:val="single" w:sz="4" w:space="0" w:color="auto"/>
              <w:bottom w:val="single" w:sz="12" w:space="0" w:color="auto"/>
            </w:tcBorders>
            <w:shd w:val="clear" w:color="auto" w:fill="auto"/>
          </w:tcPr>
          <w:p w14:paraId="66175C42" w14:textId="77777777" w:rsidR="005C2727" w:rsidRPr="005C1C31" w:rsidRDefault="001272F6" w:rsidP="00334DA7">
            <w:pPr>
              <w:pStyle w:val="TableText"/>
              <w:rPr>
                <w:rFonts w:cstheme="minorHAnsi"/>
              </w:rPr>
            </w:pPr>
            <w:r w:rsidRPr="005C1C31">
              <w:rPr>
                <w:rFonts w:cstheme="minorHAnsi"/>
              </w:rPr>
              <w:t>30</w:t>
            </w:r>
          </w:p>
        </w:tc>
        <w:tc>
          <w:tcPr>
            <w:tcW w:w="195" w:type="pct"/>
            <w:tcBorders>
              <w:top w:val="single" w:sz="4" w:space="0" w:color="auto"/>
              <w:bottom w:val="single" w:sz="12" w:space="0" w:color="auto"/>
            </w:tcBorders>
            <w:shd w:val="clear" w:color="auto" w:fill="auto"/>
          </w:tcPr>
          <w:p w14:paraId="66175C43" w14:textId="77777777" w:rsidR="005C2727" w:rsidRPr="005C1C31" w:rsidRDefault="001272F6" w:rsidP="00334DA7">
            <w:pPr>
              <w:pStyle w:val="TableText"/>
              <w:rPr>
                <w:rFonts w:cstheme="minorHAnsi"/>
              </w:rPr>
            </w:pPr>
            <w:r w:rsidRPr="005C1C31">
              <w:rPr>
                <w:rFonts w:cstheme="minorHAnsi"/>
              </w:rPr>
              <w:t>8.1</w:t>
            </w:r>
          </w:p>
        </w:tc>
        <w:tc>
          <w:tcPr>
            <w:tcW w:w="486" w:type="pct"/>
            <w:tcBorders>
              <w:top w:val="single" w:sz="4" w:space="0" w:color="auto"/>
              <w:bottom w:val="single" w:sz="12" w:space="0" w:color="auto"/>
            </w:tcBorders>
            <w:shd w:val="clear" w:color="auto" w:fill="auto"/>
          </w:tcPr>
          <w:p w14:paraId="66175C44" w14:textId="77777777" w:rsidR="005C2727" w:rsidRPr="005C1C31" w:rsidRDefault="001272F6" w:rsidP="00334DA7">
            <w:pPr>
              <w:pStyle w:val="TableText"/>
              <w:rPr>
                <w:rFonts w:cstheme="minorHAnsi"/>
              </w:rPr>
            </w:pPr>
            <w:r w:rsidRPr="005C1C31">
              <w:rPr>
                <w:rFonts w:cstheme="minorHAnsi"/>
              </w:rPr>
              <w:t xml:space="preserve">0.18 </w:t>
            </w:r>
            <w:r w:rsidRPr="00012E22">
              <w:rPr>
                <w:rStyle w:val="Strong"/>
                <w:vertAlign w:val="superscript"/>
              </w:rPr>
              <w:t>f</w:t>
            </w:r>
          </w:p>
        </w:tc>
        <w:tc>
          <w:tcPr>
            <w:tcW w:w="622" w:type="pct"/>
            <w:tcBorders>
              <w:top w:val="single" w:sz="4" w:space="0" w:color="auto"/>
              <w:bottom w:val="single" w:sz="12" w:space="0" w:color="auto"/>
            </w:tcBorders>
            <w:shd w:val="clear" w:color="auto" w:fill="auto"/>
          </w:tcPr>
          <w:p w14:paraId="66175C45" w14:textId="77777777" w:rsidR="005C2727" w:rsidRPr="005C1C31" w:rsidRDefault="001272F6" w:rsidP="00334DA7">
            <w:pPr>
              <w:pStyle w:val="TableText"/>
              <w:rPr>
                <w:rFonts w:cstheme="minorHAnsi"/>
              </w:rPr>
            </w:pPr>
            <w:r w:rsidRPr="005C1C31">
              <w:rPr>
                <w:rFonts w:cstheme="minorHAnsi"/>
              </w:rPr>
              <w:t xml:space="preserve">Liu et al. </w:t>
            </w:r>
            <w:r>
              <w:rPr>
                <w:rFonts w:cstheme="minorHAnsi"/>
              </w:rPr>
              <w:t>(</w:t>
            </w:r>
            <w:r w:rsidRPr="005C1C31">
              <w:rPr>
                <w:rFonts w:cstheme="minorHAnsi"/>
              </w:rPr>
              <w:t>2011</w:t>
            </w:r>
            <w:r>
              <w:rPr>
                <w:rFonts w:cstheme="minorHAnsi"/>
              </w:rPr>
              <w:t>)</w:t>
            </w:r>
          </w:p>
        </w:tc>
      </w:tr>
    </w:tbl>
    <w:p w14:paraId="66175C47" w14:textId="77777777" w:rsidR="00F713E2" w:rsidRDefault="001272F6" w:rsidP="0067492A">
      <w:pPr>
        <w:pStyle w:val="FigureTableNoteSource"/>
        <w:spacing w:before="60"/>
      </w:pPr>
      <w:r w:rsidRPr="009107BC">
        <w:rPr>
          <w:rStyle w:val="Strong"/>
        </w:rPr>
        <w:t>a</w:t>
      </w:r>
      <w:r w:rsidRPr="009107BC">
        <w:t xml:space="preserve"> </w:t>
      </w:r>
      <w:r w:rsidR="00201048" w:rsidRPr="00C844C8">
        <w:t xml:space="preserve">The measure of toxicity being estimated/determined: </w:t>
      </w:r>
      <w:r w:rsidR="001E2F02">
        <w:t>EC</w:t>
      </w:r>
      <w:r w:rsidR="007B5EA6">
        <w:t>/LC</w:t>
      </w:r>
      <w:r w:rsidR="00A9441F">
        <w:t>x</w:t>
      </w:r>
      <w:r w:rsidR="00201048" w:rsidRPr="00C844C8">
        <w:t xml:space="preserve">: </w:t>
      </w:r>
      <w:r w:rsidR="00A9441F">
        <w:t xml:space="preserve">x% </w:t>
      </w:r>
      <w:r w:rsidR="001E2F02">
        <w:t>effect</w:t>
      </w:r>
      <w:r w:rsidR="007B5EA6">
        <w:t>/lethal</w:t>
      </w:r>
      <w:r w:rsidR="001E2F02">
        <w:t xml:space="preserve"> concentration</w:t>
      </w:r>
      <w:r w:rsidR="00201048" w:rsidRPr="00C844C8">
        <w:t xml:space="preserve">; LOEC: </w:t>
      </w:r>
      <w:r w:rsidR="002C53C4" w:rsidRPr="00C844C8">
        <w:t xml:space="preserve">lowest </w:t>
      </w:r>
      <w:r w:rsidR="00201048" w:rsidRPr="00C844C8">
        <w:t>observed effect concentration</w:t>
      </w:r>
    </w:p>
    <w:p w14:paraId="66175C48" w14:textId="77777777" w:rsidR="00F713E2" w:rsidRDefault="001272F6" w:rsidP="00334DA7">
      <w:pPr>
        <w:pStyle w:val="FigureTableNoteSource"/>
        <w:rPr>
          <w:rFonts w:cstheme="minorHAnsi"/>
          <w:szCs w:val="18"/>
        </w:rPr>
      </w:pPr>
      <w:r w:rsidRPr="009107BC">
        <w:rPr>
          <w:rStyle w:val="Strong"/>
        </w:rPr>
        <w:t>b</w:t>
      </w:r>
      <w:r w:rsidRPr="009107BC">
        <w:t xml:space="preserve"> </w:t>
      </w:r>
      <w:r w:rsidR="00DB1630" w:rsidRPr="00DB1630">
        <w:rPr>
          <w:rFonts w:cstheme="minorHAnsi"/>
          <w:szCs w:val="18"/>
        </w:rPr>
        <w:t xml:space="preserve">Values used as </w:t>
      </w:r>
      <w:r w:rsidR="00DB1630">
        <w:rPr>
          <w:rFonts w:cstheme="minorHAnsi"/>
          <w:szCs w:val="18"/>
        </w:rPr>
        <w:t>reported here</w:t>
      </w:r>
      <w:r w:rsidR="00DB1630" w:rsidRPr="00DB1630">
        <w:rPr>
          <w:rFonts w:cstheme="minorHAnsi"/>
          <w:szCs w:val="18"/>
        </w:rPr>
        <w:t xml:space="preserve"> for the </w:t>
      </w:r>
      <w:r w:rsidR="00DB1630">
        <w:rPr>
          <w:rFonts w:cstheme="minorHAnsi"/>
          <w:szCs w:val="18"/>
        </w:rPr>
        <w:t xml:space="preserve">DGV derivation unless otherwise indicated. </w:t>
      </w:r>
    </w:p>
    <w:p w14:paraId="66175C49" w14:textId="77777777" w:rsidR="00DB1630" w:rsidRDefault="001272F6" w:rsidP="00334DA7">
      <w:pPr>
        <w:pStyle w:val="FigureTableNoteSource"/>
        <w:rPr>
          <w:rFonts w:cstheme="minorHAnsi"/>
          <w:szCs w:val="18"/>
        </w:rPr>
      </w:pPr>
      <w:r w:rsidRPr="009107BC">
        <w:rPr>
          <w:rStyle w:val="Strong"/>
        </w:rPr>
        <w:t>c</w:t>
      </w:r>
      <w:r w:rsidRPr="009107BC">
        <w:t xml:space="preserve"> </w:t>
      </w:r>
      <w:r>
        <w:rPr>
          <w:rFonts w:cstheme="minorHAnsi"/>
          <w:szCs w:val="18"/>
        </w:rPr>
        <w:t>For the DGV derivation, reported chronic EC50 value was divided by default conversion factor of 5, as per Warne et al. (2018).</w:t>
      </w:r>
    </w:p>
    <w:p w14:paraId="66175C4A" w14:textId="77777777" w:rsidR="00DB1630" w:rsidRDefault="001272F6" w:rsidP="00334DA7">
      <w:pPr>
        <w:pStyle w:val="FigureTableNoteSource"/>
        <w:rPr>
          <w:rFonts w:cstheme="minorHAnsi"/>
          <w:szCs w:val="18"/>
        </w:rPr>
      </w:pPr>
      <w:r w:rsidRPr="009107BC">
        <w:rPr>
          <w:rStyle w:val="Strong"/>
        </w:rPr>
        <w:t>d</w:t>
      </w:r>
      <w:r w:rsidRPr="009107BC">
        <w:t xml:space="preserve"> </w:t>
      </w:r>
      <w:r>
        <w:rPr>
          <w:rFonts w:cstheme="minorHAnsi"/>
          <w:szCs w:val="18"/>
        </w:rPr>
        <w:t>For the DGV derivation, reported chronic LOEC value was divided by de</w:t>
      </w:r>
      <w:r w:rsidR="009107BC">
        <w:rPr>
          <w:rFonts w:cstheme="minorHAnsi"/>
          <w:szCs w:val="18"/>
        </w:rPr>
        <w:t>fault conversion factor of 2.5,</w:t>
      </w:r>
      <w:r>
        <w:rPr>
          <w:rFonts w:cstheme="minorHAnsi"/>
          <w:szCs w:val="18"/>
        </w:rPr>
        <w:t xml:space="preserve"> as per Warne et al. (2018).</w:t>
      </w:r>
    </w:p>
    <w:p w14:paraId="66175C4B" w14:textId="77777777" w:rsidR="00DB1630" w:rsidRPr="00DB1630" w:rsidRDefault="001272F6" w:rsidP="00334DA7">
      <w:pPr>
        <w:pStyle w:val="FigureTableNoteSource"/>
        <w:rPr>
          <w:rFonts w:cstheme="minorHAnsi"/>
          <w:szCs w:val="18"/>
        </w:rPr>
      </w:pPr>
      <w:r w:rsidRPr="009107BC">
        <w:rPr>
          <w:rStyle w:val="Strong"/>
        </w:rPr>
        <w:t>e</w:t>
      </w:r>
      <w:r w:rsidRPr="009107BC">
        <w:t xml:space="preserve"> </w:t>
      </w:r>
      <w:r>
        <w:rPr>
          <w:rFonts w:cstheme="minorHAnsi"/>
          <w:szCs w:val="18"/>
        </w:rPr>
        <w:t>For the DGV derivation, reported acute EC</w:t>
      </w:r>
      <w:r w:rsidR="007B5EA6">
        <w:rPr>
          <w:rFonts w:cstheme="minorHAnsi"/>
          <w:szCs w:val="18"/>
        </w:rPr>
        <w:t>/LC</w:t>
      </w:r>
      <w:r>
        <w:rPr>
          <w:rFonts w:cstheme="minorHAnsi"/>
          <w:szCs w:val="18"/>
        </w:rPr>
        <w:t>50 value was divided by default conversion factor of 10, as per Warne et al. (2018).</w:t>
      </w:r>
    </w:p>
    <w:p w14:paraId="66175C4C" w14:textId="77777777" w:rsidR="00721D34" w:rsidRDefault="001272F6" w:rsidP="0067492A">
      <w:pPr>
        <w:pStyle w:val="FigureTableNoteSource"/>
        <w:spacing w:after="0"/>
      </w:pPr>
      <w:r w:rsidRPr="009107BC">
        <w:rPr>
          <w:rStyle w:val="Strong"/>
        </w:rPr>
        <w:t>f</w:t>
      </w:r>
      <w:r w:rsidRPr="009107BC">
        <w:t xml:space="preserve"> </w:t>
      </w:r>
      <w:r w:rsidR="003A788E">
        <w:t>A</w:t>
      </w:r>
      <w:r w:rsidRPr="00721D34">
        <w:t xml:space="preserve"> geo</w:t>
      </w:r>
      <w:r w:rsidR="002B5D35">
        <w:t xml:space="preserve">metric </w:t>
      </w:r>
      <w:r w:rsidRPr="00721D34">
        <w:t>mean of 0.1</w:t>
      </w:r>
      <w:r w:rsidR="003A788E">
        <w:t>9</w:t>
      </w:r>
      <w:r w:rsidR="005C2727">
        <w:t> </w:t>
      </w:r>
      <w:r w:rsidR="005C2727" w:rsidRPr="005C2727">
        <w:t>µg/L</w:t>
      </w:r>
      <w:r w:rsidR="003A788E">
        <w:t xml:space="preserve"> was estimated from the 0.18</w:t>
      </w:r>
      <w:r w:rsidR="005C2727">
        <w:t> </w:t>
      </w:r>
      <w:r w:rsidR="005C2727" w:rsidRPr="005C2727">
        <w:t>µg/L</w:t>
      </w:r>
      <w:r w:rsidRPr="00721D34">
        <w:t xml:space="preserve"> and 0.21</w:t>
      </w:r>
      <w:r w:rsidR="005C2727">
        <w:t> </w:t>
      </w:r>
      <w:r w:rsidR="005C2727" w:rsidRPr="005C2727">
        <w:t>µg/L</w:t>
      </w:r>
      <w:r w:rsidRPr="00721D34">
        <w:t xml:space="preserve"> EC5 </w:t>
      </w:r>
      <w:r w:rsidR="003A788E">
        <w:t xml:space="preserve">values at </w:t>
      </w:r>
      <w:r w:rsidRPr="00721D34">
        <w:t>96</w:t>
      </w:r>
      <w:r w:rsidR="005C2727">
        <w:t> </w:t>
      </w:r>
      <w:r w:rsidRPr="00721D34">
        <w:t>h</w:t>
      </w:r>
      <w:r w:rsidR="005C2727">
        <w:t>our</w:t>
      </w:r>
      <w:r w:rsidRPr="00721D34">
        <w:t xml:space="preserve"> exposure for </w:t>
      </w:r>
      <w:r w:rsidRPr="002C53C4">
        <w:rPr>
          <w:rStyle w:val="Emphasis"/>
        </w:rPr>
        <w:t>Haliotis diversicolor supertexta</w:t>
      </w:r>
      <w:r w:rsidR="005C2727">
        <w:rPr>
          <w:i/>
        </w:rPr>
        <w:t>.</w:t>
      </w:r>
    </w:p>
    <w:p w14:paraId="66175C4D" w14:textId="77777777" w:rsidR="00334DA7" w:rsidRPr="00C844C8" w:rsidRDefault="00334DA7" w:rsidP="0067492A">
      <w:pPr>
        <w:pStyle w:val="FigureTableNoteSource"/>
        <w:spacing w:after="0"/>
        <w:sectPr w:rsidR="00334DA7" w:rsidRPr="00C844C8" w:rsidSect="0067492A">
          <w:headerReference w:type="default" r:id="rId27"/>
          <w:headerReference w:type="first" r:id="rId28"/>
          <w:footerReference w:type="first" r:id="rId29"/>
          <w:pgSz w:w="16838" w:h="11906" w:orient="landscape"/>
          <w:pgMar w:top="1134" w:right="1134" w:bottom="1134" w:left="1134" w:header="567" w:footer="284" w:gutter="0"/>
          <w:cols w:space="708"/>
          <w:docGrid w:linePitch="360"/>
        </w:sectPr>
      </w:pPr>
    </w:p>
    <w:p w14:paraId="66175C4E" w14:textId="77777777" w:rsidR="00606A7B" w:rsidRDefault="001272F6" w:rsidP="00606A7B">
      <w:pPr>
        <w:pStyle w:val="Heading2"/>
        <w:numPr>
          <w:ilvl w:val="0"/>
          <w:numId w:val="0"/>
        </w:numPr>
      </w:pPr>
      <w:bookmarkStart w:id="29" w:name="_Ref528068779"/>
      <w:bookmarkStart w:id="30" w:name="_Ref528068976"/>
      <w:bookmarkStart w:id="31" w:name="_Toc4498837"/>
      <w:bookmarkStart w:id="32" w:name="_Ref63754622"/>
      <w:bookmarkStart w:id="33" w:name="_Toc68691044"/>
      <w:r>
        <w:t>Appendix </w:t>
      </w:r>
      <w:r w:rsidR="005A3D73" w:rsidRPr="000C7ECF">
        <w:t xml:space="preserve">B: </w:t>
      </w:r>
      <w:bookmarkEnd w:id="29"/>
      <w:bookmarkEnd w:id="30"/>
      <w:bookmarkEnd w:id="31"/>
      <w:r w:rsidR="00515821">
        <w:t xml:space="preserve">Modality assessment for </w:t>
      </w:r>
      <w:r w:rsidR="00C844C8">
        <w:t>bisphenol A</w:t>
      </w:r>
      <w:bookmarkEnd w:id="32"/>
      <w:bookmarkEnd w:id="33"/>
    </w:p>
    <w:p w14:paraId="66175C4F" w14:textId="77777777" w:rsidR="004D64F0" w:rsidRPr="00BD3B0C" w:rsidRDefault="001272F6" w:rsidP="009C4F14">
      <w:r w:rsidRPr="00BD3B0C">
        <w:t xml:space="preserve">A modality assessment was undertaken for </w:t>
      </w:r>
      <w:r w:rsidR="00821F20">
        <w:t xml:space="preserve">BPA </w:t>
      </w:r>
      <w:r w:rsidR="002710BC">
        <w:t xml:space="preserve">toxicity to marine species </w:t>
      </w:r>
      <w:r w:rsidRPr="00BD3B0C">
        <w:t>according to the four questions stipulated in Warne</w:t>
      </w:r>
      <w:r w:rsidRPr="00BD3B0C">
        <w:rPr>
          <w:i/>
        </w:rPr>
        <w:t xml:space="preserve"> </w:t>
      </w:r>
      <w:r w:rsidRPr="00B72D26">
        <w:rPr>
          <w:iCs/>
        </w:rPr>
        <w:t>et al.</w:t>
      </w:r>
      <w:r w:rsidRPr="00BD3B0C">
        <w:t xml:space="preserve"> (2018). </w:t>
      </w:r>
      <w:r>
        <w:t>The</w:t>
      </w:r>
      <w:r w:rsidR="00F448C8">
        <w:t>se</w:t>
      </w:r>
      <w:r>
        <w:t xml:space="preserve"> questions</w:t>
      </w:r>
      <w:r w:rsidRPr="00220F96">
        <w:t xml:space="preserve"> </w:t>
      </w:r>
      <w:r w:rsidRPr="00BD3B0C">
        <w:t xml:space="preserve"> and their answers are listed below</w:t>
      </w:r>
      <w:r w:rsidR="00F448C8">
        <w:t>.</w:t>
      </w:r>
    </w:p>
    <w:p w14:paraId="66175C50" w14:textId="77777777" w:rsidR="004D64F0" w:rsidRPr="00BD3B0C" w:rsidRDefault="001272F6" w:rsidP="009C4F14">
      <w:pPr>
        <w:pStyle w:val="Heading5"/>
      </w:pPr>
      <w:r w:rsidRPr="00BD3B0C">
        <w:t>Is there a specific mode of action that could result in taxa-specific sensitivity?</w:t>
      </w:r>
    </w:p>
    <w:p w14:paraId="66175C51" w14:textId="77777777" w:rsidR="0070728E" w:rsidRPr="00BD3B0C" w:rsidRDefault="001272F6" w:rsidP="009C4F14">
      <w:r>
        <w:t>BPA</w:t>
      </w:r>
      <w:r w:rsidR="005A3D73" w:rsidRPr="00BD3B0C">
        <w:t xml:space="preserve"> is a nonsteroidal xenoestrogen and endocrine disruptor that exhibits both oestradiol and anti-androgen activity in aquatic organisms following chronic exposures. </w:t>
      </w:r>
      <w:r>
        <w:t>BPA</w:t>
      </w:r>
      <w:r w:rsidR="005A3D73" w:rsidRPr="00BD3B0C">
        <w:t xml:space="preserve"> also has an active, but poorly understood</w:t>
      </w:r>
      <w:r>
        <w:t>,</w:t>
      </w:r>
      <w:r w:rsidR="005A3D73" w:rsidRPr="00BD3B0C">
        <w:t xml:space="preserve"> involvement in steroidal sex hormones in plant development and growth processes (Speranza 2</w:t>
      </w:r>
      <w:r w:rsidR="00427467" w:rsidRPr="00BD3B0C">
        <w:t xml:space="preserve">010). Therefore, </w:t>
      </w:r>
      <w:r w:rsidR="009547DD">
        <w:t>based on mode of action</w:t>
      </w:r>
      <w:r w:rsidR="00821F20">
        <w:t xml:space="preserve"> alone</w:t>
      </w:r>
      <w:r w:rsidR="009547DD">
        <w:t xml:space="preserve">, there was no clear reason to </w:t>
      </w:r>
      <w:r w:rsidR="00821F20">
        <w:t>suspect large differences in taxa-specific sensitivity</w:t>
      </w:r>
      <w:r w:rsidR="00427467" w:rsidRPr="00BD3B0C">
        <w:t xml:space="preserve">. </w:t>
      </w:r>
    </w:p>
    <w:p w14:paraId="66175C52" w14:textId="77777777" w:rsidR="004D64F0" w:rsidRPr="00BD3B0C" w:rsidRDefault="001272F6" w:rsidP="009C4F14">
      <w:pPr>
        <w:pStyle w:val="Heading5"/>
      </w:pPr>
      <w:r w:rsidRPr="00BD3B0C">
        <w:t>Does the dataset suggest bimodality?</w:t>
      </w:r>
    </w:p>
    <w:p w14:paraId="66175C53" w14:textId="77777777" w:rsidR="004D64F0" w:rsidRPr="00BD3B0C" w:rsidRDefault="001272F6" w:rsidP="009C4F14">
      <w:r w:rsidRPr="00BD3B0C">
        <w:t xml:space="preserve">Visual representation of the data, calculation of the bimodality coefficient (BC), and consideration of the range in the effect concentrations are recommended lines of evidence </w:t>
      </w:r>
      <w:r w:rsidR="00F448C8">
        <w:t>for</w:t>
      </w:r>
      <w:r w:rsidR="00F448C8" w:rsidRPr="00BD3B0C">
        <w:t xml:space="preserve"> </w:t>
      </w:r>
      <w:r w:rsidRPr="00BD3B0C">
        <w:t>evaluating whether bi</w:t>
      </w:r>
      <w:r w:rsidR="00F448C8">
        <w:t>modality</w:t>
      </w:r>
      <w:r w:rsidRPr="00BD3B0C">
        <w:t xml:space="preserve"> or multimodality of the dataset is apparent. This is discussed </w:t>
      </w:r>
      <w:r w:rsidR="00F448C8">
        <w:t>as follows.</w:t>
      </w:r>
      <w:r w:rsidRPr="00BD3B0C">
        <w:t xml:space="preserve"> </w:t>
      </w:r>
    </w:p>
    <w:p w14:paraId="66175C54" w14:textId="77777777" w:rsidR="000F75CD" w:rsidRPr="00C34CD6" w:rsidRDefault="001272F6" w:rsidP="009C4F14">
      <w:pPr>
        <w:pStyle w:val="ListBullet"/>
      </w:pPr>
      <w:r w:rsidRPr="00C34CD6">
        <w:t>The histogram of the raw effect concentration SSD data (</w:t>
      </w:r>
      <w:r w:rsidR="00E0429F">
        <w:fldChar w:fldCharType="begin"/>
      </w:r>
      <w:r w:rsidR="00E0429F">
        <w:instrText xml:space="preserve"> REF _Ref63753989 \h </w:instrText>
      </w:r>
      <w:r w:rsidR="00E0429F">
        <w:fldChar w:fldCharType="separate"/>
      </w:r>
      <w:r w:rsidR="00FE279A">
        <w:t>Figure B </w:t>
      </w:r>
      <w:r w:rsidR="00FE279A">
        <w:rPr>
          <w:noProof/>
        </w:rPr>
        <w:t>1</w:t>
      </w:r>
      <w:r w:rsidR="00E0429F">
        <w:fldChar w:fldCharType="end"/>
      </w:r>
      <w:r w:rsidRPr="00C34CD6">
        <w:t>) could be interpreted as positively right skewed</w:t>
      </w:r>
      <w:r w:rsidR="00F448C8">
        <w:t>,</w:t>
      </w:r>
      <w:r w:rsidRPr="00C34CD6">
        <w:t xml:space="preserve"> typical of concentration-based data (Warne </w:t>
      </w:r>
      <w:r w:rsidRPr="00BC3999">
        <w:rPr>
          <w:iCs/>
        </w:rPr>
        <w:t>et al.</w:t>
      </w:r>
      <w:r w:rsidRPr="001941E5">
        <w:rPr>
          <w:iCs/>
        </w:rPr>
        <w:t xml:space="preserve"> </w:t>
      </w:r>
      <w:r w:rsidRPr="00C34CD6">
        <w:t>2018). The log</w:t>
      </w:r>
      <w:r w:rsidR="000529A0">
        <w:t>-</w:t>
      </w:r>
      <w:r w:rsidRPr="00C34CD6">
        <w:t>transformed histogram generally follows a normal distribution (</w:t>
      </w:r>
      <w:r w:rsidR="00E0429F">
        <w:fldChar w:fldCharType="begin"/>
      </w:r>
      <w:r w:rsidR="00E0429F">
        <w:instrText xml:space="preserve"> REF _Ref63753989 \h </w:instrText>
      </w:r>
      <w:r w:rsidR="00E0429F">
        <w:fldChar w:fldCharType="separate"/>
      </w:r>
      <w:r w:rsidR="00FE279A">
        <w:t>Figure B </w:t>
      </w:r>
      <w:r w:rsidR="00FE279A">
        <w:rPr>
          <w:noProof/>
        </w:rPr>
        <w:t>1</w:t>
      </w:r>
      <w:r w:rsidR="00E0429F">
        <w:fldChar w:fldCharType="end"/>
      </w:r>
      <w:r w:rsidRPr="00C34CD6">
        <w:t>).</w:t>
      </w:r>
    </w:p>
    <w:p w14:paraId="66175C55" w14:textId="77777777" w:rsidR="004D64F0" w:rsidRPr="000F75CD" w:rsidRDefault="001272F6" w:rsidP="009C4F14">
      <w:pPr>
        <w:pStyle w:val="ListBullet"/>
      </w:pPr>
      <w:r w:rsidRPr="000F75CD">
        <w:t xml:space="preserve">Data </w:t>
      </w:r>
      <w:r w:rsidR="00821F20" w:rsidRPr="000F75CD">
        <w:t xml:space="preserve">that </w:t>
      </w:r>
      <w:r w:rsidRPr="000F75CD">
        <w:t>span large ranges (&gt;4 orders of magnitude) indicate potential for underlying bi</w:t>
      </w:r>
      <w:r w:rsidR="000529A0">
        <w:t>modality</w:t>
      </w:r>
      <w:r w:rsidRPr="000F75CD">
        <w:t xml:space="preserve"> or multimodality (Warne </w:t>
      </w:r>
      <w:r w:rsidRPr="00BC3999">
        <w:rPr>
          <w:iCs/>
        </w:rPr>
        <w:t>et al.</w:t>
      </w:r>
      <w:r w:rsidRPr="000F75CD">
        <w:t xml:space="preserve"> 2018); the </w:t>
      </w:r>
      <w:r w:rsidR="00821F20" w:rsidRPr="000F75CD">
        <w:t>BPA</w:t>
      </w:r>
      <w:r w:rsidRPr="000F75CD">
        <w:t xml:space="preserve"> data span </w:t>
      </w:r>
      <w:r w:rsidR="000C4513">
        <w:t xml:space="preserve">over </w:t>
      </w:r>
      <w:r w:rsidR="00004D35">
        <w:t>four</w:t>
      </w:r>
      <w:r w:rsidR="006262B6" w:rsidRPr="000F75CD">
        <w:t xml:space="preserve"> </w:t>
      </w:r>
      <w:r w:rsidRPr="000F75CD">
        <w:t>orders of magnitude.</w:t>
      </w:r>
    </w:p>
    <w:p w14:paraId="66175C56" w14:textId="77777777" w:rsidR="004D64F0" w:rsidRPr="00BD3B0C" w:rsidRDefault="001272F6" w:rsidP="009C4F14">
      <w:pPr>
        <w:pStyle w:val="ListBullet"/>
      </w:pPr>
      <w:r w:rsidRPr="00BD3B0C">
        <w:t>When the BC is greater than 0.555</w:t>
      </w:r>
      <w:r w:rsidR="000529A0">
        <w:t>,</w:t>
      </w:r>
      <w:r w:rsidRPr="00BD3B0C">
        <w:t xml:space="preserve"> it indicates that the data </w:t>
      </w:r>
      <w:r w:rsidR="000529A0">
        <w:t>do</w:t>
      </w:r>
      <w:r w:rsidR="000529A0" w:rsidRPr="00BD3B0C">
        <w:t xml:space="preserve"> </w:t>
      </w:r>
      <w:r w:rsidRPr="00BD3B0C">
        <w:t>not follow a normal distribution and may be bimoda</w:t>
      </w:r>
      <w:r w:rsidR="006262B6" w:rsidRPr="00BD3B0C">
        <w:t xml:space="preserve">l; the BC of the </w:t>
      </w:r>
      <w:r w:rsidR="008E33BB" w:rsidRPr="00BD3B0C">
        <w:t>log</w:t>
      </w:r>
      <w:r w:rsidR="008E33BB">
        <w:t>-</w:t>
      </w:r>
      <w:r w:rsidR="008E33BB" w:rsidRPr="00BD3B0C">
        <w:t xml:space="preserve">transformed </w:t>
      </w:r>
      <w:r w:rsidR="006262B6" w:rsidRPr="00BD3B0C">
        <w:t xml:space="preserve">data </w:t>
      </w:r>
      <w:r w:rsidR="006262B6" w:rsidRPr="00B64E14">
        <w:t xml:space="preserve">is </w:t>
      </w:r>
      <w:r w:rsidR="008E33BB" w:rsidRPr="00B64E14">
        <w:t>0.</w:t>
      </w:r>
      <w:r w:rsidR="00B158D2">
        <w:t>22</w:t>
      </w:r>
      <w:r w:rsidR="000529A0">
        <w:t>, which</w:t>
      </w:r>
      <w:r w:rsidR="00B158D2" w:rsidRPr="00B64E14">
        <w:t xml:space="preserve"> </w:t>
      </w:r>
      <w:r w:rsidRPr="00B64E14">
        <w:t>does not</w:t>
      </w:r>
      <w:r w:rsidRPr="00BD3B0C">
        <w:t xml:space="preserve"> support </w:t>
      </w:r>
      <w:r w:rsidR="008E33BB">
        <w:t>bimodality</w:t>
      </w:r>
      <w:r w:rsidRPr="00BD3B0C">
        <w:t xml:space="preserve">. </w:t>
      </w:r>
    </w:p>
    <w:p w14:paraId="66175C57" w14:textId="77777777" w:rsidR="00B64E14" w:rsidRPr="00B158D2" w:rsidRDefault="001272F6" w:rsidP="009C4F14">
      <w:r w:rsidRPr="000F75CD">
        <w:t>Based on the</w:t>
      </w:r>
      <w:r w:rsidR="00B57FA9">
        <w:t>se</w:t>
      </w:r>
      <w:r w:rsidRPr="000F75CD">
        <w:t xml:space="preserve"> lines of evidence, the distribution of the log</w:t>
      </w:r>
      <w:r w:rsidR="000529A0">
        <w:t>-</w:t>
      </w:r>
      <w:r w:rsidRPr="000F75CD">
        <w:t>transformed dataset is generally in accordance with a unimodal distribution.</w:t>
      </w:r>
      <w:r w:rsidR="004C3820">
        <w:t xml:space="preserve"> </w:t>
      </w:r>
    </w:p>
    <w:p w14:paraId="66175C58" w14:textId="77777777" w:rsidR="004D1A98" w:rsidRDefault="001272F6" w:rsidP="009C4F14">
      <w:pPr>
        <w:rPr>
          <w:rFonts w:cstheme="minorHAnsi"/>
          <w:b/>
          <w:sz w:val="20"/>
          <w:szCs w:val="20"/>
        </w:rPr>
      </w:pPr>
      <w:r>
        <w:rPr>
          <w:noProof/>
        </w:rPr>
        <w:drawing>
          <wp:inline distT="0" distB="0" distL="0" distR="0" wp14:anchorId="66175C8F" wp14:editId="66175C90">
            <wp:extent cx="5400000" cy="2216594"/>
            <wp:effectExtent l="0" t="0" r="0" b="6350"/>
            <wp:docPr id="6" name="Picture 6" descr="Histogram, of raw (left) and log-transformed (right) data&#10;&#10;Figure shows two histograms: the left histogram shows raw effect concentration SSD data (x axis) against count and proportion per bar (y axes); the right histogram shows log transformed concentration data (x axis) against count and proportion per bar (y axes). Concentration units are micrograms per litre.">
              <a:extLst xmlns:a="http://schemas.openxmlformats.org/drawingml/2006/main">
                <a:ext uri="{FF2B5EF4-FFF2-40B4-BE49-F238E27FC236}">
                  <a16:creationId xmlns:a16="http://schemas.microsoft.com/office/drawing/2014/main" id="{118A2B46-4362-491F-A9BF-178CA4F50A3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23699" name="Picture 1" descr="Histogram, of raw (left) and log-transformed (right) data&#10;&#10;Figure shows two histograms: the left histogram shows raw effect concentration SSD data (x axis) against count and proportion per bar (y axes); the right histogram shows log transformed concentration data (x axis) against count and proportion per bar (y axes). Concentration units are micrograms per litre.">
                      <a:extLst>
                        <a:ext uri="{FF2B5EF4-FFF2-40B4-BE49-F238E27FC236}">
                          <a16:creationId xmlns:a16="http://schemas.microsoft.com/office/drawing/2014/main" id="{118A2B46-4362-491F-A9BF-178CA4F50A31}"/>
                        </a:ext>
                      </a:extLst>
                    </pic:cNvPr>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bwMode="auto">
                    <a:xfrm>
                      <a:off x="0" y="0"/>
                      <a:ext cx="5400000" cy="2216594"/>
                    </a:xfrm>
                    <a:prstGeom prst="rect">
                      <a:avLst/>
                    </a:prstGeom>
                    <a:noFill/>
                  </pic:spPr>
                </pic:pic>
              </a:graphicData>
            </a:graphic>
          </wp:inline>
        </w:drawing>
      </w:r>
    </w:p>
    <w:p w14:paraId="66175C59" w14:textId="77777777" w:rsidR="000F75CD" w:rsidRDefault="001272F6" w:rsidP="0067492A">
      <w:pPr>
        <w:pStyle w:val="Caption"/>
        <w:keepNext w:val="0"/>
      </w:pPr>
      <w:bookmarkStart w:id="34" w:name="_Ref63753989"/>
      <w:bookmarkStart w:id="35" w:name="_Toc68691049"/>
      <w:r>
        <w:t>Figure B </w:t>
      </w:r>
      <w:r w:rsidR="00235993">
        <w:fldChar w:fldCharType="begin"/>
      </w:r>
      <w:r w:rsidR="00235993">
        <w:instrText xml:space="preserve"> SEQ Figure_B \* ARABIC </w:instrText>
      </w:r>
      <w:r w:rsidR="00235993">
        <w:fldChar w:fldCharType="separate"/>
      </w:r>
      <w:r w:rsidR="00FE279A">
        <w:rPr>
          <w:noProof/>
        </w:rPr>
        <w:t>1</w:t>
      </w:r>
      <w:r w:rsidR="00235993">
        <w:rPr>
          <w:noProof/>
        </w:rPr>
        <w:fldChar w:fldCharType="end"/>
      </w:r>
      <w:bookmarkEnd w:id="34"/>
      <w:r w:rsidR="005A3D73" w:rsidRPr="00C34CD6">
        <w:t xml:space="preserve"> Histogram</w:t>
      </w:r>
      <w:r w:rsidR="00B57FA9">
        <w:t>,</w:t>
      </w:r>
      <w:r w:rsidR="005A3D73" w:rsidRPr="00C34CD6">
        <w:t xml:space="preserve"> raw (left) and log</w:t>
      </w:r>
      <w:r w:rsidR="000529A0">
        <w:t>-</w:t>
      </w:r>
      <w:r w:rsidR="005A3D73" w:rsidRPr="00C34CD6">
        <w:t>transformed (right)</w:t>
      </w:r>
      <w:r w:rsidR="00E35A17" w:rsidRPr="00E35A17">
        <w:t xml:space="preserve"> </w:t>
      </w:r>
      <w:r w:rsidR="00E35A17" w:rsidRPr="00C34CD6">
        <w:t>data</w:t>
      </w:r>
      <w:bookmarkEnd w:id="35"/>
    </w:p>
    <w:p w14:paraId="66175C5A" w14:textId="77777777" w:rsidR="004D64F0" w:rsidRPr="00BD3B0C" w:rsidRDefault="001272F6" w:rsidP="009C4F14">
      <w:pPr>
        <w:pStyle w:val="Heading5"/>
      </w:pPr>
      <w:r w:rsidRPr="00BD3B0C">
        <w:t>Do data show taxa-specific sensitivity (i.e. through distinct groupings of different taxa types)?</w:t>
      </w:r>
    </w:p>
    <w:p w14:paraId="66175C5B" w14:textId="77777777" w:rsidR="004D64F0" w:rsidRPr="00BD3B0C" w:rsidRDefault="001272F6" w:rsidP="009C4F14">
      <w:r>
        <w:t>T</w:t>
      </w:r>
      <w:r w:rsidRPr="00BD3B0C">
        <w:t xml:space="preserve">he mode of action of </w:t>
      </w:r>
      <w:r w:rsidR="00821F20">
        <w:t>BP</w:t>
      </w:r>
      <w:r w:rsidR="00BD3B0C" w:rsidRPr="00BD3B0C">
        <w:t>A</w:t>
      </w:r>
      <w:r w:rsidRPr="00BD3B0C">
        <w:t xml:space="preserve"> </w:t>
      </w:r>
      <w:r w:rsidR="00BD3B0C" w:rsidRPr="00BD3B0C">
        <w:t xml:space="preserve">is known </w:t>
      </w:r>
      <w:r w:rsidRPr="00BD3B0C">
        <w:t>to affect both plants and animals</w:t>
      </w:r>
      <w:r w:rsidR="00BD3B0C" w:rsidRPr="00BD3B0C">
        <w:t xml:space="preserve"> (Speranza 2010)</w:t>
      </w:r>
      <w:r w:rsidR="0062345A">
        <w:t>;</w:t>
      </w:r>
      <w:r w:rsidRPr="00BD3B0C">
        <w:t xml:space="preserve"> the potential for taxa</w:t>
      </w:r>
      <w:r w:rsidR="0062345A">
        <w:t>-</w:t>
      </w:r>
      <w:r w:rsidRPr="00BD3B0C">
        <w:t>specific sensitivity in the data was examined using box plots of the SSD data with the grouping variable phyla and major organism types</w:t>
      </w:r>
      <w:r>
        <w:t xml:space="preserve"> (noting that no plant data were identified </w:t>
      </w:r>
      <w:r w:rsidR="0062345A">
        <w:t xml:space="preserve">for </w:t>
      </w:r>
      <w:r>
        <w:t>this DGV</w:t>
      </w:r>
      <w:r w:rsidR="001B2AD0">
        <w:t xml:space="preserve"> derivation</w:t>
      </w:r>
      <w:r>
        <w:t>)</w:t>
      </w:r>
      <w:r w:rsidRPr="00BD3B0C">
        <w:t xml:space="preserve">. </w:t>
      </w:r>
    </w:p>
    <w:p w14:paraId="66175C5C" w14:textId="77777777" w:rsidR="004D64F0" w:rsidRPr="00BD3B0C" w:rsidRDefault="001272F6" w:rsidP="009C4F14">
      <w:pPr>
        <w:rPr>
          <w:highlight w:val="yellow"/>
        </w:rPr>
      </w:pPr>
      <w:r w:rsidRPr="00BD3B0C">
        <w:t xml:space="preserve">As shown in </w:t>
      </w:r>
      <w:r w:rsidR="00E0429F">
        <w:fldChar w:fldCharType="begin"/>
      </w:r>
      <w:r w:rsidR="00E0429F">
        <w:instrText xml:space="preserve"> REF _Ref63754068 \h </w:instrText>
      </w:r>
      <w:r w:rsidR="00E0429F">
        <w:fldChar w:fldCharType="separate"/>
      </w:r>
      <w:r w:rsidR="00FE279A">
        <w:t>Figure B </w:t>
      </w:r>
      <w:r w:rsidR="00FE279A">
        <w:rPr>
          <w:noProof/>
        </w:rPr>
        <w:t>2</w:t>
      </w:r>
      <w:r w:rsidR="00E0429F">
        <w:fldChar w:fldCharType="end"/>
      </w:r>
      <w:r w:rsidRPr="00BD3B0C">
        <w:t xml:space="preserve">, </w:t>
      </w:r>
      <w:r w:rsidR="008E33BB">
        <w:rPr>
          <w:rFonts w:cs="Arial"/>
        </w:rPr>
        <w:t>echinoderms and mollusc</w:t>
      </w:r>
      <w:r w:rsidR="001B2AD0">
        <w:rPr>
          <w:rFonts w:cs="Arial"/>
        </w:rPr>
        <w:t>s</w:t>
      </w:r>
      <w:r w:rsidR="008E33BB" w:rsidRPr="005A5D8D">
        <w:rPr>
          <w:rFonts w:cs="Arial"/>
        </w:rPr>
        <w:t xml:space="preserve"> appear to be the most sensitive</w:t>
      </w:r>
      <w:r w:rsidR="008E33BB">
        <w:rPr>
          <w:rFonts w:cs="Arial"/>
        </w:rPr>
        <w:t>. H</w:t>
      </w:r>
      <w:r w:rsidR="008E33BB" w:rsidRPr="005A5D8D">
        <w:rPr>
          <w:rFonts w:cs="Arial"/>
        </w:rPr>
        <w:t>owever</w:t>
      </w:r>
      <w:r w:rsidR="001941E5">
        <w:rPr>
          <w:rFonts w:cs="Arial"/>
        </w:rPr>
        <w:t>,</w:t>
      </w:r>
      <w:r w:rsidR="008E33BB" w:rsidRPr="005A5D8D">
        <w:rPr>
          <w:rFonts w:cs="Arial"/>
        </w:rPr>
        <w:t xml:space="preserve"> </w:t>
      </w:r>
      <w:r w:rsidR="001B2AD0">
        <w:rPr>
          <w:rFonts w:cs="Arial"/>
        </w:rPr>
        <w:t xml:space="preserve">as </w:t>
      </w:r>
      <w:r w:rsidR="008E33BB" w:rsidRPr="005A5D8D">
        <w:rPr>
          <w:rFonts w:cs="Arial"/>
        </w:rPr>
        <w:t xml:space="preserve">there are </w:t>
      </w:r>
      <w:r w:rsidR="006879E0">
        <w:rPr>
          <w:rFonts w:cs="Arial"/>
        </w:rPr>
        <w:t xml:space="preserve">only </w:t>
      </w:r>
      <w:r w:rsidR="008E33BB">
        <w:rPr>
          <w:rFonts w:cs="Arial"/>
        </w:rPr>
        <w:t>three</w:t>
      </w:r>
      <w:r w:rsidR="008E33BB" w:rsidRPr="005A5D8D">
        <w:rPr>
          <w:rFonts w:cs="Arial"/>
        </w:rPr>
        <w:t xml:space="preserve"> </w:t>
      </w:r>
      <w:r w:rsidR="001B2AD0">
        <w:rPr>
          <w:rFonts w:cs="Arial"/>
        </w:rPr>
        <w:t>echinoderms</w:t>
      </w:r>
      <w:r w:rsidR="008E33BB" w:rsidRPr="005A5D8D">
        <w:rPr>
          <w:rFonts w:cs="Arial"/>
        </w:rPr>
        <w:t xml:space="preserve"> </w:t>
      </w:r>
      <w:r w:rsidR="008E33BB">
        <w:rPr>
          <w:rFonts w:cs="Arial"/>
        </w:rPr>
        <w:t xml:space="preserve">and one mollusc, </w:t>
      </w:r>
      <w:r w:rsidR="008E33BB" w:rsidRPr="005A5D8D">
        <w:rPr>
          <w:rFonts w:cs="Arial"/>
        </w:rPr>
        <w:t xml:space="preserve">it </w:t>
      </w:r>
      <w:r w:rsidR="001B2AD0">
        <w:rPr>
          <w:rFonts w:cs="Arial"/>
        </w:rPr>
        <w:t xml:space="preserve">is </w:t>
      </w:r>
      <w:r w:rsidR="008E33BB" w:rsidRPr="005A5D8D">
        <w:rPr>
          <w:rFonts w:cs="Arial"/>
        </w:rPr>
        <w:t>difficult to draw robust conclusions</w:t>
      </w:r>
      <w:r w:rsidRPr="00BD3B0C">
        <w:t xml:space="preserve">. </w:t>
      </w:r>
    </w:p>
    <w:p w14:paraId="66175C5D" w14:textId="77777777" w:rsidR="004D1A98" w:rsidRDefault="001272F6" w:rsidP="00A27DBE">
      <w:pPr>
        <w:rPr>
          <w:rFonts w:cstheme="minorHAnsi"/>
          <w:b/>
          <w:sz w:val="20"/>
          <w:szCs w:val="20"/>
        </w:rPr>
      </w:pPr>
      <w:r>
        <w:rPr>
          <w:noProof/>
        </w:rPr>
        <w:drawing>
          <wp:inline distT="0" distB="0" distL="0" distR="0" wp14:anchorId="66175C91" wp14:editId="66175C92">
            <wp:extent cx="5400000" cy="2317380"/>
            <wp:effectExtent l="0" t="0" r="0" b="0"/>
            <wp:docPr id="7" name="Picture 7" descr="Box plots, raw (left) and log-transformed (right) data, grouped by organisms considered to be taxonomically different&#10;&#10;Figure shows two box plots: the left box plot shows raw concentration data against organisms considered to be taxonomically different; the right box plot shows the log transformed concentration data against organisms considered to be taxonomically different. Concentration units are micrograms per litre. Organisms are crustacean, dinoflagellate, echinoderm and mollusc.">
              <a:extLst xmlns:a="http://schemas.openxmlformats.org/drawingml/2006/main">
                <a:ext uri="{FF2B5EF4-FFF2-40B4-BE49-F238E27FC236}">
                  <a16:creationId xmlns:a16="http://schemas.microsoft.com/office/drawing/2014/main" id="{378E7710-B554-43F1-A1F5-E82811DA79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046405" name="Picture 2" descr="Box plots, raw (left) and log-transformed (right) data, grouped by organisms considered to be taxonomically different&#10;&#10;Figure shows two box plots: the left box plot shows raw concentration data against organisms considered to be taxonomically different; the right box plot shows the log transformed concentration data against organisms considered to be taxonomically different. Concentration units are micrograms per litre. Organisms are crustacean, dinoflagellate, echinoderm and mollusc.">
                      <a:extLst>
                        <a:ext uri="{FF2B5EF4-FFF2-40B4-BE49-F238E27FC236}">
                          <a16:creationId xmlns:a16="http://schemas.microsoft.com/office/drawing/2014/main" id="{378E7710-B554-43F1-A1F5-E82811DA7927}"/>
                        </a:ext>
                      </a:extLst>
                    </pic:cNvPr>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bwMode="auto">
                    <a:xfrm>
                      <a:off x="0" y="0"/>
                      <a:ext cx="5400000" cy="2317380"/>
                    </a:xfrm>
                    <a:prstGeom prst="rect">
                      <a:avLst/>
                    </a:prstGeom>
                    <a:noFill/>
                  </pic:spPr>
                </pic:pic>
              </a:graphicData>
            </a:graphic>
          </wp:inline>
        </w:drawing>
      </w:r>
    </w:p>
    <w:p w14:paraId="66175C5E" w14:textId="77777777" w:rsidR="004D64F0" w:rsidRPr="00C34CD6" w:rsidRDefault="001272F6" w:rsidP="00E0429F">
      <w:pPr>
        <w:pStyle w:val="Caption"/>
      </w:pPr>
      <w:bookmarkStart w:id="36" w:name="_Ref63754068"/>
      <w:bookmarkStart w:id="37" w:name="_Toc68691050"/>
      <w:r>
        <w:t>Figure B </w:t>
      </w:r>
      <w:r w:rsidR="00235993">
        <w:fldChar w:fldCharType="begin"/>
      </w:r>
      <w:r w:rsidR="00235993">
        <w:instrText xml:space="preserve"> SEQ Figure_B \* ARABIC </w:instrText>
      </w:r>
      <w:r w:rsidR="00235993">
        <w:fldChar w:fldCharType="separate"/>
      </w:r>
      <w:r w:rsidR="00FE279A">
        <w:rPr>
          <w:noProof/>
        </w:rPr>
        <w:t>2</w:t>
      </w:r>
      <w:r w:rsidR="00235993">
        <w:rPr>
          <w:noProof/>
        </w:rPr>
        <w:fldChar w:fldCharType="end"/>
      </w:r>
      <w:bookmarkEnd w:id="36"/>
      <w:r>
        <w:t xml:space="preserve"> </w:t>
      </w:r>
      <w:r w:rsidR="005A3D73" w:rsidRPr="00C34CD6">
        <w:t>Box</w:t>
      </w:r>
      <w:r w:rsidR="001B2AD0">
        <w:t xml:space="preserve"> </w:t>
      </w:r>
      <w:r w:rsidR="005A3D73" w:rsidRPr="00C34CD6">
        <w:t>plots</w:t>
      </w:r>
      <w:r w:rsidR="001B2AD0">
        <w:t>,</w:t>
      </w:r>
      <w:r w:rsidR="005A3D73" w:rsidRPr="00C34CD6">
        <w:t xml:space="preserve"> raw (</w:t>
      </w:r>
      <w:r w:rsidR="00BD3B0C" w:rsidRPr="00C34CD6">
        <w:t>left</w:t>
      </w:r>
      <w:r w:rsidR="005A3D73" w:rsidRPr="00C34CD6">
        <w:t>)</w:t>
      </w:r>
      <w:r w:rsidR="00BD3B0C" w:rsidRPr="00C34CD6">
        <w:t xml:space="preserve"> and log</w:t>
      </w:r>
      <w:r w:rsidR="000529A0">
        <w:t>-</w:t>
      </w:r>
      <w:r w:rsidR="00BD3B0C" w:rsidRPr="00C34CD6">
        <w:t xml:space="preserve">transformed (right) </w:t>
      </w:r>
      <w:r w:rsidR="005A3D73" w:rsidRPr="00C34CD6">
        <w:t>data</w:t>
      </w:r>
      <w:r w:rsidR="00821F20" w:rsidRPr="00C34CD6">
        <w:t xml:space="preserve"> </w:t>
      </w:r>
      <w:r w:rsidR="005A3D73" w:rsidRPr="00C34CD6">
        <w:t xml:space="preserve">grouped by </w:t>
      </w:r>
      <w:r w:rsidR="00BD3B0C" w:rsidRPr="00C34CD6">
        <w:t>organisms considered to be taxonomically different</w:t>
      </w:r>
      <w:bookmarkEnd w:id="37"/>
    </w:p>
    <w:p w14:paraId="66175C5F" w14:textId="77777777" w:rsidR="004D64F0" w:rsidRPr="00BD3B0C" w:rsidRDefault="001272F6" w:rsidP="009C4F14">
      <w:pPr>
        <w:pStyle w:val="Heading5"/>
      </w:pPr>
      <w:r w:rsidRPr="00BD3B0C">
        <w:t>Is it likely that indications of bi</w:t>
      </w:r>
      <w:r w:rsidR="00A27DBE">
        <w:t>modality</w:t>
      </w:r>
      <w:r w:rsidRPr="00BD3B0C">
        <w:t xml:space="preserve"> or multimodality or distinct clustering of taxa groups are not due to artefacts of data selection, small sample size, test procedures, or other reasons unrelated to a specific mode of action?</w:t>
      </w:r>
    </w:p>
    <w:p w14:paraId="66175C60" w14:textId="77777777" w:rsidR="004D64F0" w:rsidRDefault="001272F6" w:rsidP="009C4F14">
      <w:r>
        <w:t xml:space="preserve">Due to the </w:t>
      </w:r>
      <w:r w:rsidR="001941E5">
        <w:t xml:space="preserve">small </w:t>
      </w:r>
      <w:r>
        <w:t>sample size</w:t>
      </w:r>
      <w:r w:rsidR="00821F20">
        <w:t>,</w:t>
      </w:r>
      <w:r>
        <w:t xml:space="preserve"> it is not possible to discern</w:t>
      </w:r>
      <w:r w:rsidR="001941E5">
        <w:t xml:space="preserve"> trends in the data and</w:t>
      </w:r>
      <w:r>
        <w:t xml:space="preserve"> if </w:t>
      </w:r>
      <w:r w:rsidR="001941E5">
        <w:t xml:space="preserve">such </w:t>
      </w:r>
      <w:r>
        <w:t xml:space="preserve">trends are </w:t>
      </w:r>
      <w:r w:rsidRPr="00BD3B0C">
        <w:t>artefact</w:t>
      </w:r>
      <w:r>
        <w:t>s</w:t>
      </w:r>
      <w:r w:rsidRPr="00BD3B0C">
        <w:t xml:space="preserve"> of data selection, test procedures, or other reasons unrelated to a specific mode of action. The weight</w:t>
      </w:r>
      <w:r w:rsidR="0010079F">
        <w:t xml:space="preserve"> of evidence </w:t>
      </w:r>
      <w:r w:rsidR="00432C8A">
        <w:t>is insufficient to support a conclusion of bimodality</w:t>
      </w:r>
      <w:r w:rsidR="006B25FB">
        <w:t xml:space="preserve"> or multimodality</w:t>
      </w:r>
      <w:r w:rsidR="00CB364B">
        <w:t>;</w:t>
      </w:r>
      <w:r w:rsidR="00432C8A">
        <w:t xml:space="preserve"> therefore, </w:t>
      </w:r>
      <w:r w:rsidR="0010079F">
        <w:t xml:space="preserve">all </w:t>
      </w:r>
      <w:r w:rsidR="001941E5">
        <w:t xml:space="preserve">eight </w:t>
      </w:r>
      <w:r w:rsidRPr="00BD3B0C">
        <w:t>species identified in preparation of the SSD</w:t>
      </w:r>
      <w:r w:rsidR="00432C8A">
        <w:t xml:space="preserve"> were retained</w:t>
      </w:r>
      <w:r w:rsidR="00D97997">
        <w:t xml:space="preserve"> for the final dataset</w:t>
      </w:r>
      <w:r w:rsidRPr="00BD3B0C">
        <w:t>.</w:t>
      </w:r>
      <w:r w:rsidR="00970B83">
        <w:t xml:space="preserve"> </w:t>
      </w:r>
    </w:p>
    <w:p w14:paraId="66175C61" w14:textId="77777777" w:rsidR="009C4F14" w:rsidRDefault="001272F6">
      <w:pPr>
        <w:spacing w:after="0" w:line="240" w:lineRule="auto"/>
      </w:pPr>
      <w:r>
        <w:br w:type="page"/>
      </w:r>
    </w:p>
    <w:p w14:paraId="66175C62" w14:textId="77777777" w:rsidR="00606A7B" w:rsidRDefault="001272F6" w:rsidP="00606A7B">
      <w:pPr>
        <w:pStyle w:val="Heading2"/>
        <w:numPr>
          <w:ilvl w:val="0"/>
          <w:numId w:val="0"/>
        </w:numPr>
        <w:ind w:left="680" w:hanging="680"/>
      </w:pPr>
      <w:bookmarkStart w:id="38" w:name="_Toc4498839"/>
      <w:bookmarkStart w:id="39" w:name="_Toc68691045"/>
      <w:r w:rsidRPr="00585FD8">
        <w:t>References</w:t>
      </w:r>
      <w:bookmarkEnd w:id="38"/>
      <w:bookmarkEnd w:id="39"/>
    </w:p>
    <w:p w14:paraId="66175C63" w14:textId="77777777" w:rsidR="0067492A" w:rsidRDefault="001272F6" w:rsidP="009C4F14">
      <w:bookmarkStart w:id="40" w:name="_Ref477522849"/>
      <w:bookmarkStart w:id="41" w:name="_Ref429769883"/>
      <w:bookmarkStart w:id="42" w:name="_Ref429861645"/>
      <w:bookmarkStart w:id="43" w:name="_Ref429774296"/>
      <w:bookmarkStart w:id="44" w:name="_Ref429772388"/>
      <w:bookmarkStart w:id="45" w:name="_Ref429768809"/>
      <w:bookmarkStart w:id="46" w:name="_Ref423343470"/>
      <w:r>
        <w:t xml:space="preserve">Alexander, HC &amp; Dill, DC 1988. Bisphenol A: Acute aquatic toxicity. </w:t>
      </w:r>
      <w:r w:rsidRPr="00610429">
        <w:rPr>
          <w:rStyle w:val="Emphasis"/>
        </w:rPr>
        <w:t>Environmental Toxicology and Chemistry</w:t>
      </w:r>
      <w:r>
        <w:t>, 7, 19–26.</w:t>
      </w:r>
      <w:bookmarkEnd w:id="40"/>
    </w:p>
    <w:p w14:paraId="66175C64" w14:textId="77777777" w:rsidR="0067492A" w:rsidRDefault="001272F6" w:rsidP="009C4F14">
      <w:r w:rsidRPr="00967166">
        <w:t>Andersen</w:t>
      </w:r>
      <w:r>
        <w:t>,</w:t>
      </w:r>
      <w:r w:rsidRPr="00967166">
        <w:t xml:space="preserve"> HR, Halling-Sorensen, B</w:t>
      </w:r>
      <w:r>
        <w:t xml:space="preserve"> &amp;</w:t>
      </w:r>
      <w:r w:rsidRPr="00967166">
        <w:t xml:space="preserve"> Kusk, KO 1999. A parameter for detecting estrogenic exposure in the copepod </w:t>
      </w:r>
      <w:r w:rsidRPr="00CB364B">
        <w:rPr>
          <w:rStyle w:val="Emphasis"/>
        </w:rPr>
        <w:t>Acartia tonsa</w:t>
      </w:r>
      <w:r w:rsidRPr="00967166">
        <w:t xml:space="preserve">. </w:t>
      </w:r>
      <w:r w:rsidRPr="00CB364B">
        <w:rPr>
          <w:rStyle w:val="Emphasis"/>
        </w:rPr>
        <w:t>Ecotoxicology and Environmental Safety</w:t>
      </w:r>
      <w:r>
        <w:t xml:space="preserve">, </w:t>
      </w:r>
      <w:r w:rsidRPr="00014562">
        <w:t>44</w:t>
      </w:r>
      <w:r w:rsidRPr="00967166">
        <w:t>, 56</w:t>
      </w:r>
      <w:r>
        <w:t>–</w:t>
      </w:r>
      <w:r w:rsidRPr="00967166">
        <w:t xml:space="preserve">61. </w:t>
      </w:r>
    </w:p>
    <w:p w14:paraId="66175C65" w14:textId="77777777" w:rsidR="0067492A" w:rsidRPr="005A3844" w:rsidRDefault="001272F6" w:rsidP="009C4F14">
      <w:r w:rsidRPr="005A3844">
        <w:t>ANZG 2018. Australian and New Zealand Guidelines for Fresh and Marine Water Quality. Australian and New Zealand Governments and Australian state and territory govern</w:t>
      </w:r>
      <w:r>
        <w:t>ments, Canberra, ACT, Australia,</w:t>
      </w:r>
      <w:r w:rsidRPr="005A3844">
        <w:t xml:space="preserve"> </w:t>
      </w:r>
      <w:hyperlink r:id="rId32" w:history="1">
        <w:r w:rsidRPr="008060E3">
          <w:rPr>
            <w:rStyle w:val="Hyperlink"/>
          </w:rPr>
          <w:t>https://www.waterquality.gov.au/anz-guidelines</w:t>
        </w:r>
      </w:hyperlink>
      <w:r>
        <w:t xml:space="preserve">. </w:t>
      </w:r>
    </w:p>
    <w:p w14:paraId="66175C66" w14:textId="77777777" w:rsidR="0067492A" w:rsidRDefault="001272F6" w:rsidP="009C4F14">
      <w:r>
        <w:t>Bosnjak, I</w:t>
      </w:r>
      <w:r w:rsidRPr="00F84ECD">
        <w:t>, Borra</w:t>
      </w:r>
      <w:r>
        <w:t>,</w:t>
      </w:r>
      <w:r w:rsidRPr="00F84ECD">
        <w:t xml:space="preserve"> </w:t>
      </w:r>
      <w:r>
        <w:t>M</w:t>
      </w:r>
      <w:r w:rsidRPr="00F84ECD">
        <w:t>, Iamunno</w:t>
      </w:r>
      <w:r>
        <w:t>,</w:t>
      </w:r>
      <w:r w:rsidRPr="00F84ECD">
        <w:t xml:space="preserve"> F, Benvenuto</w:t>
      </w:r>
      <w:r>
        <w:t>,</w:t>
      </w:r>
      <w:r w:rsidRPr="00F84ECD">
        <w:t xml:space="preserve"> G, Ujevic</w:t>
      </w:r>
      <w:r>
        <w:t>,</w:t>
      </w:r>
      <w:r w:rsidRPr="00F84ECD">
        <w:t xml:space="preserve"> I, Buselic</w:t>
      </w:r>
      <w:r>
        <w:t>,</w:t>
      </w:r>
      <w:r w:rsidRPr="00F84ECD">
        <w:t xml:space="preserve"> I, Roje-Busatto</w:t>
      </w:r>
      <w:r>
        <w:t>,</w:t>
      </w:r>
      <w:r w:rsidRPr="00F84ECD">
        <w:t xml:space="preserve"> R</w:t>
      </w:r>
      <w:r>
        <w:t xml:space="preserve"> &amp;</w:t>
      </w:r>
      <w:r w:rsidRPr="00F84ECD">
        <w:t xml:space="preserve"> Mladineo</w:t>
      </w:r>
      <w:r>
        <w:t>,</w:t>
      </w:r>
      <w:r w:rsidRPr="00F84ECD">
        <w:t xml:space="preserve"> I 2014</w:t>
      </w:r>
      <w:r>
        <w:t>.</w:t>
      </w:r>
      <w:r w:rsidRPr="00F84ECD">
        <w:t xml:space="preserve"> </w:t>
      </w:r>
      <w:r>
        <w:t>E</w:t>
      </w:r>
      <w:r w:rsidRPr="00F84ECD">
        <w:t>ffect of bisphenol A on P-glycoprotein-mediated efflux and ultrastructure of the sea urchin embryo</w:t>
      </w:r>
      <w:r>
        <w:t>.</w:t>
      </w:r>
      <w:r w:rsidRPr="00F84ECD">
        <w:t xml:space="preserve"> </w:t>
      </w:r>
      <w:r w:rsidRPr="00FE1598">
        <w:rPr>
          <w:rStyle w:val="Emphasis"/>
        </w:rPr>
        <w:t>Aquatic Toxicology</w:t>
      </w:r>
      <w:r>
        <w:t xml:space="preserve">, </w:t>
      </w:r>
      <w:r w:rsidRPr="00F84ECD">
        <w:t>156</w:t>
      </w:r>
      <w:r>
        <w:t>, 21–</w:t>
      </w:r>
      <w:r w:rsidRPr="00F84ECD">
        <w:t>29</w:t>
      </w:r>
      <w:r>
        <w:t>.</w:t>
      </w:r>
    </w:p>
    <w:p w14:paraId="66175C67" w14:textId="77777777" w:rsidR="0067492A" w:rsidRPr="00B42942" w:rsidRDefault="001272F6" w:rsidP="009C4F14">
      <w:r w:rsidRPr="00B42942">
        <w:t>Chen, M-Y, Michihiko</w:t>
      </w:r>
      <w:r>
        <w:t>,</w:t>
      </w:r>
      <w:r w:rsidRPr="00B42942">
        <w:t xml:space="preserve"> I</w:t>
      </w:r>
      <w:r>
        <w:t xml:space="preserve"> &amp;</w:t>
      </w:r>
      <w:r w:rsidRPr="00B42942">
        <w:t xml:space="preserve"> Masanori</w:t>
      </w:r>
      <w:r>
        <w:t>,</w:t>
      </w:r>
      <w:r w:rsidRPr="00B42942">
        <w:t xml:space="preserve"> F 2002. Acute toxicity, mutagenicity, and estrogenicity of bisphenol-A and other bisphenols. </w:t>
      </w:r>
      <w:r w:rsidRPr="005953BE">
        <w:rPr>
          <w:rStyle w:val="Emphasis"/>
        </w:rPr>
        <w:t>Environmental Toxicology</w:t>
      </w:r>
      <w:r>
        <w:t>,</w:t>
      </w:r>
      <w:r w:rsidRPr="00B42942">
        <w:t xml:space="preserve"> 17</w:t>
      </w:r>
      <w:r>
        <w:t xml:space="preserve">, </w:t>
      </w:r>
      <w:r w:rsidRPr="00B42942">
        <w:t>1</w:t>
      </w:r>
      <w:r>
        <w:t xml:space="preserve">, </w:t>
      </w:r>
      <w:r w:rsidRPr="00B42942">
        <w:t>80</w:t>
      </w:r>
      <w:r>
        <w:t>–</w:t>
      </w:r>
      <w:r w:rsidRPr="00B42942">
        <w:t>86.</w:t>
      </w:r>
      <w:bookmarkEnd w:id="41"/>
      <w:r w:rsidRPr="00B42942">
        <w:t xml:space="preserve"> </w:t>
      </w:r>
    </w:p>
    <w:p w14:paraId="66175C68" w14:textId="77777777" w:rsidR="0067492A" w:rsidRDefault="001272F6" w:rsidP="009C4F14">
      <w:bookmarkStart w:id="47" w:name="_Ref430208518"/>
      <w:bookmarkStart w:id="48" w:name="_Ref429855799"/>
      <w:r>
        <w:t xml:space="preserve">Crain, DA, Eriksen, M, Iguchi, T, Jobling, S, Laufer, H, LeBlanc, GA &amp; Guillette Jr, LJ 2007. An ecological assessment of bisphenol-A: Evidence from comparative biology. </w:t>
      </w:r>
      <w:r w:rsidRPr="00212460">
        <w:rPr>
          <w:rStyle w:val="Emphasis"/>
        </w:rPr>
        <w:t>Reproductive Toxicology</w:t>
      </w:r>
      <w:r>
        <w:t>, 24, 225–239.</w:t>
      </w:r>
      <w:bookmarkEnd w:id="47"/>
    </w:p>
    <w:p w14:paraId="66175C69" w14:textId="77777777" w:rsidR="0067492A" w:rsidRDefault="001272F6" w:rsidP="009C4F14">
      <w:bookmarkStart w:id="49" w:name="_Ref477522858"/>
      <w:bookmarkEnd w:id="48"/>
      <w:r>
        <w:t xml:space="preserve">Ebenezer, V &amp; Ki, J-S 2012. Evaluation of the sub-lethal toxicity of Cu, Pb, bisphenol A and polychlorinated biphenyl to the marine dinoflagellate </w:t>
      </w:r>
      <w:r w:rsidRPr="00C64D2C">
        <w:rPr>
          <w:rStyle w:val="Emphasis"/>
        </w:rPr>
        <w:t>Cochlodinium polykrikoides</w:t>
      </w:r>
      <w:r>
        <w:t xml:space="preserve">. </w:t>
      </w:r>
      <w:r w:rsidRPr="00C64D2C">
        <w:rPr>
          <w:rStyle w:val="Emphasis"/>
        </w:rPr>
        <w:t>Algae</w:t>
      </w:r>
      <w:r>
        <w:t>, 27, 1, 63–70.</w:t>
      </w:r>
      <w:bookmarkEnd w:id="49"/>
      <w:r>
        <w:t xml:space="preserve"> </w:t>
      </w:r>
    </w:p>
    <w:p w14:paraId="66175C6A" w14:textId="77777777" w:rsidR="0067492A" w:rsidRPr="00B42942" w:rsidRDefault="001272F6" w:rsidP="009C4F14">
      <w:r w:rsidRPr="00B42942">
        <w:t xml:space="preserve">EC </w:t>
      </w:r>
      <w:r>
        <w:t>&amp;</w:t>
      </w:r>
      <w:r w:rsidRPr="00B42942">
        <w:t xml:space="preserve"> HC</w:t>
      </w:r>
      <w:r>
        <w:t xml:space="preserve"> 2008.</w:t>
      </w:r>
      <w:r w:rsidRPr="00B42942">
        <w:t xml:space="preserve"> Screening Assessment </w:t>
      </w:r>
      <w:r>
        <w:t xml:space="preserve">for the Challenge. </w:t>
      </w:r>
      <w:r w:rsidRPr="00B42942">
        <w:t>Phenol, 4,4’-(1-methylethylidene)bis- (Bisphenol A). Chemical Abstracts Se</w:t>
      </w:r>
      <w:r>
        <w:t xml:space="preserve">rvice Registry Number 80-05-7. </w:t>
      </w:r>
      <w:r w:rsidRPr="00B42942">
        <w:t>Environment Canada and Health Canada</w:t>
      </w:r>
      <w:r>
        <w:t xml:space="preserve">, </w:t>
      </w:r>
      <w:r w:rsidRPr="00B42942">
        <w:t>October 2008.</w:t>
      </w:r>
      <w:bookmarkEnd w:id="42"/>
      <w:r>
        <w:t xml:space="preserve"> </w:t>
      </w:r>
    </w:p>
    <w:p w14:paraId="66175C6B" w14:textId="77777777" w:rsidR="0067492A" w:rsidRPr="00B42942" w:rsidRDefault="001272F6" w:rsidP="009C4F14">
      <w:r w:rsidRPr="00B72D26">
        <w:rPr>
          <w:lang w:val="en"/>
        </w:rPr>
        <w:t>ECB 2003.</w:t>
      </w:r>
      <w:r>
        <w:rPr>
          <w:lang w:val="en"/>
        </w:rPr>
        <w:t xml:space="preserve"> </w:t>
      </w:r>
      <w:r w:rsidRPr="00B72D26">
        <w:rPr>
          <w:lang w:val="en"/>
        </w:rPr>
        <w:t xml:space="preserve">European Union Risk Assessment Report. Bisphenol A (CAS No. 80-05-7). European </w:t>
      </w:r>
    </w:p>
    <w:p w14:paraId="66175C6C" w14:textId="77777777" w:rsidR="0067492A" w:rsidRDefault="001272F6" w:rsidP="009C4F14">
      <w:pPr>
        <w:rPr>
          <w:lang w:val="en"/>
        </w:rPr>
      </w:pPr>
      <w:r w:rsidRPr="00690BC1">
        <w:t xml:space="preserve">ECB 2003. </w:t>
      </w:r>
      <w:hyperlink r:id="rId33" w:history="1">
        <w:r w:rsidRPr="003134C6">
          <w:rPr>
            <w:rStyle w:val="Hyperlink"/>
          </w:rPr>
          <w:t>European Union Risk Assessment Report. Bisphenol A. CAS No. 80-05-7. EINECS No. 201-245-8</w:t>
        </w:r>
      </w:hyperlink>
      <w:r>
        <w:t xml:space="preserve">. </w:t>
      </w:r>
      <w:r w:rsidRPr="00690BC1">
        <w:t>European Chemicals Bureau</w:t>
      </w:r>
      <w:r>
        <w:t>.</w:t>
      </w:r>
      <w:r w:rsidRPr="00690BC1">
        <w:t xml:space="preserve"> Accessed September 2015</w:t>
      </w:r>
      <w:r>
        <w:t>.</w:t>
      </w:r>
    </w:p>
    <w:p w14:paraId="66175C6D" w14:textId="77777777" w:rsidR="0067492A" w:rsidRPr="00366970" w:rsidRDefault="001272F6" w:rsidP="009C4F14">
      <w:pPr>
        <w:rPr>
          <w:lang w:val="en-GB"/>
        </w:rPr>
      </w:pPr>
      <w:bookmarkStart w:id="50" w:name="_Ref429859188"/>
      <w:r>
        <w:t xml:space="preserve">ECCC 2017. </w:t>
      </w:r>
      <w:hyperlink r:id="rId34" w:history="1">
        <w:r w:rsidRPr="003D3037">
          <w:rPr>
            <w:rStyle w:val="Hyperlink"/>
            <w:lang w:val="en-GB"/>
          </w:rPr>
          <w:t xml:space="preserve">Canadian Environmental Protection Act, 1999: Federal Environmental Quality Guidelines, </w:t>
        </w:r>
        <w:r w:rsidRPr="003D3037">
          <w:rPr>
            <w:rStyle w:val="Hyperlink"/>
            <w:iCs/>
            <w:lang w:val="en-GB"/>
          </w:rPr>
          <w:t>Bisphenol A</w:t>
        </w:r>
      </w:hyperlink>
      <w:r w:rsidRPr="001E3D4B">
        <w:rPr>
          <w:lang w:val="en-GB"/>
        </w:rPr>
        <w:t>.</w:t>
      </w:r>
      <w:r>
        <w:rPr>
          <w:lang w:val="en-GB"/>
        </w:rPr>
        <w:t xml:space="preserve"> </w:t>
      </w:r>
      <w:r>
        <w:t>Environment and Climate Change Canada.</w:t>
      </w:r>
    </w:p>
    <w:p w14:paraId="66175C6E" w14:textId="77777777" w:rsidR="0067492A" w:rsidRPr="00B42942" w:rsidRDefault="001272F6" w:rsidP="009C4F14">
      <w:pPr>
        <w:rPr>
          <w:noProof/>
        </w:rPr>
      </w:pPr>
      <w:r w:rsidRPr="00B42942">
        <w:t>Flint, S, Markle</w:t>
      </w:r>
      <w:r>
        <w:t>,</w:t>
      </w:r>
      <w:r w:rsidRPr="00B42942">
        <w:t xml:space="preserve"> T, Thompson</w:t>
      </w:r>
      <w:r>
        <w:t>,</w:t>
      </w:r>
      <w:r w:rsidRPr="00B42942">
        <w:t xml:space="preserve"> S</w:t>
      </w:r>
      <w:r>
        <w:t xml:space="preserve"> &amp;</w:t>
      </w:r>
      <w:r w:rsidRPr="00B42942">
        <w:t xml:space="preserve"> Wallace</w:t>
      </w:r>
      <w:r>
        <w:t>,</w:t>
      </w:r>
      <w:r w:rsidRPr="00B42942">
        <w:t xml:space="preserve"> E 2</w:t>
      </w:r>
      <w:r>
        <w:t xml:space="preserve">012. </w:t>
      </w:r>
      <w:r w:rsidRPr="00B42942">
        <w:t xml:space="preserve">Bisphenol A exposure, effects, and policy: A wildlife perspective. </w:t>
      </w:r>
      <w:r w:rsidRPr="00DB6EF5">
        <w:rPr>
          <w:rStyle w:val="Emphasis"/>
        </w:rPr>
        <w:t>Journal of Environmental Management</w:t>
      </w:r>
      <w:r>
        <w:t>,</w:t>
      </w:r>
      <w:r w:rsidRPr="00B42942">
        <w:t xml:space="preserve"> 104</w:t>
      </w:r>
      <w:r>
        <w:t>,</w:t>
      </w:r>
      <w:r w:rsidRPr="00B42942">
        <w:t xml:space="preserve"> 19</w:t>
      </w:r>
      <w:r>
        <w:t>–</w:t>
      </w:r>
      <w:r w:rsidRPr="00B42942">
        <w:t>34.</w:t>
      </w:r>
      <w:bookmarkEnd w:id="50"/>
    </w:p>
    <w:p w14:paraId="66175C6F" w14:textId="77777777" w:rsidR="0067492A" w:rsidRDefault="001272F6" w:rsidP="009C4F14">
      <w:bookmarkStart w:id="51" w:name="_Ref477522874"/>
      <w:r>
        <w:t xml:space="preserve">Guo, R, Ebenezer, V &amp; Ki, J-S 2012. Transcriptional responses of heat shock protein 70 (Hsp70) to thermal, bisphenol A and copper stresses in the dinoflagellate </w:t>
      </w:r>
      <w:r w:rsidRPr="004637AD">
        <w:rPr>
          <w:rStyle w:val="Emphasis"/>
        </w:rPr>
        <w:t>Prorocentrum minimum</w:t>
      </w:r>
      <w:r>
        <w:t xml:space="preserve">. </w:t>
      </w:r>
      <w:r w:rsidRPr="004637AD">
        <w:rPr>
          <w:rStyle w:val="Emphasis"/>
        </w:rPr>
        <w:t>Chemosphere</w:t>
      </w:r>
      <w:r>
        <w:t>, 89, 512–520.</w:t>
      </w:r>
      <w:bookmarkEnd w:id="51"/>
      <w:r>
        <w:t xml:space="preserve"> </w:t>
      </w:r>
    </w:p>
    <w:p w14:paraId="66175C70" w14:textId="77777777" w:rsidR="0067492A" w:rsidRDefault="001272F6" w:rsidP="009C4F14">
      <w:r w:rsidRPr="004D1A98">
        <w:t>Hirano, M, Ishibashi</w:t>
      </w:r>
      <w:r>
        <w:t>,</w:t>
      </w:r>
      <w:r w:rsidRPr="004D1A98">
        <w:t xml:space="preserve"> H, Matsumura</w:t>
      </w:r>
      <w:r>
        <w:t>,</w:t>
      </w:r>
      <w:r w:rsidRPr="004D1A98">
        <w:t xml:space="preserve"> N, Nagao</w:t>
      </w:r>
      <w:r>
        <w:t xml:space="preserve">, </w:t>
      </w:r>
      <w:r w:rsidRPr="004D1A98">
        <w:t>Y, Watanabe</w:t>
      </w:r>
      <w:r>
        <w:t>,</w:t>
      </w:r>
      <w:r w:rsidRPr="004D1A98">
        <w:t xml:space="preserve"> N, Watanabe</w:t>
      </w:r>
      <w:r>
        <w:t>,</w:t>
      </w:r>
      <w:r w:rsidRPr="004D1A98">
        <w:t xml:space="preserve"> A, Onikura</w:t>
      </w:r>
      <w:r>
        <w:t>,</w:t>
      </w:r>
      <w:r w:rsidRPr="004D1A98">
        <w:t xml:space="preserve"> N, Kishi</w:t>
      </w:r>
      <w:r>
        <w:t>,</w:t>
      </w:r>
      <w:r w:rsidRPr="004D1A98">
        <w:t xml:space="preserve"> K</w:t>
      </w:r>
      <w:r>
        <w:t xml:space="preserve"> &amp;</w:t>
      </w:r>
      <w:r w:rsidRPr="004D1A98">
        <w:t xml:space="preserve"> Arizono</w:t>
      </w:r>
      <w:r>
        <w:t>,</w:t>
      </w:r>
      <w:r w:rsidRPr="004D1A98">
        <w:t xml:space="preserve"> K 2004. Acute toxicity responses of two crustaceans,</w:t>
      </w:r>
      <w:r w:rsidRPr="00A85BDC">
        <w:t xml:space="preserve"> </w:t>
      </w:r>
      <w:r w:rsidRPr="00A85BDC">
        <w:rPr>
          <w:rStyle w:val="Emphasis"/>
        </w:rPr>
        <w:t>Americamysis bahia</w:t>
      </w:r>
      <w:r w:rsidRPr="00A85BDC">
        <w:t xml:space="preserve"> and </w:t>
      </w:r>
      <w:r w:rsidRPr="00A85BDC">
        <w:rPr>
          <w:rStyle w:val="Emphasis"/>
        </w:rPr>
        <w:t>Daphnia magna</w:t>
      </w:r>
      <w:r w:rsidRPr="00A85BDC">
        <w:t>, t</w:t>
      </w:r>
      <w:r w:rsidRPr="004D1A98">
        <w:t xml:space="preserve">o endocrine disruptors. </w:t>
      </w:r>
      <w:r w:rsidRPr="00A85BDC">
        <w:rPr>
          <w:rStyle w:val="Emphasis"/>
        </w:rPr>
        <w:t>Journal of Health Science</w:t>
      </w:r>
      <w:r>
        <w:t>, 50, 97–</w:t>
      </w:r>
      <w:r w:rsidRPr="004D1A98">
        <w:t>100.</w:t>
      </w:r>
    </w:p>
    <w:p w14:paraId="66175C71" w14:textId="77777777" w:rsidR="0067492A" w:rsidRDefault="001272F6" w:rsidP="009C4F14">
      <w:r>
        <w:t xml:space="preserve">Honkanen, JO, Holopainen, IJ &amp; Kukkonen, JVK 2004. </w:t>
      </w:r>
      <w:r w:rsidRPr="00623E2C">
        <w:t>Bisphenol A induces yolk-sac oedema and other adverse effects in landlocked salmon (</w:t>
      </w:r>
      <w:r w:rsidRPr="00657913">
        <w:rPr>
          <w:rStyle w:val="Emphasis"/>
        </w:rPr>
        <w:t>Salmo</w:t>
      </w:r>
      <w:r w:rsidRPr="00623E2C">
        <w:rPr>
          <w:i/>
          <w:iCs/>
        </w:rPr>
        <w:t xml:space="preserve"> </w:t>
      </w:r>
      <w:r w:rsidRPr="00657913">
        <w:rPr>
          <w:rStyle w:val="Emphasis"/>
        </w:rPr>
        <w:t>salar</w:t>
      </w:r>
      <w:r w:rsidRPr="00623E2C">
        <w:rPr>
          <w:i/>
          <w:iCs/>
        </w:rPr>
        <w:t xml:space="preserve"> </w:t>
      </w:r>
      <w:r w:rsidRPr="00623E2C">
        <w:t>m.</w:t>
      </w:r>
      <w:r w:rsidRPr="00623E2C">
        <w:rPr>
          <w:i/>
          <w:iCs/>
        </w:rPr>
        <w:t xml:space="preserve"> </w:t>
      </w:r>
      <w:r w:rsidRPr="00657913">
        <w:rPr>
          <w:rStyle w:val="Emphasis"/>
        </w:rPr>
        <w:t>sebago</w:t>
      </w:r>
      <w:r w:rsidRPr="00623E2C">
        <w:t>) yolk-sac fry</w:t>
      </w:r>
      <w:r>
        <w:t xml:space="preserve">. </w:t>
      </w:r>
      <w:r w:rsidRPr="00657913">
        <w:rPr>
          <w:rStyle w:val="Emphasis"/>
        </w:rPr>
        <w:t>Chemosphere</w:t>
      </w:r>
      <w:r>
        <w:t>, 55, 187–196.</w:t>
      </w:r>
    </w:p>
    <w:p w14:paraId="66175C72" w14:textId="77777777" w:rsidR="0067492A" w:rsidRDefault="001272F6" w:rsidP="009C4F14">
      <w:bookmarkStart w:id="52" w:name="_Ref430125801"/>
      <w:bookmarkStart w:id="53" w:name="_Ref430204817"/>
      <w:bookmarkStart w:id="54" w:name="_Ref429838587"/>
      <w:bookmarkEnd w:id="43"/>
      <w:r>
        <w:t xml:space="preserve">Huang, Q, Fang, C, Chen, Y, Wu, X, Ye, T, Lin, Y &amp; Dong, S 2012. Embryonic exposure to low concentration of bisphenol A affects the development of </w:t>
      </w:r>
      <w:r w:rsidRPr="00C72AA7">
        <w:rPr>
          <w:rStyle w:val="Emphasis"/>
        </w:rPr>
        <w:t>Oryzias melastigma</w:t>
      </w:r>
      <w:r w:rsidRPr="00C72AA7">
        <w:t xml:space="preserve"> </w:t>
      </w:r>
      <w:r>
        <w:t xml:space="preserve">larvae. </w:t>
      </w:r>
      <w:r w:rsidRPr="00C72AA7">
        <w:rPr>
          <w:rStyle w:val="Emphasis"/>
        </w:rPr>
        <w:t>Environmental Science and Pollution Research</w:t>
      </w:r>
      <w:r>
        <w:t>, 19, 2506–2514.</w:t>
      </w:r>
      <w:bookmarkEnd w:id="52"/>
    </w:p>
    <w:p w14:paraId="66175C73" w14:textId="77777777" w:rsidR="0067492A" w:rsidRDefault="001272F6" w:rsidP="009C4F14">
      <w:r>
        <w:t xml:space="preserve">Kang, J-H &amp; Kondo, F 2005. Bisphenol A degradation in seawater is different from that in river water. </w:t>
      </w:r>
      <w:r w:rsidRPr="00D57137">
        <w:rPr>
          <w:rStyle w:val="Emphasis"/>
        </w:rPr>
        <w:t>Chemosphere</w:t>
      </w:r>
      <w:r>
        <w:t>, 60, 1288–1292.</w:t>
      </w:r>
      <w:bookmarkEnd w:id="53"/>
    </w:p>
    <w:p w14:paraId="66175C74" w14:textId="77777777" w:rsidR="0067492A" w:rsidRPr="00B42942" w:rsidRDefault="001272F6" w:rsidP="009C4F14">
      <w:r w:rsidRPr="00B42942">
        <w:t>Kang, J</w:t>
      </w:r>
      <w:r>
        <w:t>-H</w:t>
      </w:r>
      <w:r w:rsidRPr="00B42942">
        <w:t>, Aasi</w:t>
      </w:r>
      <w:r>
        <w:t>,</w:t>
      </w:r>
      <w:r w:rsidRPr="00B42942">
        <w:t xml:space="preserve"> D</w:t>
      </w:r>
      <w:r>
        <w:t xml:space="preserve"> &amp;</w:t>
      </w:r>
      <w:r w:rsidRPr="00B42942">
        <w:t xml:space="preserve"> Katayama</w:t>
      </w:r>
      <w:r>
        <w:t>,</w:t>
      </w:r>
      <w:r w:rsidRPr="00B42942">
        <w:t xml:space="preserve"> Y</w:t>
      </w:r>
      <w:r>
        <w:t xml:space="preserve"> 2007. </w:t>
      </w:r>
      <w:r w:rsidRPr="00B42942">
        <w:t xml:space="preserve">Bisphenol A in the aquatic environment and its endocrine-disruptive effects on aquatic organisms. </w:t>
      </w:r>
      <w:r w:rsidRPr="00EA339C">
        <w:rPr>
          <w:rStyle w:val="Emphasis"/>
        </w:rPr>
        <w:t>Critical Reviews in Toxicology</w:t>
      </w:r>
      <w:r>
        <w:t>,</w:t>
      </w:r>
      <w:r w:rsidRPr="00B42942">
        <w:t xml:space="preserve"> 37</w:t>
      </w:r>
      <w:r>
        <w:t>,</w:t>
      </w:r>
      <w:r w:rsidRPr="00B42942">
        <w:t xml:space="preserve"> 607</w:t>
      </w:r>
      <w:r>
        <w:t>–</w:t>
      </w:r>
      <w:r w:rsidRPr="00B42942">
        <w:t>625.</w:t>
      </w:r>
      <w:bookmarkEnd w:id="54"/>
      <w:r>
        <w:t xml:space="preserve"> </w:t>
      </w:r>
    </w:p>
    <w:p w14:paraId="66175C75" w14:textId="77777777" w:rsidR="0067492A" w:rsidRDefault="001272F6" w:rsidP="009C4F14">
      <w:bookmarkStart w:id="55" w:name="_Ref477522928"/>
      <w:bookmarkStart w:id="56" w:name="_Ref430125776"/>
      <w:bookmarkStart w:id="57" w:name="_Ref429870850"/>
      <w:r>
        <w:t xml:space="preserve">Kiyomoto, M, Kikuchi, A, Unuma, T &amp; Yokota, Y 2006. Effects of ethynylestradiol and bisphenol A on the development of sea urchin embryos and juveniles. </w:t>
      </w:r>
      <w:r w:rsidRPr="00EA339C">
        <w:rPr>
          <w:rStyle w:val="Emphasis"/>
        </w:rPr>
        <w:t>Marine Biology</w:t>
      </w:r>
      <w:r>
        <w:t>, 149, 57–63.</w:t>
      </w:r>
      <w:bookmarkEnd w:id="55"/>
      <w:r>
        <w:t xml:space="preserve"> </w:t>
      </w:r>
    </w:p>
    <w:p w14:paraId="66175C76" w14:textId="77777777" w:rsidR="0067492A" w:rsidRDefault="001272F6" w:rsidP="009C4F14">
      <w:bookmarkStart w:id="58" w:name="_Ref430339359"/>
      <w:bookmarkEnd w:id="56"/>
      <w:r>
        <w:t>Laufer, H, Baclaski, B &amp; Koehn, U 2012. Alkylphenols affect lobste</w:t>
      </w:r>
      <w:r w:rsidRPr="00723D39">
        <w:t>r (</w:t>
      </w:r>
      <w:r w:rsidRPr="00723D39">
        <w:rPr>
          <w:rStyle w:val="Emphasis"/>
        </w:rPr>
        <w:t>Homarus americanus</w:t>
      </w:r>
      <w:r w:rsidRPr="00723D39">
        <w:t>)</w:t>
      </w:r>
      <w:r>
        <w:t xml:space="preserve"> larval survival, molting and metamorphosis. </w:t>
      </w:r>
      <w:r w:rsidRPr="00723D39">
        <w:rPr>
          <w:rStyle w:val="Emphasis"/>
        </w:rPr>
        <w:t>Invertebrate Reproduction and Development</w:t>
      </w:r>
      <w:r>
        <w:t>, 56, 1, 66–71.</w:t>
      </w:r>
      <w:bookmarkEnd w:id="58"/>
    </w:p>
    <w:p w14:paraId="66175C77" w14:textId="77777777" w:rsidR="0067492A" w:rsidRDefault="001272F6" w:rsidP="009C4F14">
      <w:r w:rsidRPr="00453249">
        <w:t>Lee, K-W, Raisuddin, S, Hwang, D-S, Park, HG</w:t>
      </w:r>
      <w:r>
        <w:t xml:space="preserve"> &amp;</w:t>
      </w:r>
      <w:r w:rsidRPr="00453249">
        <w:t xml:space="preserve"> Lee, J-S 2007. Acute toxicities of trace metals and common xenobiotics to the marine copepod </w:t>
      </w:r>
      <w:r w:rsidRPr="003D3037">
        <w:rPr>
          <w:rStyle w:val="Emphasis"/>
        </w:rPr>
        <w:t>Tigriopus japonicus</w:t>
      </w:r>
      <w:r w:rsidRPr="00453249">
        <w:t xml:space="preserve">: </w:t>
      </w:r>
      <w:r>
        <w:t>E</w:t>
      </w:r>
      <w:r w:rsidRPr="00453249">
        <w:t xml:space="preserve">valuation of its use as a benchmark species for routine ecotoxicity tests in Western Pacific coastal regions. </w:t>
      </w:r>
      <w:r w:rsidRPr="003D3037">
        <w:rPr>
          <w:rStyle w:val="Emphasis"/>
        </w:rPr>
        <w:t>Environmental Toxicology</w:t>
      </w:r>
      <w:r>
        <w:t>,</w:t>
      </w:r>
      <w:r w:rsidRPr="00453249">
        <w:t xml:space="preserve"> 22, 532–538. </w:t>
      </w:r>
    </w:p>
    <w:p w14:paraId="66175C78" w14:textId="77777777" w:rsidR="0067492A" w:rsidRDefault="001272F6" w:rsidP="00723D39">
      <w:bookmarkStart w:id="59" w:name="_Ref430214054"/>
      <w:bookmarkStart w:id="60" w:name="_Ref430125693"/>
      <w:r w:rsidRPr="0035689B">
        <w:t>Liu,Y, Tam</w:t>
      </w:r>
      <w:r>
        <w:t>,</w:t>
      </w:r>
      <w:r w:rsidRPr="0035689B">
        <w:t xml:space="preserve"> NFY, Guan</w:t>
      </w:r>
      <w:r>
        <w:t>,</w:t>
      </w:r>
      <w:r w:rsidRPr="0035689B">
        <w:t xml:space="preserve"> Y, Yasojima</w:t>
      </w:r>
      <w:r>
        <w:t>,</w:t>
      </w:r>
      <w:r w:rsidRPr="0035689B">
        <w:t xml:space="preserve"> M, Zhou</w:t>
      </w:r>
      <w:r>
        <w:t>,</w:t>
      </w:r>
      <w:r w:rsidRPr="0035689B">
        <w:t xml:space="preserve"> J</w:t>
      </w:r>
      <w:r>
        <w:t xml:space="preserve"> &amp;</w:t>
      </w:r>
      <w:r w:rsidRPr="0035689B">
        <w:t xml:space="preserve"> Gao</w:t>
      </w:r>
      <w:r>
        <w:t>,</w:t>
      </w:r>
      <w:r w:rsidRPr="0035689B">
        <w:t xml:space="preserve"> B 2011</w:t>
      </w:r>
      <w:r>
        <w:t xml:space="preserve">. </w:t>
      </w:r>
      <w:r w:rsidRPr="0035689B">
        <w:t xml:space="preserve">Acute toxicity of nonylphenols and bisphenol A to the embryonic development of the abalone </w:t>
      </w:r>
      <w:r w:rsidRPr="00AB20F2">
        <w:rPr>
          <w:rStyle w:val="Emphasis"/>
        </w:rPr>
        <w:t>Haliotis diversicolor supertexta</w:t>
      </w:r>
      <w:r w:rsidRPr="00AB20F2">
        <w:t xml:space="preserve">. </w:t>
      </w:r>
      <w:r w:rsidRPr="00AB20F2">
        <w:rPr>
          <w:rStyle w:val="Emphasis"/>
        </w:rPr>
        <w:t>Ecotoxicology</w:t>
      </w:r>
      <w:r>
        <w:t xml:space="preserve">, </w:t>
      </w:r>
      <w:r w:rsidRPr="0035689B">
        <w:t>20</w:t>
      </w:r>
      <w:r>
        <w:t xml:space="preserve">, </w:t>
      </w:r>
      <w:r w:rsidRPr="0035689B">
        <w:t>6</w:t>
      </w:r>
      <w:r>
        <w:t>,</w:t>
      </w:r>
      <w:r w:rsidRPr="0035689B">
        <w:t xml:space="preserve"> 1233</w:t>
      </w:r>
      <w:r>
        <w:t>–</w:t>
      </w:r>
      <w:r w:rsidRPr="0035689B">
        <w:t>1245</w:t>
      </w:r>
      <w:r>
        <w:t>.</w:t>
      </w:r>
    </w:p>
    <w:p w14:paraId="66175C79" w14:textId="77777777" w:rsidR="0067492A" w:rsidRDefault="001272F6" w:rsidP="00723D39">
      <w:r w:rsidRPr="00E941FC">
        <w:t>Marcial, HS, Hagiwara</w:t>
      </w:r>
      <w:r>
        <w:t xml:space="preserve">, A &amp; </w:t>
      </w:r>
      <w:r w:rsidRPr="00E941FC">
        <w:t>Snell</w:t>
      </w:r>
      <w:r>
        <w:t>, TW</w:t>
      </w:r>
      <w:r w:rsidRPr="00E941FC">
        <w:t xml:space="preserve"> 2003. Estrogenic compounds affect development</w:t>
      </w:r>
      <w:r>
        <w:t xml:space="preserve"> </w:t>
      </w:r>
      <w:r w:rsidRPr="00E941FC">
        <w:t xml:space="preserve">of harpacticoid copepod </w:t>
      </w:r>
      <w:r w:rsidRPr="00191851">
        <w:rPr>
          <w:rStyle w:val="Emphasis"/>
        </w:rPr>
        <w:t>Tigriopus japonicus</w:t>
      </w:r>
      <w:r>
        <w:t xml:space="preserve">. </w:t>
      </w:r>
      <w:r w:rsidRPr="00191851">
        <w:rPr>
          <w:rStyle w:val="Emphasis"/>
        </w:rPr>
        <w:t>Environmental Toxicology and Chemistry</w:t>
      </w:r>
      <w:r>
        <w:t xml:space="preserve">, 22, 12, </w:t>
      </w:r>
      <w:r w:rsidRPr="00E941FC">
        <w:t>3025</w:t>
      </w:r>
      <w:r>
        <w:t>–</w:t>
      </w:r>
      <w:r w:rsidRPr="00E941FC">
        <w:t>3030</w:t>
      </w:r>
      <w:r>
        <w:t>.</w:t>
      </w:r>
      <w:bookmarkEnd w:id="59"/>
    </w:p>
    <w:p w14:paraId="66175C7A" w14:textId="77777777" w:rsidR="0067492A" w:rsidRDefault="001272F6" w:rsidP="00723D39">
      <w:r>
        <w:t>NCBI 2020. PubChem Compound Summary for CID 6623, Bisphenol A. PubChem database, National Center for Biotechnology Information, Bethesda, MD, USA.</w:t>
      </w:r>
    </w:p>
    <w:bookmarkEnd w:id="60"/>
    <w:p w14:paraId="66175C7B" w14:textId="77777777" w:rsidR="0067492A" w:rsidRPr="00B42942" w:rsidRDefault="001272F6" w:rsidP="00723D39">
      <w:r w:rsidRPr="00B42942">
        <w:t xml:space="preserve">OEHHA 2009. </w:t>
      </w:r>
      <w:hyperlink r:id="rId35" w:history="1">
        <w:r w:rsidRPr="001F4C99">
          <w:rPr>
            <w:rStyle w:val="Hyperlink"/>
          </w:rPr>
          <w:t>Toxicological Profile for Bisphenol A</w:t>
        </w:r>
      </w:hyperlink>
      <w:r>
        <w:t>.</w:t>
      </w:r>
      <w:r w:rsidRPr="00B42942">
        <w:t xml:space="preserve"> Office of Environmental Health Hazard Assessment</w:t>
      </w:r>
      <w:r>
        <w:t>,</w:t>
      </w:r>
      <w:r w:rsidRPr="00B42942">
        <w:t xml:space="preserve"> California Environmental Protection Agency.</w:t>
      </w:r>
      <w:bookmarkEnd w:id="57"/>
    </w:p>
    <w:p w14:paraId="66175C7C" w14:textId="77777777" w:rsidR="0067492A" w:rsidRDefault="001272F6" w:rsidP="00723D39">
      <w:bookmarkStart w:id="61" w:name="_Ref430041521"/>
      <w:bookmarkStart w:id="62" w:name="_Ref429771462"/>
      <w:r>
        <w:t>Özlem, Ç</w:t>
      </w:r>
      <w:r w:rsidRPr="0035689B">
        <w:t>A</w:t>
      </w:r>
      <w:r>
        <w:t xml:space="preserve"> &amp;</w:t>
      </w:r>
      <w:r w:rsidRPr="0035689B">
        <w:t xml:space="preserve"> Hatice, P </w:t>
      </w:r>
      <w:r>
        <w:t>2008</w:t>
      </w:r>
      <w:r w:rsidRPr="0035689B">
        <w:t xml:space="preserve">. Effects of bisphenol A on the embryonic development of sea urchin </w:t>
      </w:r>
      <w:r w:rsidRPr="00A507F2">
        <w:t>(</w:t>
      </w:r>
      <w:r w:rsidRPr="00A507F2">
        <w:rPr>
          <w:rStyle w:val="Emphasis"/>
        </w:rPr>
        <w:t>Paracentrotus lividus</w:t>
      </w:r>
      <w:r w:rsidRPr="00A507F2">
        <w:t>)</w:t>
      </w:r>
      <w:r w:rsidRPr="0035689B">
        <w:t xml:space="preserve">. </w:t>
      </w:r>
      <w:r w:rsidRPr="00A507F2">
        <w:rPr>
          <w:rStyle w:val="Emphasis"/>
        </w:rPr>
        <w:t>Environmental Toxicology</w:t>
      </w:r>
      <w:r>
        <w:t>,</w:t>
      </w:r>
      <w:r w:rsidRPr="0035689B">
        <w:t xml:space="preserve"> 23, 387</w:t>
      </w:r>
      <w:r>
        <w:t>–</w:t>
      </w:r>
      <w:r w:rsidRPr="0035689B">
        <w:t>392.</w:t>
      </w:r>
    </w:p>
    <w:p w14:paraId="66175C7D" w14:textId="77777777" w:rsidR="0067492A" w:rsidRDefault="001272F6" w:rsidP="009C4F14">
      <w:bookmarkStart w:id="63" w:name="_Ref430125640"/>
      <w:bookmarkStart w:id="64" w:name="_Ref477522888"/>
      <w:bookmarkStart w:id="65" w:name="_Ref430209250"/>
      <w:bookmarkStart w:id="66" w:name="_Ref430336750"/>
      <w:r>
        <w:t xml:space="preserve">Roepke, TA, Snyder, MJ &amp; Chen, GN 2005. Estradiol and endocrine disrupting compounds adversely affect development of sea urchin embryos at environmentally relevant concentrations. </w:t>
      </w:r>
      <w:r w:rsidRPr="00123201">
        <w:rPr>
          <w:rStyle w:val="Emphasis"/>
        </w:rPr>
        <w:t>Aquatic Toxicology</w:t>
      </w:r>
      <w:r>
        <w:t>, 71, 155–173.</w:t>
      </w:r>
      <w:bookmarkEnd w:id="63"/>
      <w:bookmarkEnd w:id="64"/>
    </w:p>
    <w:p w14:paraId="66175C7E" w14:textId="77777777" w:rsidR="0067492A" w:rsidRPr="00B42942" w:rsidRDefault="001272F6" w:rsidP="009C4F14">
      <w:r>
        <w:t>Sajiki, J &amp; Yonekubo, J 2003. Leaching of bisphenol A (BPA) to seawater from polycarbonate plastic and its degradation by reactive oxygen species. Chemosphere, 51, 55–62.</w:t>
      </w:r>
      <w:bookmarkEnd w:id="65"/>
    </w:p>
    <w:p w14:paraId="66175C7F" w14:textId="77777777" w:rsidR="0067492A" w:rsidRDefault="001272F6" w:rsidP="009C4F14">
      <w:r w:rsidRPr="009F4514">
        <w:t>Schafer,S</w:t>
      </w:r>
      <w:r>
        <w:t xml:space="preserve">, </w:t>
      </w:r>
      <w:r w:rsidRPr="009F4514">
        <w:t>Bickmeyer</w:t>
      </w:r>
      <w:r>
        <w:t>,</w:t>
      </w:r>
      <w:r w:rsidRPr="009F4514">
        <w:t xml:space="preserve"> U</w:t>
      </w:r>
      <w:r>
        <w:t xml:space="preserve"> &amp;</w:t>
      </w:r>
      <w:r w:rsidRPr="009F4514">
        <w:t xml:space="preserve"> Koehler</w:t>
      </w:r>
      <w:r>
        <w:t>,</w:t>
      </w:r>
      <w:r w:rsidRPr="009F4514">
        <w:t xml:space="preserve"> A 2009</w:t>
      </w:r>
      <w:r>
        <w:t>.</w:t>
      </w:r>
      <w:r w:rsidRPr="009F4514">
        <w:t xml:space="preserve"> Measuring Ca</w:t>
      </w:r>
      <w:r w:rsidRPr="00FC4551">
        <w:rPr>
          <w:vertAlign w:val="superscript"/>
        </w:rPr>
        <w:t>2+</w:t>
      </w:r>
      <w:r w:rsidRPr="009F4514">
        <w:t xml:space="preserve">-signalling at fertilization in the sea urchin </w:t>
      </w:r>
      <w:r w:rsidRPr="00810219">
        <w:rPr>
          <w:rStyle w:val="Emphasis"/>
        </w:rPr>
        <w:t>Psammechinus miliaris</w:t>
      </w:r>
      <w:r w:rsidRPr="00810219">
        <w:t>:</w:t>
      </w:r>
      <w:r w:rsidRPr="009F4514">
        <w:t xml:space="preserve"> Alterations of this Ca</w:t>
      </w:r>
      <w:r w:rsidRPr="00FC4551">
        <w:rPr>
          <w:vertAlign w:val="superscript"/>
        </w:rPr>
        <w:t>2+</w:t>
      </w:r>
      <w:r w:rsidRPr="009F4514">
        <w:t>-signal by copper and 2,4,6-tribromophenol</w:t>
      </w:r>
      <w:r>
        <w:t>.</w:t>
      </w:r>
      <w:r w:rsidRPr="009F4514">
        <w:t xml:space="preserve"> </w:t>
      </w:r>
      <w:r w:rsidRPr="00810219">
        <w:rPr>
          <w:rStyle w:val="Emphasis"/>
        </w:rPr>
        <w:t>Comp. Biochem. Physiol. Part C: Toxicol. Pharmacol.</w:t>
      </w:r>
      <w:r>
        <w:t xml:space="preserve">, </w:t>
      </w:r>
      <w:r w:rsidRPr="009F4514">
        <w:t>150</w:t>
      </w:r>
      <w:r>
        <w:t xml:space="preserve">, </w:t>
      </w:r>
      <w:r w:rsidRPr="009F4514">
        <w:t>2</w:t>
      </w:r>
      <w:r>
        <w:t>,</w:t>
      </w:r>
      <w:r w:rsidRPr="009F4514">
        <w:t xml:space="preserve"> 261</w:t>
      </w:r>
      <w:r>
        <w:t>–</w:t>
      </w:r>
      <w:r w:rsidRPr="009F4514">
        <w:t>269</w:t>
      </w:r>
      <w:r>
        <w:t>.</w:t>
      </w:r>
    </w:p>
    <w:p w14:paraId="66175C80" w14:textId="77777777" w:rsidR="0067492A" w:rsidRPr="00B42942" w:rsidRDefault="001272F6" w:rsidP="009C4F14">
      <w:r w:rsidRPr="00B42942">
        <w:t>Sohoni, P, Tyler</w:t>
      </w:r>
      <w:r>
        <w:t>,</w:t>
      </w:r>
      <w:r w:rsidRPr="00B42942">
        <w:t xml:space="preserve"> CR, Hurd</w:t>
      </w:r>
      <w:r>
        <w:t>,</w:t>
      </w:r>
      <w:r w:rsidRPr="00B42942">
        <w:t xml:space="preserve"> K, Caunter</w:t>
      </w:r>
      <w:r>
        <w:t>,</w:t>
      </w:r>
      <w:r w:rsidRPr="00B42942">
        <w:t xml:space="preserve"> J, Hetheridge</w:t>
      </w:r>
      <w:r>
        <w:t>,</w:t>
      </w:r>
      <w:r w:rsidRPr="00B42942">
        <w:t xml:space="preserve"> M, Williams</w:t>
      </w:r>
      <w:r>
        <w:t>,</w:t>
      </w:r>
      <w:r w:rsidRPr="00B42942">
        <w:t xml:space="preserve"> T, Woods</w:t>
      </w:r>
      <w:r>
        <w:t>,</w:t>
      </w:r>
      <w:r w:rsidRPr="00B42942">
        <w:t xml:space="preserve"> C, Evans</w:t>
      </w:r>
      <w:r>
        <w:t>,</w:t>
      </w:r>
      <w:r w:rsidRPr="00B42942">
        <w:t xml:space="preserve"> M, Toy</w:t>
      </w:r>
      <w:r>
        <w:t>,</w:t>
      </w:r>
      <w:r w:rsidRPr="00B42942">
        <w:t xml:space="preserve"> R, Gargas</w:t>
      </w:r>
      <w:r>
        <w:t>,</w:t>
      </w:r>
      <w:r w:rsidRPr="00B42942">
        <w:t xml:space="preserve"> M</w:t>
      </w:r>
      <w:r>
        <w:t xml:space="preserve"> &amp;</w:t>
      </w:r>
      <w:r w:rsidRPr="00B42942">
        <w:t xml:space="preserve"> Sumpter</w:t>
      </w:r>
      <w:r>
        <w:t>,</w:t>
      </w:r>
      <w:r w:rsidRPr="00B42942">
        <w:t xml:space="preserve"> JP</w:t>
      </w:r>
      <w:r>
        <w:t xml:space="preserve"> 2001. </w:t>
      </w:r>
      <w:r w:rsidRPr="00B42942">
        <w:t>Reproductive effects of long term exposure to bisphenol A in the fathead minnow (</w:t>
      </w:r>
      <w:r w:rsidRPr="00BF0EE5">
        <w:rPr>
          <w:rStyle w:val="Emphasis"/>
        </w:rPr>
        <w:t>Pimephales promelas</w:t>
      </w:r>
      <w:r w:rsidRPr="00EB42F0">
        <w:t>)</w:t>
      </w:r>
      <w:r w:rsidRPr="00B42942">
        <w:t xml:space="preserve">. </w:t>
      </w:r>
      <w:r w:rsidRPr="00BF0EE5">
        <w:rPr>
          <w:rStyle w:val="Emphasis"/>
        </w:rPr>
        <w:t>Environmental Science and Technology</w:t>
      </w:r>
      <w:r>
        <w:t>,</w:t>
      </w:r>
      <w:r w:rsidRPr="00B42942">
        <w:t xml:space="preserve"> 35</w:t>
      </w:r>
      <w:r>
        <w:t xml:space="preserve">, </w:t>
      </w:r>
      <w:r w:rsidRPr="00B42942">
        <w:t>14</w:t>
      </w:r>
      <w:r>
        <w:t>,</w:t>
      </w:r>
      <w:r w:rsidRPr="00B42942">
        <w:t xml:space="preserve"> 2917</w:t>
      </w:r>
      <w:r>
        <w:t>–</w:t>
      </w:r>
      <w:r w:rsidRPr="00B42942">
        <w:t>2925.</w:t>
      </w:r>
      <w:bookmarkEnd w:id="66"/>
    </w:p>
    <w:p w14:paraId="66175C81" w14:textId="77777777" w:rsidR="0067492A" w:rsidRPr="0035689B" w:rsidRDefault="001272F6" w:rsidP="009C4F14">
      <w:r w:rsidRPr="0035689B">
        <w:t>Speranza, A</w:t>
      </w:r>
      <w:r>
        <w:t xml:space="preserve"> </w:t>
      </w:r>
      <w:r w:rsidRPr="0035689B">
        <w:t>2010</w:t>
      </w:r>
      <w:r>
        <w:t>.</w:t>
      </w:r>
      <w:r w:rsidRPr="0035689B">
        <w:t xml:space="preserve"> Into the world of steroids</w:t>
      </w:r>
      <w:r>
        <w:t>.</w:t>
      </w:r>
      <w:r w:rsidRPr="00FB698C">
        <w:rPr>
          <w:rStyle w:val="Emphasis"/>
        </w:rPr>
        <w:t xml:space="preserve"> Plant Signaling &amp; Behavior</w:t>
      </w:r>
      <w:r w:rsidRPr="0035689B">
        <w:t>, 5</w:t>
      </w:r>
      <w:r>
        <w:t xml:space="preserve">, </w:t>
      </w:r>
      <w:r w:rsidRPr="0035689B">
        <w:t>8</w:t>
      </w:r>
      <w:r>
        <w:t xml:space="preserve">, </w:t>
      </w:r>
      <w:r w:rsidRPr="0035689B">
        <w:t>940</w:t>
      </w:r>
      <w:r>
        <w:t>–</w:t>
      </w:r>
      <w:r w:rsidRPr="0035689B">
        <w:t>943</w:t>
      </w:r>
      <w:r>
        <w:t>.</w:t>
      </w:r>
    </w:p>
    <w:p w14:paraId="66175C82" w14:textId="77777777" w:rsidR="0067492A" w:rsidRPr="00B42942" w:rsidRDefault="001272F6" w:rsidP="009C4F14">
      <w:r>
        <w:rPr>
          <w:color w:val="000000"/>
          <w:lang w:val="en"/>
        </w:rPr>
        <w:t>Staples, C</w:t>
      </w:r>
      <w:r w:rsidRPr="00B72D26">
        <w:rPr>
          <w:color w:val="000000"/>
          <w:lang w:val="en"/>
        </w:rPr>
        <w:t xml:space="preserve">A, </w:t>
      </w:r>
      <w:r w:rsidRPr="00B42942">
        <w:t>Dome</w:t>
      </w:r>
      <w:r>
        <w:t>,</w:t>
      </w:r>
      <w:r w:rsidRPr="00B72D26">
        <w:rPr>
          <w:color w:val="000000"/>
          <w:lang w:val="en"/>
        </w:rPr>
        <w:t xml:space="preserve"> PB</w:t>
      </w:r>
      <w:r w:rsidRPr="00B42942">
        <w:t>, Klecks</w:t>
      </w:r>
      <w:r>
        <w:t>,</w:t>
      </w:r>
      <w:r w:rsidRPr="00B42942">
        <w:t xml:space="preserve"> GM, O’Block</w:t>
      </w:r>
      <w:r>
        <w:t>,</w:t>
      </w:r>
      <w:r w:rsidRPr="00B42942">
        <w:t xml:space="preserve"> ST</w:t>
      </w:r>
      <w:r>
        <w:t xml:space="preserve"> &amp;</w:t>
      </w:r>
      <w:r w:rsidRPr="00B42942">
        <w:t xml:space="preserve"> Harris</w:t>
      </w:r>
      <w:r>
        <w:t>,</w:t>
      </w:r>
      <w:r w:rsidRPr="00B42942">
        <w:t xml:space="preserve"> LR 1998. A review of the environmental fate, effects and exposures of bisphenol</w:t>
      </w:r>
      <w:r>
        <w:t xml:space="preserve"> A. </w:t>
      </w:r>
      <w:r w:rsidRPr="00721B0B">
        <w:rPr>
          <w:rStyle w:val="Emphasis"/>
        </w:rPr>
        <w:t>Chemosphere</w:t>
      </w:r>
      <w:r>
        <w:t>,</w:t>
      </w:r>
      <w:r w:rsidRPr="00B42942">
        <w:t xml:space="preserve"> 36</w:t>
      </w:r>
      <w:r>
        <w:t xml:space="preserve">, </w:t>
      </w:r>
      <w:r w:rsidRPr="00B42942">
        <w:t>10</w:t>
      </w:r>
      <w:r>
        <w:t xml:space="preserve">, </w:t>
      </w:r>
      <w:r w:rsidRPr="00B42942">
        <w:t>2149</w:t>
      </w:r>
      <w:r>
        <w:t>–</w:t>
      </w:r>
      <w:r w:rsidRPr="00B42942">
        <w:t>2173.</w:t>
      </w:r>
      <w:bookmarkEnd w:id="61"/>
    </w:p>
    <w:p w14:paraId="66175C83" w14:textId="77777777" w:rsidR="0067492A" w:rsidRDefault="001272F6" w:rsidP="009C4F14">
      <w:pPr>
        <w:rPr>
          <w:noProof/>
        </w:rPr>
      </w:pPr>
      <w:bookmarkStart w:id="67" w:name="_Ref429859622"/>
      <w:bookmarkStart w:id="68" w:name="_Ref430041603"/>
      <w:r>
        <w:t xml:space="preserve">Tsai, W-T 2006. Human health risk on environmental exposure to bisphenol-A: A review. </w:t>
      </w:r>
      <w:r w:rsidRPr="00C15B18">
        <w:rPr>
          <w:rStyle w:val="Emphasis"/>
        </w:rPr>
        <w:t>Journal of Environmental Science and Health, Part C: Environmental Carcinogenesis and Ecotoxicology Reviews</w:t>
      </w:r>
      <w:r>
        <w:t>, 24, 2,225–255.</w:t>
      </w:r>
      <w:bookmarkEnd w:id="67"/>
    </w:p>
    <w:p w14:paraId="66175C84" w14:textId="77777777" w:rsidR="0067492A" w:rsidRDefault="001272F6" w:rsidP="009C4F14">
      <w:bookmarkStart w:id="69" w:name="_Ref430205593"/>
      <w:bookmarkStart w:id="70" w:name="_Ref429858221"/>
      <w:bookmarkEnd w:id="62"/>
      <w:bookmarkEnd w:id="68"/>
      <w:r>
        <w:t xml:space="preserve">Voordeckers, JW, Fennell, DE, Jones, K &amp; Häggblom, MM 2002. Anaerobic biotransformation of tetrabromobisphenol A, tetrachlorobisphenol A, and bisphenol A in estuarine sediments. </w:t>
      </w:r>
      <w:r w:rsidRPr="00105A8F">
        <w:rPr>
          <w:rStyle w:val="Emphasis"/>
        </w:rPr>
        <w:t>Environmental Science and Technology</w:t>
      </w:r>
      <w:r>
        <w:t>, 36, 696–701.</w:t>
      </w:r>
      <w:bookmarkEnd w:id="69"/>
    </w:p>
    <w:bookmarkEnd w:id="44"/>
    <w:bookmarkEnd w:id="45"/>
    <w:bookmarkEnd w:id="46"/>
    <w:bookmarkEnd w:id="70"/>
    <w:p w14:paraId="66175C85" w14:textId="77777777" w:rsidR="0067492A" w:rsidRDefault="001272F6" w:rsidP="00105A8F">
      <w:r w:rsidRPr="00A40001">
        <w:t>Warne</w:t>
      </w:r>
      <w:r>
        <w:t>,</w:t>
      </w:r>
      <w:r w:rsidRPr="00A40001">
        <w:t xml:space="preserve"> MStJ, Batley</w:t>
      </w:r>
      <w:r>
        <w:t>,</w:t>
      </w:r>
      <w:r w:rsidRPr="00A40001">
        <w:t xml:space="preserve"> GE, van Dam</w:t>
      </w:r>
      <w:r>
        <w:t>,</w:t>
      </w:r>
      <w:r w:rsidRPr="00A40001">
        <w:t xml:space="preserve"> RA, Chapman</w:t>
      </w:r>
      <w:r>
        <w:t>,</w:t>
      </w:r>
      <w:r w:rsidRPr="00A40001">
        <w:t xml:space="preserve"> JC, Fox</w:t>
      </w:r>
      <w:r>
        <w:t>,</w:t>
      </w:r>
      <w:r w:rsidRPr="00A40001">
        <w:t xml:space="preserve"> DR, Hickey</w:t>
      </w:r>
      <w:r>
        <w:t>,</w:t>
      </w:r>
      <w:r w:rsidRPr="00A40001">
        <w:t xml:space="preserve"> CW </w:t>
      </w:r>
      <w:r>
        <w:t xml:space="preserve">&amp; Stauber, </w:t>
      </w:r>
      <w:r w:rsidRPr="009B2BC4">
        <w:t>JL</w:t>
      </w:r>
      <w:r w:rsidRPr="00E00D37">
        <w:t xml:space="preserve"> 2018. R</w:t>
      </w:r>
      <w:r>
        <w:t>evised Method for Deriving Australian and New Zealand Water Quality Guideline Values for Toxicants – update of 2015 version. Prepared for the revision of the Australian and New Zealand Guidelines for Fresh and Marine Water Quality. Australian and New Zealand Governments and Australian state and territory governments, Canberra, 48 pp.</w:t>
      </w:r>
    </w:p>
    <w:p w14:paraId="66175C86" w14:textId="77777777" w:rsidR="0067492A" w:rsidRDefault="001272F6" w:rsidP="009C4F14">
      <w:bookmarkStart w:id="71" w:name="_Ref430204370"/>
      <w:r w:rsidRPr="00B42942">
        <w:t>Ying, G-G</w:t>
      </w:r>
      <w:r>
        <w:t xml:space="preserve"> &amp;</w:t>
      </w:r>
      <w:r w:rsidRPr="00B42942">
        <w:t xml:space="preserve"> Kookana</w:t>
      </w:r>
      <w:r>
        <w:t>,</w:t>
      </w:r>
      <w:r w:rsidRPr="00B42942">
        <w:t xml:space="preserve"> RS 2003. Degradation of five selected endocrine-disrupting chemicals in seawater and marine sediment. </w:t>
      </w:r>
      <w:r w:rsidRPr="00105A8F">
        <w:rPr>
          <w:rStyle w:val="Emphasis"/>
        </w:rPr>
        <w:t>Environmental Science and Technology</w:t>
      </w:r>
      <w:r>
        <w:t>,</w:t>
      </w:r>
      <w:r w:rsidRPr="00B42942">
        <w:t xml:space="preserve"> </w:t>
      </w:r>
      <w:r>
        <w:t>37, 1256–1260.</w:t>
      </w:r>
      <w:bookmarkEnd w:id="71"/>
    </w:p>
    <w:p w14:paraId="66175C87" w14:textId="77777777" w:rsidR="0067492A" w:rsidRPr="0035689B" w:rsidRDefault="001272F6" w:rsidP="009C4F14">
      <w:bookmarkStart w:id="72" w:name="_Ref430204633"/>
      <w:r>
        <w:t>Ying, G-G, Kookana, RS &amp;</w:t>
      </w:r>
      <w:r w:rsidRPr="00232BB1">
        <w:t xml:space="preserve"> </w:t>
      </w:r>
      <w:r>
        <w:t xml:space="preserve">Dillon, P 2003. Sorption and degradation of selected five endocrine disrupting chemicals in aquifer material. </w:t>
      </w:r>
      <w:r w:rsidRPr="00232BB1">
        <w:rPr>
          <w:rStyle w:val="Emphasis"/>
        </w:rPr>
        <w:t>Water Research</w:t>
      </w:r>
      <w:r>
        <w:t>, 37, 3785–3791.</w:t>
      </w:r>
      <w:bookmarkEnd w:id="72"/>
    </w:p>
    <w:p w14:paraId="66175C88" w14:textId="77777777" w:rsidR="00201048" w:rsidRDefault="00201048" w:rsidP="00201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tLeast"/>
        <w:contextualSpacing/>
        <w:rPr>
          <w:noProof/>
        </w:rPr>
      </w:pPr>
    </w:p>
    <w:sectPr w:rsidR="00201048" w:rsidSect="00606A7B">
      <w:headerReference w:type="default" r:id="rId36"/>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D7106" w14:textId="77777777" w:rsidR="00A673AC" w:rsidRDefault="001272F6">
      <w:pPr>
        <w:spacing w:after="0" w:line="240" w:lineRule="auto"/>
      </w:pPr>
      <w:r>
        <w:separator/>
      </w:r>
    </w:p>
  </w:endnote>
  <w:endnote w:type="continuationSeparator" w:id="0">
    <w:p w14:paraId="199F8F26" w14:textId="77777777" w:rsidR="00A673AC" w:rsidRDefault="001272F6">
      <w:pPr>
        <w:spacing w:after="0" w:line="240" w:lineRule="auto"/>
      </w:pPr>
      <w:r>
        <w:continuationSeparator/>
      </w:r>
    </w:p>
  </w:endnote>
  <w:endnote w:type="continuationNotice" w:id="1">
    <w:p w14:paraId="2E2CA701" w14:textId="77777777" w:rsidR="00E47577" w:rsidRDefault="00E475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75C94" w14:textId="77777777" w:rsidR="007D67EE" w:rsidRDefault="001272F6" w:rsidP="005A3D73">
    <w:pPr>
      <w:pStyle w:val="Footer"/>
      <w:tabs>
        <w:tab w:val="clear" w:pos="4536"/>
        <w:tab w:val="left" w:pos="8647"/>
        <w:tab w:val="left" w:pos="14034"/>
      </w:tabs>
      <w:spacing w:before="120"/>
    </w:pPr>
    <w:r>
      <w:t>Australian and New Zealand Guidelines for Fresh and Marine Water Quality</w:t>
    </w:r>
    <w:r>
      <w:tab/>
    </w:r>
    <w:r>
      <w:fldChar w:fldCharType="begin"/>
    </w:r>
    <w:r>
      <w:instrText xml:space="preserve"> PAGE   \* MERGEFORMAT </w:instrText>
    </w:r>
    <w:r>
      <w:fldChar w:fldCharType="separate"/>
    </w:r>
    <w:r>
      <w:rPr>
        <w:noProof/>
      </w:rPr>
      <w:t>17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75C98" w14:textId="77777777" w:rsidR="007D67EE" w:rsidRDefault="001272F6" w:rsidP="005A3D73">
    <w:pPr>
      <w:pStyle w:val="Footer"/>
      <w:tabs>
        <w:tab w:val="clear" w:pos="4536"/>
        <w:tab w:val="left" w:pos="8647"/>
        <w:tab w:val="left" w:pos="14034"/>
      </w:tabs>
      <w:spacing w:before="120"/>
    </w:pPr>
    <w:r>
      <w:t>Australian and New Zealand Guidelines for Fresh and Marine Water Quality</w:t>
    </w:r>
    <w:r>
      <w:tab/>
    </w: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75C9B" w14:textId="77777777" w:rsidR="007D67EE" w:rsidRDefault="001272F6" w:rsidP="005A3D73">
    <w:pPr>
      <w:pStyle w:val="Footer"/>
      <w:tabs>
        <w:tab w:val="clear" w:pos="4536"/>
        <w:tab w:val="left" w:pos="8647"/>
        <w:tab w:val="left" w:pos="14034"/>
      </w:tabs>
      <w:spacing w:before="120"/>
    </w:pPr>
    <w:r>
      <w:t>Australian and New Zealand Guidelines for Fresh and Marine Water Quality</w:t>
    </w:r>
    <w:r>
      <w:tab/>
    </w:r>
    <w:r>
      <w:fldChar w:fldCharType="begin"/>
    </w:r>
    <w:r>
      <w:instrText xml:space="preserve"> PAGE   \* MERGEFORMAT </w:instrText>
    </w:r>
    <w:r>
      <w:fldChar w:fldCharType="separate"/>
    </w:r>
    <w:r>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04C04" w14:textId="77777777" w:rsidR="00A673AC" w:rsidRDefault="001272F6">
      <w:pPr>
        <w:spacing w:after="0" w:line="240" w:lineRule="auto"/>
      </w:pPr>
      <w:r>
        <w:separator/>
      </w:r>
    </w:p>
  </w:footnote>
  <w:footnote w:type="continuationSeparator" w:id="0">
    <w:p w14:paraId="45D99FEC" w14:textId="77777777" w:rsidR="00A673AC" w:rsidRDefault="001272F6">
      <w:pPr>
        <w:spacing w:after="0" w:line="240" w:lineRule="auto"/>
      </w:pPr>
      <w:r>
        <w:continuationSeparator/>
      </w:r>
    </w:p>
  </w:footnote>
  <w:footnote w:type="continuationNotice" w:id="1">
    <w:p w14:paraId="20BF0601" w14:textId="77777777" w:rsidR="00E47577" w:rsidRDefault="00E475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75C93" w14:textId="77777777" w:rsidR="007D67EE" w:rsidRDefault="001272F6">
    <w:pPr>
      <w:pStyle w:val="Header"/>
    </w:pPr>
    <w:r>
      <w:t xml:space="preserve">Toxicant default guideline values for aquatic ecosystem protection: Bisphenol A </w:t>
    </w:r>
    <w:r w:rsidRPr="0013350A">
      <w:t xml:space="preserve">in </w:t>
    </w:r>
    <w:r>
      <w:t xml:space="preserve">marine </w:t>
    </w:r>
    <w:r w:rsidRPr="0013350A">
      <w:t>water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75C95" w14:textId="77777777" w:rsidR="007D67EE" w:rsidRDefault="001272F6">
    <w:pPr>
      <w:pStyle w:val="Header"/>
    </w:pPr>
    <w:r>
      <w:rPr>
        <w:noProof/>
        <w:lang w:eastAsia="en-AU"/>
      </w:rPr>
      <w:drawing>
        <wp:anchor distT="0" distB="0" distL="114300" distR="114300" simplePos="0" relativeHeight="251658240" behindDoc="1" locked="0" layoutInCell="1" allowOverlap="1" wp14:anchorId="66175C9D" wp14:editId="66175C9E">
          <wp:simplePos x="0" y="0"/>
          <wp:positionH relativeFrom="column">
            <wp:posOffset>-895406</wp:posOffset>
          </wp:positionH>
          <wp:positionV relativeFrom="paragraph">
            <wp:posOffset>-355021</wp:posOffset>
          </wp:positionV>
          <wp:extent cx="7556361" cy="10687529"/>
          <wp:effectExtent l="0" t="0" r="6985" b="0"/>
          <wp:wrapNone/>
          <wp:docPr id="2" name="Picture 2" descr="Water Quality Guidelines is a joint initiative of the Australian and New Zealand governments, in partnership with the Australian states and territ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232624" name="DA2834_1216_Water Quality guidelines-blank-Wed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472" cy="10710316"/>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75C96" w14:textId="77777777" w:rsidR="007D67EE" w:rsidRPr="001303C0" w:rsidRDefault="001272F6" w:rsidP="001303C0">
    <w:pPr>
      <w:pStyle w:val="Header"/>
    </w:pPr>
    <w:r w:rsidRPr="0013350A">
      <w:t xml:space="preserve">Toxicant default guideline values for aquatic ecosystem protection: </w:t>
    </w:r>
    <w:r>
      <w:t xml:space="preserve">Bisphenol A </w:t>
    </w:r>
    <w:r w:rsidRPr="0013350A">
      <w:t xml:space="preserve">in </w:t>
    </w:r>
    <w:r>
      <w:t xml:space="preserve">marine </w:t>
    </w:r>
    <w:r w:rsidRPr="0013350A">
      <w:t>water</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75C97" w14:textId="77777777" w:rsidR="007D67EE" w:rsidRPr="001303C0" w:rsidRDefault="001272F6" w:rsidP="001303C0">
    <w:pPr>
      <w:pStyle w:val="Header"/>
    </w:pPr>
    <w:r>
      <w:t xml:space="preserve">Toxicant default guideline values for aquatic ecosystem protection: Bisphenol A </w:t>
    </w:r>
    <w:r w:rsidRPr="0013350A">
      <w:t xml:space="preserve">in </w:t>
    </w:r>
    <w:r>
      <w:t xml:space="preserve">marine </w:t>
    </w:r>
    <w:r w:rsidRPr="0013350A">
      <w:t>water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75C99" w14:textId="77777777" w:rsidR="007D67EE" w:rsidRPr="000756BD" w:rsidRDefault="001272F6" w:rsidP="000756BD">
    <w:pPr>
      <w:pStyle w:val="Header"/>
    </w:pPr>
    <w:r>
      <w:t>Toxicant default guideline values for aquatic ecosystem protection</w:t>
    </w:r>
    <w:r w:rsidRPr="0028085F">
      <w:t xml:space="preserve">: </w:t>
    </w:r>
    <w:r>
      <w:t xml:space="preserve">Bisphenol A </w:t>
    </w:r>
    <w:r w:rsidRPr="0028085F">
      <w:t xml:space="preserve">in </w:t>
    </w:r>
    <w:r>
      <w:t xml:space="preserve">marine </w:t>
    </w:r>
    <w:r w:rsidRPr="0028085F">
      <w:t>water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75C9A" w14:textId="77777777" w:rsidR="007D67EE" w:rsidRPr="000756BD" w:rsidRDefault="001272F6" w:rsidP="000756BD">
    <w:pPr>
      <w:pStyle w:val="Header"/>
    </w:pPr>
    <w:r w:rsidRPr="0028085F">
      <w:t xml:space="preserve">Toxicant default guideline values for aquatic ecosystem protection: </w:t>
    </w:r>
    <w:r>
      <w:t>Bisphenol A</w:t>
    </w:r>
    <w:r w:rsidRPr="0028085F">
      <w:t xml:space="preserve"> in </w:t>
    </w:r>
    <w:r>
      <w:t xml:space="preserve">marine </w:t>
    </w:r>
    <w:r w:rsidRPr="0028085F">
      <w:t>water</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75C9C" w14:textId="77777777" w:rsidR="007D67EE" w:rsidRPr="000756BD" w:rsidRDefault="001272F6" w:rsidP="000756BD">
    <w:pPr>
      <w:pStyle w:val="Header"/>
    </w:pPr>
    <w:r w:rsidRPr="0028085F">
      <w:t xml:space="preserve">Toxicant default guideline values for aquatic ecosystem protection: </w:t>
    </w:r>
    <w:r>
      <w:t xml:space="preserve">Bisphenol A </w:t>
    </w:r>
    <w:r w:rsidRPr="0028085F">
      <w:t xml:space="preserve">in </w:t>
    </w:r>
    <w:r>
      <w:t xml:space="preserve">marine </w:t>
    </w:r>
    <w:r w:rsidRPr="0028085F">
      <w:t>water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208AD1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92E91"/>
    <w:multiLevelType w:val="hybridMultilevel"/>
    <w:tmpl w:val="40D45D46"/>
    <w:lvl w:ilvl="0" w:tplc="13E8228C">
      <w:start w:val="1"/>
      <w:numFmt w:val="bullet"/>
      <w:lvlText w:val=""/>
      <w:lvlJc w:val="left"/>
      <w:pPr>
        <w:ind w:left="720" w:hanging="360"/>
      </w:pPr>
      <w:rPr>
        <w:rFonts w:ascii="Symbol" w:hAnsi="Symbol" w:hint="default"/>
      </w:rPr>
    </w:lvl>
    <w:lvl w:ilvl="1" w:tplc="D03C25E8" w:tentative="1">
      <w:start w:val="1"/>
      <w:numFmt w:val="bullet"/>
      <w:lvlText w:val="o"/>
      <w:lvlJc w:val="left"/>
      <w:pPr>
        <w:ind w:left="1440" w:hanging="360"/>
      </w:pPr>
      <w:rPr>
        <w:rFonts w:ascii="Courier New" w:hAnsi="Courier New" w:cs="Courier New" w:hint="default"/>
      </w:rPr>
    </w:lvl>
    <w:lvl w:ilvl="2" w:tplc="88BC0AF0" w:tentative="1">
      <w:start w:val="1"/>
      <w:numFmt w:val="bullet"/>
      <w:lvlText w:val=""/>
      <w:lvlJc w:val="left"/>
      <w:pPr>
        <w:ind w:left="2160" w:hanging="360"/>
      </w:pPr>
      <w:rPr>
        <w:rFonts w:ascii="Wingdings" w:hAnsi="Wingdings" w:hint="default"/>
      </w:rPr>
    </w:lvl>
    <w:lvl w:ilvl="3" w:tplc="06A65176" w:tentative="1">
      <w:start w:val="1"/>
      <w:numFmt w:val="bullet"/>
      <w:lvlText w:val=""/>
      <w:lvlJc w:val="left"/>
      <w:pPr>
        <w:ind w:left="2880" w:hanging="360"/>
      </w:pPr>
      <w:rPr>
        <w:rFonts w:ascii="Symbol" w:hAnsi="Symbol" w:hint="default"/>
      </w:rPr>
    </w:lvl>
    <w:lvl w:ilvl="4" w:tplc="8EACE7AA" w:tentative="1">
      <w:start w:val="1"/>
      <w:numFmt w:val="bullet"/>
      <w:lvlText w:val="o"/>
      <w:lvlJc w:val="left"/>
      <w:pPr>
        <w:ind w:left="3600" w:hanging="360"/>
      </w:pPr>
      <w:rPr>
        <w:rFonts w:ascii="Courier New" w:hAnsi="Courier New" w:cs="Courier New" w:hint="default"/>
      </w:rPr>
    </w:lvl>
    <w:lvl w:ilvl="5" w:tplc="08946CE8" w:tentative="1">
      <w:start w:val="1"/>
      <w:numFmt w:val="bullet"/>
      <w:lvlText w:val=""/>
      <w:lvlJc w:val="left"/>
      <w:pPr>
        <w:ind w:left="4320" w:hanging="360"/>
      </w:pPr>
      <w:rPr>
        <w:rFonts w:ascii="Wingdings" w:hAnsi="Wingdings" w:hint="default"/>
      </w:rPr>
    </w:lvl>
    <w:lvl w:ilvl="6" w:tplc="5C1AB036" w:tentative="1">
      <w:start w:val="1"/>
      <w:numFmt w:val="bullet"/>
      <w:lvlText w:val=""/>
      <w:lvlJc w:val="left"/>
      <w:pPr>
        <w:ind w:left="5040" w:hanging="360"/>
      </w:pPr>
      <w:rPr>
        <w:rFonts w:ascii="Symbol" w:hAnsi="Symbol" w:hint="default"/>
      </w:rPr>
    </w:lvl>
    <w:lvl w:ilvl="7" w:tplc="9B20C06A" w:tentative="1">
      <w:start w:val="1"/>
      <w:numFmt w:val="bullet"/>
      <w:lvlText w:val="o"/>
      <w:lvlJc w:val="left"/>
      <w:pPr>
        <w:ind w:left="5760" w:hanging="360"/>
      </w:pPr>
      <w:rPr>
        <w:rFonts w:ascii="Courier New" w:hAnsi="Courier New" w:cs="Courier New" w:hint="default"/>
      </w:rPr>
    </w:lvl>
    <w:lvl w:ilvl="8" w:tplc="49CA3914" w:tentative="1">
      <w:start w:val="1"/>
      <w:numFmt w:val="bullet"/>
      <w:lvlText w:val=""/>
      <w:lvlJc w:val="left"/>
      <w:pPr>
        <w:ind w:left="6480" w:hanging="360"/>
      </w:pPr>
      <w:rPr>
        <w:rFonts w:ascii="Wingdings" w:hAnsi="Wingdings" w:hint="default"/>
      </w:rPr>
    </w:lvl>
  </w:abstractNum>
  <w:abstractNum w:abstractNumId="2" w15:restartNumberingAfterBreak="0">
    <w:nsid w:val="087B7886"/>
    <w:multiLevelType w:val="hybridMultilevel"/>
    <w:tmpl w:val="1CBEE6FE"/>
    <w:lvl w:ilvl="0" w:tplc="B5448C28">
      <w:start w:val="20"/>
      <w:numFmt w:val="decimal"/>
      <w:lvlText w:val="%1."/>
      <w:lvlJc w:val="left"/>
      <w:pPr>
        <w:ind w:left="644" w:hanging="360"/>
      </w:pPr>
      <w:rPr>
        <w:rFonts w:hint="default"/>
      </w:rPr>
    </w:lvl>
    <w:lvl w:ilvl="1" w:tplc="7C44C1F2" w:tentative="1">
      <w:start w:val="1"/>
      <w:numFmt w:val="lowerLetter"/>
      <w:lvlText w:val="%2."/>
      <w:lvlJc w:val="left"/>
      <w:pPr>
        <w:ind w:left="1440" w:hanging="360"/>
      </w:pPr>
    </w:lvl>
    <w:lvl w:ilvl="2" w:tplc="1722C800" w:tentative="1">
      <w:start w:val="1"/>
      <w:numFmt w:val="lowerRoman"/>
      <w:lvlText w:val="%3."/>
      <w:lvlJc w:val="right"/>
      <w:pPr>
        <w:ind w:left="2160" w:hanging="180"/>
      </w:pPr>
    </w:lvl>
    <w:lvl w:ilvl="3" w:tplc="273EFE26" w:tentative="1">
      <w:start w:val="1"/>
      <w:numFmt w:val="decimal"/>
      <w:lvlText w:val="%4."/>
      <w:lvlJc w:val="left"/>
      <w:pPr>
        <w:ind w:left="2880" w:hanging="360"/>
      </w:pPr>
    </w:lvl>
    <w:lvl w:ilvl="4" w:tplc="967C9B5E" w:tentative="1">
      <w:start w:val="1"/>
      <w:numFmt w:val="lowerLetter"/>
      <w:lvlText w:val="%5."/>
      <w:lvlJc w:val="left"/>
      <w:pPr>
        <w:ind w:left="3600" w:hanging="360"/>
      </w:pPr>
    </w:lvl>
    <w:lvl w:ilvl="5" w:tplc="D2243226" w:tentative="1">
      <w:start w:val="1"/>
      <w:numFmt w:val="lowerRoman"/>
      <w:lvlText w:val="%6."/>
      <w:lvlJc w:val="right"/>
      <w:pPr>
        <w:ind w:left="4320" w:hanging="180"/>
      </w:pPr>
    </w:lvl>
    <w:lvl w:ilvl="6" w:tplc="44CA6620" w:tentative="1">
      <w:start w:val="1"/>
      <w:numFmt w:val="decimal"/>
      <w:lvlText w:val="%7."/>
      <w:lvlJc w:val="left"/>
      <w:pPr>
        <w:ind w:left="5040" w:hanging="360"/>
      </w:pPr>
    </w:lvl>
    <w:lvl w:ilvl="7" w:tplc="77602DBA" w:tentative="1">
      <w:start w:val="1"/>
      <w:numFmt w:val="lowerLetter"/>
      <w:lvlText w:val="%8."/>
      <w:lvlJc w:val="left"/>
      <w:pPr>
        <w:ind w:left="5760" w:hanging="360"/>
      </w:pPr>
    </w:lvl>
    <w:lvl w:ilvl="8" w:tplc="B6B49AD6" w:tentative="1">
      <w:start w:val="1"/>
      <w:numFmt w:val="lowerRoman"/>
      <w:lvlText w:val="%9."/>
      <w:lvlJc w:val="right"/>
      <w:pPr>
        <w:ind w:left="6480" w:hanging="180"/>
      </w:pPr>
    </w:lvl>
  </w:abstractNum>
  <w:abstractNum w:abstractNumId="3" w15:restartNumberingAfterBreak="0">
    <w:nsid w:val="09A831E8"/>
    <w:multiLevelType w:val="multilevel"/>
    <w:tmpl w:val="88964F4C"/>
    <w:styleLink w:val="heading"/>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lef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4" w15:restartNumberingAfterBreak="0">
    <w:nsid w:val="0FF73C7F"/>
    <w:multiLevelType w:val="multilevel"/>
    <w:tmpl w:val="757ED760"/>
    <w:styleLink w:val="Style1"/>
    <w:lvl w:ilvl="0">
      <w:start w:val="1"/>
      <w:numFmt w:val="decimal"/>
      <w:pStyle w:val="Heading2"/>
      <w:lvlText w:val="%1"/>
      <w:lvlJc w:val="left"/>
      <w:pPr>
        <w:ind w:left="680" w:hanging="680"/>
      </w:pPr>
      <w:rPr>
        <w:rFonts w:hint="default"/>
        <w:b w:val="0"/>
        <w:bCs w:val="0"/>
        <w:i w:val="0"/>
        <w:iCs w:val="0"/>
        <w:caps w:val="0"/>
        <w:smallCaps w:val="0"/>
        <w:strike w:val="0"/>
        <w:dstrike w:val="0"/>
        <w:noProof w:val="0"/>
        <w:vanish w:val="0"/>
        <w:color w:val="427BA1"/>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680" w:hanging="680"/>
      </w:pPr>
      <w:rPr>
        <w:rFonts w:hint="default"/>
      </w:rPr>
    </w:lvl>
    <w:lvl w:ilvl="2">
      <w:start w:val="1"/>
      <w:numFmt w:val="decimal"/>
      <w:pStyle w:val="Heading4"/>
      <w:lvlText w:val="%1.%2.%3"/>
      <w:lvlJc w:val="left"/>
      <w:pPr>
        <w:ind w:left="680" w:hanging="680"/>
      </w:pPr>
      <w:rPr>
        <w:rFonts w:hint="default"/>
      </w:rPr>
    </w:lvl>
    <w:lvl w:ilvl="3">
      <w:start w:val="1"/>
      <w:numFmt w:val="decimal"/>
      <w:lvlText w:val="%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righ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right"/>
      <w:pPr>
        <w:ind w:left="680" w:hanging="680"/>
      </w:pPr>
      <w:rPr>
        <w:rFonts w:hint="default"/>
      </w:rPr>
    </w:lvl>
  </w:abstractNum>
  <w:abstractNum w:abstractNumId="5" w15:restartNumberingAfterBreak="0">
    <w:nsid w:val="11AE047C"/>
    <w:multiLevelType w:val="hybridMultilevel"/>
    <w:tmpl w:val="4E523958"/>
    <w:lvl w:ilvl="0" w:tplc="851269E8">
      <w:start w:val="1"/>
      <w:numFmt w:val="bullet"/>
      <w:lvlText w:val=""/>
      <w:lvlJc w:val="left"/>
      <w:pPr>
        <w:ind w:left="720" w:hanging="360"/>
      </w:pPr>
      <w:rPr>
        <w:rFonts w:ascii="Symbol" w:hAnsi="Symbol" w:hint="default"/>
      </w:rPr>
    </w:lvl>
    <w:lvl w:ilvl="1" w:tplc="40CADB1C">
      <w:start w:val="1"/>
      <w:numFmt w:val="bullet"/>
      <w:lvlText w:val="o"/>
      <w:lvlJc w:val="left"/>
      <w:pPr>
        <w:ind w:left="1440" w:hanging="360"/>
      </w:pPr>
      <w:rPr>
        <w:rFonts w:ascii="Courier New" w:hAnsi="Courier New" w:cs="Courier New" w:hint="default"/>
      </w:rPr>
    </w:lvl>
    <w:lvl w:ilvl="2" w:tplc="3DE2728C" w:tentative="1">
      <w:start w:val="1"/>
      <w:numFmt w:val="bullet"/>
      <w:lvlText w:val=""/>
      <w:lvlJc w:val="left"/>
      <w:pPr>
        <w:ind w:left="2160" w:hanging="360"/>
      </w:pPr>
      <w:rPr>
        <w:rFonts w:ascii="Wingdings" w:hAnsi="Wingdings" w:hint="default"/>
      </w:rPr>
    </w:lvl>
    <w:lvl w:ilvl="3" w:tplc="E71CDDA4" w:tentative="1">
      <w:start w:val="1"/>
      <w:numFmt w:val="bullet"/>
      <w:lvlText w:val=""/>
      <w:lvlJc w:val="left"/>
      <w:pPr>
        <w:ind w:left="2880" w:hanging="360"/>
      </w:pPr>
      <w:rPr>
        <w:rFonts w:ascii="Symbol" w:hAnsi="Symbol" w:hint="default"/>
      </w:rPr>
    </w:lvl>
    <w:lvl w:ilvl="4" w:tplc="A0822362" w:tentative="1">
      <w:start w:val="1"/>
      <w:numFmt w:val="bullet"/>
      <w:lvlText w:val="o"/>
      <w:lvlJc w:val="left"/>
      <w:pPr>
        <w:ind w:left="3600" w:hanging="360"/>
      </w:pPr>
      <w:rPr>
        <w:rFonts w:ascii="Courier New" w:hAnsi="Courier New" w:cs="Courier New" w:hint="default"/>
      </w:rPr>
    </w:lvl>
    <w:lvl w:ilvl="5" w:tplc="B396EEC4" w:tentative="1">
      <w:start w:val="1"/>
      <w:numFmt w:val="bullet"/>
      <w:lvlText w:val=""/>
      <w:lvlJc w:val="left"/>
      <w:pPr>
        <w:ind w:left="4320" w:hanging="360"/>
      </w:pPr>
      <w:rPr>
        <w:rFonts w:ascii="Wingdings" w:hAnsi="Wingdings" w:hint="default"/>
      </w:rPr>
    </w:lvl>
    <w:lvl w:ilvl="6" w:tplc="6F86E13E" w:tentative="1">
      <w:start w:val="1"/>
      <w:numFmt w:val="bullet"/>
      <w:lvlText w:val=""/>
      <w:lvlJc w:val="left"/>
      <w:pPr>
        <w:ind w:left="5040" w:hanging="360"/>
      </w:pPr>
      <w:rPr>
        <w:rFonts w:ascii="Symbol" w:hAnsi="Symbol" w:hint="default"/>
      </w:rPr>
    </w:lvl>
    <w:lvl w:ilvl="7" w:tplc="961298C8" w:tentative="1">
      <w:start w:val="1"/>
      <w:numFmt w:val="bullet"/>
      <w:lvlText w:val="o"/>
      <w:lvlJc w:val="left"/>
      <w:pPr>
        <w:ind w:left="5760" w:hanging="360"/>
      </w:pPr>
      <w:rPr>
        <w:rFonts w:ascii="Courier New" w:hAnsi="Courier New" w:cs="Courier New" w:hint="default"/>
      </w:rPr>
    </w:lvl>
    <w:lvl w:ilvl="8" w:tplc="BC7C5068" w:tentative="1">
      <w:start w:val="1"/>
      <w:numFmt w:val="bullet"/>
      <w:lvlText w:val=""/>
      <w:lvlJc w:val="left"/>
      <w:pPr>
        <w:ind w:left="6480" w:hanging="360"/>
      </w:pPr>
      <w:rPr>
        <w:rFonts w:ascii="Wingdings" w:hAnsi="Wingdings" w:hint="default"/>
      </w:rPr>
    </w:lvl>
  </w:abstractNum>
  <w:abstractNum w:abstractNumId="6" w15:restartNumberingAfterBreak="0">
    <w:nsid w:val="17FA091E"/>
    <w:multiLevelType w:val="multilevel"/>
    <w:tmpl w:val="757ED760"/>
    <w:numStyleLink w:val="Style1"/>
  </w:abstractNum>
  <w:abstractNum w:abstractNumId="7" w15:restartNumberingAfterBreak="0">
    <w:nsid w:val="196B606F"/>
    <w:multiLevelType w:val="hybridMultilevel"/>
    <w:tmpl w:val="E0560262"/>
    <w:lvl w:ilvl="0" w:tplc="1FB0EE96">
      <w:start w:val="1"/>
      <w:numFmt w:val="bullet"/>
      <w:pStyle w:val="TableBullet"/>
      <w:lvlText w:val=""/>
      <w:lvlJc w:val="left"/>
      <w:pPr>
        <w:ind w:left="720" w:hanging="360"/>
      </w:pPr>
      <w:rPr>
        <w:rFonts w:ascii="Symbol" w:hAnsi="Symbol" w:hint="default"/>
      </w:rPr>
    </w:lvl>
    <w:lvl w:ilvl="1" w:tplc="8344360A" w:tentative="1">
      <w:start w:val="1"/>
      <w:numFmt w:val="bullet"/>
      <w:lvlText w:val="o"/>
      <w:lvlJc w:val="left"/>
      <w:pPr>
        <w:ind w:left="1440" w:hanging="360"/>
      </w:pPr>
      <w:rPr>
        <w:rFonts w:ascii="Courier New" w:hAnsi="Courier New" w:cs="Courier New" w:hint="default"/>
      </w:rPr>
    </w:lvl>
    <w:lvl w:ilvl="2" w:tplc="8ABCB720" w:tentative="1">
      <w:start w:val="1"/>
      <w:numFmt w:val="bullet"/>
      <w:lvlText w:val=""/>
      <w:lvlJc w:val="left"/>
      <w:pPr>
        <w:ind w:left="2160" w:hanging="360"/>
      </w:pPr>
      <w:rPr>
        <w:rFonts w:ascii="Wingdings" w:hAnsi="Wingdings" w:hint="default"/>
      </w:rPr>
    </w:lvl>
    <w:lvl w:ilvl="3" w:tplc="D0503D84" w:tentative="1">
      <w:start w:val="1"/>
      <w:numFmt w:val="bullet"/>
      <w:lvlText w:val=""/>
      <w:lvlJc w:val="left"/>
      <w:pPr>
        <w:ind w:left="2880" w:hanging="360"/>
      </w:pPr>
      <w:rPr>
        <w:rFonts w:ascii="Symbol" w:hAnsi="Symbol" w:hint="default"/>
      </w:rPr>
    </w:lvl>
    <w:lvl w:ilvl="4" w:tplc="6550292E" w:tentative="1">
      <w:start w:val="1"/>
      <w:numFmt w:val="bullet"/>
      <w:lvlText w:val="o"/>
      <w:lvlJc w:val="left"/>
      <w:pPr>
        <w:ind w:left="3600" w:hanging="360"/>
      </w:pPr>
      <w:rPr>
        <w:rFonts w:ascii="Courier New" w:hAnsi="Courier New" w:cs="Courier New" w:hint="default"/>
      </w:rPr>
    </w:lvl>
    <w:lvl w:ilvl="5" w:tplc="37B483B4" w:tentative="1">
      <w:start w:val="1"/>
      <w:numFmt w:val="bullet"/>
      <w:lvlText w:val=""/>
      <w:lvlJc w:val="left"/>
      <w:pPr>
        <w:ind w:left="4320" w:hanging="360"/>
      </w:pPr>
      <w:rPr>
        <w:rFonts w:ascii="Wingdings" w:hAnsi="Wingdings" w:hint="default"/>
      </w:rPr>
    </w:lvl>
    <w:lvl w:ilvl="6" w:tplc="FCFE31FC" w:tentative="1">
      <w:start w:val="1"/>
      <w:numFmt w:val="bullet"/>
      <w:lvlText w:val=""/>
      <w:lvlJc w:val="left"/>
      <w:pPr>
        <w:ind w:left="5040" w:hanging="360"/>
      </w:pPr>
      <w:rPr>
        <w:rFonts w:ascii="Symbol" w:hAnsi="Symbol" w:hint="default"/>
      </w:rPr>
    </w:lvl>
    <w:lvl w:ilvl="7" w:tplc="F05A64C6" w:tentative="1">
      <w:start w:val="1"/>
      <w:numFmt w:val="bullet"/>
      <w:lvlText w:val="o"/>
      <w:lvlJc w:val="left"/>
      <w:pPr>
        <w:ind w:left="5760" w:hanging="360"/>
      </w:pPr>
      <w:rPr>
        <w:rFonts w:ascii="Courier New" w:hAnsi="Courier New" w:cs="Courier New" w:hint="default"/>
      </w:rPr>
    </w:lvl>
    <w:lvl w:ilvl="8" w:tplc="62363CDC" w:tentative="1">
      <w:start w:val="1"/>
      <w:numFmt w:val="bullet"/>
      <w:lvlText w:val=""/>
      <w:lvlJc w:val="left"/>
      <w:pPr>
        <w:ind w:left="6480" w:hanging="360"/>
      </w:pPr>
      <w:rPr>
        <w:rFonts w:ascii="Wingdings" w:hAnsi="Wingdings" w:hint="default"/>
      </w:rPr>
    </w:lvl>
  </w:abstractNum>
  <w:abstractNum w:abstractNumId="8" w15:restartNumberingAfterBreak="0">
    <w:nsid w:val="20BD31D4"/>
    <w:multiLevelType w:val="hybridMultilevel"/>
    <w:tmpl w:val="849CDF82"/>
    <w:lvl w:ilvl="0" w:tplc="051443B8">
      <w:start w:val="23"/>
      <w:numFmt w:val="decimal"/>
      <w:lvlText w:val="%1."/>
      <w:lvlJc w:val="left"/>
      <w:pPr>
        <w:ind w:left="644" w:hanging="360"/>
      </w:pPr>
      <w:rPr>
        <w:rFonts w:hint="default"/>
      </w:rPr>
    </w:lvl>
    <w:lvl w:ilvl="1" w:tplc="774650E2" w:tentative="1">
      <w:start w:val="1"/>
      <w:numFmt w:val="lowerLetter"/>
      <w:lvlText w:val="%2."/>
      <w:lvlJc w:val="left"/>
      <w:pPr>
        <w:ind w:left="1440" w:hanging="360"/>
      </w:pPr>
    </w:lvl>
    <w:lvl w:ilvl="2" w:tplc="890C1730" w:tentative="1">
      <w:start w:val="1"/>
      <w:numFmt w:val="lowerRoman"/>
      <w:lvlText w:val="%3."/>
      <w:lvlJc w:val="right"/>
      <w:pPr>
        <w:ind w:left="2160" w:hanging="180"/>
      </w:pPr>
    </w:lvl>
    <w:lvl w:ilvl="3" w:tplc="EC7ACB32" w:tentative="1">
      <w:start w:val="1"/>
      <w:numFmt w:val="decimal"/>
      <w:lvlText w:val="%4."/>
      <w:lvlJc w:val="left"/>
      <w:pPr>
        <w:ind w:left="2880" w:hanging="360"/>
      </w:pPr>
    </w:lvl>
    <w:lvl w:ilvl="4" w:tplc="B390444C" w:tentative="1">
      <w:start w:val="1"/>
      <w:numFmt w:val="lowerLetter"/>
      <w:lvlText w:val="%5."/>
      <w:lvlJc w:val="left"/>
      <w:pPr>
        <w:ind w:left="3600" w:hanging="360"/>
      </w:pPr>
    </w:lvl>
    <w:lvl w:ilvl="5" w:tplc="67908D42" w:tentative="1">
      <w:start w:val="1"/>
      <w:numFmt w:val="lowerRoman"/>
      <w:lvlText w:val="%6."/>
      <w:lvlJc w:val="right"/>
      <w:pPr>
        <w:ind w:left="4320" w:hanging="180"/>
      </w:pPr>
    </w:lvl>
    <w:lvl w:ilvl="6" w:tplc="B8341BDC" w:tentative="1">
      <w:start w:val="1"/>
      <w:numFmt w:val="decimal"/>
      <w:lvlText w:val="%7."/>
      <w:lvlJc w:val="left"/>
      <w:pPr>
        <w:ind w:left="5040" w:hanging="360"/>
      </w:pPr>
    </w:lvl>
    <w:lvl w:ilvl="7" w:tplc="29282910" w:tentative="1">
      <w:start w:val="1"/>
      <w:numFmt w:val="lowerLetter"/>
      <w:lvlText w:val="%8."/>
      <w:lvlJc w:val="left"/>
      <w:pPr>
        <w:ind w:left="5760" w:hanging="360"/>
      </w:pPr>
    </w:lvl>
    <w:lvl w:ilvl="8" w:tplc="B056490A" w:tentative="1">
      <w:start w:val="1"/>
      <w:numFmt w:val="lowerRoman"/>
      <w:lvlText w:val="%9."/>
      <w:lvlJc w:val="right"/>
      <w:pPr>
        <w:ind w:left="6480" w:hanging="180"/>
      </w:pPr>
    </w:lvl>
  </w:abstractNum>
  <w:abstractNum w:abstractNumId="9" w15:restartNumberingAfterBreak="0">
    <w:nsid w:val="210B696E"/>
    <w:multiLevelType w:val="hybridMultilevel"/>
    <w:tmpl w:val="CA48A41C"/>
    <w:lvl w:ilvl="0" w:tplc="421CBEA6">
      <w:start w:val="35"/>
      <w:numFmt w:val="decimal"/>
      <w:lvlText w:val="%1."/>
      <w:lvlJc w:val="left"/>
      <w:pPr>
        <w:ind w:left="644" w:hanging="360"/>
      </w:pPr>
      <w:rPr>
        <w:rFonts w:hint="default"/>
      </w:rPr>
    </w:lvl>
    <w:lvl w:ilvl="1" w:tplc="65805C8E" w:tentative="1">
      <w:start w:val="1"/>
      <w:numFmt w:val="lowerLetter"/>
      <w:lvlText w:val="%2."/>
      <w:lvlJc w:val="left"/>
      <w:pPr>
        <w:ind w:left="1440" w:hanging="360"/>
      </w:pPr>
    </w:lvl>
    <w:lvl w:ilvl="2" w:tplc="2B3E47CC" w:tentative="1">
      <w:start w:val="1"/>
      <w:numFmt w:val="lowerRoman"/>
      <w:lvlText w:val="%3."/>
      <w:lvlJc w:val="right"/>
      <w:pPr>
        <w:ind w:left="2160" w:hanging="180"/>
      </w:pPr>
    </w:lvl>
    <w:lvl w:ilvl="3" w:tplc="D6E6EA04" w:tentative="1">
      <w:start w:val="1"/>
      <w:numFmt w:val="decimal"/>
      <w:lvlText w:val="%4."/>
      <w:lvlJc w:val="left"/>
      <w:pPr>
        <w:ind w:left="2880" w:hanging="360"/>
      </w:pPr>
    </w:lvl>
    <w:lvl w:ilvl="4" w:tplc="4462F26A" w:tentative="1">
      <w:start w:val="1"/>
      <w:numFmt w:val="lowerLetter"/>
      <w:lvlText w:val="%5."/>
      <w:lvlJc w:val="left"/>
      <w:pPr>
        <w:ind w:left="3600" w:hanging="360"/>
      </w:pPr>
    </w:lvl>
    <w:lvl w:ilvl="5" w:tplc="70F4998C" w:tentative="1">
      <w:start w:val="1"/>
      <w:numFmt w:val="lowerRoman"/>
      <w:lvlText w:val="%6."/>
      <w:lvlJc w:val="right"/>
      <w:pPr>
        <w:ind w:left="4320" w:hanging="180"/>
      </w:pPr>
    </w:lvl>
    <w:lvl w:ilvl="6" w:tplc="38D84A1C" w:tentative="1">
      <w:start w:val="1"/>
      <w:numFmt w:val="decimal"/>
      <w:lvlText w:val="%7."/>
      <w:lvlJc w:val="left"/>
      <w:pPr>
        <w:ind w:left="5040" w:hanging="360"/>
      </w:pPr>
    </w:lvl>
    <w:lvl w:ilvl="7" w:tplc="8D3487E0" w:tentative="1">
      <w:start w:val="1"/>
      <w:numFmt w:val="lowerLetter"/>
      <w:lvlText w:val="%8."/>
      <w:lvlJc w:val="left"/>
      <w:pPr>
        <w:ind w:left="5760" w:hanging="360"/>
      </w:pPr>
    </w:lvl>
    <w:lvl w:ilvl="8" w:tplc="297826B2" w:tentative="1">
      <w:start w:val="1"/>
      <w:numFmt w:val="lowerRoman"/>
      <w:lvlText w:val="%9."/>
      <w:lvlJc w:val="right"/>
      <w:pPr>
        <w:ind w:left="6480" w:hanging="180"/>
      </w:pPr>
    </w:lvl>
  </w:abstractNum>
  <w:abstractNum w:abstractNumId="10" w15:restartNumberingAfterBreak="0">
    <w:nsid w:val="21A44178"/>
    <w:multiLevelType w:val="hybridMultilevel"/>
    <w:tmpl w:val="C874A112"/>
    <w:lvl w:ilvl="0" w:tplc="90D49D70">
      <w:start w:val="1"/>
      <w:numFmt w:val="bullet"/>
      <w:lvlText w:val=""/>
      <w:lvlJc w:val="left"/>
      <w:pPr>
        <w:ind w:left="761" w:hanging="360"/>
      </w:pPr>
      <w:rPr>
        <w:rFonts w:ascii="Symbol" w:hAnsi="Symbol" w:hint="default"/>
      </w:rPr>
    </w:lvl>
    <w:lvl w:ilvl="1" w:tplc="7B3415F0" w:tentative="1">
      <w:start w:val="1"/>
      <w:numFmt w:val="bullet"/>
      <w:lvlText w:val="o"/>
      <w:lvlJc w:val="left"/>
      <w:pPr>
        <w:ind w:left="1481" w:hanging="360"/>
      </w:pPr>
      <w:rPr>
        <w:rFonts w:ascii="Courier New" w:hAnsi="Courier New" w:cs="Courier New" w:hint="default"/>
      </w:rPr>
    </w:lvl>
    <w:lvl w:ilvl="2" w:tplc="F0185BFC" w:tentative="1">
      <w:start w:val="1"/>
      <w:numFmt w:val="bullet"/>
      <w:lvlText w:val=""/>
      <w:lvlJc w:val="left"/>
      <w:pPr>
        <w:ind w:left="2201" w:hanging="360"/>
      </w:pPr>
      <w:rPr>
        <w:rFonts w:ascii="Wingdings" w:hAnsi="Wingdings" w:hint="default"/>
      </w:rPr>
    </w:lvl>
    <w:lvl w:ilvl="3" w:tplc="5FBE6E58" w:tentative="1">
      <w:start w:val="1"/>
      <w:numFmt w:val="bullet"/>
      <w:lvlText w:val=""/>
      <w:lvlJc w:val="left"/>
      <w:pPr>
        <w:ind w:left="2921" w:hanging="360"/>
      </w:pPr>
      <w:rPr>
        <w:rFonts w:ascii="Symbol" w:hAnsi="Symbol" w:hint="default"/>
      </w:rPr>
    </w:lvl>
    <w:lvl w:ilvl="4" w:tplc="C494046A" w:tentative="1">
      <w:start w:val="1"/>
      <w:numFmt w:val="bullet"/>
      <w:lvlText w:val="o"/>
      <w:lvlJc w:val="left"/>
      <w:pPr>
        <w:ind w:left="3641" w:hanging="360"/>
      </w:pPr>
      <w:rPr>
        <w:rFonts w:ascii="Courier New" w:hAnsi="Courier New" w:cs="Courier New" w:hint="default"/>
      </w:rPr>
    </w:lvl>
    <w:lvl w:ilvl="5" w:tplc="C8921822" w:tentative="1">
      <w:start w:val="1"/>
      <w:numFmt w:val="bullet"/>
      <w:lvlText w:val=""/>
      <w:lvlJc w:val="left"/>
      <w:pPr>
        <w:ind w:left="4361" w:hanging="360"/>
      </w:pPr>
      <w:rPr>
        <w:rFonts w:ascii="Wingdings" w:hAnsi="Wingdings" w:hint="default"/>
      </w:rPr>
    </w:lvl>
    <w:lvl w:ilvl="6" w:tplc="343E89D4" w:tentative="1">
      <w:start w:val="1"/>
      <w:numFmt w:val="bullet"/>
      <w:lvlText w:val=""/>
      <w:lvlJc w:val="left"/>
      <w:pPr>
        <w:ind w:left="5081" w:hanging="360"/>
      </w:pPr>
      <w:rPr>
        <w:rFonts w:ascii="Symbol" w:hAnsi="Symbol" w:hint="default"/>
      </w:rPr>
    </w:lvl>
    <w:lvl w:ilvl="7" w:tplc="13EA7DBE" w:tentative="1">
      <w:start w:val="1"/>
      <w:numFmt w:val="bullet"/>
      <w:lvlText w:val="o"/>
      <w:lvlJc w:val="left"/>
      <w:pPr>
        <w:ind w:left="5801" w:hanging="360"/>
      </w:pPr>
      <w:rPr>
        <w:rFonts w:ascii="Courier New" w:hAnsi="Courier New" w:cs="Courier New" w:hint="default"/>
      </w:rPr>
    </w:lvl>
    <w:lvl w:ilvl="8" w:tplc="5EC07E32" w:tentative="1">
      <w:start w:val="1"/>
      <w:numFmt w:val="bullet"/>
      <w:lvlText w:val=""/>
      <w:lvlJc w:val="left"/>
      <w:pPr>
        <w:ind w:left="6521" w:hanging="360"/>
      </w:pPr>
      <w:rPr>
        <w:rFonts w:ascii="Wingdings" w:hAnsi="Wingdings" w:hint="default"/>
      </w:rPr>
    </w:lvl>
  </w:abstractNum>
  <w:abstractNum w:abstractNumId="11" w15:restartNumberingAfterBreak="0">
    <w:nsid w:val="2453399E"/>
    <w:multiLevelType w:val="multilevel"/>
    <w:tmpl w:val="88964F4C"/>
    <w:numStyleLink w:val="heading"/>
  </w:abstractNum>
  <w:abstractNum w:abstractNumId="12" w15:restartNumberingAfterBreak="0">
    <w:nsid w:val="25CF33CD"/>
    <w:multiLevelType w:val="hybridMultilevel"/>
    <w:tmpl w:val="0F5A74A4"/>
    <w:lvl w:ilvl="0" w:tplc="1BBED11C">
      <w:start w:val="1"/>
      <w:numFmt w:val="decimal"/>
      <w:lvlText w:val="%1."/>
      <w:lvlJc w:val="left"/>
      <w:pPr>
        <w:ind w:left="1004" w:hanging="360"/>
      </w:pPr>
    </w:lvl>
    <w:lvl w:ilvl="1" w:tplc="B88A2DF8" w:tentative="1">
      <w:start w:val="1"/>
      <w:numFmt w:val="lowerLetter"/>
      <w:lvlText w:val="%2."/>
      <w:lvlJc w:val="left"/>
      <w:pPr>
        <w:ind w:left="1724" w:hanging="360"/>
      </w:pPr>
    </w:lvl>
    <w:lvl w:ilvl="2" w:tplc="D0CE11A2" w:tentative="1">
      <w:start w:val="1"/>
      <w:numFmt w:val="lowerRoman"/>
      <w:lvlText w:val="%3."/>
      <w:lvlJc w:val="right"/>
      <w:pPr>
        <w:ind w:left="2444" w:hanging="180"/>
      </w:pPr>
    </w:lvl>
    <w:lvl w:ilvl="3" w:tplc="E06664A8" w:tentative="1">
      <w:start w:val="1"/>
      <w:numFmt w:val="decimal"/>
      <w:lvlText w:val="%4."/>
      <w:lvlJc w:val="left"/>
      <w:pPr>
        <w:ind w:left="3164" w:hanging="360"/>
      </w:pPr>
    </w:lvl>
    <w:lvl w:ilvl="4" w:tplc="D5B0432E" w:tentative="1">
      <w:start w:val="1"/>
      <w:numFmt w:val="lowerLetter"/>
      <w:lvlText w:val="%5."/>
      <w:lvlJc w:val="left"/>
      <w:pPr>
        <w:ind w:left="3884" w:hanging="360"/>
      </w:pPr>
    </w:lvl>
    <w:lvl w:ilvl="5" w:tplc="9AA6436E" w:tentative="1">
      <w:start w:val="1"/>
      <w:numFmt w:val="lowerRoman"/>
      <w:lvlText w:val="%6."/>
      <w:lvlJc w:val="right"/>
      <w:pPr>
        <w:ind w:left="4604" w:hanging="180"/>
      </w:pPr>
    </w:lvl>
    <w:lvl w:ilvl="6" w:tplc="565A4588" w:tentative="1">
      <w:start w:val="1"/>
      <w:numFmt w:val="decimal"/>
      <w:lvlText w:val="%7."/>
      <w:lvlJc w:val="left"/>
      <w:pPr>
        <w:ind w:left="5324" w:hanging="360"/>
      </w:pPr>
    </w:lvl>
    <w:lvl w:ilvl="7" w:tplc="DD0EF136" w:tentative="1">
      <w:start w:val="1"/>
      <w:numFmt w:val="lowerLetter"/>
      <w:lvlText w:val="%8."/>
      <w:lvlJc w:val="left"/>
      <w:pPr>
        <w:ind w:left="6044" w:hanging="360"/>
      </w:pPr>
    </w:lvl>
    <w:lvl w:ilvl="8" w:tplc="52D40404" w:tentative="1">
      <w:start w:val="1"/>
      <w:numFmt w:val="lowerRoman"/>
      <w:lvlText w:val="%9."/>
      <w:lvlJc w:val="right"/>
      <w:pPr>
        <w:ind w:left="6764" w:hanging="180"/>
      </w:pPr>
    </w:lvl>
  </w:abstractNum>
  <w:abstractNum w:abstractNumId="13" w15:restartNumberingAfterBreak="0">
    <w:nsid w:val="29636E79"/>
    <w:multiLevelType w:val="multilevel"/>
    <w:tmpl w:val="C32AB9AA"/>
    <w:styleLink w:val="Headings"/>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14" w15:restartNumberingAfterBreak="0">
    <w:nsid w:val="2D595B46"/>
    <w:multiLevelType w:val="multilevel"/>
    <w:tmpl w:val="C32AB9AA"/>
    <w:numStyleLink w:val="ListNumber1"/>
  </w:abstractNum>
  <w:abstractNum w:abstractNumId="15" w15:restartNumberingAfterBreak="0">
    <w:nsid w:val="2E425167"/>
    <w:multiLevelType w:val="hybridMultilevel"/>
    <w:tmpl w:val="63029FF0"/>
    <w:lvl w:ilvl="0" w:tplc="70F61440">
      <w:start w:val="1"/>
      <w:numFmt w:val="bullet"/>
      <w:lvlText w:val=""/>
      <w:lvlJc w:val="left"/>
      <w:pPr>
        <w:ind w:left="720" w:hanging="360"/>
      </w:pPr>
      <w:rPr>
        <w:rFonts w:ascii="Symbol" w:hAnsi="Symbol" w:hint="default"/>
      </w:rPr>
    </w:lvl>
    <w:lvl w:ilvl="1" w:tplc="4FB085F2" w:tentative="1">
      <w:start w:val="1"/>
      <w:numFmt w:val="bullet"/>
      <w:lvlText w:val="o"/>
      <w:lvlJc w:val="left"/>
      <w:pPr>
        <w:ind w:left="1440" w:hanging="360"/>
      </w:pPr>
      <w:rPr>
        <w:rFonts w:ascii="Courier New" w:hAnsi="Courier New" w:cs="Courier New" w:hint="default"/>
      </w:rPr>
    </w:lvl>
    <w:lvl w:ilvl="2" w:tplc="19BC7FA6" w:tentative="1">
      <w:start w:val="1"/>
      <w:numFmt w:val="bullet"/>
      <w:lvlText w:val=""/>
      <w:lvlJc w:val="left"/>
      <w:pPr>
        <w:ind w:left="2160" w:hanging="360"/>
      </w:pPr>
      <w:rPr>
        <w:rFonts w:ascii="Wingdings" w:hAnsi="Wingdings" w:hint="default"/>
      </w:rPr>
    </w:lvl>
    <w:lvl w:ilvl="3" w:tplc="637AB9B8" w:tentative="1">
      <w:start w:val="1"/>
      <w:numFmt w:val="bullet"/>
      <w:lvlText w:val=""/>
      <w:lvlJc w:val="left"/>
      <w:pPr>
        <w:ind w:left="2880" w:hanging="360"/>
      </w:pPr>
      <w:rPr>
        <w:rFonts w:ascii="Symbol" w:hAnsi="Symbol" w:hint="default"/>
      </w:rPr>
    </w:lvl>
    <w:lvl w:ilvl="4" w:tplc="780CDAE6" w:tentative="1">
      <w:start w:val="1"/>
      <w:numFmt w:val="bullet"/>
      <w:lvlText w:val="o"/>
      <w:lvlJc w:val="left"/>
      <w:pPr>
        <w:ind w:left="3600" w:hanging="360"/>
      </w:pPr>
      <w:rPr>
        <w:rFonts w:ascii="Courier New" w:hAnsi="Courier New" w:cs="Courier New" w:hint="default"/>
      </w:rPr>
    </w:lvl>
    <w:lvl w:ilvl="5" w:tplc="45E00C90" w:tentative="1">
      <w:start w:val="1"/>
      <w:numFmt w:val="bullet"/>
      <w:lvlText w:val=""/>
      <w:lvlJc w:val="left"/>
      <w:pPr>
        <w:ind w:left="4320" w:hanging="360"/>
      </w:pPr>
      <w:rPr>
        <w:rFonts w:ascii="Wingdings" w:hAnsi="Wingdings" w:hint="default"/>
      </w:rPr>
    </w:lvl>
    <w:lvl w:ilvl="6" w:tplc="74901FD2" w:tentative="1">
      <w:start w:val="1"/>
      <w:numFmt w:val="bullet"/>
      <w:lvlText w:val=""/>
      <w:lvlJc w:val="left"/>
      <w:pPr>
        <w:ind w:left="5040" w:hanging="360"/>
      </w:pPr>
      <w:rPr>
        <w:rFonts w:ascii="Symbol" w:hAnsi="Symbol" w:hint="default"/>
      </w:rPr>
    </w:lvl>
    <w:lvl w:ilvl="7" w:tplc="3DBEFAB6" w:tentative="1">
      <w:start w:val="1"/>
      <w:numFmt w:val="bullet"/>
      <w:lvlText w:val="o"/>
      <w:lvlJc w:val="left"/>
      <w:pPr>
        <w:ind w:left="5760" w:hanging="360"/>
      </w:pPr>
      <w:rPr>
        <w:rFonts w:ascii="Courier New" w:hAnsi="Courier New" w:cs="Courier New" w:hint="default"/>
      </w:rPr>
    </w:lvl>
    <w:lvl w:ilvl="8" w:tplc="9F588D4E" w:tentative="1">
      <w:start w:val="1"/>
      <w:numFmt w:val="bullet"/>
      <w:lvlText w:val=""/>
      <w:lvlJc w:val="left"/>
      <w:pPr>
        <w:ind w:left="6480" w:hanging="360"/>
      </w:pPr>
      <w:rPr>
        <w:rFonts w:ascii="Wingdings" w:hAnsi="Wingdings" w:hint="default"/>
      </w:rPr>
    </w:lvl>
  </w:abstractNum>
  <w:abstractNum w:abstractNumId="16" w15:restartNumberingAfterBreak="0">
    <w:nsid w:val="32E825F9"/>
    <w:multiLevelType w:val="multilevel"/>
    <w:tmpl w:val="311EB4D2"/>
    <w:styleLink w:val="captions"/>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lowerRoman"/>
      <w:lvlText w:val="%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7" w15:restartNumberingAfterBreak="0">
    <w:nsid w:val="35C62FCD"/>
    <w:multiLevelType w:val="hybridMultilevel"/>
    <w:tmpl w:val="0B4A6256"/>
    <w:lvl w:ilvl="0" w:tplc="F75635D4">
      <w:start w:val="1"/>
      <w:numFmt w:val="bullet"/>
      <w:lvlText w:val=""/>
      <w:lvlJc w:val="left"/>
      <w:pPr>
        <w:ind w:left="720" w:hanging="360"/>
      </w:pPr>
      <w:rPr>
        <w:rFonts w:ascii="Symbol" w:hAnsi="Symbol" w:hint="default"/>
      </w:rPr>
    </w:lvl>
    <w:lvl w:ilvl="1" w:tplc="7A4E84BC" w:tentative="1">
      <w:start w:val="1"/>
      <w:numFmt w:val="bullet"/>
      <w:lvlText w:val="o"/>
      <w:lvlJc w:val="left"/>
      <w:pPr>
        <w:ind w:left="1440" w:hanging="360"/>
      </w:pPr>
      <w:rPr>
        <w:rFonts w:ascii="Courier New" w:hAnsi="Courier New" w:cs="Courier New" w:hint="default"/>
      </w:rPr>
    </w:lvl>
    <w:lvl w:ilvl="2" w:tplc="B4467BB4" w:tentative="1">
      <w:start w:val="1"/>
      <w:numFmt w:val="bullet"/>
      <w:lvlText w:val=""/>
      <w:lvlJc w:val="left"/>
      <w:pPr>
        <w:ind w:left="2160" w:hanging="360"/>
      </w:pPr>
      <w:rPr>
        <w:rFonts w:ascii="Wingdings" w:hAnsi="Wingdings" w:hint="default"/>
      </w:rPr>
    </w:lvl>
    <w:lvl w:ilvl="3" w:tplc="1BD86EC0" w:tentative="1">
      <w:start w:val="1"/>
      <w:numFmt w:val="bullet"/>
      <w:lvlText w:val=""/>
      <w:lvlJc w:val="left"/>
      <w:pPr>
        <w:ind w:left="2880" w:hanging="360"/>
      </w:pPr>
      <w:rPr>
        <w:rFonts w:ascii="Symbol" w:hAnsi="Symbol" w:hint="default"/>
      </w:rPr>
    </w:lvl>
    <w:lvl w:ilvl="4" w:tplc="349A5B12" w:tentative="1">
      <w:start w:val="1"/>
      <w:numFmt w:val="bullet"/>
      <w:lvlText w:val="o"/>
      <w:lvlJc w:val="left"/>
      <w:pPr>
        <w:ind w:left="3600" w:hanging="360"/>
      </w:pPr>
      <w:rPr>
        <w:rFonts w:ascii="Courier New" w:hAnsi="Courier New" w:cs="Courier New" w:hint="default"/>
      </w:rPr>
    </w:lvl>
    <w:lvl w:ilvl="5" w:tplc="536493F2" w:tentative="1">
      <w:start w:val="1"/>
      <w:numFmt w:val="bullet"/>
      <w:lvlText w:val=""/>
      <w:lvlJc w:val="left"/>
      <w:pPr>
        <w:ind w:left="4320" w:hanging="360"/>
      </w:pPr>
      <w:rPr>
        <w:rFonts w:ascii="Wingdings" w:hAnsi="Wingdings" w:hint="default"/>
      </w:rPr>
    </w:lvl>
    <w:lvl w:ilvl="6" w:tplc="50D21FA6" w:tentative="1">
      <w:start w:val="1"/>
      <w:numFmt w:val="bullet"/>
      <w:lvlText w:val=""/>
      <w:lvlJc w:val="left"/>
      <w:pPr>
        <w:ind w:left="5040" w:hanging="360"/>
      </w:pPr>
      <w:rPr>
        <w:rFonts w:ascii="Symbol" w:hAnsi="Symbol" w:hint="default"/>
      </w:rPr>
    </w:lvl>
    <w:lvl w:ilvl="7" w:tplc="8F901218" w:tentative="1">
      <w:start w:val="1"/>
      <w:numFmt w:val="bullet"/>
      <w:lvlText w:val="o"/>
      <w:lvlJc w:val="left"/>
      <w:pPr>
        <w:ind w:left="5760" w:hanging="360"/>
      </w:pPr>
      <w:rPr>
        <w:rFonts w:ascii="Courier New" w:hAnsi="Courier New" w:cs="Courier New" w:hint="default"/>
      </w:rPr>
    </w:lvl>
    <w:lvl w:ilvl="8" w:tplc="9AAA1096" w:tentative="1">
      <w:start w:val="1"/>
      <w:numFmt w:val="bullet"/>
      <w:lvlText w:val=""/>
      <w:lvlJc w:val="left"/>
      <w:pPr>
        <w:ind w:left="6480" w:hanging="360"/>
      </w:pPr>
      <w:rPr>
        <w:rFonts w:ascii="Wingdings" w:hAnsi="Wingdings" w:hint="default"/>
      </w:rPr>
    </w:lvl>
  </w:abstractNum>
  <w:abstractNum w:abstractNumId="18" w15:restartNumberingAfterBreak="0">
    <w:nsid w:val="36D54222"/>
    <w:multiLevelType w:val="multilevel"/>
    <w:tmpl w:val="757ED760"/>
    <w:numStyleLink w:val="Style1"/>
  </w:abstractNum>
  <w:abstractNum w:abstractNumId="19" w15:restartNumberingAfterBreak="0">
    <w:nsid w:val="375A3637"/>
    <w:multiLevelType w:val="hybridMultilevel"/>
    <w:tmpl w:val="183E7246"/>
    <w:lvl w:ilvl="0" w:tplc="76D44860">
      <w:start w:val="1"/>
      <w:numFmt w:val="bullet"/>
      <w:lvlText w:val=""/>
      <w:lvlJc w:val="left"/>
      <w:pPr>
        <w:ind w:left="720" w:hanging="360"/>
      </w:pPr>
      <w:rPr>
        <w:rFonts w:ascii="Symbol" w:hAnsi="Symbol" w:hint="default"/>
      </w:rPr>
    </w:lvl>
    <w:lvl w:ilvl="1" w:tplc="1E4E0522">
      <w:start w:val="1"/>
      <w:numFmt w:val="bullet"/>
      <w:lvlText w:val="o"/>
      <w:lvlJc w:val="left"/>
      <w:pPr>
        <w:ind w:left="1440" w:hanging="360"/>
      </w:pPr>
      <w:rPr>
        <w:rFonts w:ascii="Courier New" w:hAnsi="Courier New" w:cs="Courier New" w:hint="default"/>
      </w:rPr>
    </w:lvl>
    <w:lvl w:ilvl="2" w:tplc="6076E996" w:tentative="1">
      <w:start w:val="1"/>
      <w:numFmt w:val="bullet"/>
      <w:lvlText w:val=""/>
      <w:lvlJc w:val="left"/>
      <w:pPr>
        <w:ind w:left="2160" w:hanging="360"/>
      </w:pPr>
      <w:rPr>
        <w:rFonts w:ascii="Wingdings" w:hAnsi="Wingdings" w:hint="default"/>
      </w:rPr>
    </w:lvl>
    <w:lvl w:ilvl="3" w:tplc="DE4CB3BC" w:tentative="1">
      <w:start w:val="1"/>
      <w:numFmt w:val="bullet"/>
      <w:lvlText w:val=""/>
      <w:lvlJc w:val="left"/>
      <w:pPr>
        <w:ind w:left="2880" w:hanging="360"/>
      </w:pPr>
      <w:rPr>
        <w:rFonts w:ascii="Symbol" w:hAnsi="Symbol" w:hint="default"/>
      </w:rPr>
    </w:lvl>
    <w:lvl w:ilvl="4" w:tplc="AF583528" w:tentative="1">
      <w:start w:val="1"/>
      <w:numFmt w:val="bullet"/>
      <w:lvlText w:val="o"/>
      <w:lvlJc w:val="left"/>
      <w:pPr>
        <w:ind w:left="3600" w:hanging="360"/>
      </w:pPr>
      <w:rPr>
        <w:rFonts w:ascii="Courier New" w:hAnsi="Courier New" w:cs="Courier New" w:hint="default"/>
      </w:rPr>
    </w:lvl>
    <w:lvl w:ilvl="5" w:tplc="963E41B2" w:tentative="1">
      <w:start w:val="1"/>
      <w:numFmt w:val="bullet"/>
      <w:lvlText w:val=""/>
      <w:lvlJc w:val="left"/>
      <w:pPr>
        <w:ind w:left="4320" w:hanging="360"/>
      </w:pPr>
      <w:rPr>
        <w:rFonts w:ascii="Wingdings" w:hAnsi="Wingdings" w:hint="default"/>
      </w:rPr>
    </w:lvl>
    <w:lvl w:ilvl="6" w:tplc="A9EC61E8" w:tentative="1">
      <w:start w:val="1"/>
      <w:numFmt w:val="bullet"/>
      <w:lvlText w:val=""/>
      <w:lvlJc w:val="left"/>
      <w:pPr>
        <w:ind w:left="5040" w:hanging="360"/>
      </w:pPr>
      <w:rPr>
        <w:rFonts w:ascii="Symbol" w:hAnsi="Symbol" w:hint="default"/>
      </w:rPr>
    </w:lvl>
    <w:lvl w:ilvl="7" w:tplc="9976A990" w:tentative="1">
      <w:start w:val="1"/>
      <w:numFmt w:val="bullet"/>
      <w:lvlText w:val="o"/>
      <w:lvlJc w:val="left"/>
      <w:pPr>
        <w:ind w:left="5760" w:hanging="360"/>
      </w:pPr>
      <w:rPr>
        <w:rFonts w:ascii="Courier New" w:hAnsi="Courier New" w:cs="Courier New" w:hint="default"/>
      </w:rPr>
    </w:lvl>
    <w:lvl w:ilvl="8" w:tplc="ADC26540" w:tentative="1">
      <w:start w:val="1"/>
      <w:numFmt w:val="bullet"/>
      <w:lvlText w:val=""/>
      <w:lvlJc w:val="left"/>
      <w:pPr>
        <w:ind w:left="6480" w:hanging="360"/>
      </w:pPr>
      <w:rPr>
        <w:rFonts w:ascii="Wingdings" w:hAnsi="Wingdings" w:hint="default"/>
      </w:rPr>
    </w:lvl>
  </w:abstractNum>
  <w:abstractNum w:abstractNumId="20" w15:restartNumberingAfterBreak="0">
    <w:nsid w:val="394A15FE"/>
    <w:multiLevelType w:val="multilevel"/>
    <w:tmpl w:val="F162D24E"/>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BB54DEF"/>
    <w:multiLevelType w:val="multilevel"/>
    <w:tmpl w:val="C32AB9AA"/>
    <w:styleLink w:val="ListNumber1"/>
    <w:lvl w:ilvl="0">
      <w:start w:val="1"/>
      <w:numFmt w:val="decimal"/>
      <w:pStyle w:val="ListNumber"/>
      <w:lvlText w:val="%1)"/>
      <w:lvlJc w:val="left"/>
      <w:pPr>
        <w:tabs>
          <w:tab w:val="num" w:pos="397"/>
        </w:tabs>
        <w:ind w:left="397" w:hanging="397"/>
      </w:pPr>
      <w:rPr>
        <w:rFonts w:hint="default"/>
        <w:color w:val="auto"/>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22" w15:restartNumberingAfterBreak="0">
    <w:nsid w:val="4157729B"/>
    <w:multiLevelType w:val="hybridMultilevel"/>
    <w:tmpl w:val="4916419A"/>
    <w:lvl w:ilvl="0" w:tplc="B6A2064C">
      <w:start w:val="1"/>
      <w:numFmt w:val="decimal"/>
      <w:lvlText w:val="%1)"/>
      <w:lvlJc w:val="left"/>
      <w:pPr>
        <w:ind w:left="720" w:hanging="360"/>
      </w:pPr>
      <w:rPr>
        <w:rFonts w:hint="default"/>
      </w:rPr>
    </w:lvl>
    <w:lvl w:ilvl="1" w:tplc="CC1A91F0" w:tentative="1">
      <w:start w:val="1"/>
      <w:numFmt w:val="lowerLetter"/>
      <w:lvlText w:val="%2."/>
      <w:lvlJc w:val="left"/>
      <w:pPr>
        <w:ind w:left="1440" w:hanging="360"/>
      </w:pPr>
    </w:lvl>
    <w:lvl w:ilvl="2" w:tplc="060676A0" w:tentative="1">
      <w:start w:val="1"/>
      <w:numFmt w:val="lowerRoman"/>
      <w:lvlText w:val="%3."/>
      <w:lvlJc w:val="right"/>
      <w:pPr>
        <w:ind w:left="2160" w:hanging="180"/>
      </w:pPr>
    </w:lvl>
    <w:lvl w:ilvl="3" w:tplc="50DA33A0" w:tentative="1">
      <w:start w:val="1"/>
      <w:numFmt w:val="decimal"/>
      <w:lvlText w:val="%4."/>
      <w:lvlJc w:val="left"/>
      <w:pPr>
        <w:ind w:left="2880" w:hanging="360"/>
      </w:pPr>
    </w:lvl>
    <w:lvl w:ilvl="4" w:tplc="079686C2" w:tentative="1">
      <w:start w:val="1"/>
      <w:numFmt w:val="lowerLetter"/>
      <w:lvlText w:val="%5."/>
      <w:lvlJc w:val="left"/>
      <w:pPr>
        <w:ind w:left="3600" w:hanging="360"/>
      </w:pPr>
    </w:lvl>
    <w:lvl w:ilvl="5" w:tplc="5CEC56E0" w:tentative="1">
      <w:start w:val="1"/>
      <w:numFmt w:val="lowerRoman"/>
      <w:lvlText w:val="%6."/>
      <w:lvlJc w:val="right"/>
      <w:pPr>
        <w:ind w:left="4320" w:hanging="180"/>
      </w:pPr>
    </w:lvl>
    <w:lvl w:ilvl="6" w:tplc="47ECB94C" w:tentative="1">
      <w:start w:val="1"/>
      <w:numFmt w:val="decimal"/>
      <w:lvlText w:val="%7."/>
      <w:lvlJc w:val="left"/>
      <w:pPr>
        <w:ind w:left="5040" w:hanging="360"/>
      </w:pPr>
    </w:lvl>
    <w:lvl w:ilvl="7" w:tplc="40D6CAA4" w:tentative="1">
      <w:start w:val="1"/>
      <w:numFmt w:val="lowerLetter"/>
      <w:lvlText w:val="%8."/>
      <w:lvlJc w:val="left"/>
      <w:pPr>
        <w:ind w:left="5760" w:hanging="360"/>
      </w:pPr>
    </w:lvl>
    <w:lvl w:ilvl="8" w:tplc="79F8C5B6" w:tentative="1">
      <w:start w:val="1"/>
      <w:numFmt w:val="lowerRoman"/>
      <w:lvlText w:val="%9."/>
      <w:lvlJc w:val="right"/>
      <w:pPr>
        <w:ind w:left="6480" w:hanging="180"/>
      </w:pPr>
    </w:lvl>
  </w:abstractNum>
  <w:abstractNum w:abstractNumId="23" w15:restartNumberingAfterBreak="0">
    <w:nsid w:val="426969BC"/>
    <w:multiLevelType w:val="hybridMultilevel"/>
    <w:tmpl w:val="3F700FBE"/>
    <w:lvl w:ilvl="0" w:tplc="C3D20068">
      <w:start w:val="1"/>
      <w:numFmt w:val="bullet"/>
      <w:lvlText w:val=""/>
      <w:lvlJc w:val="left"/>
      <w:pPr>
        <w:ind w:left="720" w:hanging="360"/>
      </w:pPr>
      <w:rPr>
        <w:rFonts w:ascii="Symbol" w:hAnsi="Symbol" w:hint="default"/>
      </w:rPr>
    </w:lvl>
    <w:lvl w:ilvl="1" w:tplc="FCE80BB2" w:tentative="1">
      <w:start w:val="1"/>
      <w:numFmt w:val="bullet"/>
      <w:lvlText w:val="o"/>
      <w:lvlJc w:val="left"/>
      <w:pPr>
        <w:ind w:left="1440" w:hanging="360"/>
      </w:pPr>
      <w:rPr>
        <w:rFonts w:ascii="Courier New" w:hAnsi="Courier New" w:cs="Courier New" w:hint="default"/>
      </w:rPr>
    </w:lvl>
    <w:lvl w:ilvl="2" w:tplc="FE046DC2" w:tentative="1">
      <w:start w:val="1"/>
      <w:numFmt w:val="bullet"/>
      <w:lvlText w:val=""/>
      <w:lvlJc w:val="left"/>
      <w:pPr>
        <w:ind w:left="2160" w:hanging="360"/>
      </w:pPr>
      <w:rPr>
        <w:rFonts w:ascii="Wingdings" w:hAnsi="Wingdings" w:hint="default"/>
      </w:rPr>
    </w:lvl>
    <w:lvl w:ilvl="3" w:tplc="02889EFC" w:tentative="1">
      <w:start w:val="1"/>
      <w:numFmt w:val="bullet"/>
      <w:lvlText w:val=""/>
      <w:lvlJc w:val="left"/>
      <w:pPr>
        <w:ind w:left="2880" w:hanging="360"/>
      </w:pPr>
      <w:rPr>
        <w:rFonts w:ascii="Symbol" w:hAnsi="Symbol" w:hint="default"/>
      </w:rPr>
    </w:lvl>
    <w:lvl w:ilvl="4" w:tplc="B5B2F8A6" w:tentative="1">
      <w:start w:val="1"/>
      <w:numFmt w:val="bullet"/>
      <w:lvlText w:val="o"/>
      <w:lvlJc w:val="left"/>
      <w:pPr>
        <w:ind w:left="3600" w:hanging="360"/>
      </w:pPr>
      <w:rPr>
        <w:rFonts w:ascii="Courier New" w:hAnsi="Courier New" w:cs="Courier New" w:hint="default"/>
      </w:rPr>
    </w:lvl>
    <w:lvl w:ilvl="5" w:tplc="BF1058A4" w:tentative="1">
      <w:start w:val="1"/>
      <w:numFmt w:val="bullet"/>
      <w:lvlText w:val=""/>
      <w:lvlJc w:val="left"/>
      <w:pPr>
        <w:ind w:left="4320" w:hanging="360"/>
      </w:pPr>
      <w:rPr>
        <w:rFonts w:ascii="Wingdings" w:hAnsi="Wingdings" w:hint="default"/>
      </w:rPr>
    </w:lvl>
    <w:lvl w:ilvl="6" w:tplc="E370D94C" w:tentative="1">
      <w:start w:val="1"/>
      <w:numFmt w:val="bullet"/>
      <w:lvlText w:val=""/>
      <w:lvlJc w:val="left"/>
      <w:pPr>
        <w:ind w:left="5040" w:hanging="360"/>
      </w:pPr>
      <w:rPr>
        <w:rFonts w:ascii="Symbol" w:hAnsi="Symbol" w:hint="default"/>
      </w:rPr>
    </w:lvl>
    <w:lvl w:ilvl="7" w:tplc="DFC063F4" w:tentative="1">
      <w:start w:val="1"/>
      <w:numFmt w:val="bullet"/>
      <w:lvlText w:val="o"/>
      <w:lvlJc w:val="left"/>
      <w:pPr>
        <w:ind w:left="5760" w:hanging="360"/>
      </w:pPr>
      <w:rPr>
        <w:rFonts w:ascii="Courier New" w:hAnsi="Courier New" w:cs="Courier New" w:hint="default"/>
      </w:rPr>
    </w:lvl>
    <w:lvl w:ilvl="8" w:tplc="F0907644" w:tentative="1">
      <w:start w:val="1"/>
      <w:numFmt w:val="bullet"/>
      <w:lvlText w:val=""/>
      <w:lvlJc w:val="left"/>
      <w:pPr>
        <w:ind w:left="6480" w:hanging="360"/>
      </w:pPr>
      <w:rPr>
        <w:rFonts w:ascii="Wingdings" w:hAnsi="Wingdings" w:hint="default"/>
      </w:rPr>
    </w:lvl>
  </w:abstractNum>
  <w:abstractNum w:abstractNumId="24" w15:restartNumberingAfterBreak="0">
    <w:nsid w:val="48DE2E4A"/>
    <w:multiLevelType w:val="hybridMultilevel"/>
    <w:tmpl w:val="B7086130"/>
    <w:lvl w:ilvl="0" w:tplc="26829E46">
      <w:start w:val="1"/>
      <w:numFmt w:val="bullet"/>
      <w:pStyle w:val="BoxTextBullet"/>
      <w:lvlText w:val=""/>
      <w:lvlJc w:val="left"/>
      <w:pPr>
        <w:ind w:left="720" w:hanging="360"/>
      </w:pPr>
      <w:rPr>
        <w:rFonts w:ascii="Symbol" w:hAnsi="Symbol" w:hint="default"/>
      </w:rPr>
    </w:lvl>
    <w:lvl w:ilvl="1" w:tplc="59C4370C" w:tentative="1">
      <w:start w:val="1"/>
      <w:numFmt w:val="bullet"/>
      <w:lvlText w:val="o"/>
      <w:lvlJc w:val="left"/>
      <w:pPr>
        <w:ind w:left="1440" w:hanging="360"/>
      </w:pPr>
      <w:rPr>
        <w:rFonts w:ascii="Courier New" w:hAnsi="Courier New" w:cs="Courier New" w:hint="default"/>
      </w:rPr>
    </w:lvl>
    <w:lvl w:ilvl="2" w:tplc="40D0E660" w:tentative="1">
      <w:start w:val="1"/>
      <w:numFmt w:val="bullet"/>
      <w:lvlText w:val=""/>
      <w:lvlJc w:val="left"/>
      <w:pPr>
        <w:ind w:left="2160" w:hanging="360"/>
      </w:pPr>
      <w:rPr>
        <w:rFonts w:ascii="Wingdings" w:hAnsi="Wingdings" w:hint="default"/>
      </w:rPr>
    </w:lvl>
    <w:lvl w:ilvl="3" w:tplc="7E2A6F74" w:tentative="1">
      <w:start w:val="1"/>
      <w:numFmt w:val="bullet"/>
      <w:lvlText w:val=""/>
      <w:lvlJc w:val="left"/>
      <w:pPr>
        <w:ind w:left="2880" w:hanging="360"/>
      </w:pPr>
      <w:rPr>
        <w:rFonts w:ascii="Symbol" w:hAnsi="Symbol" w:hint="default"/>
      </w:rPr>
    </w:lvl>
    <w:lvl w:ilvl="4" w:tplc="49804478" w:tentative="1">
      <w:start w:val="1"/>
      <w:numFmt w:val="bullet"/>
      <w:lvlText w:val="o"/>
      <w:lvlJc w:val="left"/>
      <w:pPr>
        <w:ind w:left="3600" w:hanging="360"/>
      </w:pPr>
      <w:rPr>
        <w:rFonts w:ascii="Courier New" w:hAnsi="Courier New" w:cs="Courier New" w:hint="default"/>
      </w:rPr>
    </w:lvl>
    <w:lvl w:ilvl="5" w:tplc="10AC0D60" w:tentative="1">
      <w:start w:val="1"/>
      <w:numFmt w:val="bullet"/>
      <w:lvlText w:val=""/>
      <w:lvlJc w:val="left"/>
      <w:pPr>
        <w:ind w:left="4320" w:hanging="360"/>
      </w:pPr>
      <w:rPr>
        <w:rFonts w:ascii="Wingdings" w:hAnsi="Wingdings" w:hint="default"/>
      </w:rPr>
    </w:lvl>
    <w:lvl w:ilvl="6" w:tplc="6B4CE15A" w:tentative="1">
      <w:start w:val="1"/>
      <w:numFmt w:val="bullet"/>
      <w:lvlText w:val=""/>
      <w:lvlJc w:val="left"/>
      <w:pPr>
        <w:ind w:left="5040" w:hanging="360"/>
      </w:pPr>
      <w:rPr>
        <w:rFonts w:ascii="Symbol" w:hAnsi="Symbol" w:hint="default"/>
      </w:rPr>
    </w:lvl>
    <w:lvl w:ilvl="7" w:tplc="B7604F26" w:tentative="1">
      <w:start w:val="1"/>
      <w:numFmt w:val="bullet"/>
      <w:lvlText w:val="o"/>
      <w:lvlJc w:val="left"/>
      <w:pPr>
        <w:ind w:left="5760" w:hanging="360"/>
      </w:pPr>
      <w:rPr>
        <w:rFonts w:ascii="Courier New" w:hAnsi="Courier New" w:cs="Courier New" w:hint="default"/>
      </w:rPr>
    </w:lvl>
    <w:lvl w:ilvl="8" w:tplc="EE560610" w:tentative="1">
      <w:start w:val="1"/>
      <w:numFmt w:val="bullet"/>
      <w:lvlText w:val=""/>
      <w:lvlJc w:val="left"/>
      <w:pPr>
        <w:ind w:left="6480" w:hanging="360"/>
      </w:pPr>
      <w:rPr>
        <w:rFonts w:ascii="Wingdings" w:hAnsi="Wingdings" w:hint="default"/>
      </w:rPr>
    </w:lvl>
  </w:abstractNum>
  <w:abstractNum w:abstractNumId="25" w15:restartNumberingAfterBreak="0">
    <w:nsid w:val="4B861DE6"/>
    <w:multiLevelType w:val="multilevel"/>
    <w:tmpl w:val="6346ED0E"/>
    <w:styleLink w:val="listbullets"/>
    <w:lvl w:ilvl="0">
      <w:start w:val="1"/>
      <w:numFmt w:val="bullet"/>
      <w:pStyle w:val="ListBullet"/>
      <w:lvlText w:val=""/>
      <w:lvlJc w:val="left"/>
      <w:pPr>
        <w:tabs>
          <w:tab w:val="num" w:pos="6507"/>
        </w:tabs>
        <w:ind w:left="6337" w:hanging="397"/>
      </w:pPr>
      <w:rPr>
        <w:rFonts w:ascii="Symbol" w:hAnsi="Symbol" w:hint="default"/>
        <w:color w:val="auto"/>
      </w:rPr>
    </w:lvl>
    <w:lvl w:ilvl="1">
      <w:start w:val="1"/>
      <w:numFmt w:val="bullet"/>
      <w:pStyle w:val="ListBullet2"/>
      <w:lvlText w:val=""/>
      <w:lvlJc w:val="left"/>
      <w:pPr>
        <w:tabs>
          <w:tab w:val="num" w:pos="794"/>
        </w:tabs>
        <w:ind w:left="397" w:firstLine="0"/>
      </w:pPr>
      <w:rPr>
        <w:rFonts w:ascii="Symbol" w:hAnsi="Symbol" w:hint="default"/>
      </w:rPr>
    </w:lvl>
    <w:lvl w:ilvl="2">
      <w:start w:val="1"/>
      <w:numFmt w:val="bullet"/>
      <w:lvlText w:val=""/>
      <w:lvlJc w:val="left"/>
      <w:pPr>
        <w:tabs>
          <w:tab w:val="num" w:pos="567"/>
        </w:tabs>
        <w:ind w:left="567" w:hanging="567"/>
      </w:pPr>
      <w:rPr>
        <w:rFonts w:ascii="Wingdings" w:hAnsi="Wingdings" w:hint="default"/>
      </w:rPr>
    </w:lvl>
    <w:lvl w:ilvl="3">
      <w:start w:val="1"/>
      <w:numFmt w:val="bullet"/>
      <w:lvlText w:val=""/>
      <w:lvlJc w:val="left"/>
      <w:pPr>
        <w:tabs>
          <w:tab w:val="num" w:pos="567"/>
        </w:tabs>
        <w:ind w:left="567" w:hanging="567"/>
      </w:pPr>
      <w:rPr>
        <w:rFonts w:ascii="Symbol" w:hAnsi="Symbol" w:hint="default"/>
      </w:rPr>
    </w:lvl>
    <w:lvl w:ilvl="4">
      <w:start w:val="1"/>
      <w:numFmt w:val="bullet"/>
      <w:lvlText w:val="o"/>
      <w:lvlJc w:val="left"/>
      <w:pPr>
        <w:tabs>
          <w:tab w:val="num" w:pos="567"/>
        </w:tabs>
        <w:ind w:left="567" w:hanging="567"/>
      </w:pPr>
      <w:rPr>
        <w:rFonts w:ascii="Courier New" w:hAnsi="Courier New" w:cs="Courier New" w:hint="default"/>
      </w:rPr>
    </w:lvl>
    <w:lvl w:ilvl="5">
      <w:start w:val="1"/>
      <w:numFmt w:val="bullet"/>
      <w:lvlText w:val=""/>
      <w:lvlJc w:val="left"/>
      <w:pPr>
        <w:tabs>
          <w:tab w:val="num" w:pos="567"/>
        </w:tabs>
        <w:ind w:left="567" w:hanging="567"/>
      </w:pPr>
      <w:rPr>
        <w:rFonts w:ascii="Wingdings" w:hAnsi="Wingdings" w:hint="default"/>
      </w:rPr>
    </w:lvl>
    <w:lvl w:ilvl="6">
      <w:start w:val="1"/>
      <w:numFmt w:val="bullet"/>
      <w:lvlText w:val=""/>
      <w:lvlJc w:val="left"/>
      <w:pPr>
        <w:tabs>
          <w:tab w:val="num" w:pos="567"/>
        </w:tabs>
        <w:ind w:left="567" w:hanging="567"/>
      </w:pPr>
      <w:rPr>
        <w:rFonts w:ascii="Symbol" w:hAnsi="Symbol" w:hint="default"/>
      </w:rPr>
    </w:lvl>
    <w:lvl w:ilvl="7">
      <w:start w:val="1"/>
      <w:numFmt w:val="bullet"/>
      <w:lvlText w:val="o"/>
      <w:lvlJc w:val="left"/>
      <w:pPr>
        <w:tabs>
          <w:tab w:val="num" w:pos="567"/>
        </w:tabs>
        <w:ind w:left="567" w:hanging="567"/>
      </w:pPr>
      <w:rPr>
        <w:rFonts w:ascii="Courier New" w:hAnsi="Courier New" w:cs="Courier New" w:hint="default"/>
      </w:rPr>
    </w:lvl>
    <w:lvl w:ilvl="8">
      <w:start w:val="1"/>
      <w:numFmt w:val="bullet"/>
      <w:lvlText w:val=""/>
      <w:lvlJc w:val="left"/>
      <w:pPr>
        <w:tabs>
          <w:tab w:val="num" w:pos="567"/>
        </w:tabs>
        <w:ind w:left="567" w:hanging="567"/>
      </w:pPr>
      <w:rPr>
        <w:rFonts w:ascii="Wingdings" w:hAnsi="Wingdings" w:hint="default"/>
      </w:rPr>
    </w:lvl>
  </w:abstractNum>
  <w:abstractNum w:abstractNumId="26" w15:restartNumberingAfterBreak="0">
    <w:nsid w:val="4E9F6E07"/>
    <w:multiLevelType w:val="hybridMultilevel"/>
    <w:tmpl w:val="8C368E7C"/>
    <w:lvl w:ilvl="0" w:tplc="BFE8CC2E">
      <w:start w:val="29"/>
      <w:numFmt w:val="decimal"/>
      <w:lvlText w:val="%1."/>
      <w:lvlJc w:val="left"/>
      <w:pPr>
        <w:ind w:left="644" w:hanging="360"/>
      </w:pPr>
      <w:rPr>
        <w:rFonts w:hint="default"/>
      </w:rPr>
    </w:lvl>
    <w:lvl w:ilvl="1" w:tplc="A7FAB53C" w:tentative="1">
      <w:start w:val="1"/>
      <w:numFmt w:val="lowerLetter"/>
      <w:lvlText w:val="%2."/>
      <w:lvlJc w:val="left"/>
      <w:pPr>
        <w:ind w:left="1440" w:hanging="360"/>
      </w:pPr>
    </w:lvl>
    <w:lvl w:ilvl="2" w:tplc="5C326D0E" w:tentative="1">
      <w:start w:val="1"/>
      <w:numFmt w:val="lowerRoman"/>
      <w:lvlText w:val="%3."/>
      <w:lvlJc w:val="right"/>
      <w:pPr>
        <w:ind w:left="2160" w:hanging="180"/>
      </w:pPr>
    </w:lvl>
    <w:lvl w:ilvl="3" w:tplc="539C151A" w:tentative="1">
      <w:start w:val="1"/>
      <w:numFmt w:val="decimal"/>
      <w:lvlText w:val="%4."/>
      <w:lvlJc w:val="left"/>
      <w:pPr>
        <w:ind w:left="2880" w:hanging="360"/>
      </w:pPr>
    </w:lvl>
    <w:lvl w:ilvl="4" w:tplc="E9A268C2" w:tentative="1">
      <w:start w:val="1"/>
      <w:numFmt w:val="lowerLetter"/>
      <w:lvlText w:val="%5."/>
      <w:lvlJc w:val="left"/>
      <w:pPr>
        <w:ind w:left="3600" w:hanging="360"/>
      </w:pPr>
    </w:lvl>
    <w:lvl w:ilvl="5" w:tplc="314454F6" w:tentative="1">
      <w:start w:val="1"/>
      <w:numFmt w:val="lowerRoman"/>
      <w:lvlText w:val="%6."/>
      <w:lvlJc w:val="right"/>
      <w:pPr>
        <w:ind w:left="4320" w:hanging="180"/>
      </w:pPr>
    </w:lvl>
    <w:lvl w:ilvl="6" w:tplc="E836E610" w:tentative="1">
      <w:start w:val="1"/>
      <w:numFmt w:val="decimal"/>
      <w:lvlText w:val="%7."/>
      <w:lvlJc w:val="left"/>
      <w:pPr>
        <w:ind w:left="5040" w:hanging="360"/>
      </w:pPr>
    </w:lvl>
    <w:lvl w:ilvl="7" w:tplc="81AABD14" w:tentative="1">
      <w:start w:val="1"/>
      <w:numFmt w:val="lowerLetter"/>
      <w:lvlText w:val="%8."/>
      <w:lvlJc w:val="left"/>
      <w:pPr>
        <w:ind w:left="5760" w:hanging="360"/>
      </w:pPr>
    </w:lvl>
    <w:lvl w:ilvl="8" w:tplc="3684B20E" w:tentative="1">
      <w:start w:val="1"/>
      <w:numFmt w:val="lowerRoman"/>
      <w:lvlText w:val="%9."/>
      <w:lvlJc w:val="right"/>
      <w:pPr>
        <w:ind w:left="6480" w:hanging="180"/>
      </w:pPr>
    </w:lvl>
  </w:abstractNum>
  <w:abstractNum w:abstractNumId="2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8" w15:restartNumberingAfterBreak="0">
    <w:nsid w:val="71D84A87"/>
    <w:multiLevelType w:val="hybridMultilevel"/>
    <w:tmpl w:val="B5F4D20E"/>
    <w:lvl w:ilvl="0" w:tplc="89CCD7DA">
      <w:start w:val="1"/>
      <w:numFmt w:val="decimal"/>
      <w:lvlText w:val="%1."/>
      <w:lvlJc w:val="left"/>
      <w:pPr>
        <w:ind w:left="644" w:hanging="360"/>
      </w:pPr>
      <w:rPr>
        <w:rFonts w:hint="default"/>
      </w:rPr>
    </w:lvl>
    <w:lvl w:ilvl="1" w:tplc="8450588E">
      <w:start w:val="1"/>
      <w:numFmt w:val="lowerLetter"/>
      <w:lvlText w:val="%2."/>
      <w:lvlJc w:val="left"/>
      <w:pPr>
        <w:ind w:left="1364" w:hanging="360"/>
      </w:pPr>
    </w:lvl>
    <w:lvl w:ilvl="2" w:tplc="B2ECB05C" w:tentative="1">
      <w:start w:val="1"/>
      <w:numFmt w:val="lowerRoman"/>
      <w:lvlText w:val="%3."/>
      <w:lvlJc w:val="right"/>
      <w:pPr>
        <w:ind w:left="2084" w:hanging="180"/>
      </w:pPr>
    </w:lvl>
    <w:lvl w:ilvl="3" w:tplc="540A7238" w:tentative="1">
      <w:start w:val="1"/>
      <w:numFmt w:val="decimal"/>
      <w:lvlText w:val="%4."/>
      <w:lvlJc w:val="left"/>
      <w:pPr>
        <w:ind w:left="2804" w:hanging="360"/>
      </w:pPr>
    </w:lvl>
    <w:lvl w:ilvl="4" w:tplc="55DEC22A" w:tentative="1">
      <w:start w:val="1"/>
      <w:numFmt w:val="lowerLetter"/>
      <w:lvlText w:val="%5."/>
      <w:lvlJc w:val="left"/>
      <w:pPr>
        <w:ind w:left="3524" w:hanging="360"/>
      </w:pPr>
    </w:lvl>
    <w:lvl w:ilvl="5" w:tplc="50926A24" w:tentative="1">
      <w:start w:val="1"/>
      <w:numFmt w:val="lowerRoman"/>
      <w:lvlText w:val="%6."/>
      <w:lvlJc w:val="right"/>
      <w:pPr>
        <w:ind w:left="4244" w:hanging="180"/>
      </w:pPr>
    </w:lvl>
    <w:lvl w:ilvl="6" w:tplc="475AA652" w:tentative="1">
      <w:start w:val="1"/>
      <w:numFmt w:val="decimal"/>
      <w:lvlText w:val="%7."/>
      <w:lvlJc w:val="left"/>
      <w:pPr>
        <w:ind w:left="4964" w:hanging="360"/>
      </w:pPr>
    </w:lvl>
    <w:lvl w:ilvl="7" w:tplc="398E8EFC" w:tentative="1">
      <w:start w:val="1"/>
      <w:numFmt w:val="lowerLetter"/>
      <w:lvlText w:val="%8."/>
      <w:lvlJc w:val="left"/>
      <w:pPr>
        <w:ind w:left="5684" w:hanging="360"/>
      </w:pPr>
    </w:lvl>
    <w:lvl w:ilvl="8" w:tplc="DA10434C" w:tentative="1">
      <w:start w:val="1"/>
      <w:numFmt w:val="lowerRoman"/>
      <w:lvlText w:val="%9."/>
      <w:lvlJc w:val="right"/>
      <w:pPr>
        <w:ind w:left="6404" w:hanging="180"/>
      </w:pPr>
    </w:lvl>
  </w:abstractNum>
  <w:abstractNum w:abstractNumId="29" w15:restartNumberingAfterBreak="0">
    <w:nsid w:val="7636387C"/>
    <w:multiLevelType w:val="multilevel"/>
    <w:tmpl w:val="6346ED0E"/>
    <w:numStyleLink w:val="listbullets"/>
  </w:abstractNum>
  <w:abstractNum w:abstractNumId="30" w15:restartNumberingAfterBreak="0">
    <w:nsid w:val="77204A9E"/>
    <w:multiLevelType w:val="hybridMultilevel"/>
    <w:tmpl w:val="5F98E056"/>
    <w:lvl w:ilvl="0" w:tplc="5730268E">
      <w:start w:val="1"/>
      <w:numFmt w:val="decimal"/>
      <w:lvlText w:val="%1)"/>
      <w:lvlJc w:val="left"/>
      <w:pPr>
        <w:ind w:left="720" w:hanging="360"/>
      </w:pPr>
      <w:rPr>
        <w:rFonts w:hint="default"/>
      </w:rPr>
    </w:lvl>
    <w:lvl w:ilvl="1" w:tplc="62D03F1C" w:tentative="1">
      <w:start w:val="1"/>
      <w:numFmt w:val="lowerLetter"/>
      <w:lvlText w:val="%2."/>
      <w:lvlJc w:val="left"/>
      <w:pPr>
        <w:ind w:left="1440" w:hanging="360"/>
      </w:pPr>
    </w:lvl>
    <w:lvl w:ilvl="2" w:tplc="904649F6" w:tentative="1">
      <w:start w:val="1"/>
      <w:numFmt w:val="lowerRoman"/>
      <w:lvlText w:val="%3."/>
      <w:lvlJc w:val="right"/>
      <w:pPr>
        <w:ind w:left="2160" w:hanging="180"/>
      </w:pPr>
    </w:lvl>
    <w:lvl w:ilvl="3" w:tplc="C1BA7C76" w:tentative="1">
      <w:start w:val="1"/>
      <w:numFmt w:val="decimal"/>
      <w:lvlText w:val="%4."/>
      <w:lvlJc w:val="left"/>
      <w:pPr>
        <w:ind w:left="2880" w:hanging="360"/>
      </w:pPr>
    </w:lvl>
    <w:lvl w:ilvl="4" w:tplc="4EB0072E" w:tentative="1">
      <w:start w:val="1"/>
      <w:numFmt w:val="lowerLetter"/>
      <w:lvlText w:val="%5."/>
      <w:lvlJc w:val="left"/>
      <w:pPr>
        <w:ind w:left="3600" w:hanging="360"/>
      </w:pPr>
    </w:lvl>
    <w:lvl w:ilvl="5" w:tplc="EFA40D66" w:tentative="1">
      <w:start w:val="1"/>
      <w:numFmt w:val="lowerRoman"/>
      <w:lvlText w:val="%6."/>
      <w:lvlJc w:val="right"/>
      <w:pPr>
        <w:ind w:left="4320" w:hanging="180"/>
      </w:pPr>
    </w:lvl>
    <w:lvl w:ilvl="6" w:tplc="454E4694" w:tentative="1">
      <w:start w:val="1"/>
      <w:numFmt w:val="decimal"/>
      <w:lvlText w:val="%7."/>
      <w:lvlJc w:val="left"/>
      <w:pPr>
        <w:ind w:left="5040" w:hanging="360"/>
      </w:pPr>
    </w:lvl>
    <w:lvl w:ilvl="7" w:tplc="F6DE516A" w:tentative="1">
      <w:start w:val="1"/>
      <w:numFmt w:val="lowerLetter"/>
      <w:lvlText w:val="%8."/>
      <w:lvlJc w:val="left"/>
      <w:pPr>
        <w:ind w:left="5760" w:hanging="360"/>
      </w:pPr>
    </w:lvl>
    <w:lvl w:ilvl="8" w:tplc="C5A25E7E" w:tentative="1">
      <w:start w:val="1"/>
      <w:numFmt w:val="lowerRoman"/>
      <w:lvlText w:val="%9."/>
      <w:lvlJc w:val="right"/>
      <w:pPr>
        <w:ind w:left="6480" w:hanging="180"/>
      </w:pPr>
    </w:lvl>
  </w:abstractNum>
  <w:abstractNum w:abstractNumId="31" w15:restartNumberingAfterBreak="0">
    <w:nsid w:val="7B814922"/>
    <w:multiLevelType w:val="hybridMultilevel"/>
    <w:tmpl w:val="DAD01D78"/>
    <w:lvl w:ilvl="0" w:tplc="9E1CFE94">
      <w:start w:val="1"/>
      <w:numFmt w:val="bullet"/>
      <w:lvlText w:val=""/>
      <w:lvlJc w:val="left"/>
      <w:pPr>
        <w:ind w:left="720" w:hanging="360"/>
      </w:pPr>
      <w:rPr>
        <w:rFonts w:ascii="Symbol" w:hAnsi="Symbol" w:hint="default"/>
      </w:rPr>
    </w:lvl>
    <w:lvl w:ilvl="1" w:tplc="008A1AA2" w:tentative="1">
      <w:start w:val="1"/>
      <w:numFmt w:val="bullet"/>
      <w:lvlText w:val="o"/>
      <w:lvlJc w:val="left"/>
      <w:pPr>
        <w:ind w:left="1440" w:hanging="360"/>
      </w:pPr>
      <w:rPr>
        <w:rFonts w:ascii="Courier New" w:hAnsi="Courier New" w:cs="Courier New" w:hint="default"/>
      </w:rPr>
    </w:lvl>
    <w:lvl w:ilvl="2" w:tplc="FE1647FA" w:tentative="1">
      <w:start w:val="1"/>
      <w:numFmt w:val="bullet"/>
      <w:lvlText w:val=""/>
      <w:lvlJc w:val="left"/>
      <w:pPr>
        <w:ind w:left="2160" w:hanging="360"/>
      </w:pPr>
      <w:rPr>
        <w:rFonts w:ascii="Wingdings" w:hAnsi="Wingdings" w:hint="default"/>
      </w:rPr>
    </w:lvl>
    <w:lvl w:ilvl="3" w:tplc="AAE0FF9E" w:tentative="1">
      <w:start w:val="1"/>
      <w:numFmt w:val="bullet"/>
      <w:lvlText w:val=""/>
      <w:lvlJc w:val="left"/>
      <w:pPr>
        <w:ind w:left="2880" w:hanging="360"/>
      </w:pPr>
      <w:rPr>
        <w:rFonts w:ascii="Symbol" w:hAnsi="Symbol" w:hint="default"/>
      </w:rPr>
    </w:lvl>
    <w:lvl w:ilvl="4" w:tplc="E7707454" w:tentative="1">
      <w:start w:val="1"/>
      <w:numFmt w:val="bullet"/>
      <w:lvlText w:val="o"/>
      <w:lvlJc w:val="left"/>
      <w:pPr>
        <w:ind w:left="3600" w:hanging="360"/>
      </w:pPr>
      <w:rPr>
        <w:rFonts w:ascii="Courier New" w:hAnsi="Courier New" w:cs="Courier New" w:hint="default"/>
      </w:rPr>
    </w:lvl>
    <w:lvl w:ilvl="5" w:tplc="57EEB258" w:tentative="1">
      <w:start w:val="1"/>
      <w:numFmt w:val="bullet"/>
      <w:lvlText w:val=""/>
      <w:lvlJc w:val="left"/>
      <w:pPr>
        <w:ind w:left="4320" w:hanging="360"/>
      </w:pPr>
      <w:rPr>
        <w:rFonts w:ascii="Wingdings" w:hAnsi="Wingdings" w:hint="default"/>
      </w:rPr>
    </w:lvl>
    <w:lvl w:ilvl="6" w:tplc="4EDA8F3C" w:tentative="1">
      <w:start w:val="1"/>
      <w:numFmt w:val="bullet"/>
      <w:lvlText w:val=""/>
      <w:lvlJc w:val="left"/>
      <w:pPr>
        <w:ind w:left="5040" w:hanging="360"/>
      </w:pPr>
      <w:rPr>
        <w:rFonts w:ascii="Symbol" w:hAnsi="Symbol" w:hint="default"/>
      </w:rPr>
    </w:lvl>
    <w:lvl w:ilvl="7" w:tplc="89922628" w:tentative="1">
      <w:start w:val="1"/>
      <w:numFmt w:val="bullet"/>
      <w:lvlText w:val="o"/>
      <w:lvlJc w:val="left"/>
      <w:pPr>
        <w:ind w:left="5760" w:hanging="360"/>
      </w:pPr>
      <w:rPr>
        <w:rFonts w:ascii="Courier New" w:hAnsi="Courier New" w:cs="Courier New" w:hint="default"/>
      </w:rPr>
    </w:lvl>
    <w:lvl w:ilvl="8" w:tplc="59160DD2" w:tentative="1">
      <w:start w:val="1"/>
      <w:numFmt w:val="bullet"/>
      <w:lvlText w:val=""/>
      <w:lvlJc w:val="left"/>
      <w:pPr>
        <w:ind w:left="6480" w:hanging="360"/>
      </w:pPr>
      <w:rPr>
        <w:rFonts w:ascii="Wingdings" w:hAnsi="Wingdings" w:hint="default"/>
      </w:rPr>
    </w:lvl>
  </w:abstractNum>
  <w:abstractNum w:abstractNumId="32" w15:restartNumberingAfterBreak="0">
    <w:nsid w:val="7EEB45BD"/>
    <w:multiLevelType w:val="hybridMultilevel"/>
    <w:tmpl w:val="27F40F42"/>
    <w:lvl w:ilvl="0" w:tplc="281640C6">
      <w:start w:val="1"/>
      <w:numFmt w:val="bullet"/>
      <w:lvlText w:val=""/>
      <w:lvlJc w:val="left"/>
      <w:pPr>
        <w:ind w:left="720" w:hanging="360"/>
      </w:pPr>
      <w:rPr>
        <w:rFonts w:ascii="Symbol" w:hAnsi="Symbol" w:hint="default"/>
      </w:rPr>
    </w:lvl>
    <w:lvl w:ilvl="1" w:tplc="5A40DDDA" w:tentative="1">
      <w:start w:val="1"/>
      <w:numFmt w:val="bullet"/>
      <w:lvlText w:val="o"/>
      <w:lvlJc w:val="left"/>
      <w:pPr>
        <w:ind w:left="1440" w:hanging="360"/>
      </w:pPr>
      <w:rPr>
        <w:rFonts w:ascii="Courier New" w:hAnsi="Courier New" w:cs="Courier New" w:hint="default"/>
      </w:rPr>
    </w:lvl>
    <w:lvl w:ilvl="2" w:tplc="9B6C1858" w:tentative="1">
      <w:start w:val="1"/>
      <w:numFmt w:val="bullet"/>
      <w:lvlText w:val=""/>
      <w:lvlJc w:val="left"/>
      <w:pPr>
        <w:ind w:left="2160" w:hanging="360"/>
      </w:pPr>
      <w:rPr>
        <w:rFonts w:ascii="Wingdings" w:hAnsi="Wingdings" w:hint="default"/>
      </w:rPr>
    </w:lvl>
    <w:lvl w:ilvl="3" w:tplc="670A6DDA" w:tentative="1">
      <w:start w:val="1"/>
      <w:numFmt w:val="bullet"/>
      <w:lvlText w:val=""/>
      <w:lvlJc w:val="left"/>
      <w:pPr>
        <w:ind w:left="2880" w:hanging="360"/>
      </w:pPr>
      <w:rPr>
        <w:rFonts w:ascii="Symbol" w:hAnsi="Symbol" w:hint="default"/>
      </w:rPr>
    </w:lvl>
    <w:lvl w:ilvl="4" w:tplc="D6DEAA54" w:tentative="1">
      <w:start w:val="1"/>
      <w:numFmt w:val="bullet"/>
      <w:lvlText w:val="o"/>
      <w:lvlJc w:val="left"/>
      <w:pPr>
        <w:ind w:left="3600" w:hanging="360"/>
      </w:pPr>
      <w:rPr>
        <w:rFonts w:ascii="Courier New" w:hAnsi="Courier New" w:cs="Courier New" w:hint="default"/>
      </w:rPr>
    </w:lvl>
    <w:lvl w:ilvl="5" w:tplc="0A769E8A" w:tentative="1">
      <w:start w:val="1"/>
      <w:numFmt w:val="bullet"/>
      <w:lvlText w:val=""/>
      <w:lvlJc w:val="left"/>
      <w:pPr>
        <w:ind w:left="4320" w:hanging="360"/>
      </w:pPr>
      <w:rPr>
        <w:rFonts w:ascii="Wingdings" w:hAnsi="Wingdings" w:hint="default"/>
      </w:rPr>
    </w:lvl>
    <w:lvl w:ilvl="6" w:tplc="9EFCD2FA" w:tentative="1">
      <w:start w:val="1"/>
      <w:numFmt w:val="bullet"/>
      <w:lvlText w:val=""/>
      <w:lvlJc w:val="left"/>
      <w:pPr>
        <w:ind w:left="5040" w:hanging="360"/>
      </w:pPr>
      <w:rPr>
        <w:rFonts w:ascii="Symbol" w:hAnsi="Symbol" w:hint="default"/>
      </w:rPr>
    </w:lvl>
    <w:lvl w:ilvl="7" w:tplc="7720ACCC" w:tentative="1">
      <w:start w:val="1"/>
      <w:numFmt w:val="bullet"/>
      <w:lvlText w:val="o"/>
      <w:lvlJc w:val="left"/>
      <w:pPr>
        <w:ind w:left="5760" w:hanging="360"/>
      </w:pPr>
      <w:rPr>
        <w:rFonts w:ascii="Courier New" w:hAnsi="Courier New" w:cs="Courier New" w:hint="default"/>
      </w:rPr>
    </w:lvl>
    <w:lvl w:ilvl="8" w:tplc="B7F006C8" w:tentative="1">
      <w:start w:val="1"/>
      <w:numFmt w:val="bullet"/>
      <w:lvlText w:val=""/>
      <w:lvlJc w:val="left"/>
      <w:pPr>
        <w:ind w:left="6480" w:hanging="360"/>
      </w:pPr>
      <w:rPr>
        <w:rFonts w:ascii="Wingdings" w:hAnsi="Wingdings" w:hint="default"/>
      </w:rPr>
    </w:lvl>
  </w:abstractNum>
  <w:num w:numId="1" w16cid:durableId="1937404443">
    <w:abstractNumId w:val="24"/>
  </w:num>
  <w:num w:numId="2" w16cid:durableId="1197087498">
    <w:abstractNumId w:val="7"/>
  </w:num>
  <w:num w:numId="3" w16cid:durableId="1550605828">
    <w:abstractNumId w:val="27"/>
  </w:num>
  <w:num w:numId="4" w16cid:durableId="814184975">
    <w:abstractNumId w:val="13"/>
  </w:num>
  <w:num w:numId="5" w16cid:durableId="74058387">
    <w:abstractNumId w:val="16"/>
  </w:num>
  <w:num w:numId="6" w16cid:durableId="1796098988">
    <w:abstractNumId w:val="25"/>
  </w:num>
  <w:num w:numId="7" w16cid:durableId="1893074255">
    <w:abstractNumId w:val="29"/>
  </w:num>
  <w:num w:numId="8" w16cid:durableId="865099849">
    <w:abstractNumId w:val="21"/>
  </w:num>
  <w:num w:numId="9" w16cid:durableId="1967737247">
    <w:abstractNumId w:val="14"/>
  </w:num>
  <w:num w:numId="10" w16cid:durableId="1433935338">
    <w:abstractNumId w:val="3"/>
  </w:num>
  <w:num w:numId="11" w16cid:durableId="69624923">
    <w:abstractNumId w:val="11"/>
  </w:num>
  <w:num w:numId="12" w16cid:durableId="864057769">
    <w:abstractNumId w:val="20"/>
  </w:num>
  <w:num w:numId="13" w16cid:durableId="1095974396">
    <w:abstractNumId w:val="4"/>
  </w:num>
  <w:num w:numId="14" w16cid:durableId="5580564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35746176">
    <w:abstractNumId w:val="18"/>
  </w:num>
  <w:num w:numId="16" w16cid:durableId="1915042619">
    <w:abstractNumId w:val="6"/>
  </w:num>
  <w:num w:numId="17" w16cid:durableId="221985453">
    <w:abstractNumId w:val="6"/>
    <w:lvlOverride w:ilvl="0">
      <w:lvl w:ilvl="0">
        <w:start w:val="1"/>
        <w:numFmt w:val="decimal"/>
        <w:pStyle w:val="Heading2"/>
        <w:lvlText w:val="%1"/>
        <w:lvlJc w:val="left"/>
        <w:pPr>
          <w:ind w:left="680" w:hanging="680"/>
        </w:pPr>
        <w:rPr>
          <w:rFonts w:hint="default"/>
          <w:b w:val="0"/>
          <w:bCs w:val="0"/>
          <w:i w:val="0"/>
          <w:iCs w:val="0"/>
          <w:caps w:val="0"/>
          <w:smallCaps w:val="0"/>
          <w:strike w:val="0"/>
          <w:dstrike w:val="0"/>
          <w:noProof w:val="0"/>
          <w:vanish w:val="0"/>
          <w:color w:val="427BA1"/>
          <w:spacing w:val="0"/>
          <w:kern w:val="0"/>
          <w:position w:val="0"/>
          <w:u w:val="none"/>
          <w:vertAlign w:val="baseline"/>
        </w:rPr>
      </w:lvl>
    </w:lvlOverride>
    <w:lvlOverride w:ilvl="1">
      <w:lvl w:ilvl="1">
        <w:start w:val="1"/>
        <w:numFmt w:val="decimal"/>
        <w:pStyle w:val="Heading3"/>
        <w:lvlText w:val="%1.%2"/>
        <w:lvlJc w:val="left"/>
        <w:pPr>
          <w:ind w:left="680" w:hanging="680"/>
        </w:pPr>
        <w:rPr>
          <w:rFonts w:hint="default"/>
        </w:rPr>
      </w:lvl>
    </w:lvlOverride>
    <w:lvlOverride w:ilvl="2">
      <w:lvl w:ilvl="2">
        <w:start w:val="1"/>
        <w:numFmt w:val="decimal"/>
        <w:pStyle w:val="Heading4"/>
        <w:lvlText w:val="%1.%2.%3"/>
        <w:lvlJc w:val="left"/>
        <w:pPr>
          <w:ind w:left="680" w:hanging="680"/>
        </w:pPr>
        <w:rPr>
          <w:rFonts w:hint="default"/>
        </w:rPr>
      </w:lvl>
    </w:lvlOverride>
    <w:lvlOverride w:ilvl="3">
      <w:lvl w:ilvl="3">
        <w:start w:val="1"/>
        <w:numFmt w:val="decimal"/>
        <w:lvlText w:val="%4."/>
        <w:lvlJc w:val="left"/>
        <w:pPr>
          <w:ind w:left="680" w:hanging="680"/>
        </w:pPr>
        <w:rPr>
          <w:rFonts w:hint="default"/>
        </w:rPr>
      </w:lvl>
    </w:lvlOverride>
    <w:lvlOverride w:ilvl="4">
      <w:lvl w:ilvl="4">
        <w:start w:val="1"/>
        <w:numFmt w:val="lowerLetter"/>
        <w:lvlText w:val="%5."/>
        <w:lvlJc w:val="left"/>
        <w:pPr>
          <w:ind w:left="680" w:hanging="680"/>
        </w:pPr>
        <w:rPr>
          <w:rFonts w:hint="default"/>
        </w:rPr>
      </w:lvl>
    </w:lvlOverride>
    <w:lvlOverride w:ilvl="5">
      <w:lvl w:ilvl="5">
        <w:start w:val="1"/>
        <w:numFmt w:val="lowerRoman"/>
        <w:lvlText w:val="%6."/>
        <w:lvlJc w:val="right"/>
        <w:pPr>
          <w:ind w:left="680" w:hanging="680"/>
        </w:pPr>
        <w:rPr>
          <w:rFonts w:hint="default"/>
        </w:rPr>
      </w:lvl>
    </w:lvlOverride>
    <w:lvlOverride w:ilvl="6">
      <w:lvl w:ilvl="6">
        <w:start w:val="1"/>
        <w:numFmt w:val="decimal"/>
        <w:lvlText w:val="%7."/>
        <w:lvlJc w:val="left"/>
        <w:pPr>
          <w:ind w:left="680" w:hanging="680"/>
        </w:pPr>
        <w:rPr>
          <w:rFonts w:hint="default"/>
        </w:rPr>
      </w:lvl>
    </w:lvlOverride>
    <w:lvlOverride w:ilvl="7">
      <w:lvl w:ilvl="7">
        <w:start w:val="1"/>
        <w:numFmt w:val="lowerLetter"/>
        <w:lvlText w:val="%8."/>
        <w:lvlJc w:val="left"/>
        <w:pPr>
          <w:ind w:left="680" w:hanging="680"/>
        </w:pPr>
        <w:rPr>
          <w:rFonts w:hint="default"/>
        </w:rPr>
      </w:lvl>
    </w:lvlOverride>
    <w:lvlOverride w:ilvl="8">
      <w:lvl w:ilvl="8">
        <w:start w:val="1"/>
        <w:numFmt w:val="lowerRoman"/>
        <w:lvlText w:val="%9."/>
        <w:lvlJc w:val="right"/>
        <w:pPr>
          <w:ind w:left="680" w:hanging="680"/>
        </w:pPr>
        <w:rPr>
          <w:rFonts w:hint="default"/>
        </w:rPr>
      </w:lvl>
    </w:lvlOverride>
  </w:num>
  <w:num w:numId="18" w16cid:durableId="2047829157">
    <w:abstractNumId w:val="17"/>
  </w:num>
  <w:num w:numId="19" w16cid:durableId="10886840">
    <w:abstractNumId w:val="23"/>
  </w:num>
  <w:num w:numId="20" w16cid:durableId="678233734">
    <w:abstractNumId w:val="30"/>
  </w:num>
  <w:num w:numId="21" w16cid:durableId="1395549341">
    <w:abstractNumId w:val="28"/>
  </w:num>
  <w:num w:numId="22" w16cid:durableId="1982417675">
    <w:abstractNumId w:val="32"/>
  </w:num>
  <w:num w:numId="23" w16cid:durableId="15492226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0667465">
    <w:abstractNumId w:val="5"/>
  </w:num>
  <w:num w:numId="25" w16cid:durableId="2025010791">
    <w:abstractNumId w:val="22"/>
  </w:num>
  <w:num w:numId="26" w16cid:durableId="826551095">
    <w:abstractNumId w:val="2"/>
  </w:num>
  <w:num w:numId="27" w16cid:durableId="1540781059">
    <w:abstractNumId w:val="8"/>
  </w:num>
  <w:num w:numId="28" w16cid:durableId="435059687">
    <w:abstractNumId w:val="26"/>
  </w:num>
  <w:num w:numId="29" w16cid:durableId="2073651332">
    <w:abstractNumId w:val="9"/>
  </w:num>
  <w:num w:numId="30" w16cid:durableId="1623153630">
    <w:abstractNumId w:val="1"/>
  </w:num>
  <w:num w:numId="31" w16cid:durableId="521282112">
    <w:abstractNumId w:val="31"/>
  </w:num>
  <w:num w:numId="32" w16cid:durableId="1976831822">
    <w:abstractNumId w:val="15"/>
  </w:num>
  <w:num w:numId="33" w16cid:durableId="61176705">
    <w:abstractNumId w:val="10"/>
  </w:num>
  <w:num w:numId="34" w16cid:durableId="1918055794">
    <w:abstractNumId w:val="19"/>
  </w:num>
  <w:num w:numId="35" w16cid:durableId="1962807937">
    <w:abstractNumId w:val="12"/>
  </w:num>
  <w:num w:numId="36" w16cid:durableId="90593420">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SortMethod w:val="0000"/>
  <w:doNotTrackFormatting/>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D1C"/>
    <w:rsid w:val="000010B5"/>
    <w:rsid w:val="0000478D"/>
    <w:rsid w:val="00004D35"/>
    <w:rsid w:val="0001238D"/>
    <w:rsid w:val="00012E22"/>
    <w:rsid w:val="000138D1"/>
    <w:rsid w:val="00014312"/>
    <w:rsid w:val="00014562"/>
    <w:rsid w:val="000160CB"/>
    <w:rsid w:val="00016B6D"/>
    <w:rsid w:val="00017770"/>
    <w:rsid w:val="000179D1"/>
    <w:rsid w:val="000208E1"/>
    <w:rsid w:val="000215EC"/>
    <w:rsid w:val="000248D0"/>
    <w:rsid w:val="00024DF8"/>
    <w:rsid w:val="00025BE7"/>
    <w:rsid w:val="00030AC5"/>
    <w:rsid w:val="00031DE0"/>
    <w:rsid w:val="000361E2"/>
    <w:rsid w:val="00045165"/>
    <w:rsid w:val="00046359"/>
    <w:rsid w:val="000465F6"/>
    <w:rsid w:val="00052415"/>
    <w:rsid w:val="000529A0"/>
    <w:rsid w:val="00052E09"/>
    <w:rsid w:val="00061882"/>
    <w:rsid w:val="00061A27"/>
    <w:rsid w:val="00062058"/>
    <w:rsid w:val="00062E73"/>
    <w:rsid w:val="00064693"/>
    <w:rsid w:val="000744AE"/>
    <w:rsid w:val="000756BD"/>
    <w:rsid w:val="000771F9"/>
    <w:rsid w:val="000813FA"/>
    <w:rsid w:val="00082775"/>
    <w:rsid w:val="00084BB1"/>
    <w:rsid w:val="00085DE6"/>
    <w:rsid w:val="00085F83"/>
    <w:rsid w:val="00092980"/>
    <w:rsid w:val="000929BD"/>
    <w:rsid w:val="00095F90"/>
    <w:rsid w:val="00097E66"/>
    <w:rsid w:val="00097FEE"/>
    <w:rsid w:val="000A12EB"/>
    <w:rsid w:val="000A564D"/>
    <w:rsid w:val="000A6112"/>
    <w:rsid w:val="000A68FE"/>
    <w:rsid w:val="000A7BC5"/>
    <w:rsid w:val="000B5022"/>
    <w:rsid w:val="000B6978"/>
    <w:rsid w:val="000C4513"/>
    <w:rsid w:val="000C583A"/>
    <w:rsid w:val="000C7ECF"/>
    <w:rsid w:val="000D2513"/>
    <w:rsid w:val="000D3640"/>
    <w:rsid w:val="000D3F18"/>
    <w:rsid w:val="000E07AC"/>
    <w:rsid w:val="000E0E28"/>
    <w:rsid w:val="000E1E3D"/>
    <w:rsid w:val="000E40C1"/>
    <w:rsid w:val="000E475D"/>
    <w:rsid w:val="000E7075"/>
    <w:rsid w:val="000F58BB"/>
    <w:rsid w:val="000F75CD"/>
    <w:rsid w:val="000F7A6C"/>
    <w:rsid w:val="0010079F"/>
    <w:rsid w:val="00101A99"/>
    <w:rsid w:val="00105A8F"/>
    <w:rsid w:val="00111DF9"/>
    <w:rsid w:val="00111E76"/>
    <w:rsid w:val="0011301C"/>
    <w:rsid w:val="00114E27"/>
    <w:rsid w:val="00117AF7"/>
    <w:rsid w:val="00121030"/>
    <w:rsid w:val="00123201"/>
    <w:rsid w:val="001240C3"/>
    <w:rsid w:val="001242FB"/>
    <w:rsid w:val="001272F6"/>
    <w:rsid w:val="001303C0"/>
    <w:rsid w:val="0013350A"/>
    <w:rsid w:val="00133B2F"/>
    <w:rsid w:val="00134419"/>
    <w:rsid w:val="001346A3"/>
    <w:rsid w:val="00137DD3"/>
    <w:rsid w:val="00140C7B"/>
    <w:rsid w:val="00142439"/>
    <w:rsid w:val="0014330E"/>
    <w:rsid w:val="001456F4"/>
    <w:rsid w:val="00154E6D"/>
    <w:rsid w:val="00156437"/>
    <w:rsid w:val="00160324"/>
    <w:rsid w:val="00161B46"/>
    <w:rsid w:val="00167264"/>
    <w:rsid w:val="0016777B"/>
    <w:rsid w:val="00167FF3"/>
    <w:rsid w:val="00170645"/>
    <w:rsid w:val="0017115D"/>
    <w:rsid w:val="0017388C"/>
    <w:rsid w:val="0017555F"/>
    <w:rsid w:val="00181B0F"/>
    <w:rsid w:val="0018279B"/>
    <w:rsid w:val="001866F3"/>
    <w:rsid w:val="00190508"/>
    <w:rsid w:val="00191589"/>
    <w:rsid w:val="00191851"/>
    <w:rsid w:val="001919A7"/>
    <w:rsid w:val="00193A44"/>
    <w:rsid w:val="001941E5"/>
    <w:rsid w:val="001956B6"/>
    <w:rsid w:val="001A0974"/>
    <w:rsid w:val="001A0D90"/>
    <w:rsid w:val="001B0519"/>
    <w:rsid w:val="001B1DB2"/>
    <w:rsid w:val="001B28E6"/>
    <w:rsid w:val="001B2AD0"/>
    <w:rsid w:val="001B6787"/>
    <w:rsid w:val="001B6B98"/>
    <w:rsid w:val="001B767B"/>
    <w:rsid w:val="001C0D1C"/>
    <w:rsid w:val="001C1AC1"/>
    <w:rsid w:val="001C3AF4"/>
    <w:rsid w:val="001C424F"/>
    <w:rsid w:val="001D0FB1"/>
    <w:rsid w:val="001D1070"/>
    <w:rsid w:val="001D113E"/>
    <w:rsid w:val="001D1B33"/>
    <w:rsid w:val="001D3400"/>
    <w:rsid w:val="001D49F9"/>
    <w:rsid w:val="001D56BA"/>
    <w:rsid w:val="001D7F4E"/>
    <w:rsid w:val="001E1793"/>
    <w:rsid w:val="001E1B19"/>
    <w:rsid w:val="001E2F02"/>
    <w:rsid w:val="001E3D4B"/>
    <w:rsid w:val="001E5852"/>
    <w:rsid w:val="001F4466"/>
    <w:rsid w:val="001F4C99"/>
    <w:rsid w:val="0020083B"/>
    <w:rsid w:val="00201048"/>
    <w:rsid w:val="00205866"/>
    <w:rsid w:val="00210889"/>
    <w:rsid w:val="00212460"/>
    <w:rsid w:val="0021273D"/>
    <w:rsid w:val="002147F9"/>
    <w:rsid w:val="00215DC3"/>
    <w:rsid w:val="00217C7A"/>
    <w:rsid w:val="00217E6D"/>
    <w:rsid w:val="00220F96"/>
    <w:rsid w:val="00221882"/>
    <w:rsid w:val="00221F3D"/>
    <w:rsid w:val="00224627"/>
    <w:rsid w:val="00226F8B"/>
    <w:rsid w:val="00232BB1"/>
    <w:rsid w:val="00235417"/>
    <w:rsid w:val="00235993"/>
    <w:rsid w:val="00237405"/>
    <w:rsid w:val="00240697"/>
    <w:rsid w:val="00243020"/>
    <w:rsid w:val="00243086"/>
    <w:rsid w:val="00243D92"/>
    <w:rsid w:val="00246E7A"/>
    <w:rsid w:val="002530CD"/>
    <w:rsid w:val="00257B6A"/>
    <w:rsid w:val="00267DD6"/>
    <w:rsid w:val="002710BC"/>
    <w:rsid w:val="002772D3"/>
    <w:rsid w:val="002807BF"/>
    <w:rsid w:val="0028085F"/>
    <w:rsid w:val="00282779"/>
    <w:rsid w:val="00284231"/>
    <w:rsid w:val="00286C3B"/>
    <w:rsid w:val="002870B1"/>
    <w:rsid w:val="00291E24"/>
    <w:rsid w:val="00293357"/>
    <w:rsid w:val="002942B0"/>
    <w:rsid w:val="00295D89"/>
    <w:rsid w:val="002A1975"/>
    <w:rsid w:val="002A2C55"/>
    <w:rsid w:val="002A695A"/>
    <w:rsid w:val="002B5D35"/>
    <w:rsid w:val="002B70D2"/>
    <w:rsid w:val="002C3B54"/>
    <w:rsid w:val="002C53C4"/>
    <w:rsid w:val="002C66F3"/>
    <w:rsid w:val="002C6F2A"/>
    <w:rsid w:val="002D2826"/>
    <w:rsid w:val="002D4D9F"/>
    <w:rsid w:val="002E0A04"/>
    <w:rsid w:val="002E6F29"/>
    <w:rsid w:val="002F091E"/>
    <w:rsid w:val="002F5FFC"/>
    <w:rsid w:val="002F678F"/>
    <w:rsid w:val="0030080F"/>
    <w:rsid w:val="003060B3"/>
    <w:rsid w:val="00310D6A"/>
    <w:rsid w:val="003134C6"/>
    <w:rsid w:val="0031497E"/>
    <w:rsid w:val="00320D93"/>
    <w:rsid w:val="003222C3"/>
    <w:rsid w:val="00322500"/>
    <w:rsid w:val="0032458B"/>
    <w:rsid w:val="00325F65"/>
    <w:rsid w:val="0033143F"/>
    <w:rsid w:val="00333019"/>
    <w:rsid w:val="00334542"/>
    <w:rsid w:val="00334DA7"/>
    <w:rsid w:val="003413B2"/>
    <w:rsid w:val="0034386A"/>
    <w:rsid w:val="003559D7"/>
    <w:rsid w:val="0035689B"/>
    <w:rsid w:val="00357CE9"/>
    <w:rsid w:val="003633C7"/>
    <w:rsid w:val="00363C9F"/>
    <w:rsid w:val="00366820"/>
    <w:rsid w:val="00366970"/>
    <w:rsid w:val="00367237"/>
    <w:rsid w:val="00367308"/>
    <w:rsid w:val="00371F82"/>
    <w:rsid w:val="0037344E"/>
    <w:rsid w:val="00375B3B"/>
    <w:rsid w:val="003807D3"/>
    <w:rsid w:val="00384563"/>
    <w:rsid w:val="003868F1"/>
    <w:rsid w:val="003876F4"/>
    <w:rsid w:val="00394534"/>
    <w:rsid w:val="00396EEE"/>
    <w:rsid w:val="00397BC4"/>
    <w:rsid w:val="003A0E6B"/>
    <w:rsid w:val="003A1B92"/>
    <w:rsid w:val="003A52B5"/>
    <w:rsid w:val="003A788E"/>
    <w:rsid w:val="003B0CCD"/>
    <w:rsid w:val="003B105D"/>
    <w:rsid w:val="003B13B6"/>
    <w:rsid w:val="003B1B9D"/>
    <w:rsid w:val="003B3155"/>
    <w:rsid w:val="003B6184"/>
    <w:rsid w:val="003C1163"/>
    <w:rsid w:val="003C2730"/>
    <w:rsid w:val="003C2E55"/>
    <w:rsid w:val="003C4D43"/>
    <w:rsid w:val="003C5971"/>
    <w:rsid w:val="003C5E11"/>
    <w:rsid w:val="003C751C"/>
    <w:rsid w:val="003C797C"/>
    <w:rsid w:val="003D1C0C"/>
    <w:rsid w:val="003D3037"/>
    <w:rsid w:val="003D3F75"/>
    <w:rsid w:val="003D4A96"/>
    <w:rsid w:val="003D70C0"/>
    <w:rsid w:val="003E0937"/>
    <w:rsid w:val="003E264E"/>
    <w:rsid w:val="003E5819"/>
    <w:rsid w:val="003E74D3"/>
    <w:rsid w:val="003E7C37"/>
    <w:rsid w:val="003F6D75"/>
    <w:rsid w:val="003F6FB3"/>
    <w:rsid w:val="00401C43"/>
    <w:rsid w:val="00411AD5"/>
    <w:rsid w:val="00413061"/>
    <w:rsid w:val="0041537B"/>
    <w:rsid w:val="0041679A"/>
    <w:rsid w:val="004176E8"/>
    <w:rsid w:val="0042531B"/>
    <w:rsid w:val="00427467"/>
    <w:rsid w:val="0043149C"/>
    <w:rsid w:val="00432C8A"/>
    <w:rsid w:val="00434D9F"/>
    <w:rsid w:val="00440544"/>
    <w:rsid w:val="00444135"/>
    <w:rsid w:val="00444CC9"/>
    <w:rsid w:val="00453249"/>
    <w:rsid w:val="004545B6"/>
    <w:rsid w:val="004550BF"/>
    <w:rsid w:val="00455BB3"/>
    <w:rsid w:val="0045631D"/>
    <w:rsid w:val="004602B1"/>
    <w:rsid w:val="00461406"/>
    <w:rsid w:val="004622FE"/>
    <w:rsid w:val="004637AD"/>
    <w:rsid w:val="00465242"/>
    <w:rsid w:val="004710F3"/>
    <w:rsid w:val="004773BB"/>
    <w:rsid w:val="00477663"/>
    <w:rsid w:val="004865F6"/>
    <w:rsid w:val="0049087A"/>
    <w:rsid w:val="00492649"/>
    <w:rsid w:val="004A3B99"/>
    <w:rsid w:val="004A4FD0"/>
    <w:rsid w:val="004B5E82"/>
    <w:rsid w:val="004B65E5"/>
    <w:rsid w:val="004C0328"/>
    <w:rsid w:val="004C3472"/>
    <w:rsid w:val="004C3820"/>
    <w:rsid w:val="004D1A98"/>
    <w:rsid w:val="004D52CE"/>
    <w:rsid w:val="004D64F0"/>
    <w:rsid w:val="004E19AB"/>
    <w:rsid w:val="004E4961"/>
    <w:rsid w:val="004E61C6"/>
    <w:rsid w:val="004E7027"/>
    <w:rsid w:val="004F197C"/>
    <w:rsid w:val="004F2289"/>
    <w:rsid w:val="004F6114"/>
    <w:rsid w:val="004F6EEA"/>
    <w:rsid w:val="00501743"/>
    <w:rsid w:val="00502267"/>
    <w:rsid w:val="00506AB4"/>
    <w:rsid w:val="00510A86"/>
    <w:rsid w:val="00512250"/>
    <w:rsid w:val="00512F48"/>
    <w:rsid w:val="00515821"/>
    <w:rsid w:val="00516A4E"/>
    <w:rsid w:val="00517D00"/>
    <w:rsid w:val="00520F65"/>
    <w:rsid w:val="00522248"/>
    <w:rsid w:val="00522EF7"/>
    <w:rsid w:val="00530EB2"/>
    <w:rsid w:val="00531E35"/>
    <w:rsid w:val="00533EB2"/>
    <w:rsid w:val="005347DF"/>
    <w:rsid w:val="00540AAC"/>
    <w:rsid w:val="00542F9A"/>
    <w:rsid w:val="00551F44"/>
    <w:rsid w:val="0055408E"/>
    <w:rsid w:val="00556E3D"/>
    <w:rsid w:val="00557258"/>
    <w:rsid w:val="0056306B"/>
    <w:rsid w:val="00565530"/>
    <w:rsid w:val="00567DD1"/>
    <w:rsid w:val="00573EE0"/>
    <w:rsid w:val="00573FF0"/>
    <w:rsid w:val="005757C4"/>
    <w:rsid w:val="00575C52"/>
    <w:rsid w:val="005764D3"/>
    <w:rsid w:val="00576BAA"/>
    <w:rsid w:val="00581733"/>
    <w:rsid w:val="00582796"/>
    <w:rsid w:val="0058555C"/>
    <w:rsid w:val="00585FD8"/>
    <w:rsid w:val="00586EA7"/>
    <w:rsid w:val="00591CF9"/>
    <w:rsid w:val="00591FFE"/>
    <w:rsid w:val="0059235F"/>
    <w:rsid w:val="00593272"/>
    <w:rsid w:val="00594FCE"/>
    <w:rsid w:val="005953BE"/>
    <w:rsid w:val="00596EBC"/>
    <w:rsid w:val="005978C6"/>
    <w:rsid w:val="005A0391"/>
    <w:rsid w:val="005A0A29"/>
    <w:rsid w:val="005A37CB"/>
    <w:rsid w:val="005A3844"/>
    <w:rsid w:val="005A3D73"/>
    <w:rsid w:val="005A5D40"/>
    <w:rsid w:val="005A5D8D"/>
    <w:rsid w:val="005A6088"/>
    <w:rsid w:val="005A6BDB"/>
    <w:rsid w:val="005B0943"/>
    <w:rsid w:val="005B156B"/>
    <w:rsid w:val="005B1C98"/>
    <w:rsid w:val="005B229C"/>
    <w:rsid w:val="005B6665"/>
    <w:rsid w:val="005B6B8B"/>
    <w:rsid w:val="005B6CA3"/>
    <w:rsid w:val="005C1C31"/>
    <w:rsid w:val="005C2727"/>
    <w:rsid w:val="005C3CA2"/>
    <w:rsid w:val="005C44E0"/>
    <w:rsid w:val="005C5486"/>
    <w:rsid w:val="005C7465"/>
    <w:rsid w:val="005C748C"/>
    <w:rsid w:val="005D1908"/>
    <w:rsid w:val="005D75CA"/>
    <w:rsid w:val="005E41C2"/>
    <w:rsid w:val="00600EE5"/>
    <w:rsid w:val="00603F79"/>
    <w:rsid w:val="006047AA"/>
    <w:rsid w:val="00606A7B"/>
    <w:rsid w:val="0061022F"/>
    <w:rsid w:val="00610429"/>
    <w:rsid w:val="006148D1"/>
    <w:rsid w:val="00620280"/>
    <w:rsid w:val="0062272A"/>
    <w:rsid w:val="0062345A"/>
    <w:rsid w:val="00623E2C"/>
    <w:rsid w:val="00624957"/>
    <w:rsid w:val="006262B6"/>
    <w:rsid w:val="00631484"/>
    <w:rsid w:val="006326B2"/>
    <w:rsid w:val="0063482F"/>
    <w:rsid w:val="00635B2C"/>
    <w:rsid w:val="006362EE"/>
    <w:rsid w:val="006419F5"/>
    <w:rsid w:val="0064251C"/>
    <w:rsid w:val="006470C8"/>
    <w:rsid w:val="00651C84"/>
    <w:rsid w:val="00652AE6"/>
    <w:rsid w:val="006551DE"/>
    <w:rsid w:val="00657913"/>
    <w:rsid w:val="00660EAB"/>
    <w:rsid w:val="00663A1A"/>
    <w:rsid w:val="00664BA0"/>
    <w:rsid w:val="00667E10"/>
    <w:rsid w:val="00672130"/>
    <w:rsid w:val="00672DDD"/>
    <w:rsid w:val="0067492A"/>
    <w:rsid w:val="00676F05"/>
    <w:rsid w:val="00681822"/>
    <w:rsid w:val="0068243D"/>
    <w:rsid w:val="00683166"/>
    <w:rsid w:val="00683814"/>
    <w:rsid w:val="00683916"/>
    <w:rsid w:val="006879E0"/>
    <w:rsid w:val="00690BC1"/>
    <w:rsid w:val="006915D1"/>
    <w:rsid w:val="006A0DD2"/>
    <w:rsid w:val="006A17BA"/>
    <w:rsid w:val="006A39E5"/>
    <w:rsid w:val="006A7760"/>
    <w:rsid w:val="006B1E87"/>
    <w:rsid w:val="006B1EC6"/>
    <w:rsid w:val="006B2414"/>
    <w:rsid w:val="006B25FB"/>
    <w:rsid w:val="006B31EC"/>
    <w:rsid w:val="006B587E"/>
    <w:rsid w:val="006B58E3"/>
    <w:rsid w:val="006B7C34"/>
    <w:rsid w:val="006D40CE"/>
    <w:rsid w:val="006D4EAE"/>
    <w:rsid w:val="006F2CFA"/>
    <w:rsid w:val="006F2EA7"/>
    <w:rsid w:val="006F72B9"/>
    <w:rsid w:val="007037B2"/>
    <w:rsid w:val="00704559"/>
    <w:rsid w:val="00707166"/>
    <w:rsid w:val="0070728E"/>
    <w:rsid w:val="0070759A"/>
    <w:rsid w:val="007139CB"/>
    <w:rsid w:val="00720124"/>
    <w:rsid w:val="00721B0B"/>
    <w:rsid w:val="00721D34"/>
    <w:rsid w:val="00723D39"/>
    <w:rsid w:val="007240D1"/>
    <w:rsid w:val="007336AC"/>
    <w:rsid w:val="00740624"/>
    <w:rsid w:val="007506B0"/>
    <w:rsid w:val="007512FE"/>
    <w:rsid w:val="00751EC2"/>
    <w:rsid w:val="007559B0"/>
    <w:rsid w:val="007560F9"/>
    <w:rsid w:val="00756A2C"/>
    <w:rsid w:val="00757734"/>
    <w:rsid w:val="00757C8C"/>
    <w:rsid w:val="00757DB6"/>
    <w:rsid w:val="00764EE7"/>
    <w:rsid w:val="00766061"/>
    <w:rsid w:val="00770B7D"/>
    <w:rsid w:val="00770EC2"/>
    <w:rsid w:val="007745F2"/>
    <w:rsid w:val="007761CF"/>
    <w:rsid w:val="00780E74"/>
    <w:rsid w:val="00781172"/>
    <w:rsid w:val="007825D0"/>
    <w:rsid w:val="00790684"/>
    <w:rsid w:val="00791F96"/>
    <w:rsid w:val="00797193"/>
    <w:rsid w:val="007A153A"/>
    <w:rsid w:val="007A2D7E"/>
    <w:rsid w:val="007A465D"/>
    <w:rsid w:val="007A507A"/>
    <w:rsid w:val="007A6240"/>
    <w:rsid w:val="007A7BA0"/>
    <w:rsid w:val="007B0AFB"/>
    <w:rsid w:val="007B5EA6"/>
    <w:rsid w:val="007B60C4"/>
    <w:rsid w:val="007B6F71"/>
    <w:rsid w:val="007C3BD5"/>
    <w:rsid w:val="007D06CD"/>
    <w:rsid w:val="007D55ED"/>
    <w:rsid w:val="007D5D84"/>
    <w:rsid w:val="007D67EE"/>
    <w:rsid w:val="007D6A19"/>
    <w:rsid w:val="007D6B14"/>
    <w:rsid w:val="007E1C5F"/>
    <w:rsid w:val="007E205C"/>
    <w:rsid w:val="007E31B9"/>
    <w:rsid w:val="007E426B"/>
    <w:rsid w:val="007E675E"/>
    <w:rsid w:val="007F32D1"/>
    <w:rsid w:val="007F42C1"/>
    <w:rsid w:val="007F558A"/>
    <w:rsid w:val="007F5B58"/>
    <w:rsid w:val="00800990"/>
    <w:rsid w:val="0080209C"/>
    <w:rsid w:val="008060E3"/>
    <w:rsid w:val="00810219"/>
    <w:rsid w:val="00812E29"/>
    <w:rsid w:val="008135C0"/>
    <w:rsid w:val="008160BF"/>
    <w:rsid w:val="00817179"/>
    <w:rsid w:val="00821F20"/>
    <w:rsid w:val="00824850"/>
    <w:rsid w:val="00824D64"/>
    <w:rsid w:val="008316F6"/>
    <w:rsid w:val="00834E1B"/>
    <w:rsid w:val="00837679"/>
    <w:rsid w:val="00841394"/>
    <w:rsid w:val="008414A8"/>
    <w:rsid w:val="00841FA0"/>
    <w:rsid w:val="008427BF"/>
    <w:rsid w:val="008437B8"/>
    <w:rsid w:val="0084472C"/>
    <w:rsid w:val="00850540"/>
    <w:rsid w:val="00857E6E"/>
    <w:rsid w:val="0086040D"/>
    <w:rsid w:val="0086112E"/>
    <w:rsid w:val="00863B22"/>
    <w:rsid w:val="00866612"/>
    <w:rsid w:val="00872EC2"/>
    <w:rsid w:val="008739A1"/>
    <w:rsid w:val="00875C9C"/>
    <w:rsid w:val="00875CD8"/>
    <w:rsid w:val="00876D39"/>
    <w:rsid w:val="0088178E"/>
    <w:rsid w:val="00883019"/>
    <w:rsid w:val="00893D1A"/>
    <w:rsid w:val="00896582"/>
    <w:rsid w:val="008A5A2B"/>
    <w:rsid w:val="008A74B1"/>
    <w:rsid w:val="008A7ACC"/>
    <w:rsid w:val="008B26CD"/>
    <w:rsid w:val="008B507C"/>
    <w:rsid w:val="008B7155"/>
    <w:rsid w:val="008C05F3"/>
    <w:rsid w:val="008C1870"/>
    <w:rsid w:val="008C31A7"/>
    <w:rsid w:val="008C42D0"/>
    <w:rsid w:val="008C53FF"/>
    <w:rsid w:val="008C5434"/>
    <w:rsid w:val="008D0CB0"/>
    <w:rsid w:val="008D24C3"/>
    <w:rsid w:val="008D3C3A"/>
    <w:rsid w:val="008D4C30"/>
    <w:rsid w:val="008D5E09"/>
    <w:rsid w:val="008E213C"/>
    <w:rsid w:val="008E2672"/>
    <w:rsid w:val="008E33BB"/>
    <w:rsid w:val="008E5842"/>
    <w:rsid w:val="008E7B9F"/>
    <w:rsid w:val="008F2255"/>
    <w:rsid w:val="008F2DE9"/>
    <w:rsid w:val="008F5538"/>
    <w:rsid w:val="009107BC"/>
    <w:rsid w:val="00914488"/>
    <w:rsid w:val="00915AA2"/>
    <w:rsid w:val="00917DEA"/>
    <w:rsid w:val="00923ACD"/>
    <w:rsid w:val="00930D48"/>
    <w:rsid w:val="009311A4"/>
    <w:rsid w:val="00933524"/>
    <w:rsid w:val="0093537A"/>
    <w:rsid w:val="0093659C"/>
    <w:rsid w:val="00940231"/>
    <w:rsid w:val="009477FA"/>
    <w:rsid w:val="00947A3E"/>
    <w:rsid w:val="00947ADB"/>
    <w:rsid w:val="0095286E"/>
    <w:rsid w:val="009547DD"/>
    <w:rsid w:val="00961E16"/>
    <w:rsid w:val="00967166"/>
    <w:rsid w:val="00970B83"/>
    <w:rsid w:val="00971491"/>
    <w:rsid w:val="00971C4B"/>
    <w:rsid w:val="009728C0"/>
    <w:rsid w:val="00973402"/>
    <w:rsid w:val="00975B13"/>
    <w:rsid w:val="00976165"/>
    <w:rsid w:val="009763B0"/>
    <w:rsid w:val="00980EB4"/>
    <w:rsid w:val="0098241E"/>
    <w:rsid w:val="00982470"/>
    <w:rsid w:val="0098562C"/>
    <w:rsid w:val="0099015B"/>
    <w:rsid w:val="00992439"/>
    <w:rsid w:val="009925BD"/>
    <w:rsid w:val="00996288"/>
    <w:rsid w:val="009A00EC"/>
    <w:rsid w:val="009A0C19"/>
    <w:rsid w:val="009A4407"/>
    <w:rsid w:val="009B0207"/>
    <w:rsid w:val="009B0651"/>
    <w:rsid w:val="009B2BC4"/>
    <w:rsid w:val="009B3195"/>
    <w:rsid w:val="009B46E4"/>
    <w:rsid w:val="009C471A"/>
    <w:rsid w:val="009C4F14"/>
    <w:rsid w:val="009D184D"/>
    <w:rsid w:val="009D255C"/>
    <w:rsid w:val="009D54BA"/>
    <w:rsid w:val="009E02B0"/>
    <w:rsid w:val="009E23F3"/>
    <w:rsid w:val="009E58E0"/>
    <w:rsid w:val="009E607B"/>
    <w:rsid w:val="009E7E34"/>
    <w:rsid w:val="009F1448"/>
    <w:rsid w:val="009F4514"/>
    <w:rsid w:val="009F5E6D"/>
    <w:rsid w:val="00A03366"/>
    <w:rsid w:val="00A0619D"/>
    <w:rsid w:val="00A1110C"/>
    <w:rsid w:val="00A151C3"/>
    <w:rsid w:val="00A20BF1"/>
    <w:rsid w:val="00A21BE9"/>
    <w:rsid w:val="00A22BE8"/>
    <w:rsid w:val="00A2380E"/>
    <w:rsid w:val="00A26E34"/>
    <w:rsid w:val="00A27DBE"/>
    <w:rsid w:val="00A3068F"/>
    <w:rsid w:val="00A31048"/>
    <w:rsid w:val="00A3171C"/>
    <w:rsid w:val="00A34125"/>
    <w:rsid w:val="00A347BD"/>
    <w:rsid w:val="00A35EA4"/>
    <w:rsid w:val="00A40001"/>
    <w:rsid w:val="00A40F92"/>
    <w:rsid w:val="00A41724"/>
    <w:rsid w:val="00A41A65"/>
    <w:rsid w:val="00A425B5"/>
    <w:rsid w:val="00A449D7"/>
    <w:rsid w:val="00A4655A"/>
    <w:rsid w:val="00A47617"/>
    <w:rsid w:val="00A507F2"/>
    <w:rsid w:val="00A511C2"/>
    <w:rsid w:val="00A55BE4"/>
    <w:rsid w:val="00A5710B"/>
    <w:rsid w:val="00A62D42"/>
    <w:rsid w:val="00A6444F"/>
    <w:rsid w:val="00A673AC"/>
    <w:rsid w:val="00A67909"/>
    <w:rsid w:val="00A72BA5"/>
    <w:rsid w:val="00A803F0"/>
    <w:rsid w:val="00A81CBC"/>
    <w:rsid w:val="00A84362"/>
    <w:rsid w:val="00A85BDC"/>
    <w:rsid w:val="00A877CE"/>
    <w:rsid w:val="00A879B7"/>
    <w:rsid w:val="00A90EAC"/>
    <w:rsid w:val="00A913B2"/>
    <w:rsid w:val="00A916E1"/>
    <w:rsid w:val="00A92013"/>
    <w:rsid w:val="00A923F6"/>
    <w:rsid w:val="00A92AF1"/>
    <w:rsid w:val="00A92BED"/>
    <w:rsid w:val="00A9441F"/>
    <w:rsid w:val="00A95506"/>
    <w:rsid w:val="00AA5E85"/>
    <w:rsid w:val="00AA7220"/>
    <w:rsid w:val="00AB20F2"/>
    <w:rsid w:val="00AB23A6"/>
    <w:rsid w:val="00AB402A"/>
    <w:rsid w:val="00AC21ED"/>
    <w:rsid w:val="00AC23D6"/>
    <w:rsid w:val="00AC39D2"/>
    <w:rsid w:val="00AC3C58"/>
    <w:rsid w:val="00AC6C32"/>
    <w:rsid w:val="00AD0727"/>
    <w:rsid w:val="00AD0AA6"/>
    <w:rsid w:val="00AD25B3"/>
    <w:rsid w:val="00AD5092"/>
    <w:rsid w:val="00AD5804"/>
    <w:rsid w:val="00AD58FD"/>
    <w:rsid w:val="00AD71C2"/>
    <w:rsid w:val="00AE4452"/>
    <w:rsid w:val="00AE5F9E"/>
    <w:rsid w:val="00AE66E8"/>
    <w:rsid w:val="00AE7845"/>
    <w:rsid w:val="00B0138E"/>
    <w:rsid w:val="00B04E9B"/>
    <w:rsid w:val="00B074A9"/>
    <w:rsid w:val="00B1478D"/>
    <w:rsid w:val="00B151F6"/>
    <w:rsid w:val="00B158D2"/>
    <w:rsid w:val="00B17942"/>
    <w:rsid w:val="00B2083E"/>
    <w:rsid w:val="00B20FD1"/>
    <w:rsid w:val="00B21606"/>
    <w:rsid w:val="00B22198"/>
    <w:rsid w:val="00B2792A"/>
    <w:rsid w:val="00B27A69"/>
    <w:rsid w:val="00B309FD"/>
    <w:rsid w:val="00B33CE5"/>
    <w:rsid w:val="00B33D26"/>
    <w:rsid w:val="00B3446D"/>
    <w:rsid w:val="00B34AD8"/>
    <w:rsid w:val="00B41C47"/>
    <w:rsid w:val="00B42942"/>
    <w:rsid w:val="00B4774C"/>
    <w:rsid w:val="00B52917"/>
    <w:rsid w:val="00B52AEB"/>
    <w:rsid w:val="00B57FA9"/>
    <w:rsid w:val="00B64654"/>
    <w:rsid w:val="00B64E14"/>
    <w:rsid w:val="00B7057B"/>
    <w:rsid w:val="00B72D26"/>
    <w:rsid w:val="00B76963"/>
    <w:rsid w:val="00B81EE6"/>
    <w:rsid w:val="00B82CEC"/>
    <w:rsid w:val="00B83568"/>
    <w:rsid w:val="00B84EFD"/>
    <w:rsid w:val="00B87B49"/>
    <w:rsid w:val="00B9356B"/>
    <w:rsid w:val="00B93D7E"/>
    <w:rsid w:val="00B9457F"/>
    <w:rsid w:val="00B96CD5"/>
    <w:rsid w:val="00BA066D"/>
    <w:rsid w:val="00BA2DA1"/>
    <w:rsid w:val="00BA2F1E"/>
    <w:rsid w:val="00BA525C"/>
    <w:rsid w:val="00BA619C"/>
    <w:rsid w:val="00BC03A1"/>
    <w:rsid w:val="00BC3999"/>
    <w:rsid w:val="00BC4025"/>
    <w:rsid w:val="00BC4748"/>
    <w:rsid w:val="00BD1A23"/>
    <w:rsid w:val="00BD3B0C"/>
    <w:rsid w:val="00BD700E"/>
    <w:rsid w:val="00BE00FF"/>
    <w:rsid w:val="00BE202E"/>
    <w:rsid w:val="00BE36E4"/>
    <w:rsid w:val="00BE52A7"/>
    <w:rsid w:val="00BF0280"/>
    <w:rsid w:val="00BF0EE5"/>
    <w:rsid w:val="00BF6347"/>
    <w:rsid w:val="00BF7C56"/>
    <w:rsid w:val="00C0099D"/>
    <w:rsid w:val="00C01C02"/>
    <w:rsid w:val="00C01F69"/>
    <w:rsid w:val="00C0603D"/>
    <w:rsid w:val="00C072C9"/>
    <w:rsid w:val="00C11AF4"/>
    <w:rsid w:val="00C1370E"/>
    <w:rsid w:val="00C140BA"/>
    <w:rsid w:val="00C15B18"/>
    <w:rsid w:val="00C17E89"/>
    <w:rsid w:val="00C20586"/>
    <w:rsid w:val="00C219E7"/>
    <w:rsid w:val="00C251E6"/>
    <w:rsid w:val="00C25883"/>
    <w:rsid w:val="00C27EA2"/>
    <w:rsid w:val="00C310E3"/>
    <w:rsid w:val="00C3394D"/>
    <w:rsid w:val="00C34CD6"/>
    <w:rsid w:val="00C35634"/>
    <w:rsid w:val="00C35F2A"/>
    <w:rsid w:val="00C374C5"/>
    <w:rsid w:val="00C40445"/>
    <w:rsid w:val="00C4253A"/>
    <w:rsid w:val="00C4265A"/>
    <w:rsid w:val="00C51882"/>
    <w:rsid w:val="00C5386B"/>
    <w:rsid w:val="00C62C23"/>
    <w:rsid w:val="00C63C7A"/>
    <w:rsid w:val="00C6462F"/>
    <w:rsid w:val="00C64D2C"/>
    <w:rsid w:val="00C6535D"/>
    <w:rsid w:val="00C653E6"/>
    <w:rsid w:val="00C663E4"/>
    <w:rsid w:val="00C7068E"/>
    <w:rsid w:val="00C70C20"/>
    <w:rsid w:val="00C72AA7"/>
    <w:rsid w:val="00C76F27"/>
    <w:rsid w:val="00C8130A"/>
    <w:rsid w:val="00C83EDD"/>
    <w:rsid w:val="00C844C8"/>
    <w:rsid w:val="00C84C53"/>
    <w:rsid w:val="00C8514D"/>
    <w:rsid w:val="00C85B18"/>
    <w:rsid w:val="00C85D28"/>
    <w:rsid w:val="00C8671A"/>
    <w:rsid w:val="00C91988"/>
    <w:rsid w:val="00C92E83"/>
    <w:rsid w:val="00C95594"/>
    <w:rsid w:val="00CA113A"/>
    <w:rsid w:val="00CA1E75"/>
    <w:rsid w:val="00CA44A4"/>
    <w:rsid w:val="00CB117F"/>
    <w:rsid w:val="00CB21A5"/>
    <w:rsid w:val="00CB2516"/>
    <w:rsid w:val="00CB364B"/>
    <w:rsid w:val="00CB3DEB"/>
    <w:rsid w:val="00CB5E2C"/>
    <w:rsid w:val="00CB7401"/>
    <w:rsid w:val="00CC1C23"/>
    <w:rsid w:val="00CD27DB"/>
    <w:rsid w:val="00CD5F8A"/>
    <w:rsid w:val="00CD6144"/>
    <w:rsid w:val="00CE0DB4"/>
    <w:rsid w:val="00CE0E0C"/>
    <w:rsid w:val="00CE3387"/>
    <w:rsid w:val="00CE36F9"/>
    <w:rsid w:val="00CE73D6"/>
    <w:rsid w:val="00CE74BD"/>
    <w:rsid w:val="00CE76B8"/>
    <w:rsid w:val="00CF4570"/>
    <w:rsid w:val="00CF4D42"/>
    <w:rsid w:val="00CF593A"/>
    <w:rsid w:val="00CF6E5D"/>
    <w:rsid w:val="00D02D36"/>
    <w:rsid w:val="00D03EF0"/>
    <w:rsid w:val="00D1603C"/>
    <w:rsid w:val="00D175AE"/>
    <w:rsid w:val="00D177BB"/>
    <w:rsid w:val="00D207B3"/>
    <w:rsid w:val="00D2344D"/>
    <w:rsid w:val="00D23A9D"/>
    <w:rsid w:val="00D243D3"/>
    <w:rsid w:val="00D2511E"/>
    <w:rsid w:val="00D30EC7"/>
    <w:rsid w:val="00D33700"/>
    <w:rsid w:val="00D41BC5"/>
    <w:rsid w:val="00D47CA4"/>
    <w:rsid w:val="00D47F84"/>
    <w:rsid w:val="00D50780"/>
    <w:rsid w:val="00D508AB"/>
    <w:rsid w:val="00D51BF7"/>
    <w:rsid w:val="00D51C68"/>
    <w:rsid w:val="00D54591"/>
    <w:rsid w:val="00D57137"/>
    <w:rsid w:val="00D57DFD"/>
    <w:rsid w:val="00D702F7"/>
    <w:rsid w:val="00D70E43"/>
    <w:rsid w:val="00D75652"/>
    <w:rsid w:val="00D800E5"/>
    <w:rsid w:val="00D828F4"/>
    <w:rsid w:val="00D83707"/>
    <w:rsid w:val="00D84FC3"/>
    <w:rsid w:val="00D86E4E"/>
    <w:rsid w:val="00D925D1"/>
    <w:rsid w:val="00D9357E"/>
    <w:rsid w:val="00D94A89"/>
    <w:rsid w:val="00D97997"/>
    <w:rsid w:val="00DA33E5"/>
    <w:rsid w:val="00DA457B"/>
    <w:rsid w:val="00DA769B"/>
    <w:rsid w:val="00DB1630"/>
    <w:rsid w:val="00DB2C8B"/>
    <w:rsid w:val="00DB4BCF"/>
    <w:rsid w:val="00DB6A6C"/>
    <w:rsid w:val="00DB6EF5"/>
    <w:rsid w:val="00DB7255"/>
    <w:rsid w:val="00DC25A6"/>
    <w:rsid w:val="00DC3194"/>
    <w:rsid w:val="00DC5CD8"/>
    <w:rsid w:val="00DD2702"/>
    <w:rsid w:val="00DD34A4"/>
    <w:rsid w:val="00DD68F6"/>
    <w:rsid w:val="00DD7301"/>
    <w:rsid w:val="00DD7785"/>
    <w:rsid w:val="00DE21C6"/>
    <w:rsid w:val="00DE57BF"/>
    <w:rsid w:val="00DF1421"/>
    <w:rsid w:val="00DF1801"/>
    <w:rsid w:val="00DF186F"/>
    <w:rsid w:val="00DF3898"/>
    <w:rsid w:val="00DF6A00"/>
    <w:rsid w:val="00DF70C3"/>
    <w:rsid w:val="00E001C3"/>
    <w:rsid w:val="00E00A18"/>
    <w:rsid w:val="00E00D37"/>
    <w:rsid w:val="00E00E00"/>
    <w:rsid w:val="00E01B73"/>
    <w:rsid w:val="00E027DE"/>
    <w:rsid w:val="00E029E8"/>
    <w:rsid w:val="00E0429F"/>
    <w:rsid w:val="00E063EC"/>
    <w:rsid w:val="00E11701"/>
    <w:rsid w:val="00E16E6E"/>
    <w:rsid w:val="00E177BF"/>
    <w:rsid w:val="00E34D35"/>
    <w:rsid w:val="00E35A17"/>
    <w:rsid w:val="00E41436"/>
    <w:rsid w:val="00E41EA9"/>
    <w:rsid w:val="00E424C1"/>
    <w:rsid w:val="00E46244"/>
    <w:rsid w:val="00E47577"/>
    <w:rsid w:val="00E55B1C"/>
    <w:rsid w:val="00E56456"/>
    <w:rsid w:val="00E56DEA"/>
    <w:rsid w:val="00E65281"/>
    <w:rsid w:val="00E67E58"/>
    <w:rsid w:val="00E72AC5"/>
    <w:rsid w:val="00E754B4"/>
    <w:rsid w:val="00E76075"/>
    <w:rsid w:val="00E76B6A"/>
    <w:rsid w:val="00E772D0"/>
    <w:rsid w:val="00E77F1D"/>
    <w:rsid w:val="00E81598"/>
    <w:rsid w:val="00E81A16"/>
    <w:rsid w:val="00E86E21"/>
    <w:rsid w:val="00E934FB"/>
    <w:rsid w:val="00E941FC"/>
    <w:rsid w:val="00E94644"/>
    <w:rsid w:val="00E95003"/>
    <w:rsid w:val="00EA339C"/>
    <w:rsid w:val="00EA5B1F"/>
    <w:rsid w:val="00EA62C5"/>
    <w:rsid w:val="00EB42F0"/>
    <w:rsid w:val="00EB4CD4"/>
    <w:rsid w:val="00EB6F94"/>
    <w:rsid w:val="00EC2A20"/>
    <w:rsid w:val="00EC6E61"/>
    <w:rsid w:val="00ED07D1"/>
    <w:rsid w:val="00ED3EEE"/>
    <w:rsid w:val="00ED413A"/>
    <w:rsid w:val="00ED7F2F"/>
    <w:rsid w:val="00EE3207"/>
    <w:rsid w:val="00EE4522"/>
    <w:rsid w:val="00EE5A94"/>
    <w:rsid w:val="00EE69BA"/>
    <w:rsid w:val="00EE7040"/>
    <w:rsid w:val="00EF2C98"/>
    <w:rsid w:val="00EF4313"/>
    <w:rsid w:val="00EF4702"/>
    <w:rsid w:val="00F0079B"/>
    <w:rsid w:val="00F02479"/>
    <w:rsid w:val="00F0649C"/>
    <w:rsid w:val="00F07EFB"/>
    <w:rsid w:val="00F1096B"/>
    <w:rsid w:val="00F142EE"/>
    <w:rsid w:val="00F14BFA"/>
    <w:rsid w:val="00F17383"/>
    <w:rsid w:val="00F17659"/>
    <w:rsid w:val="00F33492"/>
    <w:rsid w:val="00F3431C"/>
    <w:rsid w:val="00F34FF6"/>
    <w:rsid w:val="00F43CCC"/>
    <w:rsid w:val="00F440FF"/>
    <w:rsid w:val="00F448C8"/>
    <w:rsid w:val="00F47FF3"/>
    <w:rsid w:val="00F50D0E"/>
    <w:rsid w:val="00F56D05"/>
    <w:rsid w:val="00F617BB"/>
    <w:rsid w:val="00F62921"/>
    <w:rsid w:val="00F71110"/>
    <w:rsid w:val="00F713E2"/>
    <w:rsid w:val="00F81E3E"/>
    <w:rsid w:val="00F82C14"/>
    <w:rsid w:val="00F82ECF"/>
    <w:rsid w:val="00F84C52"/>
    <w:rsid w:val="00F84ECD"/>
    <w:rsid w:val="00F865F6"/>
    <w:rsid w:val="00F9161B"/>
    <w:rsid w:val="00F94894"/>
    <w:rsid w:val="00F952B5"/>
    <w:rsid w:val="00F96F50"/>
    <w:rsid w:val="00FA1494"/>
    <w:rsid w:val="00FB0AF8"/>
    <w:rsid w:val="00FB0B1E"/>
    <w:rsid w:val="00FB2279"/>
    <w:rsid w:val="00FB2D11"/>
    <w:rsid w:val="00FB3B20"/>
    <w:rsid w:val="00FB4A28"/>
    <w:rsid w:val="00FB698C"/>
    <w:rsid w:val="00FC4551"/>
    <w:rsid w:val="00FC6986"/>
    <w:rsid w:val="00FC7A92"/>
    <w:rsid w:val="00FC7DE3"/>
    <w:rsid w:val="00FD21C3"/>
    <w:rsid w:val="00FD52A3"/>
    <w:rsid w:val="00FD6F25"/>
    <w:rsid w:val="00FE1598"/>
    <w:rsid w:val="00FE1860"/>
    <w:rsid w:val="00FE279A"/>
    <w:rsid w:val="00FE7053"/>
    <w:rsid w:val="00FE724E"/>
    <w:rsid w:val="00FF21FB"/>
    <w:rsid w:val="00FF2FA3"/>
    <w:rsid w:val="00FF6C05"/>
    <w:rsid w:val="00FF75E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175AA2"/>
  <w15:docId w15:val="{72B4F6A4-28BB-0949-9EBB-6143C13CD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qFormat="1"/>
    <w:lsdException w:name="heading 7" w:semiHidden="1"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nhideWhenUsed="1" w:qFormat="1"/>
    <w:lsdException w:name="List Number 3" w:semiHidden="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9"/>
    <w:qFormat/>
    <w:pPr>
      <w:keepNext/>
      <w:keepLines/>
      <w:spacing w:before="1440" w:after="120"/>
      <w:outlineLvl w:val="0"/>
    </w:pPr>
    <w:rPr>
      <w:rFonts w:ascii="Calibri" w:eastAsiaTheme="majorEastAsia" w:hAnsi="Calibri" w:cstheme="majorBidi"/>
      <w:b/>
      <w:bCs/>
      <w:color w:val="3C4B55"/>
      <w:sz w:val="70"/>
      <w:szCs w:val="28"/>
      <w:lang w:eastAsia="en-US"/>
    </w:rPr>
  </w:style>
  <w:style w:type="paragraph" w:styleId="Heading2">
    <w:name w:val="heading 2"/>
    <w:basedOn w:val="Normal"/>
    <w:next w:val="Normal"/>
    <w:link w:val="Heading2Char"/>
    <w:uiPriority w:val="3"/>
    <w:rsid w:val="005A3D73"/>
    <w:pPr>
      <w:keepNext/>
      <w:keepLines/>
      <w:numPr>
        <w:numId w:val="16"/>
      </w:numPr>
      <w:spacing w:after="240" w:line="240" w:lineRule="auto"/>
      <w:outlineLvl w:val="1"/>
    </w:pPr>
    <w:rPr>
      <w:rFonts w:ascii="Calibri" w:eastAsiaTheme="minorEastAsia" w:hAnsi="Calibri"/>
      <w:bCs/>
      <w:color w:val="427BA1"/>
      <w:sz w:val="56"/>
      <w:szCs w:val="28"/>
      <w:lang w:eastAsia="ja-JP"/>
    </w:rPr>
  </w:style>
  <w:style w:type="paragraph" w:styleId="Heading3">
    <w:name w:val="heading 3"/>
    <w:next w:val="Normal"/>
    <w:link w:val="Heading3Char"/>
    <w:uiPriority w:val="4"/>
    <w:qFormat/>
    <w:rsid w:val="00BF0280"/>
    <w:pPr>
      <w:keepNext/>
      <w:keepLines/>
      <w:numPr>
        <w:ilvl w:val="1"/>
        <w:numId w:val="16"/>
      </w:numPr>
      <w:spacing w:before="240" w:after="240"/>
      <w:outlineLvl w:val="2"/>
    </w:pPr>
    <w:rPr>
      <w:rFonts w:ascii="Calibri" w:eastAsiaTheme="minorHAnsi" w:hAnsi="Calibri" w:cstheme="minorBidi"/>
      <w:b/>
      <w:bCs/>
      <w:sz w:val="28"/>
      <w:szCs w:val="22"/>
      <w:lang w:eastAsia="en-US"/>
    </w:rPr>
  </w:style>
  <w:style w:type="paragraph" w:styleId="Heading4">
    <w:name w:val="heading 4"/>
    <w:next w:val="Normal"/>
    <w:link w:val="Heading4Char"/>
    <w:uiPriority w:val="5"/>
    <w:qFormat/>
    <w:pPr>
      <w:keepNext/>
      <w:keepLines/>
      <w:numPr>
        <w:ilvl w:val="2"/>
        <w:numId w:val="16"/>
      </w:numPr>
      <w:spacing w:before="120"/>
      <w:outlineLvl w:val="3"/>
    </w:pPr>
    <w:rPr>
      <w:rFonts w:ascii="Calibri" w:eastAsiaTheme="minorHAnsi" w:hAnsi="Calibri" w:cstheme="minorBidi"/>
      <w:b/>
      <w:bCs/>
      <w:iCs/>
      <w:color w:val="427BA1"/>
      <w:sz w:val="24"/>
      <w:szCs w:val="22"/>
      <w:lang w:eastAsia="en-US"/>
    </w:rPr>
  </w:style>
  <w:style w:type="paragraph" w:styleId="Heading5">
    <w:name w:val="heading 5"/>
    <w:next w:val="Normal"/>
    <w:link w:val="Heading5Char"/>
    <w:uiPriority w:val="6"/>
    <w:qFormat/>
    <w:pPr>
      <w:keepNext/>
      <w:keepLines/>
      <w:spacing w:before="120"/>
      <w:outlineLvl w:val="4"/>
    </w:pPr>
    <w:rPr>
      <w:rFonts w:ascii="Calibri" w:eastAsiaTheme="minorHAnsi" w:hAnsi="Calibri" w:cstheme="minorBidi"/>
      <w:b/>
      <w:sz w:val="22"/>
      <w:szCs w:val="22"/>
      <w:lang w:eastAsia="en-US"/>
    </w:rPr>
  </w:style>
  <w:style w:type="paragraph" w:styleId="Heading6">
    <w:name w:val="heading 6"/>
    <w:next w:val="Normal"/>
    <w:link w:val="Heading6Char"/>
    <w:uiPriority w:val="9"/>
    <w:qFormat/>
    <w:pPr>
      <w:keepNext/>
      <w:keepLines/>
      <w:spacing w:before="40"/>
      <w:outlineLvl w:val="5"/>
    </w:pPr>
    <w:rPr>
      <w:rFonts w:asciiTheme="minorHAnsi" w:eastAsiaTheme="majorEastAsia" w:hAnsiTheme="minorHAnsi" w:cstheme="majorBidi"/>
      <w:i/>
      <w:sz w:val="22"/>
      <w:szCs w:val="22"/>
      <w:lang w:eastAsia="en-US"/>
    </w:rPr>
  </w:style>
  <w:style w:type="paragraph" w:styleId="Heading7">
    <w:name w:val="heading 7"/>
    <w:next w:val="Normal"/>
    <w:link w:val="Heading7Char"/>
    <w:uiPriority w:val="9"/>
    <w:qFormat/>
    <w:pPr>
      <w:outlineLvl w:val="6"/>
    </w:pPr>
    <w:rPr>
      <w:rFonts w:asciiTheme="minorHAnsi" w:eastAsiaTheme="majorEastAsia" w:hAnsiTheme="minorHAnsi" w:cstheme="majorBidi"/>
      <w:i/>
      <w:color w:val="243F60" w:themeColor="accent1" w:themeShade="7F"/>
      <w:sz w:val="22"/>
      <w:szCs w:val="22"/>
      <w:lang w:eastAsia="en-US"/>
    </w:rPr>
  </w:style>
  <w:style w:type="paragraph" w:styleId="Heading8">
    <w:name w:val="heading 8"/>
    <w:basedOn w:val="Normal"/>
    <w:next w:val="Normal"/>
    <w:link w:val="Heading8Char"/>
    <w:uiPriority w:val="9"/>
    <w:semiHidden/>
    <w:unhideWhenUsed/>
    <w:qFormat/>
    <w:pPr>
      <w:keepNext/>
      <w:keepLines/>
      <w:spacing w:before="40" w:after="0"/>
      <w:outlineLvl w:val="7"/>
    </w:pPr>
    <w:rPr>
      <w:rFonts w:eastAsiaTheme="majorEastAsia"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eastAsia="Times New Roman"/>
      <w:sz w:val="20"/>
      <w:szCs w:val="20"/>
    </w:rPr>
  </w:style>
  <w:style w:type="paragraph" w:styleId="Header">
    <w:name w:val="header"/>
    <w:basedOn w:val="Normal"/>
    <w:link w:val="HeaderChar"/>
    <w:pPr>
      <w:tabs>
        <w:tab w:val="center" w:pos="8505"/>
        <w:tab w:val="center" w:pos="13041"/>
      </w:tabs>
      <w:spacing w:line="36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imes New Roman" w:hAnsi="Calibri"/>
      <w:sz w:val="20"/>
      <w:szCs w:val="24"/>
      <w:lang w:eastAsia="en-US"/>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imes New Roman"/>
      <w:b/>
      <w:bCs/>
      <w:sz w:val="20"/>
      <w:szCs w:val="20"/>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imes New Roman" w:hAnsi="Calibr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numbering" w:customStyle="1" w:styleId="Headings">
    <w:name w:val="Headings"/>
    <w:uiPriority w:val="99"/>
    <w:pPr>
      <w:numPr>
        <w:numId w:val="4"/>
      </w:numPr>
    </w:pPr>
  </w:style>
  <w:style w:type="character" w:customStyle="1" w:styleId="Heading1Char">
    <w:name w:val="Heading 1 Char"/>
    <w:basedOn w:val="DefaultParagraphFont"/>
    <w:link w:val="Heading1"/>
    <w:uiPriority w:val="9"/>
    <w:rPr>
      <w:rFonts w:ascii="Calibri" w:eastAsiaTheme="majorEastAsia" w:hAnsi="Calibri" w:cstheme="majorBidi"/>
      <w:b/>
      <w:bCs/>
      <w:color w:val="3C4B55"/>
      <w:sz w:val="70"/>
      <w:szCs w:val="28"/>
      <w:lang w:eastAsia="en-US"/>
    </w:rPr>
  </w:style>
  <w:style w:type="paragraph" w:styleId="ListParagraph">
    <w:name w:val="List Paragraph"/>
    <w:basedOn w:val="Normal"/>
    <w:uiPriority w:val="34"/>
    <w:qFormat/>
    <w:pPr>
      <w:ind w:left="720"/>
    </w:pPr>
  </w:style>
  <w:style w:type="character" w:customStyle="1" w:styleId="Heading2Char">
    <w:name w:val="Heading 2 Char"/>
    <w:basedOn w:val="DefaultParagraphFont"/>
    <w:link w:val="Heading2"/>
    <w:uiPriority w:val="3"/>
    <w:rsid w:val="005A3D73"/>
    <w:rPr>
      <w:rFonts w:ascii="Calibri" w:eastAsiaTheme="minorEastAsia" w:hAnsi="Calibri" w:cstheme="minorBidi"/>
      <w:bCs/>
      <w:color w:val="427BA1"/>
      <w:sz w:val="56"/>
      <w:szCs w:val="28"/>
      <w:lang w:eastAsia="ja-JP"/>
    </w:rPr>
  </w:style>
  <w:style w:type="character" w:customStyle="1" w:styleId="Heading3Char">
    <w:name w:val="Heading 3 Char"/>
    <w:basedOn w:val="DefaultParagraphFont"/>
    <w:link w:val="Heading3"/>
    <w:uiPriority w:val="4"/>
    <w:rsid w:val="00BF0280"/>
    <w:rPr>
      <w:rFonts w:ascii="Calibri" w:eastAsiaTheme="minorHAnsi" w:hAnsi="Calibri" w:cstheme="minorBidi"/>
      <w:b/>
      <w:bCs/>
      <w:sz w:val="28"/>
      <w:szCs w:val="22"/>
      <w:lang w:eastAsia="en-US"/>
    </w:rPr>
  </w:style>
  <w:style w:type="character" w:customStyle="1" w:styleId="Heading4Char">
    <w:name w:val="Heading 4 Char"/>
    <w:basedOn w:val="DefaultParagraphFont"/>
    <w:link w:val="Heading4"/>
    <w:uiPriority w:val="5"/>
    <w:rPr>
      <w:rFonts w:ascii="Calibri" w:eastAsiaTheme="minorHAnsi" w:hAnsi="Calibri" w:cstheme="minorBidi"/>
      <w:b/>
      <w:bCs/>
      <w:iCs/>
      <w:color w:val="427BA1"/>
      <w:sz w:val="24"/>
      <w:szCs w:val="22"/>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next w:val="Normal"/>
    <w:link w:val="CaptionChar"/>
    <w:uiPriority w:val="12"/>
    <w:qFormat/>
    <w:pPr>
      <w:keepNext/>
      <w:spacing w:after="120"/>
    </w:pPr>
    <w:rPr>
      <w:rFonts w:asciiTheme="minorHAnsi" w:eastAsiaTheme="majorEastAsia" w:hAnsiTheme="minorHAnsi" w:cstheme="majorBidi"/>
      <w:b/>
      <w:bCs/>
      <w:color w:val="000000" w:themeColor="text1"/>
      <w:sz w:val="22"/>
      <w:szCs w:val="18"/>
      <w:lang w:eastAsia="en-US"/>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TOCHeading">
    <w:name w:val="TOC Heading"/>
    <w:next w:val="Normal"/>
    <w:uiPriority w:val="39"/>
    <w:qFormat/>
    <w:rPr>
      <w:rFonts w:ascii="Calibri" w:eastAsiaTheme="majorEastAsia" w:hAnsi="Calibri" w:cstheme="majorBidi"/>
      <w:bCs/>
      <w:color w:val="427BA1"/>
      <w:sz w:val="56"/>
      <w:szCs w:val="28"/>
      <w:lang w:val="en-US" w:eastAsia="en-US"/>
    </w:rPr>
  </w:style>
  <w:style w:type="paragraph" w:styleId="TOC1">
    <w:name w:val="toc 1"/>
    <w:next w:val="Normal"/>
    <w:uiPriority w:val="39"/>
    <w:unhideWhenUsed/>
    <w:pPr>
      <w:tabs>
        <w:tab w:val="left" w:pos="426"/>
        <w:tab w:val="right" w:leader="dot" w:pos="9072"/>
      </w:tabs>
      <w:spacing w:before="120" w:after="120"/>
    </w:pPr>
    <w:rPr>
      <w:rFonts w:asciiTheme="minorHAnsi" w:eastAsiaTheme="minorHAnsi" w:hAnsiTheme="minorHAnsi" w:cstheme="minorBidi"/>
      <w:b/>
      <w:noProof/>
      <w:sz w:val="22"/>
      <w:szCs w:val="22"/>
      <w:lang w:eastAsia="en-US"/>
    </w:rPr>
  </w:style>
  <w:style w:type="paragraph" w:styleId="TOC2">
    <w:name w:val="toc 2"/>
    <w:basedOn w:val="Normal"/>
    <w:next w:val="Normal"/>
    <w:uiPriority w:val="39"/>
    <w:unhideWhenUse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uiPriority w:val="7"/>
    <w:qFormat/>
    <w:pPr>
      <w:numPr>
        <w:numId w:val="7"/>
      </w:numPr>
      <w:tabs>
        <w:tab w:val="clear" w:pos="6507"/>
        <w:tab w:val="num" w:pos="567"/>
      </w:tabs>
      <w:spacing w:before="120" w:after="120"/>
      <w:ind w:left="397"/>
    </w:pPr>
    <w:rPr>
      <w:rFonts w:asciiTheme="minorHAnsi" w:eastAsiaTheme="minorHAnsi" w:hAnsiTheme="minorHAnsi" w:cstheme="minorBidi"/>
      <w:sz w:val="22"/>
      <w:szCs w:val="22"/>
      <w:lang w:eastAsia="en-US"/>
    </w:rPr>
  </w:style>
  <w:style w:type="paragraph" w:styleId="TableofFigures">
    <w:name w:val="table of figures"/>
    <w:basedOn w:val="Normal"/>
    <w:next w:val="Normal"/>
    <w:uiPriority w:val="99"/>
    <w:pPr>
      <w:spacing w:before="120" w:after="120" w:line="240" w:lineRule="auto"/>
    </w:pPr>
  </w:style>
  <w:style w:type="paragraph" w:styleId="ListBullet2">
    <w:name w:val="List Bullet 2"/>
    <w:uiPriority w:val="8"/>
    <w:qFormat/>
    <w:pPr>
      <w:numPr>
        <w:ilvl w:val="1"/>
        <w:numId w:val="7"/>
      </w:numPr>
      <w:spacing w:before="120" w:after="120"/>
      <w:contextualSpacing/>
    </w:pPr>
    <w:rPr>
      <w:rFonts w:asciiTheme="minorHAnsi" w:eastAsiaTheme="minorHAnsi" w:hAnsiTheme="minorHAnsi" w:cstheme="minorBidi"/>
      <w:sz w:val="22"/>
      <w:szCs w:val="22"/>
      <w:lang w:eastAsia="en-US"/>
    </w:rPr>
  </w:style>
  <w:style w:type="paragraph" w:styleId="ListNumber">
    <w:name w:val="List Number"/>
    <w:basedOn w:val="Normal"/>
    <w:uiPriority w:val="9"/>
    <w:qFormat/>
    <w:pPr>
      <w:numPr>
        <w:numId w:val="9"/>
      </w:numPr>
      <w:spacing w:before="120" w:after="120" w:line="280" w:lineRule="atLeast"/>
    </w:pPr>
    <w:rPr>
      <w:szCs w:val="20"/>
    </w:rPr>
  </w:style>
  <w:style w:type="paragraph" w:styleId="ListNumber2">
    <w:name w:val="List Number 2"/>
    <w:uiPriority w:val="10"/>
    <w:qFormat/>
    <w:pPr>
      <w:numPr>
        <w:ilvl w:val="1"/>
        <w:numId w:val="9"/>
      </w:numPr>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pPr>
      <w:numPr>
        <w:ilvl w:val="2"/>
        <w:numId w:val="9"/>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val="en-US" w:eastAsia="zh-CN"/>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link w:val="TableTextChar"/>
    <w:uiPriority w:val="13"/>
    <w:qFormat/>
    <w:pPr>
      <w:spacing w:before="60" w:after="60"/>
    </w:pPr>
    <w:rPr>
      <w:rFonts w:asciiTheme="minorHAnsi" w:eastAsiaTheme="minorHAnsi" w:hAnsiTheme="minorHAnsi" w:cstheme="minorBidi"/>
      <w:sz w:val="18"/>
      <w:szCs w:val="22"/>
      <w:lang w:eastAsia="en-US"/>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uiPriority w:val="99"/>
    <w:rPr>
      <w:b/>
      <w:bC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
    <w:name w:val="Table Bullet"/>
    <w:basedOn w:val="TableText"/>
    <w:uiPriority w:val="15"/>
    <w:qFormat/>
    <w:pPr>
      <w:numPr>
        <w:numId w:val="2"/>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imes New Roman" w:hAnsi="Tahoma" w:cs="Tahoma"/>
      <w:sz w:val="16"/>
      <w:szCs w:val="16"/>
    </w:rPr>
  </w:style>
  <w:style w:type="paragraph" w:customStyle="1" w:styleId="TOCHeadingsamepage">
    <w:name w:val="TOC Heading (same page)"/>
    <w:basedOn w:val="TOCHeading"/>
    <w:next w:val="Normal"/>
    <w:uiPriority w:val="39"/>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sz w:val="36"/>
      <w:szCs w:val="36"/>
    </w:rPr>
  </w:style>
  <w:style w:type="paragraph" w:customStyle="1" w:styleId="DisseminationLimitingMarker">
    <w:name w:val="Dissemination Limiting Marker"/>
    <w:basedOn w:val="Header"/>
    <w:next w:val="Header"/>
    <w:uiPriority w:val="27"/>
    <w:qFormat/>
    <w:pPr>
      <w:spacing w:after="0"/>
    </w:pPr>
    <w:rPr>
      <w:b/>
      <w:sz w:val="36"/>
      <w:szCs w:val="36"/>
    </w:rPr>
  </w:style>
  <w:style w:type="character" w:styleId="FootnoteReference">
    <w:name w:val="footnote reference"/>
    <w:basedOn w:val="DefaultParagraphFont"/>
    <w:uiPriority w:val="99"/>
    <w:semiHidden/>
    <w:unhideWhenUsed/>
    <w:rPr>
      <w:vertAlign w:val="superscript"/>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rPr>
      <w:lang w:val="en-US"/>
    </w:rPr>
  </w:style>
  <w:style w:type="numbering" w:customStyle="1" w:styleId="heading">
    <w:name w:val="heading"/>
    <w:uiPriority w:val="99"/>
    <w:pPr>
      <w:numPr>
        <w:numId w:val="10"/>
      </w:numPr>
    </w:pPr>
  </w:style>
  <w:style w:type="numbering" w:customStyle="1" w:styleId="captions">
    <w:name w:val="captions"/>
    <w:uiPriority w:val="99"/>
    <w:pPr>
      <w:numPr>
        <w:numId w:val="5"/>
      </w:numPr>
    </w:pPr>
  </w:style>
  <w:style w:type="character" w:customStyle="1" w:styleId="TableTextChar">
    <w:name w:val="Table Text Char"/>
    <w:basedOn w:val="DefaultParagraphFont"/>
    <w:link w:val="TableText"/>
    <w:uiPriority w:val="13"/>
    <w:rPr>
      <w:rFonts w:asciiTheme="minorHAnsi" w:eastAsiaTheme="minorHAnsi" w:hAnsiTheme="minorHAnsi" w:cstheme="minorBidi"/>
      <w:sz w:val="18"/>
      <w:szCs w:val="22"/>
      <w:lang w:eastAsia="en-US"/>
    </w:rPr>
  </w:style>
  <w:style w:type="character" w:customStyle="1" w:styleId="Heading7Char">
    <w:name w:val="Heading 7 Char"/>
    <w:basedOn w:val="DefaultParagraphFont"/>
    <w:link w:val="Heading7"/>
    <w:uiPriority w:val="9"/>
    <w:rPr>
      <w:rFonts w:asciiTheme="minorHAnsi" w:eastAsiaTheme="majorEastAsia" w:hAnsiTheme="minorHAnsi" w:cstheme="majorBidi"/>
      <w:i/>
      <w:color w:val="243F60" w:themeColor="accent1" w:themeShade="7F"/>
      <w:sz w:val="22"/>
      <w:szCs w:val="22"/>
      <w:lang w:eastAsia="en-US"/>
    </w:rPr>
  </w:style>
  <w:style w:type="numbering" w:customStyle="1" w:styleId="List1">
    <w:name w:val="List1"/>
    <w:basedOn w:val="NoList"/>
    <w:uiPriority w:val="99"/>
    <w:pPr>
      <w:numPr>
        <w:numId w:val="3"/>
      </w:numPr>
    </w:pPr>
  </w:style>
  <w:style w:type="character" w:customStyle="1" w:styleId="CaptionChar">
    <w:name w:val="Caption Char"/>
    <w:basedOn w:val="Heading1Char"/>
    <w:link w:val="Caption"/>
    <w:uiPriority w:val="12"/>
    <w:rPr>
      <w:rFonts w:asciiTheme="minorHAnsi" w:eastAsiaTheme="majorEastAsia" w:hAnsiTheme="minorHAnsi" w:cstheme="majorBidi"/>
      <w:b/>
      <w:bCs/>
      <w:color w:val="000000" w:themeColor="text1"/>
      <w:sz w:val="22"/>
      <w:szCs w:val="18"/>
      <w:lang w:eastAsia="en-US"/>
    </w:rPr>
  </w:style>
  <w:style w:type="numbering" w:customStyle="1" w:styleId="listbullets">
    <w:name w:val="list bullets"/>
    <w:uiPriority w:val="99"/>
    <w:pPr>
      <w:numPr>
        <w:numId w:val="6"/>
      </w:numPr>
    </w:pPr>
  </w:style>
  <w:style w:type="numbering" w:customStyle="1" w:styleId="ListNumber1">
    <w:name w:val="List Number1"/>
    <w:uiPriority w:val="99"/>
    <w:pPr>
      <w:numPr>
        <w:numId w:val="8"/>
      </w:numPr>
    </w:pPr>
  </w:style>
  <w:style w:type="character" w:customStyle="1" w:styleId="Heading6Char">
    <w:name w:val="Heading 6 Char"/>
    <w:basedOn w:val="DefaultParagraphFont"/>
    <w:link w:val="Heading6"/>
    <w:uiPriority w:val="9"/>
    <w:rPr>
      <w:rFonts w:asciiTheme="minorHAnsi" w:eastAsiaTheme="majorEastAsia" w:hAnsiTheme="minorHAnsi" w:cstheme="majorBidi"/>
      <w:i/>
      <w:sz w:val="22"/>
      <w:szCs w:val="22"/>
      <w:lang w:eastAsia="en-US"/>
    </w:rPr>
  </w:style>
  <w:style w:type="paragraph" w:styleId="Subtitle">
    <w:name w:val="Subtitle"/>
    <w:basedOn w:val="Heading1"/>
    <w:next w:val="Normal"/>
    <w:link w:val="SubtitleChar"/>
    <w:uiPriority w:val="23"/>
    <w:qFormat/>
    <w:pPr>
      <w:keepNext w:val="0"/>
      <w:keepLines w:val="0"/>
      <w:widowControl w:val="0"/>
      <w:spacing w:before="120" w:after="0"/>
      <w:contextualSpacing/>
    </w:pPr>
    <w:rPr>
      <w:rFonts w:eastAsiaTheme="minorHAnsi" w:cstheme="minorBidi"/>
      <w:b w:val="0"/>
      <w:color w:val="427BA1"/>
      <w:spacing w:val="5"/>
      <w:kern w:val="28"/>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427BA1"/>
      <w:spacing w:val="5"/>
      <w:kern w:val="28"/>
      <w:sz w:val="56"/>
      <w:szCs w:val="56"/>
      <w:lang w:eastAsia="en-US"/>
    </w:rPr>
  </w:style>
  <w:style w:type="paragraph" w:styleId="Revision">
    <w:name w:val="Revision"/>
    <w:hidden/>
    <w:uiPriority w:val="99"/>
    <w:semiHidden/>
    <w:rPr>
      <w:rFonts w:eastAsiaTheme="minorHAnsi" w:cstheme="minorBidi"/>
      <w:sz w:val="22"/>
      <w:szCs w:val="22"/>
      <w:lang w:eastAsia="en-US"/>
    </w:rPr>
  </w:style>
  <w:style w:type="paragraph" w:customStyle="1" w:styleId="Documenttype">
    <w:name w:val="Document type"/>
    <w:basedOn w:val="Normal"/>
    <w:qFormat/>
    <w:pPr>
      <w:spacing w:before="360" w:after="0"/>
    </w:pPr>
    <w:rPr>
      <w:color w:val="427BA1"/>
      <w:sz w:val="36"/>
    </w:rPr>
  </w:style>
  <w:style w:type="paragraph" w:customStyle="1" w:styleId="Publicationdate">
    <w:name w:val="Publication date"/>
    <w:basedOn w:val="Normal"/>
    <w:qFormat/>
    <w:rPr>
      <w:color w:val="666C60"/>
      <w:sz w:val="28"/>
    </w:rPr>
  </w:style>
  <w:style w:type="paragraph" w:customStyle="1" w:styleId="TOCHeading2">
    <w:name w:val="TOC Heading 2"/>
    <w:next w:val="Normal"/>
    <w:uiPriority w:val="39"/>
    <w:rPr>
      <w:rFonts w:ascii="Calibri" w:eastAsiaTheme="majorEastAsia" w:hAnsi="Calibri" w:cstheme="majorBidi"/>
      <w:bCs/>
      <w:color w:val="427BA1"/>
      <w:sz w:val="36"/>
      <w:szCs w:val="28"/>
      <w:lang w:val="en-US" w:eastAsia="en-US"/>
    </w:rPr>
  </w:style>
  <w:style w:type="numbering" w:customStyle="1" w:styleId="Style1">
    <w:name w:val="Style1"/>
    <w:uiPriority w:val="99"/>
    <w:pPr>
      <w:numPr>
        <w:numId w:val="13"/>
      </w:numPr>
    </w:pPr>
  </w:style>
  <w:style w:type="character" w:customStyle="1" w:styleId="Heading8Char">
    <w:name w:val="Heading 8 Char"/>
    <w:basedOn w:val="DefaultParagraphFont"/>
    <w:link w:val="Heading8"/>
    <w:uiPriority w:val="9"/>
    <w:semiHidden/>
    <w:rPr>
      <w:rFonts w:asciiTheme="minorHAnsi" w:eastAsiaTheme="majorEastAsia" w:hAnsiTheme="minorHAnsi" w:cstheme="majorBidi"/>
      <w:color w:val="272727" w:themeColor="text1" w:themeTint="D8"/>
      <w:sz w:val="21"/>
      <w:szCs w:val="21"/>
      <w:lang w:eastAsia="en-US"/>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Theme="minorHAnsi" w:eastAsiaTheme="minorHAnsi" w:hAnsiTheme="minorHAnsi" w:cstheme="minorBidi"/>
      <w:i/>
      <w:iCs/>
      <w:color w:val="4F81BD" w:themeColor="accent1"/>
      <w:sz w:val="22"/>
      <w:szCs w:val="22"/>
      <w:lang w:eastAsia="en-US"/>
    </w:rPr>
  </w:style>
  <w:style w:type="paragraph" w:customStyle="1" w:styleId="Figurecaption">
    <w:name w:val="Figure caption"/>
    <w:basedOn w:val="Normal"/>
    <w:link w:val="FigurecaptionChar"/>
    <w:qFormat/>
    <w:rsid w:val="001303C0"/>
    <w:pPr>
      <w:spacing w:before="120"/>
      <w:ind w:left="799" w:hanging="799"/>
      <w:jc w:val="center"/>
    </w:pPr>
    <w:rPr>
      <w:rFonts w:ascii="Myriad Pro" w:eastAsiaTheme="minorEastAsia" w:hAnsi="Myriad Pro"/>
      <w:sz w:val="18"/>
      <w:szCs w:val="18"/>
      <w:lang w:bidi="en-US"/>
    </w:rPr>
  </w:style>
  <w:style w:type="character" w:customStyle="1" w:styleId="FigurecaptionChar">
    <w:name w:val="Figure caption Char"/>
    <w:basedOn w:val="DefaultParagraphFont"/>
    <w:link w:val="Figurecaption"/>
    <w:rsid w:val="001303C0"/>
    <w:rPr>
      <w:rFonts w:ascii="Myriad Pro" w:eastAsiaTheme="minorEastAsia" w:hAnsi="Myriad Pro" w:cstheme="minorBidi"/>
      <w:sz w:val="18"/>
      <w:szCs w:val="18"/>
      <w:lang w:eastAsia="en-US" w:bidi="en-US"/>
    </w:rPr>
  </w:style>
  <w:style w:type="paragraph" w:customStyle="1" w:styleId="Table1caption">
    <w:name w:val="Table 1 caption"/>
    <w:basedOn w:val="Normal"/>
    <w:link w:val="Table1captionChar"/>
    <w:qFormat/>
    <w:rsid w:val="00167FF3"/>
    <w:pPr>
      <w:spacing w:before="200" w:after="120"/>
      <w:jc w:val="both"/>
    </w:pPr>
    <w:rPr>
      <w:rFonts w:ascii="Myriad Pro" w:eastAsiaTheme="minorEastAsia" w:hAnsi="Myriad Pro" w:cstheme="minorHAnsi"/>
      <w:b/>
      <w:sz w:val="18"/>
      <w:szCs w:val="18"/>
      <w:lang w:val="en-US" w:bidi="en-US"/>
    </w:rPr>
  </w:style>
  <w:style w:type="character" w:customStyle="1" w:styleId="Table1captionChar">
    <w:name w:val="Table 1 caption Char"/>
    <w:basedOn w:val="DefaultParagraphFont"/>
    <w:link w:val="Table1caption"/>
    <w:rsid w:val="00167FF3"/>
    <w:rPr>
      <w:rFonts w:ascii="Myriad Pro" w:eastAsiaTheme="minorEastAsia" w:hAnsi="Myriad Pro" w:cstheme="minorHAnsi"/>
      <w:b/>
      <w:sz w:val="18"/>
      <w:szCs w:val="18"/>
      <w:lang w:val="en-US" w:eastAsia="en-US" w:bidi="en-US"/>
    </w:rPr>
  </w:style>
  <w:style w:type="character" w:customStyle="1" w:styleId="st1">
    <w:name w:val="st1"/>
    <w:basedOn w:val="DefaultParagraphFont"/>
    <w:rsid w:val="00E772D0"/>
  </w:style>
  <w:style w:type="paragraph" w:styleId="FootnoteText">
    <w:name w:val="footnote text"/>
    <w:basedOn w:val="Normal"/>
    <w:link w:val="FootnoteTextChar"/>
    <w:uiPriority w:val="99"/>
    <w:semiHidden/>
    <w:unhideWhenUsed/>
    <w:rsid w:val="003245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458B"/>
    <w:rPr>
      <w:rFonts w:asciiTheme="minorHAnsi" w:eastAsiaTheme="minorHAnsi" w:hAnsiTheme="minorHAnsi" w:cstheme="minorBidi"/>
      <w:lang w:eastAsia="en-US"/>
    </w:rPr>
  </w:style>
  <w:style w:type="character" w:customStyle="1" w:styleId="UnresolvedMention1">
    <w:name w:val="Unresolved Mention1"/>
    <w:basedOn w:val="DefaultParagraphFont"/>
    <w:uiPriority w:val="99"/>
    <w:semiHidden/>
    <w:unhideWhenUsed/>
    <w:rsid w:val="0070759A"/>
    <w:rPr>
      <w:color w:val="605E5C"/>
      <w:shd w:val="clear" w:color="auto" w:fill="E1DFDD"/>
    </w:rPr>
  </w:style>
  <w:style w:type="character" w:customStyle="1" w:styleId="UnresolvedMention2">
    <w:name w:val="Unresolved Mention2"/>
    <w:basedOn w:val="DefaultParagraphFont"/>
    <w:uiPriority w:val="99"/>
    <w:semiHidden/>
    <w:unhideWhenUsed/>
    <w:rsid w:val="007577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opyright@dcceew.gov.au" TargetMode="External"/><Relationship Id="rId18" Type="http://schemas.openxmlformats.org/officeDocument/2006/relationships/footer" Target="footer1.xml"/><Relationship Id="rId26" Type="http://schemas.openxmlformats.org/officeDocument/2006/relationships/footer" Target="footer2.xml"/><Relationship Id="rId39" Type="http://schemas.openxmlformats.org/officeDocument/2006/relationships/theme" Target="theme/theme1.xml"/><Relationship Id="rId21" Type="http://schemas.openxmlformats.org/officeDocument/2006/relationships/hyperlink" Target="http://www.waterquality.gov.au/sites/default/files/documents/BPA-marine-DGVs-data%20entry.xlsx" TargetMode="External"/><Relationship Id="rId34" Type="http://schemas.openxmlformats.org/officeDocument/2006/relationships/hyperlink" Target="https://www.canada.ca/en/environment-climate-change/services/evaluating-existing-substances/federal-environmental-quality-guidelines-bisphenol-a.html" TargetMode="External"/><Relationship Id="rId7" Type="http://schemas.openxmlformats.org/officeDocument/2006/relationships/settings" Target="settings.xml"/><Relationship Id="rId12" Type="http://schemas.openxmlformats.org/officeDocument/2006/relationships/hyperlink" Target="https://creativecommons.org/licenses/by/4.0/" TargetMode="External"/><Relationship Id="rId17" Type="http://schemas.openxmlformats.org/officeDocument/2006/relationships/header" Target="header1.xml"/><Relationship Id="rId25" Type="http://schemas.openxmlformats.org/officeDocument/2006/relationships/header" Target="header4.xml"/><Relationship Id="rId33" Type="http://schemas.openxmlformats.org/officeDocument/2006/relationships/hyperlink" Target="https://ec.europa.eu/jrc/en/publication/eur-scientific-and-technical-research-reports/european-union-risk-assessment-report-bisphenol-cas-no-80-05-7-einecs-no-201-245-8"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www.waterquality.gov.au/sites/default/files/documents/BPA-marine-DGVs-data-quality-assessment.xls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32" Type="http://schemas.openxmlformats.org/officeDocument/2006/relationships/hyperlink" Target="https://www.waterquality.gov.au/anz-guidelines"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waterquality@dcceew.gov.au" TargetMode="External"/><Relationship Id="rId23" Type="http://schemas.openxmlformats.org/officeDocument/2006/relationships/hyperlink" Target="https://www.waterquality.gov.au/anz-guidelines/guideline-values/default/water-quality-toxicants/local-conditions" TargetMode="External"/><Relationship Id="rId28" Type="http://schemas.openxmlformats.org/officeDocument/2006/relationships/header" Target="header6.xml"/><Relationship Id="rId36"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aterquality.gov.au/anz-guidelines/guideline-values/default/water-quality-toxicants/toxicants" TargetMode="External"/><Relationship Id="rId22" Type="http://schemas.openxmlformats.org/officeDocument/2006/relationships/image" Target="media/image4.emf"/><Relationship Id="rId27" Type="http://schemas.openxmlformats.org/officeDocument/2006/relationships/header" Target="header5.xml"/><Relationship Id="rId30" Type="http://schemas.openxmlformats.org/officeDocument/2006/relationships/image" Target="media/image5.emf"/><Relationship Id="rId35" Type="http://schemas.openxmlformats.org/officeDocument/2006/relationships/hyperlink" Target="http://www.opc.ca.gov/webmaster/ftp/project_pages/MarineDebris_OEHHA_ToxProfiles/Bisphenol%20A%20Final.pdf"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0CCC024575420DB346A2897E1BFAA1"/>
        <w:category>
          <w:name w:val="General"/>
          <w:gallery w:val="placeholder"/>
        </w:category>
        <w:types>
          <w:type w:val="bbPlcHdr"/>
        </w:types>
        <w:behaviors>
          <w:behavior w:val="content"/>
        </w:behaviors>
        <w:guid w:val="{59AC9F7E-4FA2-490F-98B6-D985F0F8EDE1}"/>
      </w:docPartPr>
      <w:docPartBody>
        <w:p w:rsidR="00B7057B" w:rsidRDefault="00F500EE" w:rsidP="00B7057B">
          <w:pPr>
            <w:pStyle w:val="B20CCC024575420DB346A2897E1BFAA1"/>
          </w:pPr>
          <w:r w:rsidRPr="00BE52A7">
            <w:rPr>
              <w:rStyle w:val="PlaceholderText"/>
            </w:rPr>
            <w:t>Click here to enter text.</w:t>
          </w:r>
        </w:p>
      </w:docPartBody>
    </w:docPart>
    <w:docPart>
      <w:docPartPr>
        <w:name w:val="F43D6C20AB6646BEA35AD382C40FEC30"/>
        <w:category>
          <w:name w:val="General"/>
          <w:gallery w:val="placeholder"/>
        </w:category>
        <w:types>
          <w:type w:val="bbPlcHdr"/>
        </w:types>
        <w:behaviors>
          <w:behavior w:val="content"/>
        </w:behaviors>
        <w:guid w:val="{0BB81CA2-41C0-4595-A586-CE4CF0A6F9F2}"/>
      </w:docPartPr>
      <w:docPartBody>
        <w:p w:rsidR="00EA62C5" w:rsidRDefault="00F500EE" w:rsidP="00DF70C3">
          <w:pPr>
            <w:pStyle w:val="F43D6C20AB6646BEA35AD382C40FEC30"/>
          </w:pPr>
          <w:r w:rsidRPr="00BE52A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057B"/>
    <w:rsid w:val="000438D8"/>
    <w:rsid w:val="000C7A72"/>
    <w:rsid w:val="0026230E"/>
    <w:rsid w:val="00283848"/>
    <w:rsid w:val="002C037C"/>
    <w:rsid w:val="00344B1D"/>
    <w:rsid w:val="0036062A"/>
    <w:rsid w:val="003B0707"/>
    <w:rsid w:val="00403630"/>
    <w:rsid w:val="004172C8"/>
    <w:rsid w:val="005133E6"/>
    <w:rsid w:val="005530C6"/>
    <w:rsid w:val="0056411B"/>
    <w:rsid w:val="00565721"/>
    <w:rsid w:val="00581994"/>
    <w:rsid w:val="005966DF"/>
    <w:rsid w:val="005A094A"/>
    <w:rsid w:val="005E71EA"/>
    <w:rsid w:val="00640200"/>
    <w:rsid w:val="006B49E1"/>
    <w:rsid w:val="006C3EB6"/>
    <w:rsid w:val="006F5204"/>
    <w:rsid w:val="00737A69"/>
    <w:rsid w:val="00750303"/>
    <w:rsid w:val="00753AED"/>
    <w:rsid w:val="007D37CF"/>
    <w:rsid w:val="007E1690"/>
    <w:rsid w:val="00835699"/>
    <w:rsid w:val="00850EAC"/>
    <w:rsid w:val="00904960"/>
    <w:rsid w:val="00906859"/>
    <w:rsid w:val="00952C6D"/>
    <w:rsid w:val="0096296F"/>
    <w:rsid w:val="00970EE3"/>
    <w:rsid w:val="009A1E53"/>
    <w:rsid w:val="009C746D"/>
    <w:rsid w:val="00A70296"/>
    <w:rsid w:val="00AD1B5B"/>
    <w:rsid w:val="00B221EB"/>
    <w:rsid w:val="00B24CC4"/>
    <w:rsid w:val="00B5770F"/>
    <w:rsid w:val="00B606B1"/>
    <w:rsid w:val="00B7057B"/>
    <w:rsid w:val="00B90CBA"/>
    <w:rsid w:val="00D7410C"/>
    <w:rsid w:val="00D77ABC"/>
    <w:rsid w:val="00DB37E9"/>
    <w:rsid w:val="00DE15B8"/>
    <w:rsid w:val="00DF70C3"/>
    <w:rsid w:val="00E15F0E"/>
    <w:rsid w:val="00E9304C"/>
    <w:rsid w:val="00EA62C5"/>
    <w:rsid w:val="00EF657D"/>
    <w:rsid w:val="00F077D0"/>
    <w:rsid w:val="00F25238"/>
    <w:rsid w:val="00F500EE"/>
    <w:rsid w:val="00F65BB0"/>
    <w:rsid w:val="00F83F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70C3"/>
    <w:rPr>
      <w:color w:val="808080"/>
    </w:rPr>
  </w:style>
  <w:style w:type="paragraph" w:customStyle="1" w:styleId="B20CCC024575420DB346A2897E1BFAA1">
    <w:name w:val="B20CCC024575420DB346A2897E1BFAA1"/>
    <w:rsid w:val="00B7057B"/>
  </w:style>
  <w:style w:type="paragraph" w:customStyle="1" w:styleId="F43D6C20AB6646BEA35AD382C40FEC30">
    <w:name w:val="F43D6C20AB6646BEA35AD382C40FEC30"/>
    <w:rsid w:val="00DF70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A4F77836BB3D4E8942C3BA8310D952" ma:contentTypeVersion="13" ma:contentTypeDescription="Create a new document." ma:contentTypeScope="" ma:versionID="c5cad13b6666b7852f4eaa8dcc206fb9">
  <xsd:schema xmlns:xsd="http://www.w3.org/2001/XMLSchema" xmlns:xs="http://www.w3.org/2001/XMLSchema" xmlns:p="http://schemas.microsoft.com/office/2006/metadata/properties" xmlns:ns2="b98728ac-f998-415c-abee-6b046fb1441e" xmlns:ns3="81c01dc6-2c49-4730-b140-874c95cac377" xmlns:ns4="d869c146-c82e-4435-92e4-da91542262fd" targetNamespace="http://schemas.microsoft.com/office/2006/metadata/properties" ma:root="true" ma:fieldsID="e9b090d71a2e5fb3627b9888c9f68a88" ns2:_="" ns3:_="" ns4:_="">
    <xsd:import namespace="b98728ac-f998-415c-abee-6b046fb1441e"/>
    <xsd:import namespace="81c01dc6-2c49-4730-b140-874c95cac377"/>
    <xsd:import namespace="d869c146-c82e-4435-92e4-da91542262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4:SharedWithUsers" minOccurs="0"/>
                <xsd:element ref="ns4: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36b5be2-cf4e-43ec-8734-a0fb5251e776}" ma:internalName="TaxCatchAll" ma:showField="CatchAllData" ma:web="d869c146-c82e-4435-92e4-da91542262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lcf76f155ced4ddcb4097134ff3c332f xmlns="b98728ac-f998-415c-abee-6b046fb1441e">
      <Terms xmlns="http://schemas.microsoft.com/office/infopath/2007/PartnerControls"/>
    </lcf76f155ced4ddcb4097134ff3c332f>
    <TaxCatchAll xmlns="81c01dc6-2c49-4730-b140-874c95cac377"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AFF9F2-B553-40B8-AE51-8E46304031DB}">
  <ds:schemaRefs>
    <ds:schemaRef ds:uri="http://schemas.microsoft.com/sharepoint/v3/contenttype/forms"/>
  </ds:schemaRefs>
</ds:datastoreItem>
</file>

<file path=customXml/itemProps2.xml><?xml version="1.0" encoding="utf-8"?>
<ds:datastoreItem xmlns:ds="http://schemas.openxmlformats.org/officeDocument/2006/customXml" ds:itemID="{044BC550-1394-4F9C-9E38-5308B2F07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8728ac-f998-415c-abee-6b046fb1441e"/>
    <ds:schemaRef ds:uri="81c01dc6-2c49-4730-b140-874c95cac377"/>
    <ds:schemaRef ds:uri="d869c146-c82e-4435-92e4-da91542262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D323EF-822C-4E4A-9DA5-304476EA7B2B}">
  <ds:schemaRefs>
    <ds:schemaRef ds:uri="http://purl.org/dc/terms/"/>
    <ds:schemaRef ds:uri="http://purl.org/dc/dcmitype/"/>
    <ds:schemaRef ds:uri="http://schemas.microsoft.com/office/2006/documentManagement/types"/>
    <ds:schemaRef ds:uri="81c01dc6-2c49-4730-b140-874c95cac377"/>
    <ds:schemaRef ds:uri="http://purl.org/dc/elements/1.1/"/>
    <ds:schemaRef ds:uri="http://schemas.microsoft.com/office/2006/metadata/properties"/>
    <ds:schemaRef ds:uri="http://www.w3.org/XML/1998/namespace"/>
    <ds:schemaRef ds:uri="b98728ac-f998-415c-abee-6b046fb1441e"/>
    <ds:schemaRef ds:uri="http://schemas.microsoft.com/office/infopath/2007/PartnerControls"/>
    <ds:schemaRef ds:uri="http://schemas.openxmlformats.org/package/2006/metadata/core-properties"/>
    <ds:schemaRef ds:uri="d869c146-c82e-4435-92e4-da91542262fd"/>
  </ds:schemaRefs>
</ds:datastoreItem>
</file>

<file path=customXml/itemProps4.xml><?xml version="1.0" encoding="utf-8"?>
<ds:datastoreItem xmlns:ds="http://schemas.openxmlformats.org/officeDocument/2006/customXml" ds:itemID="{A50F946D-8054-45ED-BB34-08AB07C60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7477</Words>
  <Characters>42620</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Bisphenol A in marine water - Technical brief</vt:lpstr>
    </vt:vector>
  </TitlesOfParts>
  <Company/>
  <LinksUpToDate>false</LinksUpToDate>
  <CharactersWithSpaces>49998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Bisphenol A in marine water - Technical brief</dc:title>
  <dc:creator>Water Quality Australia</dc:creator>
  <cp:lastModifiedBy>Nguyen, Lien</cp:lastModifiedBy>
  <cp:revision>5</cp:revision>
  <cp:lastPrinted>2023-07-06T05:43:00Z</cp:lastPrinted>
  <dcterms:created xsi:type="dcterms:W3CDTF">2023-07-14T02:02:00Z</dcterms:created>
  <dcterms:modified xsi:type="dcterms:W3CDTF">2023-07-17T03:04:00Z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0x010100E3A4F77836BB3D4E8942C3BA8310D952</vt:lpwstr>
  </property>
</Properties>
</file>