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4F57C" w14:textId="3024A130" w:rsidR="001C0D1C" w:rsidRPr="004640C1" w:rsidRDefault="004D52CE" w:rsidP="004640C1">
      <w:pPr>
        <w:pStyle w:val="Heading1"/>
      </w:pPr>
      <w:r w:rsidRPr="004640C1">
        <w:t>Toxicant default guideline values for aquatic ecosystem protection</w:t>
      </w:r>
    </w:p>
    <w:p w14:paraId="524A81B3" w14:textId="4D1DAFDD" w:rsidR="001C0D1C" w:rsidRPr="004640C1" w:rsidRDefault="00B150FB" w:rsidP="004640C1">
      <w:pPr>
        <w:pStyle w:val="Subtitle"/>
      </w:pPr>
      <w:r w:rsidRPr="004640C1">
        <w:t>Chlorine</w:t>
      </w:r>
      <w:r w:rsidR="00EE7040" w:rsidRPr="004640C1">
        <w:t xml:space="preserve"> </w:t>
      </w:r>
      <w:r w:rsidR="004D52CE" w:rsidRPr="004640C1">
        <w:t xml:space="preserve">in </w:t>
      </w:r>
      <w:r w:rsidR="00B87CBA" w:rsidRPr="004640C1">
        <w:t xml:space="preserve">marine </w:t>
      </w:r>
      <w:r w:rsidR="004D52CE" w:rsidRPr="004640C1">
        <w:t>water</w:t>
      </w:r>
    </w:p>
    <w:p w14:paraId="0F5E9269" w14:textId="54247ED7" w:rsidR="001C0D1C" w:rsidRDefault="004D52CE">
      <w:pPr>
        <w:pStyle w:val="Documenttype"/>
      </w:pPr>
      <w:r>
        <w:t>Technical brief</w:t>
      </w:r>
    </w:p>
    <w:p w14:paraId="3A238C94" w14:textId="738A994C" w:rsidR="001C0D1C" w:rsidRPr="002C2B6E" w:rsidRDefault="002C2B6E">
      <w:pPr>
        <w:pStyle w:val="Publicationdate"/>
      </w:pPr>
      <w:r w:rsidRPr="002C2B6E">
        <w:t>February</w:t>
      </w:r>
      <w:r w:rsidR="00AB6BAE" w:rsidRPr="002C2B6E">
        <w:t xml:space="preserve"> </w:t>
      </w:r>
      <w:r w:rsidR="004F2FCD" w:rsidRPr="002C2B6E">
        <w:t>202</w:t>
      </w:r>
      <w:r w:rsidR="001D49C4" w:rsidRPr="002C2B6E">
        <w:t>5</w:t>
      </w:r>
    </w:p>
    <w:p w14:paraId="00D4D9B8" w14:textId="77777777" w:rsidR="001C0D1C" w:rsidRDefault="00E55B1C">
      <w:pPr>
        <w:spacing w:after="0" w:line="240" w:lineRule="auto"/>
        <w:rPr>
          <w:noProof/>
          <w:lang w:eastAsia="en-AU"/>
        </w:rPr>
      </w:pPr>
      <w:r>
        <w:br w:type="page"/>
      </w:r>
    </w:p>
    <w:p w14:paraId="00B1140E" w14:textId="0A8416FD" w:rsidR="001C0D1C" w:rsidRDefault="00E55B1C">
      <w:pPr>
        <w:rPr>
          <w:sz w:val="18"/>
          <w:szCs w:val="18"/>
        </w:rPr>
      </w:pPr>
      <w:r>
        <w:rPr>
          <w:sz w:val="18"/>
          <w:szCs w:val="18"/>
        </w:rPr>
        <w:lastRenderedPageBreak/>
        <w:t xml:space="preserve">© Commonwealth of Australia </w:t>
      </w:r>
      <w:r w:rsidR="00B20651">
        <w:rPr>
          <w:sz w:val="18"/>
          <w:szCs w:val="18"/>
        </w:rPr>
        <w:t>202</w:t>
      </w:r>
      <w:r w:rsidR="001D49C4">
        <w:rPr>
          <w:sz w:val="18"/>
          <w:szCs w:val="18"/>
        </w:rPr>
        <w:t>5</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Default="00B151F6" w:rsidP="00B151F6">
      <w:pPr>
        <w:rPr>
          <w:sz w:val="18"/>
          <w:szCs w:val="18"/>
        </w:rPr>
      </w:pPr>
      <w:r>
        <w:rPr>
          <w:noProof/>
          <w:sz w:val="18"/>
          <w:szCs w:val="18"/>
          <w:lang w:eastAsia="en-AU"/>
        </w:rPr>
        <w:drawing>
          <wp:anchor distT="0" distB="0" distL="114300" distR="114300" simplePos="0" relativeHeight="251658240" behindDoc="0" locked="0" layoutInCell="1" allowOverlap="1" wp14:anchorId="3297F2F5" wp14:editId="0A506425">
            <wp:simplePos x="923925" y="240030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4" w:history="1">
        <w:r>
          <w:rPr>
            <w:rStyle w:val="Hyperlink"/>
            <w:sz w:val="18"/>
            <w:szCs w:val="18"/>
          </w:rPr>
          <w:t>summary of the licence terms</w:t>
        </w:r>
      </w:hyperlink>
      <w:r>
        <w:rPr>
          <w:sz w:val="18"/>
          <w:szCs w:val="18"/>
        </w:rPr>
        <w:t xml:space="preserve"> or the </w:t>
      </w:r>
      <w:hyperlink r:id="rId15" w:history="1">
        <w:r>
          <w:rPr>
            <w:rStyle w:val="Hyperlink"/>
            <w:sz w:val="18"/>
            <w:szCs w:val="18"/>
          </w:rPr>
          <w:t>full licence terms</w:t>
        </w:r>
      </w:hyperlink>
      <w:r>
        <w:rPr>
          <w:sz w:val="18"/>
          <w:szCs w:val="18"/>
        </w:rPr>
        <w:t>.</w:t>
      </w:r>
    </w:p>
    <w:p w14:paraId="44635A9C" w14:textId="3F6A6A24" w:rsidR="00B151F6" w:rsidRDefault="00B151F6" w:rsidP="00B151F6">
      <w:pPr>
        <w:rPr>
          <w:sz w:val="18"/>
          <w:szCs w:val="18"/>
        </w:rPr>
      </w:pPr>
      <w:r>
        <w:rPr>
          <w:sz w:val="18"/>
          <w:szCs w:val="18"/>
        </w:rPr>
        <w:t xml:space="preserve">Inquiries about the licence and any use of this document should be emailed to </w:t>
      </w:r>
      <w:hyperlink r:id="rId16" w:history="1">
        <w:r w:rsidR="00DE47F1" w:rsidRPr="00D265E7">
          <w:rPr>
            <w:rStyle w:val="Hyperlink"/>
            <w:sz w:val="18"/>
            <w:szCs w:val="18"/>
          </w:rPr>
          <w:t>copyright@dcceew.gov.au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25B3A282" w:rsidR="00B151F6" w:rsidRDefault="00E55B1C"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B20651">
        <w:rPr>
          <w:sz w:val="18"/>
          <w:szCs w:val="18"/>
        </w:rPr>
        <w:t>202</w:t>
      </w:r>
      <w:r w:rsidR="008B10CF">
        <w:rPr>
          <w:sz w:val="18"/>
          <w:szCs w:val="18"/>
        </w:rPr>
        <w:t>5</w:t>
      </w:r>
      <w:r>
        <w:rPr>
          <w:sz w:val="18"/>
          <w:szCs w:val="18"/>
        </w:rPr>
        <w:t>,</w:t>
      </w:r>
      <w:r w:rsidR="00DF1801">
        <w:rPr>
          <w:sz w:val="18"/>
          <w:szCs w:val="18"/>
        </w:rPr>
        <w:t xml:space="preserve"> </w:t>
      </w:r>
      <w:r w:rsidR="00B151F6">
        <w:rPr>
          <w:i/>
          <w:sz w:val="18"/>
          <w:szCs w:val="18"/>
        </w:rPr>
        <w:t xml:space="preserve">Toxicant default guideline values for aquatic ecosystem protection: </w:t>
      </w:r>
      <w:r w:rsidR="00B150FB">
        <w:rPr>
          <w:i/>
          <w:sz w:val="18"/>
          <w:szCs w:val="18"/>
        </w:rPr>
        <w:t xml:space="preserve">Chlorine </w:t>
      </w:r>
      <w:r w:rsidR="00B87CBA">
        <w:rPr>
          <w:i/>
          <w:sz w:val="18"/>
          <w:szCs w:val="18"/>
        </w:rPr>
        <w:t>in marine wat</w:t>
      </w:r>
      <w:r w:rsidR="00B151F6">
        <w:rPr>
          <w:i/>
          <w:sz w:val="18"/>
          <w:szCs w:val="18"/>
        </w:rPr>
        <w:t xml:space="preserve">er. </w:t>
      </w:r>
      <w:r w:rsidR="00343147">
        <w:rPr>
          <w:sz w:val="18"/>
          <w:szCs w:val="18"/>
        </w:rPr>
        <w:t>Australian and New Zealand Guidelines for Fresh and Marine Water Quality.</w:t>
      </w:r>
      <w:r w:rsidR="00343147" w:rsidRPr="00D47CA4">
        <w:rPr>
          <w:sz w:val="18"/>
          <w:szCs w:val="18"/>
        </w:rPr>
        <w:t xml:space="preserve"> </w:t>
      </w:r>
      <w:r w:rsidR="00B151F6" w:rsidRPr="00D47CA4">
        <w:rPr>
          <w:sz w:val="18"/>
          <w:szCs w:val="18"/>
        </w:rPr>
        <w:t>CC BY 4.0. Australian and New Zealand Governments and Australian state and territory governments, Canberra, ACT, Australia</w:t>
      </w:r>
      <w:r w:rsidR="00B151F6">
        <w:rPr>
          <w:sz w:val="18"/>
          <w:szCs w:val="18"/>
        </w:rPr>
        <w:t>.</w:t>
      </w:r>
    </w:p>
    <w:p w14:paraId="5AD69391" w14:textId="77777777" w:rsidR="00B151F6" w:rsidRDefault="00B151F6" w:rsidP="00B151F6">
      <w:pPr>
        <w:rPr>
          <w:sz w:val="18"/>
          <w:szCs w:val="18"/>
        </w:rPr>
      </w:pPr>
      <w:r>
        <w:rPr>
          <w:sz w:val="18"/>
          <w:szCs w:val="18"/>
        </w:rPr>
        <w:t xml:space="preserve">This publication is available at </w:t>
      </w:r>
      <w:hyperlink r:id="rId17"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66EB3F64" w14:textId="1A46CA10" w:rsidR="00824850" w:rsidRDefault="00E55B1C" w:rsidP="00824850">
      <w:pPr>
        <w:spacing w:after="0"/>
        <w:rPr>
          <w:b/>
          <w:sz w:val="18"/>
          <w:szCs w:val="18"/>
        </w:rPr>
      </w:pPr>
      <w:r>
        <w:rPr>
          <w:sz w:val="18"/>
          <w:szCs w:val="18"/>
        </w:rPr>
        <w:t xml:space="preserve">Australian Government Department of </w:t>
      </w:r>
      <w:r w:rsidR="00814A4E">
        <w:rPr>
          <w:sz w:val="18"/>
          <w:szCs w:val="18"/>
        </w:rPr>
        <w:t>Climate Change, Energy, the Environment and Water</w:t>
      </w:r>
    </w:p>
    <w:p w14:paraId="2C59091B" w14:textId="69EBDF01" w:rsidR="001C0D1C" w:rsidRPr="00824850" w:rsidRDefault="00E55B1C" w:rsidP="00824850">
      <w:pPr>
        <w:spacing w:after="0"/>
        <w:rPr>
          <w:b/>
          <w:sz w:val="18"/>
          <w:szCs w:val="18"/>
        </w:rPr>
      </w:pPr>
      <w:r>
        <w:rPr>
          <w:sz w:val="18"/>
          <w:szCs w:val="18"/>
        </w:rPr>
        <w:t>GPO Box 858 Canberra ACT 2601</w:t>
      </w:r>
    </w:p>
    <w:p w14:paraId="6EBF1CEF" w14:textId="518DCF98" w:rsidR="001C0D1C" w:rsidRDefault="00DE47F1" w:rsidP="00824850">
      <w:pPr>
        <w:spacing w:after="0"/>
        <w:rPr>
          <w:sz w:val="18"/>
          <w:szCs w:val="18"/>
        </w:rPr>
      </w:pPr>
      <w:r>
        <w:rPr>
          <w:sz w:val="18"/>
          <w:szCs w:val="18"/>
        </w:rPr>
        <w:t>General enquiries:</w:t>
      </w:r>
      <w:r w:rsidR="00E55B1C">
        <w:rPr>
          <w:sz w:val="18"/>
          <w:szCs w:val="18"/>
        </w:rPr>
        <w:t xml:space="preserve"> 1800 9</w:t>
      </w:r>
      <w:r>
        <w:rPr>
          <w:sz w:val="18"/>
          <w:szCs w:val="18"/>
        </w:rPr>
        <w:t>20 528</w:t>
      </w:r>
    </w:p>
    <w:p w14:paraId="34C5EBA5" w14:textId="5571ACFE" w:rsidR="001C0D1C" w:rsidRDefault="00E55B1C" w:rsidP="00824850">
      <w:pPr>
        <w:spacing w:after="120"/>
        <w:rPr>
          <w:sz w:val="18"/>
          <w:szCs w:val="18"/>
        </w:rPr>
      </w:pPr>
      <w:r>
        <w:rPr>
          <w:sz w:val="18"/>
          <w:szCs w:val="18"/>
        </w:rPr>
        <w:t xml:space="preserve">Email </w:t>
      </w:r>
      <w:hyperlink r:id="rId18" w:history="1">
        <w:r w:rsidR="00DE47F1" w:rsidRPr="00D265E7">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20651">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D9B5F96" w14:textId="2220ED96" w:rsidR="001C0D1C"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343147">
        <w:rPr>
          <w:sz w:val="18"/>
          <w:szCs w:val="18"/>
        </w:rPr>
        <w:t>DGVs</w:t>
      </w:r>
      <w:r w:rsidR="001B1DB2">
        <w:rPr>
          <w:sz w:val="18"/>
          <w:szCs w:val="18"/>
        </w:rPr>
        <w:t>)</w:t>
      </w:r>
      <w:r>
        <w:rPr>
          <w:sz w:val="18"/>
          <w:szCs w:val="18"/>
        </w:rPr>
        <w:t xml:space="preserve"> were derived by </w:t>
      </w:r>
      <w:r w:rsidRPr="00EC2A20">
        <w:rPr>
          <w:sz w:val="18"/>
          <w:szCs w:val="18"/>
        </w:rPr>
        <w:t xml:space="preserve">Dr Graeme Batley </w:t>
      </w:r>
      <w:r w:rsidR="000C4C76">
        <w:rPr>
          <w:sz w:val="18"/>
          <w:szCs w:val="18"/>
        </w:rPr>
        <w:t>(</w:t>
      </w:r>
      <w:r w:rsidRPr="00EC2A20">
        <w:rPr>
          <w:sz w:val="18"/>
          <w:szCs w:val="18"/>
        </w:rPr>
        <w:t>CSIRO Land and Water</w:t>
      </w:r>
      <w:r w:rsidR="000C4C76">
        <w:rPr>
          <w:sz w:val="18"/>
          <w:szCs w:val="18"/>
        </w:rPr>
        <w:t>)</w:t>
      </w:r>
      <w:r w:rsidRPr="00EC2A20">
        <w:rPr>
          <w:sz w:val="18"/>
          <w:szCs w:val="18"/>
        </w:rPr>
        <w:t>.</w:t>
      </w:r>
      <w:r w:rsidR="001B1DB2">
        <w:rPr>
          <w:sz w:val="18"/>
          <w:szCs w:val="18"/>
        </w:rPr>
        <w:t xml:space="preserve"> The DGVs</w:t>
      </w:r>
      <w:r>
        <w:rPr>
          <w:sz w:val="18"/>
          <w:szCs w:val="18"/>
        </w:rPr>
        <w:t xml:space="preserve"> were peer reviewed by two anonymous reviewers and by contracted technical advisor</w:t>
      </w:r>
      <w:r w:rsidR="00153539">
        <w:rPr>
          <w:sz w:val="18"/>
          <w:szCs w:val="18"/>
        </w:rPr>
        <w:t>s</w:t>
      </w:r>
      <w:r>
        <w:rPr>
          <w:sz w:val="18"/>
          <w:szCs w:val="18"/>
        </w:rPr>
        <w:t xml:space="preserve"> Dr Rick van Dam</w:t>
      </w:r>
      <w:r w:rsidR="00153539">
        <w:rPr>
          <w:sz w:val="18"/>
          <w:szCs w:val="18"/>
        </w:rPr>
        <w:t xml:space="preserve"> and Dr Melanie Trenfield</w:t>
      </w:r>
      <w:r w:rsidR="00A817BE">
        <w:rPr>
          <w:sz w:val="18"/>
          <w:szCs w:val="18"/>
        </w:rPr>
        <w:t>.</w:t>
      </w:r>
      <w:r w:rsidR="00827B94">
        <w:rPr>
          <w:sz w:val="18"/>
          <w:szCs w:val="18"/>
        </w:rPr>
        <w:t xml:space="preserve"> </w:t>
      </w:r>
      <w:r w:rsidR="00CB4259">
        <w:rPr>
          <w:sz w:val="18"/>
          <w:szCs w:val="18"/>
        </w:rPr>
        <w:t>The DGVs have been reviewed and approved by jurisdictional technical and policy oversight groups.</w:t>
      </w:r>
      <w:r w:rsidR="00E55B1C">
        <w:rPr>
          <w:noProof/>
          <w:sz w:val="18"/>
          <w:szCs w:val="18"/>
          <w:lang w:eastAsia="en-AU"/>
        </w:rPr>
        <w:drawing>
          <wp:inline distT="0" distB="0" distL="0" distR="0" wp14:anchorId="21C06E27" wp14:editId="1F562133">
            <wp:extent cx="5759450" cy="2191873"/>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19">
                      <a:extLst>
                        <a:ext uri="{28A0092B-C50C-407E-A947-70E740481C1C}">
                          <a14:useLocalDpi xmlns:a14="http://schemas.microsoft.com/office/drawing/2010/main" val="0"/>
                        </a:ext>
                      </a:extLst>
                    </a:blip>
                    <a:srcRect t="3609"/>
                    <a:stretch/>
                  </pic:blipFill>
                  <pic:spPr bwMode="auto">
                    <a:xfrm>
                      <a:off x="0" y="0"/>
                      <a:ext cx="5759450" cy="2191873"/>
                    </a:xfrm>
                    <a:prstGeom prst="rect">
                      <a:avLst/>
                    </a:prstGeom>
                    <a:ln>
                      <a:noFill/>
                    </a:ln>
                    <a:extLst>
                      <a:ext uri="{53640926-AAD7-44D8-BBD7-CCE9431645EC}">
                        <a14:shadowObscured xmlns:a14="http://schemas.microsoft.com/office/drawing/2010/main"/>
                      </a:ext>
                    </a:extLst>
                  </pic:spPr>
                </pic:pic>
              </a:graphicData>
            </a:graphic>
          </wp:inline>
        </w:drawing>
      </w:r>
    </w:p>
    <w:p w14:paraId="4A316D6E" w14:textId="77777777" w:rsidR="001C0D1C" w:rsidRDefault="00E55B1C">
      <w:pPr>
        <w:pStyle w:val="TOCHeading"/>
      </w:pPr>
      <w:r>
        <w:lastRenderedPageBreak/>
        <w:t>Contents</w:t>
      </w:r>
    </w:p>
    <w:p w14:paraId="5D9B5A00" w14:textId="6B422378" w:rsidR="0066302C" w:rsidRDefault="00117FD8">
      <w:pPr>
        <w:pStyle w:val="TOC1"/>
        <w:rPr>
          <w:rFonts w:eastAsiaTheme="minorEastAsia"/>
          <w:b w:val="0"/>
          <w:kern w:val="2"/>
          <w:sz w:val="24"/>
          <w:szCs w:val="24"/>
          <w:lang w:eastAsia="en-AU"/>
          <w14:ligatures w14:val="standardContextual"/>
        </w:rPr>
      </w:pPr>
      <w:r>
        <w:rPr>
          <w:bCs/>
          <w:szCs w:val="24"/>
        </w:rPr>
        <w:fldChar w:fldCharType="begin"/>
      </w:r>
      <w:r>
        <w:rPr>
          <w:bCs/>
          <w:szCs w:val="24"/>
        </w:rPr>
        <w:instrText xml:space="preserve"> TOC \t "Heading 2,1,Heading 3,2" </w:instrText>
      </w:r>
      <w:r>
        <w:rPr>
          <w:bCs/>
          <w:szCs w:val="24"/>
        </w:rPr>
        <w:fldChar w:fldCharType="separate"/>
      </w:r>
      <w:r w:rsidR="0066302C">
        <w:t>Summary</w:t>
      </w:r>
      <w:r w:rsidR="0066302C">
        <w:tab/>
      </w:r>
      <w:r w:rsidR="0066302C">
        <w:fldChar w:fldCharType="begin"/>
      </w:r>
      <w:r w:rsidR="0066302C">
        <w:instrText xml:space="preserve"> PAGEREF _Toc189409333 \h </w:instrText>
      </w:r>
      <w:r w:rsidR="0066302C">
        <w:fldChar w:fldCharType="separate"/>
      </w:r>
      <w:r w:rsidR="003E6080">
        <w:t>v</w:t>
      </w:r>
      <w:r w:rsidR="0066302C">
        <w:fldChar w:fldCharType="end"/>
      </w:r>
    </w:p>
    <w:p w14:paraId="2BD89D73" w14:textId="3259DD23" w:rsidR="0066302C" w:rsidRDefault="0066302C">
      <w:pPr>
        <w:pStyle w:val="TOC1"/>
        <w:rPr>
          <w:rFonts w:eastAsiaTheme="minorEastAsia"/>
          <w:b w:val="0"/>
          <w:kern w:val="2"/>
          <w:sz w:val="24"/>
          <w:szCs w:val="24"/>
          <w:lang w:eastAsia="en-AU"/>
          <w14:ligatures w14:val="standardContextual"/>
        </w:rPr>
      </w:pPr>
      <w:r w:rsidRPr="006541C1">
        <w:t>1</w:t>
      </w:r>
      <w:r>
        <w:rPr>
          <w:rFonts w:eastAsiaTheme="minorEastAsia"/>
          <w:b w:val="0"/>
          <w:kern w:val="2"/>
          <w:sz w:val="24"/>
          <w:szCs w:val="24"/>
          <w:lang w:eastAsia="en-AU"/>
          <w14:ligatures w14:val="standardContextual"/>
        </w:rPr>
        <w:tab/>
      </w:r>
      <w:r>
        <w:t>Introduction</w:t>
      </w:r>
      <w:r>
        <w:tab/>
      </w:r>
      <w:r>
        <w:fldChar w:fldCharType="begin"/>
      </w:r>
      <w:r>
        <w:instrText xml:space="preserve"> PAGEREF _Toc189409334 \h </w:instrText>
      </w:r>
      <w:r>
        <w:fldChar w:fldCharType="separate"/>
      </w:r>
      <w:r w:rsidR="003E6080">
        <w:t>1</w:t>
      </w:r>
      <w:r>
        <w:fldChar w:fldCharType="end"/>
      </w:r>
    </w:p>
    <w:p w14:paraId="301D0A63" w14:textId="6175935B" w:rsidR="0066302C" w:rsidRDefault="0066302C">
      <w:pPr>
        <w:pStyle w:val="TOC1"/>
        <w:rPr>
          <w:rFonts w:eastAsiaTheme="minorEastAsia"/>
          <w:b w:val="0"/>
          <w:kern w:val="2"/>
          <w:sz w:val="24"/>
          <w:szCs w:val="24"/>
          <w:lang w:eastAsia="en-AU"/>
          <w14:ligatures w14:val="standardContextual"/>
        </w:rPr>
      </w:pPr>
      <w:r w:rsidRPr="006541C1">
        <w:t>2</w:t>
      </w:r>
      <w:r>
        <w:rPr>
          <w:rFonts w:eastAsiaTheme="minorEastAsia"/>
          <w:b w:val="0"/>
          <w:kern w:val="2"/>
          <w:sz w:val="24"/>
          <w:szCs w:val="24"/>
          <w:lang w:eastAsia="en-AU"/>
          <w14:ligatures w14:val="standardContextual"/>
        </w:rPr>
        <w:tab/>
      </w:r>
      <w:r>
        <w:t>Aquatic toxicology</w:t>
      </w:r>
      <w:r>
        <w:tab/>
      </w:r>
      <w:r>
        <w:fldChar w:fldCharType="begin"/>
      </w:r>
      <w:r>
        <w:instrText xml:space="preserve"> PAGEREF _Toc189409335 \h </w:instrText>
      </w:r>
      <w:r>
        <w:fldChar w:fldCharType="separate"/>
      </w:r>
      <w:r w:rsidR="003E6080">
        <w:t>3</w:t>
      </w:r>
      <w:r>
        <w:fldChar w:fldCharType="end"/>
      </w:r>
    </w:p>
    <w:p w14:paraId="652447FC" w14:textId="62F695C0" w:rsidR="0066302C" w:rsidRDefault="0066302C">
      <w:pPr>
        <w:pStyle w:val="TOC2"/>
        <w:tabs>
          <w:tab w:val="left" w:pos="960"/>
        </w:tabs>
        <w:rPr>
          <w:rFonts w:eastAsiaTheme="minorEastAsia"/>
          <w:kern w:val="2"/>
          <w:sz w:val="24"/>
          <w:szCs w:val="24"/>
          <w:lang w:eastAsia="en-AU"/>
          <w14:ligatures w14:val="standardContextual"/>
        </w:rPr>
      </w:pPr>
      <w:r>
        <w:t>2.1</w:t>
      </w:r>
      <w:r>
        <w:rPr>
          <w:rFonts w:eastAsiaTheme="minorEastAsia"/>
          <w:kern w:val="2"/>
          <w:sz w:val="24"/>
          <w:szCs w:val="24"/>
          <w:lang w:eastAsia="en-AU"/>
          <w14:ligatures w14:val="standardContextual"/>
        </w:rPr>
        <w:tab/>
      </w:r>
      <w:r>
        <w:t>Mechanism of toxicity</w:t>
      </w:r>
      <w:r>
        <w:tab/>
      </w:r>
      <w:r>
        <w:fldChar w:fldCharType="begin"/>
      </w:r>
      <w:r>
        <w:instrText xml:space="preserve"> PAGEREF _Toc189409336 \h </w:instrText>
      </w:r>
      <w:r>
        <w:fldChar w:fldCharType="separate"/>
      </w:r>
      <w:r w:rsidR="003E6080">
        <w:t>3</w:t>
      </w:r>
      <w:r>
        <w:fldChar w:fldCharType="end"/>
      </w:r>
    </w:p>
    <w:p w14:paraId="3BEA8E73" w14:textId="13219F64" w:rsidR="0066302C" w:rsidRDefault="0066302C">
      <w:pPr>
        <w:pStyle w:val="TOC2"/>
        <w:tabs>
          <w:tab w:val="left" w:pos="960"/>
        </w:tabs>
        <w:rPr>
          <w:rFonts w:eastAsiaTheme="minorEastAsia"/>
          <w:kern w:val="2"/>
          <w:sz w:val="24"/>
          <w:szCs w:val="24"/>
          <w:lang w:eastAsia="en-AU"/>
          <w14:ligatures w14:val="standardContextual"/>
        </w:rPr>
      </w:pPr>
      <w:r>
        <w:t>2.2</w:t>
      </w:r>
      <w:r>
        <w:rPr>
          <w:rFonts w:eastAsiaTheme="minorEastAsia"/>
          <w:kern w:val="2"/>
          <w:sz w:val="24"/>
          <w:szCs w:val="24"/>
          <w:lang w:eastAsia="en-AU"/>
          <w14:ligatures w14:val="standardContextual"/>
        </w:rPr>
        <w:tab/>
      </w:r>
      <w:r>
        <w:t>Toxicity</w:t>
      </w:r>
      <w:r>
        <w:tab/>
      </w:r>
      <w:r>
        <w:fldChar w:fldCharType="begin"/>
      </w:r>
      <w:r>
        <w:instrText xml:space="preserve"> PAGEREF _Toc189409337 \h </w:instrText>
      </w:r>
      <w:r>
        <w:fldChar w:fldCharType="separate"/>
      </w:r>
      <w:r w:rsidR="003E6080">
        <w:t>3</w:t>
      </w:r>
      <w:r>
        <w:fldChar w:fldCharType="end"/>
      </w:r>
    </w:p>
    <w:p w14:paraId="3067ADF1" w14:textId="09815490" w:rsidR="0066302C" w:rsidRDefault="0066302C">
      <w:pPr>
        <w:pStyle w:val="TOC1"/>
        <w:rPr>
          <w:rFonts w:eastAsiaTheme="minorEastAsia"/>
          <w:b w:val="0"/>
          <w:kern w:val="2"/>
          <w:sz w:val="24"/>
          <w:szCs w:val="24"/>
          <w:lang w:eastAsia="en-AU"/>
          <w14:ligatures w14:val="standardContextual"/>
        </w:rPr>
      </w:pPr>
      <w:r w:rsidRPr="006541C1">
        <w:t>3</w:t>
      </w:r>
      <w:r>
        <w:rPr>
          <w:rFonts w:eastAsiaTheme="minorEastAsia"/>
          <w:b w:val="0"/>
          <w:kern w:val="2"/>
          <w:sz w:val="24"/>
          <w:szCs w:val="24"/>
          <w:lang w:eastAsia="en-AU"/>
          <w14:ligatures w14:val="standardContextual"/>
        </w:rPr>
        <w:tab/>
      </w:r>
      <w:r>
        <w:t>Factors affecting toxicity</w:t>
      </w:r>
      <w:r>
        <w:tab/>
      </w:r>
      <w:r>
        <w:fldChar w:fldCharType="begin"/>
      </w:r>
      <w:r>
        <w:instrText xml:space="preserve"> PAGEREF _Toc189409338 \h </w:instrText>
      </w:r>
      <w:r>
        <w:fldChar w:fldCharType="separate"/>
      </w:r>
      <w:r w:rsidR="003E6080">
        <w:t>5</w:t>
      </w:r>
      <w:r>
        <w:fldChar w:fldCharType="end"/>
      </w:r>
    </w:p>
    <w:p w14:paraId="1488BA10" w14:textId="2AFCD2F4" w:rsidR="0066302C" w:rsidRDefault="0066302C">
      <w:pPr>
        <w:pStyle w:val="TOC1"/>
        <w:rPr>
          <w:rFonts w:eastAsiaTheme="minorEastAsia"/>
          <w:b w:val="0"/>
          <w:kern w:val="2"/>
          <w:sz w:val="24"/>
          <w:szCs w:val="24"/>
          <w:lang w:eastAsia="en-AU"/>
          <w14:ligatures w14:val="standardContextual"/>
        </w:rPr>
      </w:pPr>
      <w:r w:rsidRPr="006541C1">
        <w:t>4</w:t>
      </w:r>
      <w:r>
        <w:rPr>
          <w:rFonts w:eastAsiaTheme="minorEastAsia"/>
          <w:b w:val="0"/>
          <w:kern w:val="2"/>
          <w:sz w:val="24"/>
          <w:szCs w:val="24"/>
          <w:lang w:eastAsia="en-AU"/>
          <w14:ligatures w14:val="standardContextual"/>
        </w:rPr>
        <w:tab/>
      </w:r>
      <w:r>
        <w:t>Default guideline value derivation</w:t>
      </w:r>
      <w:r>
        <w:tab/>
      </w:r>
      <w:r>
        <w:fldChar w:fldCharType="begin"/>
      </w:r>
      <w:r>
        <w:instrText xml:space="preserve"> PAGEREF _Toc189409339 \h </w:instrText>
      </w:r>
      <w:r>
        <w:fldChar w:fldCharType="separate"/>
      </w:r>
      <w:r w:rsidR="003E6080">
        <w:t>6</w:t>
      </w:r>
      <w:r>
        <w:fldChar w:fldCharType="end"/>
      </w:r>
    </w:p>
    <w:p w14:paraId="5C56C48A" w14:textId="63F58B69" w:rsidR="0066302C" w:rsidRDefault="0066302C">
      <w:pPr>
        <w:pStyle w:val="TOC2"/>
        <w:tabs>
          <w:tab w:val="left" w:pos="960"/>
        </w:tabs>
        <w:rPr>
          <w:rFonts w:eastAsiaTheme="minorEastAsia"/>
          <w:kern w:val="2"/>
          <w:sz w:val="24"/>
          <w:szCs w:val="24"/>
          <w:lang w:eastAsia="en-AU"/>
          <w14:ligatures w14:val="standardContextual"/>
        </w:rPr>
      </w:pPr>
      <w:r>
        <w:t>4.1</w:t>
      </w:r>
      <w:r>
        <w:rPr>
          <w:rFonts w:eastAsiaTheme="minorEastAsia"/>
          <w:kern w:val="2"/>
          <w:sz w:val="24"/>
          <w:szCs w:val="24"/>
          <w:lang w:eastAsia="en-AU"/>
          <w14:ligatures w14:val="standardContextual"/>
        </w:rPr>
        <w:tab/>
      </w:r>
      <w:r>
        <w:t>Toxicity data used in derivation</w:t>
      </w:r>
      <w:r>
        <w:tab/>
      </w:r>
      <w:r>
        <w:fldChar w:fldCharType="begin"/>
      </w:r>
      <w:r>
        <w:instrText xml:space="preserve"> PAGEREF _Toc189409340 \h </w:instrText>
      </w:r>
      <w:r>
        <w:fldChar w:fldCharType="separate"/>
      </w:r>
      <w:r w:rsidR="003E6080">
        <w:t>6</w:t>
      </w:r>
      <w:r>
        <w:fldChar w:fldCharType="end"/>
      </w:r>
    </w:p>
    <w:p w14:paraId="07BEBBFA" w14:textId="2D943CC5" w:rsidR="0066302C" w:rsidRDefault="0066302C">
      <w:pPr>
        <w:pStyle w:val="TOC2"/>
        <w:tabs>
          <w:tab w:val="left" w:pos="960"/>
        </w:tabs>
        <w:rPr>
          <w:rFonts w:eastAsiaTheme="minorEastAsia"/>
          <w:kern w:val="2"/>
          <w:sz w:val="24"/>
          <w:szCs w:val="24"/>
          <w:lang w:eastAsia="en-AU"/>
          <w14:ligatures w14:val="standardContextual"/>
        </w:rPr>
      </w:pPr>
      <w:r>
        <w:t>4.2</w:t>
      </w:r>
      <w:r>
        <w:rPr>
          <w:rFonts w:eastAsiaTheme="minorEastAsia"/>
          <w:kern w:val="2"/>
          <w:sz w:val="24"/>
          <w:szCs w:val="24"/>
          <w:lang w:eastAsia="en-AU"/>
          <w14:ligatures w14:val="standardContextual"/>
        </w:rPr>
        <w:tab/>
      </w:r>
      <w:r>
        <w:t>Species sensitivity distribution</w:t>
      </w:r>
      <w:r>
        <w:tab/>
      </w:r>
      <w:r>
        <w:fldChar w:fldCharType="begin"/>
      </w:r>
      <w:r>
        <w:instrText xml:space="preserve"> PAGEREF _Toc189409341 \h </w:instrText>
      </w:r>
      <w:r>
        <w:fldChar w:fldCharType="separate"/>
      </w:r>
      <w:r w:rsidR="003E6080">
        <w:t>10</w:t>
      </w:r>
      <w:r>
        <w:fldChar w:fldCharType="end"/>
      </w:r>
    </w:p>
    <w:p w14:paraId="3B3E1121" w14:textId="3D957122" w:rsidR="0066302C" w:rsidRDefault="0066302C">
      <w:pPr>
        <w:pStyle w:val="TOC2"/>
        <w:tabs>
          <w:tab w:val="left" w:pos="960"/>
        </w:tabs>
        <w:rPr>
          <w:rFonts w:eastAsiaTheme="minorEastAsia"/>
          <w:kern w:val="2"/>
          <w:sz w:val="24"/>
          <w:szCs w:val="24"/>
          <w:lang w:eastAsia="en-AU"/>
          <w14:ligatures w14:val="standardContextual"/>
        </w:rPr>
      </w:pPr>
      <w:r>
        <w:t>4.3</w:t>
      </w:r>
      <w:r>
        <w:rPr>
          <w:rFonts w:eastAsiaTheme="minorEastAsia"/>
          <w:kern w:val="2"/>
          <w:sz w:val="24"/>
          <w:szCs w:val="24"/>
          <w:lang w:eastAsia="en-AU"/>
          <w14:ligatures w14:val="standardContextual"/>
        </w:rPr>
        <w:tab/>
      </w:r>
      <w:r>
        <w:t>Default guideline values</w:t>
      </w:r>
      <w:r>
        <w:tab/>
      </w:r>
      <w:r>
        <w:fldChar w:fldCharType="begin"/>
      </w:r>
      <w:r>
        <w:instrText xml:space="preserve"> PAGEREF _Toc189409342 \h </w:instrText>
      </w:r>
      <w:r>
        <w:fldChar w:fldCharType="separate"/>
      </w:r>
      <w:r w:rsidR="003E6080">
        <w:t>11</w:t>
      </w:r>
      <w:r>
        <w:fldChar w:fldCharType="end"/>
      </w:r>
    </w:p>
    <w:p w14:paraId="5723F860" w14:textId="150BF1B9" w:rsidR="0066302C" w:rsidRDefault="0066302C">
      <w:pPr>
        <w:pStyle w:val="TOC2"/>
        <w:tabs>
          <w:tab w:val="left" w:pos="960"/>
        </w:tabs>
        <w:rPr>
          <w:rFonts w:eastAsiaTheme="minorEastAsia"/>
          <w:kern w:val="2"/>
          <w:sz w:val="24"/>
          <w:szCs w:val="24"/>
          <w:lang w:eastAsia="en-AU"/>
          <w14:ligatures w14:val="standardContextual"/>
        </w:rPr>
      </w:pPr>
      <w:r>
        <w:t>4.4</w:t>
      </w:r>
      <w:r>
        <w:rPr>
          <w:rFonts w:eastAsiaTheme="minorEastAsia"/>
          <w:kern w:val="2"/>
          <w:sz w:val="24"/>
          <w:szCs w:val="24"/>
          <w:lang w:eastAsia="en-AU"/>
          <w14:ligatures w14:val="standardContextual"/>
        </w:rPr>
        <w:tab/>
      </w:r>
      <w:r>
        <w:t>Reliability classification</w:t>
      </w:r>
      <w:r>
        <w:tab/>
      </w:r>
      <w:r>
        <w:fldChar w:fldCharType="begin"/>
      </w:r>
      <w:r>
        <w:instrText xml:space="preserve"> PAGEREF _Toc189409343 \h </w:instrText>
      </w:r>
      <w:r>
        <w:fldChar w:fldCharType="separate"/>
      </w:r>
      <w:r w:rsidR="003E6080">
        <w:t>12</w:t>
      </w:r>
      <w:r>
        <w:fldChar w:fldCharType="end"/>
      </w:r>
    </w:p>
    <w:p w14:paraId="19FC6F77" w14:textId="1EBE452A" w:rsidR="0066302C" w:rsidRDefault="0066302C">
      <w:pPr>
        <w:pStyle w:val="TOC1"/>
        <w:rPr>
          <w:rFonts w:eastAsiaTheme="minorEastAsia"/>
          <w:b w:val="0"/>
          <w:kern w:val="2"/>
          <w:sz w:val="24"/>
          <w:szCs w:val="24"/>
          <w:lang w:eastAsia="en-AU"/>
          <w14:ligatures w14:val="standardContextual"/>
        </w:rPr>
      </w:pPr>
      <w:r>
        <w:t>Glossary</w:t>
      </w:r>
      <w:r>
        <w:tab/>
      </w:r>
      <w:r>
        <w:fldChar w:fldCharType="begin"/>
      </w:r>
      <w:r>
        <w:instrText xml:space="preserve"> PAGEREF _Toc189409344 \h </w:instrText>
      </w:r>
      <w:r>
        <w:fldChar w:fldCharType="separate"/>
      </w:r>
      <w:r w:rsidR="003E6080">
        <w:t>13</w:t>
      </w:r>
      <w:r>
        <w:fldChar w:fldCharType="end"/>
      </w:r>
    </w:p>
    <w:p w14:paraId="044CF3FD" w14:textId="5A7FEC50" w:rsidR="0066302C" w:rsidRDefault="0066302C">
      <w:pPr>
        <w:pStyle w:val="TOC1"/>
        <w:rPr>
          <w:rFonts w:eastAsiaTheme="minorEastAsia"/>
          <w:b w:val="0"/>
          <w:kern w:val="2"/>
          <w:sz w:val="24"/>
          <w:szCs w:val="24"/>
          <w:lang w:eastAsia="en-AU"/>
          <w14:ligatures w14:val="standardContextual"/>
        </w:rPr>
      </w:pPr>
      <w:r>
        <w:t>Appendix A: Toxicity data that passed the screening and quality assessment and were used to derive the default guideline values</w:t>
      </w:r>
      <w:r>
        <w:tab/>
      </w:r>
      <w:r>
        <w:fldChar w:fldCharType="begin"/>
      </w:r>
      <w:r>
        <w:instrText xml:space="preserve"> PAGEREF _Toc189409345 \h </w:instrText>
      </w:r>
      <w:r>
        <w:fldChar w:fldCharType="separate"/>
      </w:r>
      <w:r w:rsidR="003E6080">
        <w:t>15</w:t>
      </w:r>
      <w:r>
        <w:fldChar w:fldCharType="end"/>
      </w:r>
    </w:p>
    <w:p w14:paraId="1738D687" w14:textId="3757B193" w:rsidR="0066302C" w:rsidRDefault="0066302C">
      <w:pPr>
        <w:pStyle w:val="TOC1"/>
        <w:rPr>
          <w:rFonts w:eastAsiaTheme="minorEastAsia"/>
          <w:b w:val="0"/>
          <w:kern w:val="2"/>
          <w:sz w:val="24"/>
          <w:szCs w:val="24"/>
          <w:lang w:eastAsia="en-AU"/>
          <w14:ligatures w14:val="standardContextual"/>
        </w:rPr>
      </w:pPr>
      <w:r>
        <w:t>Appendix B: Assessment of datasets for DGV derivation</w:t>
      </w:r>
      <w:r>
        <w:tab/>
      </w:r>
      <w:r>
        <w:fldChar w:fldCharType="begin"/>
      </w:r>
      <w:r>
        <w:instrText xml:space="preserve"> PAGEREF _Toc189409346 \h </w:instrText>
      </w:r>
      <w:r>
        <w:fldChar w:fldCharType="separate"/>
      </w:r>
      <w:r w:rsidR="003E6080">
        <w:t>20</w:t>
      </w:r>
      <w:r>
        <w:fldChar w:fldCharType="end"/>
      </w:r>
    </w:p>
    <w:p w14:paraId="7A8AB38F" w14:textId="60D1FEAF" w:rsidR="0066302C" w:rsidRDefault="0066302C">
      <w:pPr>
        <w:pStyle w:val="TOC1"/>
        <w:rPr>
          <w:rFonts w:eastAsiaTheme="minorEastAsia"/>
          <w:b w:val="0"/>
          <w:kern w:val="2"/>
          <w:sz w:val="24"/>
          <w:szCs w:val="24"/>
          <w:lang w:eastAsia="en-AU"/>
          <w14:ligatures w14:val="standardContextual"/>
        </w:rPr>
      </w:pPr>
      <w:r>
        <w:t>Appendix C: Assessment of reliability of echinoderm toxicity data from Dinnel et al. (1981)</w:t>
      </w:r>
      <w:r>
        <w:tab/>
      </w:r>
      <w:r>
        <w:fldChar w:fldCharType="begin"/>
      </w:r>
      <w:r>
        <w:instrText xml:space="preserve"> PAGEREF _Toc189409347 \h </w:instrText>
      </w:r>
      <w:r>
        <w:fldChar w:fldCharType="separate"/>
      </w:r>
      <w:r w:rsidR="003E6080">
        <w:t>23</w:t>
      </w:r>
      <w:r>
        <w:fldChar w:fldCharType="end"/>
      </w:r>
    </w:p>
    <w:p w14:paraId="36176FD5" w14:textId="5430CD0F" w:rsidR="0066302C" w:rsidRDefault="0066302C">
      <w:pPr>
        <w:pStyle w:val="TOC1"/>
        <w:rPr>
          <w:rFonts w:eastAsiaTheme="minorEastAsia"/>
          <w:b w:val="0"/>
          <w:kern w:val="2"/>
          <w:sz w:val="24"/>
          <w:szCs w:val="24"/>
          <w:lang w:eastAsia="en-AU"/>
          <w14:ligatures w14:val="standardContextual"/>
        </w:rPr>
      </w:pPr>
      <w:r>
        <w:t>Appendix D: Modality assessment for chlorine</w:t>
      </w:r>
      <w:r>
        <w:tab/>
      </w:r>
      <w:r>
        <w:fldChar w:fldCharType="begin"/>
      </w:r>
      <w:r>
        <w:instrText xml:space="preserve"> PAGEREF _Toc189409348 \h </w:instrText>
      </w:r>
      <w:r>
        <w:fldChar w:fldCharType="separate"/>
      </w:r>
      <w:r w:rsidR="003E6080">
        <w:t>25</w:t>
      </w:r>
      <w:r>
        <w:fldChar w:fldCharType="end"/>
      </w:r>
    </w:p>
    <w:p w14:paraId="3C2A1406" w14:textId="432A6496" w:rsidR="0066302C" w:rsidRDefault="0066302C">
      <w:pPr>
        <w:pStyle w:val="TOC1"/>
        <w:rPr>
          <w:rFonts w:eastAsiaTheme="minorEastAsia"/>
          <w:b w:val="0"/>
          <w:kern w:val="2"/>
          <w:sz w:val="24"/>
          <w:szCs w:val="24"/>
          <w:lang w:eastAsia="en-AU"/>
          <w14:ligatures w14:val="standardContextual"/>
        </w:rPr>
      </w:pPr>
      <w:r>
        <w:t>References</w:t>
      </w:r>
      <w:r>
        <w:tab/>
      </w:r>
      <w:r>
        <w:fldChar w:fldCharType="begin"/>
      </w:r>
      <w:r>
        <w:instrText xml:space="preserve"> PAGEREF _Toc189409349 \h </w:instrText>
      </w:r>
      <w:r>
        <w:fldChar w:fldCharType="separate"/>
      </w:r>
      <w:r w:rsidR="003E6080">
        <w:t>27</w:t>
      </w:r>
      <w:r>
        <w:fldChar w:fldCharType="end"/>
      </w:r>
    </w:p>
    <w:p w14:paraId="6F1486EF" w14:textId="354EF542" w:rsidR="00117FD8" w:rsidRDefault="00117FD8" w:rsidP="00117FD8">
      <w:pPr>
        <w:pStyle w:val="TOCHeading2"/>
      </w:pPr>
      <w:r>
        <w:rPr>
          <w:rFonts w:asciiTheme="minorHAnsi" w:eastAsiaTheme="minorHAnsi" w:hAnsiTheme="minorHAnsi" w:cstheme="minorBidi"/>
          <w:noProof/>
          <w:color w:val="auto"/>
          <w:sz w:val="22"/>
          <w:szCs w:val="24"/>
          <w:lang w:val="en-AU"/>
        </w:rPr>
        <w:fldChar w:fldCharType="end"/>
      </w:r>
      <w:r>
        <w:t>Figures</w:t>
      </w:r>
    </w:p>
    <w:p w14:paraId="39321392" w14:textId="219130E5" w:rsidR="00F93D8A" w:rsidRDefault="00117FD8">
      <w:pPr>
        <w:pStyle w:val="TableofFigures"/>
        <w:tabs>
          <w:tab w:val="right" w:leader="dot" w:pos="9060"/>
        </w:tabs>
        <w:rPr>
          <w:rFonts w:eastAsiaTheme="minorEastAsia"/>
          <w:noProof/>
          <w:kern w:val="2"/>
          <w:lang w:eastAsia="en-AU"/>
          <w14:ligatures w14:val="standardContextual"/>
        </w:rPr>
      </w:pPr>
      <w:r>
        <w:rPr>
          <w:bCs/>
        </w:rPr>
        <w:fldChar w:fldCharType="begin"/>
      </w:r>
      <w:r>
        <w:rPr>
          <w:bCs/>
        </w:rPr>
        <w:instrText xml:space="preserve"> TOC \h \z \c "Figure" </w:instrText>
      </w:r>
      <w:r>
        <w:rPr>
          <w:bCs/>
        </w:rPr>
        <w:fldChar w:fldCharType="separate"/>
      </w:r>
      <w:hyperlink w:anchor="_Toc185441656" w:history="1">
        <w:r w:rsidR="00F93D8A" w:rsidRPr="005333CB">
          <w:rPr>
            <w:rStyle w:val="Hyperlink"/>
            <w:noProof/>
          </w:rPr>
          <w:t>Figure 1</w:t>
        </w:r>
        <w:r w:rsidR="00F93D8A" w:rsidRPr="005333CB">
          <w:rPr>
            <w:rStyle w:val="Hyperlink"/>
            <w:noProof/>
            <w:lang w:eastAsia="en-AU"/>
          </w:rPr>
          <w:t xml:space="preserve"> Species sensitivity distribution, chlorine (CPO) in marine water</w:t>
        </w:r>
        <w:r w:rsidR="00F93D8A">
          <w:rPr>
            <w:noProof/>
            <w:webHidden/>
          </w:rPr>
          <w:tab/>
        </w:r>
        <w:r w:rsidR="00F93D8A">
          <w:rPr>
            <w:noProof/>
            <w:webHidden/>
          </w:rPr>
          <w:fldChar w:fldCharType="begin"/>
        </w:r>
        <w:r w:rsidR="00F93D8A">
          <w:rPr>
            <w:noProof/>
            <w:webHidden/>
          </w:rPr>
          <w:instrText xml:space="preserve"> PAGEREF _Toc185441656 \h </w:instrText>
        </w:r>
        <w:r w:rsidR="00F93D8A">
          <w:rPr>
            <w:noProof/>
            <w:webHidden/>
          </w:rPr>
        </w:r>
        <w:r w:rsidR="00F93D8A">
          <w:rPr>
            <w:noProof/>
            <w:webHidden/>
          </w:rPr>
          <w:fldChar w:fldCharType="separate"/>
        </w:r>
        <w:r w:rsidR="003E6080">
          <w:rPr>
            <w:noProof/>
            <w:webHidden/>
          </w:rPr>
          <w:t>10</w:t>
        </w:r>
        <w:r w:rsidR="00F93D8A">
          <w:rPr>
            <w:noProof/>
            <w:webHidden/>
          </w:rPr>
          <w:fldChar w:fldCharType="end"/>
        </w:r>
      </w:hyperlink>
    </w:p>
    <w:p w14:paraId="31CDDFDF" w14:textId="5125A433" w:rsidR="00117FD8" w:rsidRDefault="00117FD8" w:rsidP="00117FD8">
      <w:pPr>
        <w:pStyle w:val="TOCHeading2"/>
      </w:pPr>
      <w:r>
        <w:rPr>
          <w:rFonts w:asciiTheme="minorHAnsi" w:eastAsiaTheme="minorHAnsi" w:hAnsiTheme="minorHAnsi" w:cstheme="minorBidi"/>
          <w:bCs w:val="0"/>
          <w:color w:val="auto"/>
          <w:sz w:val="22"/>
          <w:szCs w:val="22"/>
          <w:lang w:val="en-AU"/>
        </w:rPr>
        <w:fldChar w:fldCharType="end"/>
      </w:r>
      <w:r>
        <w:t>Tables</w:t>
      </w:r>
    </w:p>
    <w:p w14:paraId="12045501" w14:textId="5283874F" w:rsidR="00F93D8A" w:rsidRDefault="00117FD8">
      <w:pPr>
        <w:pStyle w:val="TableofFigures"/>
        <w:tabs>
          <w:tab w:val="right" w:leader="dot" w:pos="9060"/>
        </w:tabs>
        <w:rPr>
          <w:rFonts w:eastAsiaTheme="minorEastAsia"/>
          <w:noProof/>
          <w:kern w:val="2"/>
          <w:lang w:eastAsia="en-AU"/>
          <w14:ligatures w14:val="standardContextual"/>
        </w:rPr>
      </w:pPr>
      <w:r>
        <w:rPr>
          <w:bCs/>
          <w:szCs w:val="24"/>
        </w:rPr>
        <w:fldChar w:fldCharType="begin"/>
      </w:r>
      <w:r>
        <w:rPr>
          <w:bCs/>
        </w:rPr>
        <w:instrText xml:space="preserve"> TOC \c "Table" </w:instrText>
      </w:r>
      <w:r>
        <w:rPr>
          <w:bCs/>
          <w:szCs w:val="24"/>
        </w:rPr>
        <w:fldChar w:fldCharType="separate"/>
      </w:r>
      <w:r w:rsidR="00F93D8A">
        <w:rPr>
          <w:noProof/>
        </w:rPr>
        <w:t>Table 1</w:t>
      </w:r>
      <w:r w:rsidR="00F93D8A" w:rsidRPr="00E37535">
        <w:rPr>
          <w:rFonts w:cstheme="minorHAnsi"/>
          <w:noProof/>
        </w:rPr>
        <w:t xml:space="preserve"> </w:t>
      </w:r>
      <w:r w:rsidR="00F93D8A">
        <w:rPr>
          <w:noProof/>
        </w:rPr>
        <w:t>Summary, single acute toxicity values, all species used to derive default guideline values for chlorine (CPO) in marine water</w:t>
      </w:r>
      <w:r w:rsidR="00F93D8A">
        <w:rPr>
          <w:noProof/>
        </w:rPr>
        <w:tab/>
      </w:r>
      <w:r w:rsidR="00F93D8A">
        <w:rPr>
          <w:noProof/>
        </w:rPr>
        <w:fldChar w:fldCharType="begin"/>
      </w:r>
      <w:r w:rsidR="00F93D8A">
        <w:rPr>
          <w:noProof/>
        </w:rPr>
        <w:instrText xml:space="preserve"> PAGEREF _Toc185441657 \h </w:instrText>
      </w:r>
      <w:r w:rsidR="00F93D8A">
        <w:rPr>
          <w:noProof/>
        </w:rPr>
      </w:r>
      <w:r w:rsidR="00F93D8A">
        <w:rPr>
          <w:noProof/>
        </w:rPr>
        <w:fldChar w:fldCharType="separate"/>
      </w:r>
      <w:r w:rsidR="003E6080">
        <w:rPr>
          <w:noProof/>
        </w:rPr>
        <w:t>9</w:t>
      </w:r>
      <w:r w:rsidR="00F93D8A">
        <w:rPr>
          <w:noProof/>
        </w:rPr>
        <w:fldChar w:fldCharType="end"/>
      </w:r>
    </w:p>
    <w:p w14:paraId="4B3DC46E" w14:textId="39EA31A7" w:rsidR="00F93D8A" w:rsidRDefault="00F93D8A">
      <w:pPr>
        <w:pStyle w:val="TableofFigures"/>
        <w:tabs>
          <w:tab w:val="right" w:leader="dot" w:pos="9060"/>
        </w:tabs>
        <w:rPr>
          <w:rFonts w:eastAsiaTheme="minorEastAsia"/>
          <w:noProof/>
          <w:kern w:val="2"/>
          <w:lang w:eastAsia="en-AU"/>
          <w14:ligatures w14:val="standardContextual"/>
        </w:rPr>
      </w:pPr>
      <w:r>
        <w:rPr>
          <w:noProof/>
        </w:rPr>
        <w:t>Table 2 Default guideline values, chlorine (CPO) in marine water, very high reliability</w:t>
      </w:r>
      <w:r>
        <w:rPr>
          <w:noProof/>
        </w:rPr>
        <w:tab/>
      </w:r>
      <w:r>
        <w:rPr>
          <w:noProof/>
        </w:rPr>
        <w:fldChar w:fldCharType="begin"/>
      </w:r>
      <w:r>
        <w:rPr>
          <w:noProof/>
        </w:rPr>
        <w:instrText xml:space="preserve"> PAGEREF _Toc185441658 \h </w:instrText>
      </w:r>
      <w:r>
        <w:rPr>
          <w:noProof/>
        </w:rPr>
      </w:r>
      <w:r>
        <w:rPr>
          <w:noProof/>
        </w:rPr>
        <w:fldChar w:fldCharType="separate"/>
      </w:r>
      <w:r w:rsidR="003E6080">
        <w:rPr>
          <w:noProof/>
        </w:rPr>
        <w:t>11</w:t>
      </w:r>
      <w:r>
        <w:rPr>
          <w:noProof/>
        </w:rPr>
        <w:fldChar w:fldCharType="end"/>
      </w:r>
    </w:p>
    <w:p w14:paraId="59FE1034" w14:textId="1BA58B3A" w:rsidR="00117FD8" w:rsidRDefault="00117FD8" w:rsidP="00117FD8">
      <w:pPr>
        <w:pStyle w:val="TOCHeading2"/>
        <w:rPr>
          <w:bCs w:val="0"/>
          <w:szCs w:val="24"/>
        </w:rPr>
      </w:pPr>
      <w:r>
        <w:fldChar w:fldCharType="end"/>
      </w:r>
      <w:r>
        <w:rPr>
          <w:bCs w:val="0"/>
          <w:szCs w:val="24"/>
        </w:rPr>
        <w:t>Appendix figures</w:t>
      </w:r>
    </w:p>
    <w:p w14:paraId="065C48B9" w14:textId="0175D0D7" w:rsidR="00F93D8A" w:rsidRDefault="00117FD8">
      <w:pPr>
        <w:pStyle w:val="TableofFigures"/>
        <w:tabs>
          <w:tab w:val="right" w:leader="dot" w:pos="9060"/>
        </w:tabs>
        <w:rPr>
          <w:rFonts w:eastAsiaTheme="minorEastAsia"/>
          <w:noProof/>
          <w:kern w:val="2"/>
          <w:lang w:eastAsia="en-AU"/>
          <w14:ligatures w14:val="standardContextual"/>
        </w:rPr>
      </w:pPr>
      <w:r>
        <w:rPr>
          <w:lang w:val="en-US"/>
        </w:rPr>
        <w:fldChar w:fldCharType="begin"/>
      </w:r>
      <w:r>
        <w:rPr>
          <w:lang w:val="en-US"/>
        </w:rPr>
        <w:instrText xml:space="preserve"> TOC \h \z \c "Figure B" </w:instrText>
      </w:r>
      <w:r>
        <w:rPr>
          <w:lang w:val="en-US"/>
        </w:rPr>
        <w:fldChar w:fldCharType="separate"/>
      </w:r>
      <w:hyperlink w:anchor="_Toc185441659" w:history="1">
        <w:r w:rsidR="00F93D8A" w:rsidRPr="003812CD">
          <w:rPr>
            <w:rStyle w:val="Hyperlink"/>
            <w:noProof/>
          </w:rPr>
          <w:t>Figure B 1</w:t>
        </w:r>
        <w:r w:rsidR="00F93D8A" w:rsidRPr="003812CD">
          <w:rPr>
            <w:rStyle w:val="Hyperlink"/>
            <w:noProof/>
            <w:lang w:eastAsia="ja-JP"/>
          </w:rPr>
          <w:t xml:space="preserve"> SSD for chlorine (CPO) based on flow-through LC50 data, static EC50 data and water salinity </w:t>
        </w:r>
        <w:r w:rsidR="00F93D8A" w:rsidRPr="003812CD">
          <w:rPr>
            <w:rStyle w:val="Hyperlink"/>
            <w:noProof/>
            <w:lang w:eastAsia="en-AU"/>
          </w:rPr>
          <w:t>≥25‰</w:t>
        </w:r>
        <w:r w:rsidR="00F93D8A">
          <w:rPr>
            <w:noProof/>
            <w:webHidden/>
          </w:rPr>
          <w:tab/>
        </w:r>
        <w:r w:rsidR="00F93D8A">
          <w:rPr>
            <w:noProof/>
            <w:webHidden/>
          </w:rPr>
          <w:fldChar w:fldCharType="begin"/>
        </w:r>
        <w:r w:rsidR="00F93D8A">
          <w:rPr>
            <w:noProof/>
            <w:webHidden/>
          </w:rPr>
          <w:instrText xml:space="preserve"> PAGEREF _Toc185441659 \h </w:instrText>
        </w:r>
        <w:r w:rsidR="00F93D8A">
          <w:rPr>
            <w:noProof/>
            <w:webHidden/>
          </w:rPr>
        </w:r>
        <w:r w:rsidR="00F93D8A">
          <w:rPr>
            <w:noProof/>
            <w:webHidden/>
          </w:rPr>
          <w:fldChar w:fldCharType="separate"/>
        </w:r>
        <w:r w:rsidR="003E6080">
          <w:rPr>
            <w:noProof/>
            <w:webHidden/>
          </w:rPr>
          <w:t>21</w:t>
        </w:r>
        <w:r w:rsidR="00F93D8A">
          <w:rPr>
            <w:noProof/>
            <w:webHidden/>
          </w:rPr>
          <w:fldChar w:fldCharType="end"/>
        </w:r>
      </w:hyperlink>
    </w:p>
    <w:p w14:paraId="1D5E82C7" w14:textId="73672BD2" w:rsidR="00F93D8A" w:rsidRDefault="00F93D8A">
      <w:pPr>
        <w:pStyle w:val="TableofFigures"/>
        <w:tabs>
          <w:tab w:val="right" w:leader="dot" w:pos="9060"/>
        </w:tabs>
        <w:rPr>
          <w:rFonts w:eastAsiaTheme="minorEastAsia"/>
          <w:noProof/>
          <w:kern w:val="2"/>
          <w:lang w:eastAsia="en-AU"/>
          <w14:ligatures w14:val="standardContextual"/>
        </w:rPr>
      </w:pPr>
      <w:hyperlink w:anchor="_Toc185441660" w:history="1">
        <w:r w:rsidRPr="003812CD">
          <w:rPr>
            <w:rStyle w:val="Hyperlink"/>
            <w:noProof/>
          </w:rPr>
          <w:t>Figure B 2</w:t>
        </w:r>
        <w:r w:rsidRPr="003812CD">
          <w:rPr>
            <w:rStyle w:val="Hyperlink"/>
            <w:noProof/>
            <w:lang w:eastAsia="ja-JP"/>
          </w:rPr>
          <w:t xml:space="preserve"> SSD for chlorine (CPO) based on flow-through LC50 data and water salinity </w:t>
        </w:r>
        <w:r w:rsidRPr="003812CD">
          <w:rPr>
            <w:rStyle w:val="Hyperlink"/>
            <w:noProof/>
            <w:lang w:eastAsia="en-AU"/>
          </w:rPr>
          <w:t>15–</w:t>
        </w:r>
        <w:r w:rsidRPr="003812CD">
          <w:rPr>
            <w:rStyle w:val="Hyperlink"/>
            <w:rFonts w:cstheme="minorHAnsi"/>
            <w:noProof/>
          </w:rPr>
          <w:t>&lt;25</w:t>
        </w:r>
        <w:r w:rsidRPr="003812CD">
          <w:rPr>
            <w:rStyle w:val="Hyperlink"/>
            <w:noProof/>
            <w:lang w:eastAsia="en-AU"/>
          </w:rPr>
          <w:t>‰</w:t>
        </w:r>
        <w:r>
          <w:rPr>
            <w:noProof/>
            <w:webHidden/>
          </w:rPr>
          <w:tab/>
        </w:r>
        <w:r>
          <w:rPr>
            <w:noProof/>
            <w:webHidden/>
          </w:rPr>
          <w:fldChar w:fldCharType="begin"/>
        </w:r>
        <w:r>
          <w:rPr>
            <w:noProof/>
            <w:webHidden/>
          </w:rPr>
          <w:instrText xml:space="preserve"> PAGEREF _Toc185441660 \h </w:instrText>
        </w:r>
        <w:r>
          <w:rPr>
            <w:noProof/>
            <w:webHidden/>
          </w:rPr>
        </w:r>
        <w:r>
          <w:rPr>
            <w:noProof/>
            <w:webHidden/>
          </w:rPr>
          <w:fldChar w:fldCharType="separate"/>
        </w:r>
        <w:r w:rsidR="003E6080">
          <w:rPr>
            <w:noProof/>
            <w:webHidden/>
          </w:rPr>
          <w:t>22</w:t>
        </w:r>
        <w:r>
          <w:rPr>
            <w:noProof/>
            <w:webHidden/>
          </w:rPr>
          <w:fldChar w:fldCharType="end"/>
        </w:r>
      </w:hyperlink>
    </w:p>
    <w:p w14:paraId="69C026E3" w14:textId="6C7185AD" w:rsidR="00F93D8A" w:rsidRDefault="00F93D8A" w:rsidP="00C00E97">
      <w:pPr>
        <w:pStyle w:val="TableofFigures"/>
        <w:tabs>
          <w:tab w:val="right" w:leader="dot" w:pos="9060"/>
        </w:tabs>
        <w:rPr>
          <w:noProof/>
        </w:rPr>
      </w:pPr>
      <w:hyperlink w:anchor="_Toc185441661" w:history="1">
        <w:r w:rsidRPr="003812CD">
          <w:rPr>
            <w:rStyle w:val="Hyperlink"/>
            <w:noProof/>
          </w:rPr>
          <w:t>Figure B 3</w:t>
        </w:r>
        <w:r w:rsidRPr="003812CD">
          <w:rPr>
            <w:rStyle w:val="Hyperlink"/>
            <w:noProof/>
            <w:lang w:eastAsia="ja-JP"/>
          </w:rPr>
          <w:t xml:space="preserve"> Combined dataset SSD for chlorine (CPO) – based on flow-through LC50 data, static EC50 data and water salinity </w:t>
        </w:r>
        <w:r w:rsidRPr="003812CD">
          <w:rPr>
            <w:rStyle w:val="Hyperlink"/>
            <w:noProof/>
            <w:lang w:eastAsia="en-AU"/>
          </w:rPr>
          <w:t>≥15‰</w:t>
        </w:r>
        <w:r>
          <w:rPr>
            <w:noProof/>
            <w:webHidden/>
          </w:rPr>
          <w:tab/>
        </w:r>
        <w:r>
          <w:rPr>
            <w:noProof/>
            <w:webHidden/>
          </w:rPr>
          <w:fldChar w:fldCharType="begin"/>
        </w:r>
        <w:r>
          <w:rPr>
            <w:noProof/>
            <w:webHidden/>
          </w:rPr>
          <w:instrText xml:space="preserve"> PAGEREF _Toc185441661 \h </w:instrText>
        </w:r>
        <w:r>
          <w:rPr>
            <w:noProof/>
            <w:webHidden/>
          </w:rPr>
        </w:r>
        <w:r>
          <w:rPr>
            <w:noProof/>
            <w:webHidden/>
          </w:rPr>
          <w:fldChar w:fldCharType="separate"/>
        </w:r>
        <w:r w:rsidR="003E6080">
          <w:rPr>
            <w:noProof/>
            <w:webHidden/>
          </w:rPr>
          <w:t>22</w:t>
        </w:r>
        <w:r>
          <w:rPr>
            <w:noProof/>
            <w:webHidden/>
          </w:rPr>
          <w:fldChar w:fldCharType="end"/>
        </w:r>
      </w:hyperlink>
      <w:r w:rsidR="00117FD8">
        <w:rPr>
          <w:lang w:val="en-US"/>
        </w:rPr>
        <w:fldChar w:fldCharType="end"/>
      </w:r>
      <w:r w:rsidR="00117FD8">
        <w:rPr>
          <w:bCs/>
        </w:rPr>
        <w:fldChar w:fldCharType="begin"/>
      </w:r>
      <w:r w:rsidR="00117FD8">
        <w:rPr>
          <w:bCs/>
        </w:rPr>
        <w:instrText xml:space="preserve"> TOC \h \z \c "Figure D" </w:instrText>
      </w:r>
      <w:r w:rsidR="00117FD8">
        <w:rPr>
          <w:bCs/>
        </w:rPr>
        <w:fldChar w:fldCharType="separate"/>
      </w:r>
    </w:p>
    <w:p w14:paraId="0BA0B41A" w14:textId="6D4BFAB5" w:rsidR="00F93D8A" w:rsidRDefault="00F93D8A">
      <w:pPr>
        <w:pStyle w:val="TableofFigures"/>
        <w:tabs>
          <w:tab w:val="right" w:leader="dot" w:pos="9060"/>
        </w:tabs>
        <w:rPr>
          <w:rFonts w:eastAsiaTheme="minorEastAsia"/>
          <w:noProof/>
          <w:kern w:val="2"/>
          <w:lang w:eastAsia="en-AU"/>
          <w14:ligatures w14:val="standardContextual"/>
        </w:rPr>
      </w:pPr>
      <w:hyperlink w:anchor="_Toc185441662" w:history="1">
        <w:r w:rsidRPr="00F85FEF">
          <w:rPr>
            <w:rStyle w:val="Hyperlink"/>
            <w:noProof/>
          </w:rPr>
          <w:t>Figure D 1</w:t>
        </w:r>
        <w:r w:rsidRPr="00F85FEF">
          <w:rPr>
            <w:rStyle w:val="Hyperlink"/>
            <w:noProof/>
            <w:lang w:eastAsia="ja-JP"/>
          </w:rPr>
          <w:t xml:space="preserve"> Histogram, ln-transformed chlorine marine acute toxicity data</w:t>
        </w:r>
        <w:r>
          <w:rPr>
            <w:noProof/>
            <w:webHidden/>
          </w:rPr>
          <w:tab/>
        </w:r>
        <w:r>
          <w:rPr>
            <w:noProof/>
            <w:webHidden/>
          </w:rPr>
          <w:fldChar w:fldCharType="begin"/>
        </w:r>
        <w:r>
          <w:rPr>
            <w:noProof/>
            <w:webHidden/>
          </w:rPr>
          <w:instrText xml:space="preserve"> PAGEREF _Toc185441662 \h </w:instrText>
        </w:r>
        <w:r>
          <w:rPr>
            <w:noProof/>
            <w:webHidden/>
          </w:rPr>
        </w:r>
        <w:r>
          <w:rPr>
            <w:noProof/>
            <w:webHidden/>
          </w:rPr>
          <w:fldChar w:fldCharType="separate"/>
        </w:r>
        <w:r w:rsidR="003E6080">
          <w:rPr>
            <w:noProof/>
            <w:webHidden/>
          </w:rPr>
          <w:t>25</w:t>
        </w:r>
        <w:r>
          <w:rPr>
            <w:noProof/>
            <w:webHidden/>
          </w:rPr>
          <w:fldChar w:fldCharType="end"/>
        </w:r>
      </w:hyperlink>
    </w:p>
    <w:p w14:paraId="2F29F08F" w14:textId="5A534470" w:rsidR="00F93D8A" w:rsidRDefault="00F93D8A">
      <w:pPr>
        <w:pStyle w:val="TableofFigures"/>
        <w:tabs>
          <w:tab w:val="right" w:leader="dot" w:pos="9060"/>
        </w:tabs>
        <w:rPr>
          <w:rFonts w:eastAsiaTheme="minorEastAsia"/>
          <w:noProof/>
          <w:kern w:val="2"/>
          <w:lang w:eastAsia="en-AU"/>
          <w14:ligatures w14:val="standardContextual"/>
        </w:rPr>
      </w:pPr>
      <w:hyperlink w:anchor="_Toc185441663" w:history="1">
        <w:r w:rsidRPr="00F85FEF">
          <w:rPr>
            <w:rStyle w:val="Hyperlink"/>
            <w:noProof/>
          </w:rPr>
          <w:t>Figure D 2</w:t>
        </w:r>
        <w:r w:rsidRPr="00F85FEF">
          <w:rPr>
            <w:rStyle w:val="Hyperlink"/>
            <w:noProof/>
            <w:lang w:eastAsia="ja-JP"/>
          </w:rPr>
          <w:t xml:space="preserve"> Box plot, sensitivity of taxonomic groups to chlorine in marine water</w:t>
        </w:r>
        <w:r>
          <w:rPr>
            <w:noProof/>
            <w:webHidden/>
          </w:rPr>
          <w:tab/>
        </w:r>
        <w:r>
          <w:rPr>
            <w:noProof/>
            <w:webHidden/>
          </w:rPr>
          <w:fldChar w:fldCharType="begin"/>
        </w:r>
        <w:r>
          <w:rPr>
            <w:noProof/>
            <w:webHidden/>
          </w:rPr>
          <w:instrText xml:space="preserve"> PAGEREF _Toc185441663 \h </w:instrText>
        </w:r>
        <w:r>
          <w:rPr>
            <w:noProof/>
            <w:webHidden/>
          </w:rPr>
        </w:r>
        <w:r>
          <w:rPr>
            <w:noProof/>
            <w:webHidden/>
          </w:rPr>
          <w:fldChar w:fldCharType="separate"/>
        </w:r>
        <w:r w:rsidR="003E6080">
          <w:rPr>
            <w:noProof/>
            <w:webHidden/>
          </w:rPr>
          <w:t>26</w:t>
        </w:r>
        <w:r>
          <w:rPr>
            <w:noProof/>
            <w:webHidden/>
          </w:rPr>
          <w:fldChar w:fldCharType="end"/>
        </w:r>
      </w:hyperlink>
    </w:p>
    <w:p w14:paraId="7D23343E" w14:textId="4568C71A" w:rsidR="00117FD8" w:rsidRDefault="00117FD8" w:rsidP="00F93D8A">
      <w:pPr>
        <w:pStyle w:val="TOCHeading2"/>
        <w:keepNext/>
        <w:keepLines/>
        <w:rPr>
          <w:bCs w:val="0"/>
          <w:szCs w:val="24"/>
        </w:rPr>
      </w:pPr>
      <w:r>
        <w:rPr>
          <w:rFonts w:asciiTheme="minorHAnsi" w:eastAsiaTheme="minorHAnsi" w:hAnsiTheme="minorHAnsi" w:cstheme="minorBidi"/>
          <w:bCs w:val="0"/>
          <w:color w:val="auto"/>
          <w:sz w:val="22"/>
          <w:szCs w:val="22"/>
        </w:rPr>
        <w:lastRenderedPageBreak/>
        <w:fldChar w:fldCharType="end"/>
      </w:r>
      <w:r>
        <w:rPr>
          <w:bCs w:val="0"/>
          <w:szCs w:val="24"/>
        </w:rPr>
        <w:t>Appendix tables</w:t>
      </w:r>
    </w:p>
    <w:p w14:paraId="3A897AED" w14:textId="7E56CA40" w:rsidR="00F93D8A" w:rsidRDefault="00117FD8" w:rsidP="00F93D8A">
      <w:pPr>
        <w:pStyle w:val="TableofFigures"/>
        <w:keepNext/>
        <w:keepLines/>
        <w:tabs>
          <w:tab w:val="right" w:leader="dot" w:pos="9060"/>
        </w:tabs>
        <w:rPr>
          <w:rFonts w:eastAsiaTheme="minorEastAsia"/>
          <w:noProof/>
          <w:kern w:val="2"/>
          <w:lang w:eastAsia="en-AU"/>
          <w14:ligatures w14:val="standardContextual"/>
        </w:rPr>
      </w:pPr>
      <w:r>
        <w:rPr>
          <w:bCs/>
        </w:rPr>
        <w:fldChar w:fldCharType="begin"/>
      </w:r>
      <w:r>
        <w:rPr>
          <w:bCs/>
        </w:rPr>
        <w:instrText xml:space="preserve"> TOC \h \z \c "Table A" </w:instrText>
      </w:r>
      <w:r>
        <w:rPr>
          <w:bCs/>
        </w:rPr>
        <w:fldChar w:fldCharType="separate"/>
      </w:r>
      <w:hyperlink w:anchor="_Toc185441664" w:history="1">
        <w:r w:rsidR="00F93D8A" w:rsidRPr="00B66B0A">
          <w:rPr>
            <w:rStyle w:val="Hyperlink"/>
            <w:noProof/>
          </w:rPr>
          <w:t xml:space="preserve">Table A 1 Summary, acute toxicity data that passed screening and quality assessment processes, chlorine (CPO) in marine water, salinity ≥25‰ </w:t>
        </w:r>
        <w:r w:rsidR="00F93D8A" w:rsidRPr="00B66B0A">
          <w:rPr>
            <w:rStyle w:val="Hyperlink"/>
            <w:noProof/>
            <w:lang w:eastAsia="en-AU"/>
          </w:rPr>
          <w:t>– used in DGV derivation</w:t>
        </w:r>
        <w:r w:rsidR="00F93D8A">
          <w:rPr>
            <w:noProof/>
            <w:webHidden/>
          </w:rPr>
          <w:tab/>
        </w:r>
        <w:r w:rsidR="00F93D8A">
          <w:rPr>
            <w:noProof/>
            <w:webHidden/>
          </w:rPr>
          <w:fldChar w:fldCharType="begin"/>
        </w:r>
        <w:r w:rsidR="00F93D8A">
          <w:rPr>
            <w:noProof/>
            <w:webHidden/>
          </w:rPr>
          <w:instrText xml:space="preserve"> PAGEREF _Toc185441664 \h </w:instrText>
        </w:r>
        <w:r w:rsidR="00F93D8A">
          <w:rPr>
            <w:noProof/>
            <w:webHidden/>
          </w:rPr>
        </w:r>
        <w:r w:rsidR="00F93D8A">
          <w:rPr>
            <w:noProof/>
            <w:webHidden/>
          </w:rPr>
          <w:fldChar w:fldCharType="separate"/>
        </w:r>
        <w:r w:rsidR="003E6080">
          <w:rPr>
            <w:noProof/>
            <w:webHidden/>
          </w:rPr>
          <w:t>15</w:t>
        </w:r>
        <w:r w:rsidR="00F93D8A">
          <w:rPr>
            <w:noProof/>
            <w:webHidden/>
          </w:rPr>
          <w:fldChar w:fldCharType="end"/>
        </w:r>
      </w:hyperlink>
    </w:p>
    <w:p w14:paraId="473D9FC1" w14:textId="48290722" w:rsidR="00F93D8A" w:rsidRDefault="00F93D8A" w:rsidP="00F93D8A">
      <w:pPr>
        <w:pStyle w:val="TableofFigures"/>
        <w:keepNext/>
        <w:keepLines/>
        <w:tabs>
          <w:tab w:val="right" w:leader="dot" w:pos="9060"/>
        </w:tabs>
        <w:rPr>
          <w:rFonts w:eastAsiaTheme="minorEastAsia"/>
          <w:noProof/>
          <w:kern w:val="2"/>
          <w:lang w:eastAsia="en-AU"/>
          <w14:ligatures w14:val="standardContextual"/>
        </w:rPr>
      </w:pPr>
      <w:hyperlink w:anchor="_Toc185441665" w:history="1">
        <w:r w:rsidRPr="00B66B0A">
          <w:rPr>
            <w:rStyle w:val="Hyperlink"/>
            <w:noProof/>
          </w:rPr>
          <w:t>Table A 2</w:t>
        </w:r>
        <w:r w:rsidRPr="00B66B0A">
          <w:rPr>
            <w:rStyle w:val="Hyperlink"/>
            <w:noProof/>
            <w:lang w:eastAsia="en-AU"/>
          </w:rPr>
          <w:t xml:space="preserve"> </w:t>
        </w:r>
        <w:r w:rsidRPr="00B66B0A">
          <w:rPr>
            <w:rStyle w:val="Hyperlink"/>
            <w:noProof/>
          </w:rPr>
          <w:t xml:space="preserve">Summary, flow-through acute toxicity data that passed screening and quality assessment processes, chlorine (CPO) in marine water, salinity </w:t>
        </w:r>
        <w:r w:rsidRPr="00B66B0A">
          <w:rPr>
            <w:rStyle w:val="Hyperlink"/>
            <w:noProof/>
            <w:lang w:eastAsia="en-AU"/>
          </w:rPr>
          <w:t>≥15‰–&lt;25‰ – used in DGV derivation</w:t>
        </w:r>
        <w:r>
          <w:rPr>
            <w:noProof/>
            <w:webHidden/>
          </w:rPr>
          <w:tab/>
        </w:r>
        <w:r>
          <w:rPr>
            <w:noProof/>
            <w:webHidden/>
          </w:rPr>
          <w:fldChar w:fldCharType="begin"/>
        </w:r>
        <w:r>
          <w:rPr>
            <w:noProof/>
            <w:webHidden/>
          </w:rPr>
          <w:instrText xml:space="preserve"> PAGEREF _Toc185441665 \h </w:instrText>
        </w:r>
        <w:r>
          <w:rPr>
            <w:noProof/>
            <w:webHidden/>
          </w:rPr>
        </w:r>
        <w:r>
          <w:rPr>
            <w:noProof/>
            <w:webHidden/>
          </w:rPr>
          <w:fldChar w:fldCharType="separate"/>
        </w:r>
        <w:r w:rsidR="003E6080">
          <w:rPr>
            <w:noProof/>
            <w:webHidden/>
          </w:rPr>
          <w:t>17</w:t>
        </w:r>
        <w:r>
          <w:rPr>
            <w:noProof/>
            <w:webHidden/>
          </w:rPr>
          <w:fldChar w:fldCharType="end"/>
        </w:r>
      </w:hyperlink>
    </w:p>
    <w:p w14:paraId="49DD5153" w14:textId="438DCD80" w:rsidR="00F93D8A" w:rsidRDefault="00F93D8A" w:rsidP="00F93D8A">
      <w:pPr>
        <w:pStyle w:val="TableofFigures"/>
        <w:keepNext/>
        <w:keepLines/>
        <w:tabs>
          <w:tab w:val="right" w:leader="dot" w:pos="9061"/>
        </w:tabs>
        <w:rPr>
          <w:noProof/>
        </w:rPr>
      </w:pPr>
      <w:hyperlink w:anchor="_Toc185441666" w:history="1">
        <w:r w:rsidRPr="00B66B0A">
          <w:rPr>
            <w:rStyle w:val="Hyperlink"/>
            <w:noProof/>
          </w:rPr>
          <w:t xml:space="preserve">Table A 3 Summary, toxicity data that passed screening and quality assessment processes, chlorine (CPO) in marine water, salinity </w:t>
        </w:r>
        <w:r w:rsidRPr="00B66B0A">
          <w:rPr>
            <w:rStyle w:val="Hyperlink"/>
            <w:noProof/>
            <w:lang w:eastAsia="en-AU"/>
          </w:rPr>
          <w:t>≥15–&lt;25‰ and ≥25‰ – not used in DGV derivation</w:t>
        </w:r>
        <w:r>
          <w:rPr>
            <w:noProof/>
            <w:webHidden/>
          </w:rPr>
          <w:tab/>
        </w:r>
        <w:r>
          <w:rPr>
            <w:noProof/>
            <w:webHidden/>
          </w:rPr>
          <w:fldChar w:fldCharType="begin"/>
        </w:r>
        <w:r>
          <w:rPr>
            <w:noProof/>
            <w:webHidden/>
          </w:rPr>
          <w:instrText xml:space="preserve"> PAGEREF _Toc185441666 \h </w:instrText>
        </w:r>
        <w:r>
          <w:rPr>
            <w:noProof/>
            <w:webHidden/>
          </w:rPr>
        </w:r>
        <w:r>
          <w:rPr>
            <w:noProof/>
            <w:webHidden/>
          </w:rPr>
          <w:fldChar w:fldCharType="separate"/>
        </w:r>
        <w:r w:rsidR="003E6080">
          <w:rPr>
            <w:noProof/>
            <w:webHidden/>
          </w:rPr>
          <w:t>18</w:t>
        </w:r>
        <w:r>
          <w:rPr>
            <w:noProof/>
            <w:webHidden/>
          </w:rPr>
          <w:fldChar w:fldCharType="end"/>
        </w:r>
      </w:hyperlink>
      <w:r w:rsidR="00117FD8">
        <w:rPr>
          <w:bCs/>
        </w:rPr>
        <w:fldChar w:fldCharType="end"/>
      </w:r>
      <w:r w:rsidR="00117FD8">
        <w:rPr>
          <w:bCs/>
        </w:rPr>
        <w:fldChar w:fldCharType="begin"/>
      </w:r>
      <w:r w:rsidR="00117FD8">
        <w:rPr>
          <w:bCs/>
        </w:rPr>
        <w:instrText xml:space="preserve"> TOC \h \z \c "Table B" </w:instrText>
      </w:r>
      <w:r w:rsidR="00117FD8">
        <w:rPr>
          <w:bCs/>
        </w:rPr>
        <w:fldChar w:fldCharType="separate"/>
      </w:r>
    </w:p>
    <w:p w14:paraId="74BE4865" w14:textId="67227B2D" w:rsidR="00F93D8A" w:rsidRDefault="00F93D8A" w:rsidP="00F93D8A">
      <w:pPr>
        <w:pStyle w:val="TableofFigures"/>
        <w:keepNext/>
        <w:keepLines/>
        <w:tabs>
          <w:tab w:val="right" w:leader="dot" w:pos="9061"/>
        </w:tabs>
        <w:rPr>
          <w:noProof/>
        </w:rPr>
      </w:pPr>
      <w:hyperlink w:anchor="_Toc185441667" w:history="1">
        <w:r w:rsidRPr="00F60674">
          <w:rPr>
            <w:rStyle w:val="Hyperlink"/>
            <w:noProof/>
          </w:rPr>
          <w:t>Table B 1</w:t>
        </w:r>
        <w:r w:rsidRPr="00F60674">
          <w:rPr>
            <w:rStyle w:val="Hyperlink"/>
            <w:noProof/>
            <w:lang w:eastAsia="en-AU"/>
          </w:rPr>
          <w:t xml:space="preserve"> Summary, short-term protective concentrations for chlorine (CPO) in marine water – three datasets assessed</w:t>
        </w:r>
        <w:r>
          <w:rPr>
            <w:noProof/>
            <w:webHidden/>
          </w:rPr>
          <w:tab/>
        </w:r>
        <w:r>
          <w:rPr>
            <w:noProof/>
            <w:webHidden/>
          </w:rPr>
          <w:fldChar w:fldCharType="begin"/>
        </w:r>
        <w:r>
          <w:rPr>
            <w:noProof/>
            <w:webHidden/>
          </w:rPr>
          <w:instrText xml:space="preserve"> PAGEREF _Toc185441667 \h </w:instrText>
        </w:r>
        <w:r>
          <w:rPr>
            <w:noProof/>
            <w:webHidden/>
          </w:rPr>
        </w:r>
        <w:r>
          <w:rPr>
            <w:noProof/>
            <w:webHidden/>
          </w:rPr>
          <w:fldChar w:fldCharType="separate"/>
        </w:r>
        <w:r w:rsidR="003E6080">
          <w:rPr>
            <w:noProof/>
            <w:webHidden/>
          </w:rPr>
          <w:t>22</w:t>
        </w:r>
        <w:r>
          <w:rPr>
            <w:noProof/>
            <w:webHidden/>
          </w:rPr>
          <w:fldChar w:fldCharType="end"/>
        </w:r>
      </w:hyperlink>
      <w:r w:rsidR="00117FD8">
        <w:rPr>
          <w:bCs/>
        </w:rPr>
        <w:fldChar w:fldCharType="end"/>
      </w:r>
      <w:r w:rsidR="00117FD8">
        <w:rPr>
          <w:bCs/>
        </w:rPr>
        <w:fldChar w:fldCharType="begin"/>
      </w:r>
      <w:r w:rsidR="00117FD8">
        <w:rPr>
          <w:bCs/>
        </w:rPr>
        <w:instrText xml:space="preserve"> TOC \h \z \c "Table C" </w:instrText>
      </w:r>
      <w:r w:rsidR="00117FD8">
        <w:rPr>
          <w:bCs/>
        </w:rPr>
        <w:fldChar w:fldCharType="separate"/>
      </w:r>
    </w:p>
    <w:p w14:paraId="42EC401B" w14:textId="125837ED" w:rsidR="00F93D8A" w:rsidRDefault="00F93D8A">
      <w:pPr>
        <w:pStyle w:val="TableofFigures"/>
        <w:tabs>
          <w:tab w:val="right" w:leader="dot" w:pos="9060"/>
        </w:tabs>
        <w:rPr>
          <w:rFonts w:eastAsiaTheme="minorEastAsia"/>
          <w:noProof/>
          <w:kern w:val="2"/>
          <w:lang w:eastAsia="en-AU"/>
          <w14:ligatures w14:val="standardContextual"/>
        </w:rPr>
      </w:pPr>
      <w:hyperlink w:anchor="_Toc185441671" w:history="1">
        <w:r w:rsidRPr="007B3398">
          <w:rPr>
            <w:rStyle w:val="Hyperlink"/>
            <w:noProof/>
          </w:rPr>
          <w:t>Table C 1 Bioassay details for assessing chlorine toxicity in unfiltered seawater to two sea urchins, sourced from Dinnel et al. (1981)</w:t>
        </w:r>
        <w:r>
          <w:rPr>
            <w:noProof/>
            <w:webHidden/>
          </w:rPr>
          <w:tab/>
        </w:r>
        <w:r>
          <w:rPr>
            <w:noProof/>
            <w:webHidden/>
          </w:rPr>
          <w:fldChar w:fldCharType="begin"/>
        </w:r>
        <w:r>
          <w:rPr>
            <w:noProof/>
            <w:webHidden/>
          </w:rPr>
          <w:instrText xml:space="preserve"> PAGEREF _Toc185441671 \h </w:instrText>
        </w:r>
        <w:r>
          <w:rPr>
            <w:noProof/>
            <w:webHidden/>
          </w:rPr>
        </w:r>
        <w:r>
          <w:rPr>
            <w:noProof/>
            <w:webHidden/>
          </w:rPr>
          <w:fldChar w:fldCharType="separate"/>
        </w:r>
        <w:r w:rsidR="003E6080">
          <w:rPr>
            <w:noProof/>
            <w:webHidden/>
          </w:rPr>
          <w:t>23</w:t>
        </w:r>
        <w:r>
          <w:rPr>
            <w:noProof/>
            <w:webHidden/>
          </w:rPr>
          <w:fldChar w:fldCharType="end"/>
        </w:r>
      </w:hyperlink>
    </w:p>
    <w:p w14:paraId="4C8F67CE" w14:textId="789426CC" w:rsidR="00117FD8" w:rsidRDefault="00117FD8" w:rsidP="00F93D8A">
      <w:pPr>
        <w:pStyle w:val="TableofFigures"/>
        <w:tabs>
          <w:tab w:val="right" w:leader="dot" w:pos="9061"/>
        </w:tabs>
      </w:pPr>
      <w:r>
        <w:rPr>
          <w:bCs/>
        </w:rPr>
        <w:fldChar w:fldCharType="end"/>
      </w:r>
    </w:p>
    <w:p w14:paraId="0C18E2A3" w14:textId="60698E92" w:rsidR="00401C43" w:rsidRDefault="00401C43" w:rsidP="00401C43">
      <w:pPr>
        <w:pStyle w:val="TOCHeading2"/>
      </w:pPr>
      <w:r>
        <w:br w:type="page"/>
      </w:r>
    </w:p>
    <w:p w14:paraId="5463ADEF" w14:textId="4666AC67" w:rsidR="001C0D1C" w:rsidRDefault="00E55B1C" w:rsidP="00B20651">
      <w:pPr>
        <w:pStyle w:val="Heading2"/>
        <w:numPr>
          <w:ilvl w:val="0"/>
          <w:numId w:val="0"/>
        </w:numPr>
        <w:ind w:left="680" w:hanging="680"/>
      </w:pPr>
      <w:bookmarkStart w:id="0" w:name="_Toc178451644"/>
      <w:bookmarkStart w:id="1" w:name="_Toc189409333"/>
      <w:r>
        <w:lastRenderedPageBreak/>
        <w:t>Summary</w:t>
      </w:r>
      <w:bookmarkEnd w:id="0"/>
      <w:bookmarkEnd w:id="1"/>
    </w:p>
    <w:p w14:paraId="79B1BBA2" w14:textId="1D2727E5" w:rsidR="004213DF" w:rsidRDefault="004213DF" w:rsidP="000E52A2">
      <w:r w:rsidRPr="00BF6347">
        <w:t>The DGVs and associated information in this technical brief should be used in accordance with the detailed guidance provided in the Australian and New Zealand Guidelines for Fresh and Marine Water Quality website (</w:t>
      </w:r>
      <w:hyperlink r:id="rId20" w:history="1">
        <w:r w:rsidRPr="00774A25">
          <w:rPr>
            <w:rStyle w:val="Hyperlink"/>
          </w:rPr>
          <w:t>www.waterquality.gov.au/anz-guidelines</w:t>
        </w:r>
      </w:hyperlink>
      <w:r w:rsidRPr="00BF6347">
        <w:t>).</w:t>
      </w:r>
    </w:p>
    <w:p w14:paraId="49DDD2C0" w14:textId="7524B0AC" w:rsidR="004213DF" w:rsidRDefault="00B150FB" w:rsidP="000E52A2">
      <w:r w:rsidRPr="00B150FB">
        <w:t>Chlorination is commonly used to control biofouling organisms</w:t>
      </w:r>
      <w:r w:rsidR="00A42BCB">
        <w:t>;</w:t>
      </w:r>
      <w:r w:rsidRPr="00B150FB">
        <w:t xml:space="preserve"> however, chlorine rapidly hydrolyses in seawater to hypochlorite which undergoes further reaction with bromide</w:t>
      </w:r>
      <w:r w:rsidR="00E90946">
        <w:t xml:space="preserve">. </w:t>
      </w:r>
      <w:r w:rsidR="00D95BED">
        <w:t>H</w:t>
      </w:r>
      <w:r w:rsidR="00170E73">
        <w:t>ypochlorite</w:t>
      </w:r>
      <w:r w:rsidR="00E90946">
        <w:t xml:space="preserve"> can </w:t>
      </w:r>
      <w:r w:rsidR="00D95BED">
        <w:t>also</w:t>
      </w:r>
      <w:r w:rsidR="00E90946">
        <w:t xml:space="preserve"> react</w:t>
      </w:r>
      <w:r w:rsidR="00B411D7">
        <w:t xml:space="preserve"> </w:t>
      </w:r>
      <w:r w:rsidRPr="00B150FB">
        <w:t>with organic matter. These reaction products</w:t>
      </w:r>
      <w:r w:rsidR="00A16E49">
        <w:t>—</w:t>
      </w:r>
      <w:r w:rsidRPr="00B150FB">
        <w:t>collectively termed chlorine-produced oxidants (CPO)</w:t>
      </w:r>
      <w:r w:rsidR="00A16E49">
        <w:t>—</w:t>
      </w:r>
      <w:r w:rsidRPr="00B150FB">
        <w:t xml:space="preserve">can be toxic </w:t>
      </w:r>
      <w:r w:rsidR="003D2F6B">
        <w:t>to</w:t>
      </w:r>
      <w:r w:rsidRPr="00B150FB">
        <w:t xml:space="preserve"> marine biota. Because the</w:t>
      </w:r>
      <w:r w:rsidR="0033260B">
        <w:t xml:space="preserve"> </w:t>
      </w:r>
      <w:r w:rsidR="009347AE">
        <w:t>residence times</w:t>
      </w:r>
      <w:r w:rsidRPr="00B150FB">
        <w:t xml:space="preserve"> of the most toxic forms </w:t>
      </w:r>
      <w:r w:rsidR="00A16E49">
        <w:t>are</w:t>
      </w:r>
      <w:r w:rsidR="00A16E49" w:rsidRPr="00B150FB">
        <w:t xml:space="preserve"> </w:t>
      </w:r>
      <w:r w:rsidRPr="00B150FB">
        <w:t xml:space="preserve">limited to several days, appropriate </w:t>
      </w:r>
      <w:r w:rsidR="004213DF">
        <w:t xml:space="preserve">water quality </w:t>
      </w:r>
      <w:r w:rsidRPr="00B150FB">
        <w:t xml:space="preserve">guideline values </w:t>
      </w:r>
      <w:r w:rsidR="00A16E49">
        <w:t>must</w:t>
      </w:r>
      <w:r w:rsidRPr="00B150FB">
        <w:t xml:space="preserve"> be based on short-term (acute) toxicity tests, rather than chronic tests. Flow-through toxicity tests are the most appropriate, whereas static-renewal tests generate variable results dependent on the renewal rate. </w:t>
      </w:r>
    </w:p>
    <w:p w14:paraId="3CDB5E6F" w14:textId="3A1E971E" w:rsidR="0069125D" w:rsidRDefault="00B150FB" w:rsidP="000E52A2">
      <w:pPr>
        <w:rPr>
          <w:rFonts w:cstheme="minorHAnsi"/>
        </w:rPr>
      </w:pPr>
      <w:r w:rsidRPr="00B150FB">
        <w:rPr>
          <w:rFonts w:cstheme="minorHAnsi"/>
        </w:rPr>
        <w:t>Literature data for acute</w:t>
      </w:r>
      <w:r w:rsidR="00FA219E">
        <w:rPr>
          <w:rFonts w:cstheme="minorHAnsi"/>
        </w:rPr>
        <w:t xml:space="preserve"> </w:t>
      </w:r>
      <w:r w:rsidRPr="00B150FB">
        <w:rPr>
          <w:rFonts w:cstheme="minorHAnsi"/>
        </w:rPr>
        <w:t>CPO toxicity from flow-through tests</w:t>
      </w:r>
      <w:r w:rsidR="00EA7F8D">
        <w:rPr>
          <w:rFonts w:cstheme="minorHAnsi"/>
        </w:rPr>
        <w:t>, combined</w:t>
      </w:r>
      <w:r w:rsidRPr="00B150FB">
        <w:rPr>
          <w:rFonts w:cstheme="minorHAnsi"/>
        </w:rPr>
        <w:t xml:space="preserve"> with values from two sensitive 15</w:t>
      </w:r>
      <w:r w:rsidR="00EA7F8D">
        <w:rPr>
          <w:rFonts w:cstheme="minorHAnsi"/>
        </w:rPr>
        <w:t> </w:t>
      </w:r>
      <w:r w:rsidRPr="00B150FB">
        <w:rPr>
          <w:rFonts w:cstheme="minorHAnsi"/>
        </w:rPr>
        <w:t xml:space="preserve">min static tests, </w:t>
      </w:r>
      <w:r w:rsidR="00EA7F8D">
        <w:rPr>
          <w:rFonts w:cstheme="minorHAnsi"/>
        </w:rPr>
        <w:t>(</w:t>
      </w:r>
      <w:r w:rsidR="004213DF">
        <w:rPr>
          <w:rFonts w:cstheme="minorHAnsi"/>
        </w:rPr>
        <w:t>data for</w:t>
      </w:r>
      <w:r w:rsidR="004213DF" w:rsidRPr="00B150FB">
        <w:rPr>
          <w:rFonts w:cstheme="minorHAnsi"/>
        </w:rPr>
        <w:t xml:space="preserve"> </w:t>
      </w:r>
      <w:r w:rsidR="007D2872">
        <w:rPr>
          <w:rFonts w:cstheme="minorHAnsi"/>
        </w:rPr>
        <w:t>29</w:t>
      </w:r>
      <w:r w:rsidR="00EA7F8D">
        <w:rPr>
          <w:rFonts w:cstheme="minorHAnsi"/>
        </w:rPr>
        <w:t> </w:t>
      </w:r>
      <w:r w:rsidRPr="00B150FB">
        <w:rPr>
          <w:rFonts w:cstheme="minorHAnsi"/>
        </w:rPr>
        <w:t xml:space="preserve">species from </w:t>
      </w:r>
      <w:r w:rsidR="0004222E">
        <w:rPr>
          <w:rFonts w:cstheme="minorHAnsi"/>
        </w:rPr>
        <w:t>five</w:t>
      </w:r>
      <w:r w:rsidR="00EA7F8D">
        <w:rPr>
          <w:rFonts w:cstheme="minorHAnsi"/>
        </w:rPr>
        <w:t> </w:t>
      </w:r>
      <w:r w:rsidRPr="00B150FB">
        <w:rPr>
          <w:rFonts w:cstheme="minorHAnsi"/>
        </w:rPr>
        <w:t>taxonomic groups</w:t>
      </w:r>
      <w:r w:rsidR="00EA7F8D">
        <w:rPr>
          <w:rFonts w:cstheme="minorHAnsi"/>
        </w:rPr>
        <w:t>)</w:t>
      </w:r>
      <w:r w:rsidR="004213DF">
        <w:rPr>
          <w:rFonts w:cstheme="minorHAnsi"/>
        </w:rPr>
        <w:t xml:space="preserve"> </w:t>
      </w:r>
      <w:r w:rsidR="004213DF">
        <w:t>passed the quality assessment and screening processes and were used to derive default guideline values (DGVs)</w:t>
      </w:r>
      <w:r w:rsidRPr="00B150FB">
        <w:rPr>
          <w:rFonts w:cstheme="minorHAnsi"/>
        </w:rPr>
        <w:t xml:space="preserve">. </w:t>
      </w:r>
      <w:r w:rsidR="004213DF">
        <w:t xml:space="preserve">The fit of the species sensitivity distribution (SSD) to the data was good, resulting in very high reliability DGVs. </w:t>
      </w:r>
      <w:r w:rsidR="004213DF">
        <w:rPr>
          <w:rFonts w:cstheme="minorHAnsi"/>
        </w:rPr>
        <w:t>The CPO DGVs for</w:t>
      </w:r>
      <w:r w:rsidRPr="00B150FB">
        <w:rPr>
          <w:rFonts w:cstheme="minorHAnsi"/>
        </w:rPr>
        <w:t xml:space="preserve"> 99</w:t>
      </w:r>
      <w:r w:rsidR="000C4C76">
        <w:rPr>
          <w:rFonts w:cstheme="minorHAnsi"/>
        </w:rPr>
        <w:t>%</w:t>
      </w:r>
      <w:r w:rsidRPr="00B150FB">
        <w:rPr>
          <w:rFonts w:cstheme="minorHAnsi"/>
        </w:rPr>
        <w:t>, 95</w:t>
      </w:r>
      <w:r w:rsidR="000C4C76">
        <w:rPr>
          <w:rFonts w:cstheme="minorHAnsi"/>
        </w:rPr>
        <w:t>%</w:t>
      </w:r>
      <w:r w:rsidR="004213DF">
        <w:rPr>
          <w:rFonts w:cstheme="minorHAnsi"/>
        </w:rPr>
        <w:t>,</w:t>
      </w:r>
      <w:r w:rsidRPr="00B150FB">
        <w:rPr>
          <w:rFonts w:cstheme="minorHAnsi"/>
        </w:rPr>
        <w:t xml:space="preserve"> 90</w:t>
      </w:r>
      <w:r w:rsidR="000C4C76">
        <w:rPr>
          <w:rFonts w:cstheme="minorHAnsi"/>
        </w:rPr>
        <w:t>%</w:t>
      </w:r>
      <w:r w:rsidR="004213DF">
        <w:rPr>
          <w:rFonts w:cstheme="minorHAnsi"/>
        </w:rPr>
        <w:t xml:space="preserve"> and 80</w:t>
      </w:r>
      <w:r w:rsidRPr="00B150FB">
        <w:rPr>
          <w:rFonts w:cstheme="minorHAnsi"/>
        </w:rPr>
        <w:t>% species</w:t>
      </w:r>
      <w:r w:rsidR="004213DF">
        <w:rPr>
          <w:rFonts w:cstheme="minorHAnsi"/>
        </w:rPr>
        <w:t xml:space="preserve"> protection are</w:t>
      </w:r>
      <w:r w:rsidRPr="00B150FB">
        <w:rPr>
          <w:rFonts w:cstheme="minorHAnsi"/>
        </w:rPr>
        <w:t xml:space="preserve"> </w:t>
      </w:r>
      <w:r w:rsidR="00182FF2">
        <w:rPr>
          <w:rFonts w:cstheme="minorHAnsi"/>
        </w:rPr>
        <w:t>4.3</w:t>
      </w:r>
      <w:r w:rsidR="0069125D">
        <w:t> </w:t>
      </w:r>
      <w:r w:rsidR="0069125D" w:rsidRPr="00B150FB">
        <w:rPr>
          <w:rFonts w:cstheme="minorHAnsi"/>
        </w:rPr>
        <w:t>µg/L</w:t>
      </w:r>
      <w:r w:rsidRPr="00B150FB">
        <w:rPr>
          <w:rFonts w:cstheme="minorHAnsi"/>
        </w:rPr>
        <w:t xml:space="preserve">, </w:t>
      </w:r>
      <w:r w:rsidR="0002188A">
        <w:rPr>
          <w:rFonts w:cstheme="minorHAnsi"/>
        </w:rPr>
        <w:t>10</w:t>
      </w:r>
      <w:r w:rsidR="0069125D">
        <w:t> </w:t>
      </w:r>
      <w:r w:rsidR="0069125D" w:rsidRPr="00B150FB">
        <w:rPr>
          <w:rFonts w:cstheme="minorHAnsi"/>
        </w:rPr>
        <w:t>µg/L</w:t>
      </w:r>
      <w:r w:rsidR="004213DF">
        <w:rPr>
          <w:rFonts w:cstheme="minorHAnsi"/>
        </w:rPr>
        <w:t xml:space="preserve">, </w:t>
      </w:r>
      <w:r w:rsidR="0002188A" w:rsidRPr="00B150FB">
        <w:rPr>
          <w:rFonts w:cstheme="minorHAnsi"/>
        </w:rPr>
        <w:t>1</w:t>
      </w:r>
      <w:r w:rsidR="0002188A">
        <w:rPr>
          <w:rFonts w:cstheme="minorHAnsi"/>
        </w:rPr>
        <w:t>6</w:t>
      </w:r>
      <w:r w:rsidR="0069125D">
        <w:rPr>
          <w:rFonts w:cstheme="minorHAnsi"/>
        </w:rPr>
        <w:t> </w:t>
      </w:r>
      <w:r w:rsidR="0069125D" w:rsidRPr="00B150FB">
        <w:rPr>
          <w:rFonts w:cstheme="minorHAnsi"/>
        </w:rPr>
        <w:t>µg/L</w:t>
      </w:r>
      <w:r w:rsidR="0002188A" w:rsidRPr="00B150FB">
        <w:rPr>
          <w:rFonts w:cstheme="minorHAnsi"/>
        </w:rPr>
        <w:t xml:space="preserve"> </w:t>
      </w:r>
      <w:r w:rsidR="004213DF">
        <w:rPr>
          <w:rFonts w:cstheme="minorHAnsi"/>
        </w:rPr>
        <w:t xml:space="preserve">and </w:t>
      </w:r>
      <w:r w:rsidR="0002188A">
        <w:rPr>
          <w:rFonts w:cstheme="minorHAnsi"/>
        </w:rPr>
        <w:t>26</w:t>
      </w:r>
      <w:r w:rsidR="00B20651">
        <w:rPr>
          <w:rFonts w:cstheme="minorHAnsi"/>
        </w:rPr>
        <w:t> </w:t>
      </w:r>
      <w:r w:rsidRPr="00B150FB">
        <w:rPr>
          <w:rFonts w:cstheme="minorHAnsi"/>
        </w:rPr>
        <w:t>µg/L</w:t>
      </w:r>
      <w:r w:rsidR="004213DF">
        <w:rPr>
          <w:rFonts w:cstheme="minorHAnsi"/>
        </w:rPr>
        <w:t>,</w:t>
      </w:r>
      <w:r w:rsidRPr="00B150FB">
        <w:rPr>
          <w:rFonts w:cstheme="minorHAnsi"/>
        </w:rPr>
        <w:t xml:space="preserve"> respectively. </w:t>
      </w:r>
      <w:r w:rsidR="004213DF" w:rsidRPr="001741CC">
        <w:t>The 95%</w:t>
      </w:r>
      <w:r w:rsidR="004213DF" w:rsidRPr="00B20651">
        <w:t xml:space="preserve"> </w:t>
      </w:r>
      <w:r w:rsidR="004213DF" w:rsidRPr="001741CC">
        <w:rPr>
          <w:bCs/>
        </w:rPr>
        <w:t xml:space="preserve">species protection </w:t>
      </w:r>
      <w:r w:rsidR="0069125D">
        <w:rPr>
          <w:bCs/>
        </w:rPr>
        <w:t>DG</w:t>
      </w:r>
      <w:r w:rsidR="00614901">
        <w:rPr>
          <w:bCs/>
        </w:rPr>
        <w:t>V</w:t>
      </w:r>
      <w:r w:rsidR="0069125D" w:rsidRPr="001741CC">
        <w:rPr>
          <w:bCs/>
        </w:rPr>
        <w:t xml:space="preserve"> </w:t>
      </w:r>
      <w:r w:rsidR="004213DF" w:rsidRPr="001741CC">
        <w:rPr>
          <w:bCs/>
        </w:rPr>
        <w:t xml:space="preserve">for </w:t>
      </w:r>
      <w:r w:rsidR="004213DF">
        <w:rPr>
          <w:bCs/>
        </w:rPr>
        <w:t xml:space="preserve">CPO </w:t>
      </w:r>
      <w:r w:rsidR="004213DF" w:rsidRPr="001741CC">
        <w:rPr>
          <w:bCs/>
        </w:rPr>
        <w:t xml:space="preserve">is recommended for </w:t>
      </w:r>
      <w:r w:rsidR="002C4086">
        <w:rPr>
          <w:bCs/>
        </w:rPr>
        <w:t>application to</w:t>
      </w:r>
      <w:r w:rsidR="004213DF" w:rsidRPr="001741CC">
        <w:rPr>
          <w:bCs/>
        </w:rPr>
        <w:t xml:space="preserve"> slightly</w:t>
      </w:r>
      <w:r w:rsidR="004213DF">
        <w:rPr>
          <w:bCs/>
        </w:rPr>
        <w:t>-</w:t>
      </w:r>
      <w:r w:rsidR="004213DF" w:rsidRPr="001741CC">
        <w:rPr>
          <w:bCs/>
        </w:rPr>
        <w:t>to</w:t>
      </w:r>
      <w:r w:rsidR="004213DF">
        <w:rPr>
          <w:bCs/>
        </w:rPr>
        <w:t>-</w:t>
      </w:r>
      <w:r w:rsidR="004213DF" w:rsidRPr="001741CC">
        <w:rPr>
          <w:bCs/>
        </w:rPr>
        <w:t>moderately disturbed ecosystems</w:t>
      </w:r>
      <w:r w:rsidR="004213DF">
        <w:rPr>
          <w:bCs/>
        </w:rPr>
        <w:t>.</w:t>
      </w:r>
      <w:r w:rsidR="004213DF" w:rsidRPr="00B150FB">
        <w:rPr>
          <w:rFonts w:cstheme="minorHAnsi"/>
        </w:rPr>
        <w:t xml:space="preserve"> </w:t>
      </w:r>
    </w:p>
    <w:p w14:paraId="75CA3D81" w14:textId="52A352E2" w:rsidR="00B150FB" w:rsidRPr="00B150FB" w:rsidRDefault="00B150FB" w:rsidP="000E52A2">
      <w:pPr>
        <w:rPr>
          <w:rFonts w:cstheme="minorHAnsi"/>
        </w:rPr>
      </w:pPr>
      <w:r w:rsidRPr="00B150FB">
        <w:rPr>
          <w:rFonts w:cstheme="minorHAnsi"/>
        </w:rPr>
        <w:t xml:space="preserve">These are the first marine </w:t>
      </w:r>
      <w:r w:rsidR="004213DF">
        <w:rPr>
          <w:rFonts w:cstheme="minorHAnsi"/>
        </w:rPr>
        <w:t>D</w:t>
      </w:r>
      <w:r w:rsidRPr="00B150FB">
        <w:rPr>
          <w:rFonts w:cstheme="minorHAnsi"/>
        </w:rPr>
        <w:t>GVs for chlorine to be derived using SSDs</w:t>
      </w:r>
      <w:r w:rsidR="00C2067C">
        <w:rPr>
          <w:rFonts w:cstheme="minorHAnsi"/>
        </w:rPr>
        <w:t>;</w:t>
      </w:r>
      <w:r w:rsidRPr="00B150FB">
        <w:rPr>
          <w:rFonts w:cstheme="minorHAnsi"/>
        </w:rPr>
        <w:t xml:space="preserve"> all other </w:t>
      </w:r>
      <w:r w:rsidR="00182FF2">
        <w:rPr>
          <w:rFonts w:cstheme="minorHAnsi"/>
        </w:rPr>
        <w:t xml:space="preserve">formal </w:t>
      </w:r>
      <w:r w:rsidRPr="00B150FB">
        <w:rPr>
          <w:rFonts w:cstheme="minorHAnsi"/>
        </w:rPr>
        <w:t xml:space="preserve">international </w:t>
      </w:r>
      <w:r w:rsidR="00182FF2">
        <w:rPr>
          <w:rFonts w:cstheme="minorHAnsi"/>
        </w:rPr>
        <w:t>guideline values</w:t>
      </w:r>
      <w:r w:rsidR="00182FF2" w:rsidRPr="00B150FB">
        <w:rPr>
          <w:rFonts w:cstheme="minorHAnsi"/>
        </w:rPr>
        <w:t xml:space="preserve"> </w:t>
      </w:r>
      <w:r w:rsidR="00C2067C">
        <w:rPr>
          <w:rFonts w:cstheme="minorHAnsi"/>
        </w:rPr>
        <w:t>are</w:t>
      </w:r>
      <w:r w:rsidRPr="00B150FB">
        <w:rPr>
          <w:rFonts w:cstheme="minorHAnsi"/>
        </w:rPr>
        <w:t xml:space="preserve"> based on us</w:t>
      </w:r>
      <w:r w:rsidR="001B324A">
        <w:rPr>
          <w:rFonts w:cstheme="minorHAnsi"/>
        </w:rPr>
        <w:t>ing</w:t>
      </w:r>
      <w:r w:rsidRPr="00B150FB">
        <w:rPr>
          <w:rFonts w:cstheme="minorHAnsi"/>
        </w:rPr>
        <w:t xml:space="preserve"> assessment factors applied to data for the most sensitive species. In applying these </w:t>
      </w:r>
      <w:r w:rsidR="002C4086">
        <w:rPr>
          <w:rFonts w:cstheme="minorHAnsi"/>
        </w:rPr>
        <w:t>D</w:t>
      </w:r>
      <w:r w:rsidRPr="00B150FB">
        <w:rPr>
          <w:rFonts w:cstheme="minorHAnsi"/>
        </w:rPr>
        <w:t xml:space="preserve">GVs, it </w:t>
      </w:r>
      <w:r w:rsidR="001B324A">
        <w:rPr>
          <w:rFonts w:cstheme="minorHAnsi"/>
        </w:rPr>
        <w:t>must</w:t>
      </w:r>
      <w:r w:rsidRPr="00B150FB">
        <w:rPr>
          <w:rFonts w:cstheme="minorHAnsi"/>
        </w:rPr>
        <w:t xml:space="preserve"> be demonstrated that </w:t>
      </w:r>
      <w:r w:rsidR="001B324A" w:rsidRPr="00B150FB">
        <w:rPr>
          <w:rFonts w:cstheme="minorHAnsi"/>
        </w:rPr>
        <w:t xml:space="preserve">CPO </w:t>
      </w:r>
      <w:r w:rsidRPr="00B150FB">
        <w:rPr>
          <w:rFonts w:cstheme="minorHAnsi"/>
        </w:rPr>
        <w:t xml:space="preserve">concentrations would be reduced to below the </w:t>
      </w:r>
      <w:r w:rsidR="002C4086">
        <w:rPr>
          <w:rFonts w:cstheme="minorHAnsi"/>
        </w:rPr>
        <w:t>D</w:t>
      </w:r>
      <w:r w:rsidRPr="00B150FB">
        <w:rPr>
          <w:rFonts w:cstheme="minorHAnsi"/>
        </w:rPr>
        <w:t xml:space="preserve">GV within an acceptable mixing zone both through dilution and dissociation. </w:t>
      </w:r>
    </w:p>
    <w:p w14:paraId="5D1C1942" w14:textId="36F66C96" w:rsidR="007C285D" w:rsidRPr="007C285D" w:rsidRDefault="001B324A" w:rsidP="000E52A2">
      <w:pPr>
        <w:rPr>
          <w:rFonts w:cstheme="minorHAnsi"/>
        </w:rPr>
      </w:pPr>
      <w:r>
        <w:rPr>
          <w:rFonts w:cstheme="minorHAnsi"/>
        </w:rPr>
        <w:t>T</w:t>
      </w:r>
      <w:r w:rsidR="007C285D" w:rsidRPr="007C285D">
        <w:rPr>
          <w:rFonts w:cstheme="minorHAnsi"/>
        </w:rPr>
        <w:t xml:space="preserve">he </w:t>
      </w:r>
      <w:r w:rsidR="00182FF2">
        <w:rPr>
          <w:rFonts w:cstheme="minorHAnsi"/>
        </w:rPr>
        <w:t>DGVs</w:t>
      </w:r>
      <w:r w:rsidR="00182FF2" w:rsidRPr="007C285D">
        <w:rPr>
          <w:rFonts w:cstheme="minorHAnsi"/>
        </w:rPr>
        <w:t xml:space="preserve"> </w:t>
      </w:r>
      <w:r>
        <w:rPr>
          <w:rFonts w:cstheme="minorHAnsi"/>
        </w:rPr>
        <w:t xml:space="preserve">can </w:t>
      </w:r>
      <w:r w:rsidR="007C285D" w:rsidRPr="007C285D">
        <w:rPr>
          <w:rFonts w:cstheme="minorHAnsi"/>
        </w:rPr>
        <w:t xml:space="preserve">be </w:t>
      </w:r>
      <w:r>
        <w:rPr>
          <w:rFonts w:cstheme="minorHAnsi"/>
        </w:rPr>
        <w:t xml:space="preserve">applied </w:t>
      </w:r>
      <w:r w:rsidR="007C285D" w:rsidRPr="007C285D">
        <w:rPr>
          <w:rFonts w:cstheme="minorHAnsi"/>
        </w:rPr>
        <w:t>to the use of chlorine in the biocidal treatment of heat-exchanger pipes or other systems. This treatment is often continuous</w:t>
      </w:r>
      <w:r w:rsidR="00A42BCB">
        <w:rPr>
          <w:rFonts w:cstheme="minorHAnsi"/>
        </w:rPr>
        <w:t>;</w:t>
      </w:r>
      <w:r w:rsidR="007C285D" w:rsidRPr="007C285D">
        <w:rPr>
          <w:rFonts w:cstheme="minorHAnsi"/>
        </w:rPr>
        <w:t xml:space="preserve"> however, where the discharge is into the marine environment, the impacts of the discharge are intermittent because of tidal currents and wave action. The </w:t>
      </w:r>
      <w:r w:rsidR="00182FF2">
        <w:rPr>
          <w:rFonts w:cstheme="minorHAnsi"/>
        </w:rPr>
        <w:t>DGVs</w:t>
      </w:r>
      <w:r>
        <w:rPr>
          <w:rFonts w:cstheme="minorHAnsi"/>
        </w:rPr>
        <w:t xml:space="preserve"> in this document</w:t>
      </w:r>
      <w:r w:rsidR="007C285D" w:rsidRPr="007C285D">
        <w:rPr>
          <w:rFonts w:cstheme="minorHAnsi"/>
        </w:rPr>
        <w:t xml:space="preserve"> </w:t>
      </w:r>
      <w:r w:rsidR="00182FF2">
        <w:rPr>
          <w:rFonts w:cstheme="minorHAnsi"/>
        </w:rPr>
        <w:t>are</w:t>
      </w:r>
      <w:r w:rsidR="00182FF2" w:rsidRPr="007C285D">
        <w:rPr>
          <w:rFonts w:cstheme="minorHAnsi"/>
        </w:rPr>
        <w:t xml:space="preserve"> </w:t>
      </w:r>
      <w:r w:rsidR="007C285D" w:rsidRPr="007C285D">
        <w:rPr>
          <w:rFonts w:cstheme="minorHAnsi"/>
        </w:rPr>
        <w:t xml:space="preserve">conservative because </w:t>
      </w:r>
      <w:r w:rsidR="00182FF2">
        <w:rPr>
          <w:rFonts w:cstheme="minorHAnsi"/>
        </w:rPr>
        <w:t>they are mostly</w:t>
      </w:r>
      <w:r w:rsidR="007C285D" w:rsidRPr="007C285D">
        <w:rPr>
          <w:rFonts w:cstheme="minorHAnsi"/>
        </w:rPr>
        <w:t xml:space="preserve"> based on toxicity testing where the toxicant is continuously renewed, and not on static-renewal or static tests. The </w:t>
      </w:r>
      <w:r w:rsidR="00182FF2">
        <w:rPr>
          <w:rFonts w:cstheme="minorHAnsi"/>
        </w:rPr>
        <w:t>DGVs</w:t>
      </w:r>
      <w:r w:rsidR="00182FF2" w:rsidRPr="007C285D">
        <w:rPr>
          <w:rFonts w:cstheme="minorHAnsi"/>
        </w:rPr>
        <w:t xml:space="preserve"> </w:t>
      </w:r>
      <w:r w:rsidR="007C285D" w:rsidRPr="007C285D">
        <w:rPr>
          <w:rFonts w:cstheme="minorHAnsi"/>
        </w:rPr>
        <w:t>can be applied to all discharges, both continuous and intermittent.</w:t>
      </w:r>
    </w:p>
    <w:p w14:paraId="7767FF17" w14:textId="77777777" w:rsidR="007C285D" w:rsidRDefault="007C285D" w:rsidP="000E52A2"/>
    <w:p w14:paraId="28BAA1CC" w14:textId="2358DB7C" w:rsidR="004F2FCD" w:rsidRDefault="004F2FCD" w:rsidP="000E52A2">
      <w:pPr>
        <w:sectPr w:rsidR="004F2FCD">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567" w:footer="283" w:gutter="0"/>
          <w:pgNumType w:fmt="lowerRoman"/>
          <w:cols w:space="708"/>
          <w:titlePg/>
          <w:docGrid w:linePitch="360"/>
        </w:sectPr>
      </w:pPr>
    </w:p>
    <w:p w14:paraId="1ADDD7A4" w14:textId="711D0ACB" w:rsidR="001C0D1C" w:rsidRPr="0053068D" w:rsidRDefault="00BF0280" w:rsidP="0053068D">
      <w:pPr>
        <w:pStyle w:val="Heading2"/>
      </w:pPr>
      <w:bookmarkStart w:id="2" w:name="_Toc178451645"/>
      <w:bookmarkStart w:id="3" w:name="_Toc189409334"/>
      <w:r w:rsidRPr="0053068D">
        <w:lastRenderedPageBreak/>
        <w:t>Introduction</w:t>
      </w:r>
      <w:bookmarkEnd w:id="2"/>
      <w:bookmarkEnd w:id="3"/>
    </w:p>
    <w:p w14:paraId="0752EB95" w14:textId="6F909E3D" w:rsidR="003F552B" w:rsidRPr="003F552B" w:rsidRDefault="003F552B" w:rsidP="000E52A2">
      <w:r w:rsidRPr="003F552B">
        <w:t xml:space="preserve">Chlorination, either by the addition of sodium hypochlorite (NaOCl) or electrolysis of seawater, </w:t>
      </w:r>
      <w:r w:rsidR="00521683">
        <w:t>is</w:t>
      </w:r>
      <w:r w:rsidRPr="003F552B">
        <w:t xml:space="preserve"> one of the most effective approaches for the control of biofouling organisms in seawater (Nguyen et al. 2012; Rajagopal 201</w:t>
      </w:r>
      <w:r w:rsidR="00F6519F">
        <w:t>1</w:t>
      </w:r>
      <w:r w:rsidRPr="003F552B">
        <w:t xml:space="preserve">). When discharging chlorine-treated waters, there are concerns for the impacts of chlorine and its decomposition products on the health of non-target aquatic biota. </w:t>
      </w:r>
      <w:r w:rsidR="00F44802" w:rsidRPr="00F44802">
        <w:t>This treatment is often continuous</w:t>
      </w:r>
      <w:r w:rsidR="00A42BCB">
        <w:t>;</w:t>
      </w:r>
      <w:r w:rsidR="00F44802" w:rsidRPr="00F44802">
        <w:t xml:space="preserve"> however, where the discharge is into the marine environment, the impacts of the discharge are also influenced by varying rates of dilution of </w:t>
      </w:r>
      <w:r w:rsidR="00A76E66" w:rsidRPr="00B150FB">
        <w:t xml:space="preserve">chlorine-produced oxidants </w:t>
      </w:r>
      <w:r w:rsidR="00A76E66">
        <w:t>(</w:t>
      </w:r>
      <w:r w:rsidR="00F44802" w:rsidRPr="00F44802">
        <w:t>CPO</w:t>
      </w:r>
      <w:r w:rsidR="00A76E66">
        <w:t>)</w:t>
      </w:r>
      <w:r w:rsidR="00F44802" w:rsidRPr="00F44802">
        <w:t xml:space="preserve"> due to tidal currents</w:t>
      </w:r>
      <w:r w:rsidR="00AF2410">
        <w:t>,</w:t>
      </w:r>
      <w:r w:rsidR="00F44802" w:rsidRPr="00F44802">
        <w:t xml:space="preserve"> wave action</w:t>
      </w:r>
      <w:r w:rsidR="00AF2410">
        <w:t xml:space="preserve"> and </w:t>
      </w:r>
      <w:r w:rsidR="00C43E10">
        <w:t>losses through volatilisation</w:t>
      </w:r>
      <w:r w:rsidR="00F44802" w:rsidRPr="00F44802">
        <w:t>.</w:t>
      </w:r>
      <w:r w:rsidR="00F44802" w:rsidRPr="007E51E8">
        <w:rPr>
          <w:rFonts w:ascii="Times New Roman" w:hAnsi="Times New Roman"/>
          <w:sz w:val="24"/>
          <w:szCs w:val="24"/>
        </w:rPr>
        <w:t xml:space="preserve"> </w:t>
      </w:r>
      <w:r w:rsidR="002D5AD7" w:rsidRPr="00067914">
        <w:t>C</w:t>
      </w:r>
      <w:r w:rsidR="00AF2410">
        <w:t>PO</w:t>
      </w:r>
      <w:r w:rsidR="002D5AD7" w:rsidRPr="00067914">
        <w:t xml:space="preserve"> </w:t>
      </w:r>
      <w:r w:rsidR="00654FCB" w:rsidRPr="00067914">
        <w:t>include free chlorine and a number of</w:t>
      </w:r>
      <w:r w:rsidR="0037429A">
        <w:t xml:space="preserve"> chlorine</w:t>
      </w:r>
      <w:r w:rsidR="00654FCB" w:rsidRPr="00067914">
        <w:t xml:space="preserve"> reaction products that are rapidly formed as a result of its strong oxidising property (Section</w:t>
      </w:r>
      <w:r w:rsidR="00AB6F12">
        <w:t> </w:t>
      </w:r>
      <w:r w:rsidR="00AB6F12">
        <w:fldChar w:fldCharType="begin"/>
      </w:r>
      <w:r w:rsidR="00AB6F12">
        <w:instrText xml:space="preserve"> REF _Ref90985848 \r \h </w:instrText>
      </w:r>
      <w:r w:rsidR="00AB6F12">
        <w:fldChar w:fldCharType="separate"/>
      </w:r>
      <w:r w:rsidR="003E6080">
        <w:t>3</w:t>
      </w:r>
      <w:r w:rsidR="00AB6F12">
        <w:fldChar w:fldCharType="end"/>
      </w:r>
      <w:r w:rsidR="00654FCB" w:rsidRPr="00067914">
        <w:t>).</w:t>
      </w:r>
      <w:r w:rsidR="00F44802" w:rsidRPr="007E51E8">
        <w:rPr>
          <w:rFonts w:ascii="Times New Roman" w:hAnsi="Times New Roman"/>
          <w:sz w:val="24"/>
          <w:szCs w:val="24"/>
        </w:rPr>
        <w:t xml:space="preserve"> </w:t>
      </w:r>
      <w:r w:rsidRPr="003F552B">
        <w:t>The derivation of water quality guideline value</w:t>
      </w:r>
      <w:r w:rsidR="00CF10F0">
        <w:t>s</w:t>
      </w:r>
      <w:r w:rsidRPr="003F552B">
        <w:t xml:space="preserve"> for chlorine is complicated</w:t>
      </w:r>
      <w:r w:rsidR="00BD0B13">
        <w:t xml:space="preserve"> because</w:t>
      </w:r>
      <w:r w:rsidRPr="003F552B">
        <w:t xml:space="preserve"> chlorine is highly reactive in seawater, first hydrolysing </w:t>
      </w:r>
      <w:r w:rsidR="002655C5">
        <w:t>to h</w:t>
      </w:r>
      <w:r w:rsidR="002655C5" w:rsidRPr="00B150FB">
        <w:t xml:space="preserve">ypochlorite </w:t>
      </w:r>
      <w:r w:rsidRPr="003F552B">
        <w:t>and then rapidly oxidi</w:t>
      </w:r>
      <w:r w:rsidR="00C43E10">
        <w:t>s</w:t>
      </w:r>
      <w:r w:rsidRPr="003F552B">
        <w:t>ing bromide</w:t>
      </w:r>
      <w:r w:rsidR="00E55C80">
        <w:t xml:space="preserve"> (UK Marine </w:t>
      </w:r>
      <w:r w:rsidR="007A574F">
        <w:t>SAC 2019)</w:t>
      </w:r>
      <w:r w:rsidRPr="003F552B">
        <w:t>. Since these reactions are rapid</w:t>
      </w:r>
      <w:r w:rsidR="00C90499">
        <w:t xml:space="preserve"> (Wallis </w:t>
      </w:r>
      <w:r w:rsidR="00B20651">
        <w:t>and</w:t>
      </w:r>
      <w:r w:rsidR="00C90499">
        <w:t xml:space="preserve"> Chidgey 2022</w:t>
      </w:r>
      <w:r w:rsidR="0089181D">
        <w:t>)</w:t>
      </w:r>
      <w:r w:rsidRPr="003F552B">
        <w:t>, chlorine or hypochlorite are not expected to pose a direct toxicity threat</w:t>
      </w:r>
      <w:r w:rsidR="00A42BCB">
        <w:t>;</w:t>
      </w:r>
      <w:r w:rsidRPr="003F552B">
        <w:t xml:space="preserve"> however, toxicity from their reaction products</w:t>
      </w:r>
      <w:r w:rsidR="004A06BB">
        <w:t xml:space="preserve"> remains and</w:t>
      </w:r>
      <w:r w:rsidRPr="003F552B">
        <w:t xml:space="preserve"> can be assessed in the laboratory. On that basis, it is possible to generate </w:t>
      </w:r>
      <w:r w:rsidR="00CF10F0">
        <w:t>guideline values</w:t>
      </w:r>
      <w:r w:rsidRPr="003F552B">
        <w:t xml:space="preserve"> that relate to the original chlorine or hypochlorite concentration. </w:t>
      </w:r>
    </w:p>
    <w:p w14:paraId="535B94DF" w14:textId="20A0AA6B" w:rsidR="00CF10F0" w:rsidRDefault="00342D9C" w:rsidP="000E52A2">
      <w:pPr>
        <w:rPr>
          <w:rFonts w:cstheme="minorHAnsi"/>
          <w:color w:val="000000" w:themeColor="text1"/>
        </w:rPr>
      </w:pPr>
      <w:r>
        <w:rPr>
          <w:rFonts w:cstheme="minorHAnsi"/>
          <w:color w:val="000000" w:themeColor="text1"/>
        </w:rPr>
        <w:t>G</w:t>
      </w:r>
      <w:r w:rsidR="00CF10F0">
        <w:rPr>
          <w:rFonts w:cstheme="minorHAnsi"/>
        </w:rPr>
        <w:t>uideline values</w:t>
      </w:r>
      <w:r w:rsidR="003F552B" w:rsidRPr="003F552B">
        <w:rPr>
          <w:rFonts w:cstheme="minorHAnsi"/>
          <w:color w:val="000000" w:themeColor="text1"/>
        </w:rPr>
        <w:t xml:space="preserve"> for chlorine and its reaction products </w:t>
      </w:r>
      <w:r w:rsidRPr="003F552B">
        <w:rPr>
          <w:rFonts w:cstheme="minorHAnsi"/>
          <w:color w:val="000000" w:themeColor="text1"/>
        </w:rPr>
        <w:t>ha</w:t>
      </w:r>
      <w:r>
        <w:rPr>
          <w:rFonts w:cstheme="minorHAnsi"/>
          <w:color w:val="000000" w:themeColor="text1"/>
        </w:rPr>
        <w:t>ve</w:t>
      </w:r>
      <w:r w:rsidRPr="003F552B">
        <w:rPr>
          <w:rFonts w:cstheme="minorHAnsi"/>
          <w:color w:val="000000" w:themeColor="text1"/>
        </w:rPr>
        <w:t xml:space="preserve"> </w:t>
      </w:r>
      <w:r w:rsidR="003F552B" w:rsidRPr="003F552B">
        <w:rPr>
          <w:rFonts w:cstheme="minorHAnsi"/>
          <w:color w:val="000000" w:themeColor="text1"/>
        </w:rPr>
        <w:t xml:space="preserve">already been </w:t>
      </w:r>
      <w:r>
        <w:rPr>
          <w:rFonts w:cstheme="minorHAnsi"/>
          <w:color w:val="000000" w:themeColor="text1"/>
        </w:rPr>
        <w:t>derived</w:t>
      </w:r>
      <w:r w:rsidR="003F552B" w:rsidRPr="003F552B">
        <w:rPr>
          <w:rFonts w:cstheme="minorHAnsi"/>
          <w:color w:val="000000" w:themeColor="text1"/>
        </w:rPr>
        <w:t xml:space="preserve"> by a number of jurisdictions (USEPA 1985; CCME 1999; ANZECC/ARMCANZ 2000; Sorokin et al. 2007)</w:t>
      </w:r>
      <w:r w:rsidR="00CF10F0">
        <w:rPr>
          <w:rFonts w:cstheme="minorHAnsi"/>
          <w:color w:val="000000" w:themeColor="text1"/>
        </w:rPr>
        <w:t>.</w:t>
      </w:r>
      <w:r w:rsidR="00332931">
        <w:rPr>
          <w:rFonts w:cstheme="minorHAnsi"/>
          <w:color w:val="000000" w:themeColor="text1"/>
        </w:rPr>
        <w:t xml:space="preserve"> </w:t>
      </w:r>
      <w:r w:rsidR="00CF10F0">
        <w:rPr>
          <w:rFonts w:cstheme="minorHAnsi"/>
          <w:color w:val="000000" w:themeColor="text1"/>
        </w:rPr>
        <w:t>H</w:t>
      </w:r>
      <w:r w:rsidR="003F552B" w:rsidRPr="003F552B">
        <w:rPr>
          <w:rFonts w:cstheme="minorHAnsi"/>
          <w:color w:val="000000" w:themeColor="text1"/>
        </w:rPr>
        <w:t xml:space="preserve">owever, with improvements in </w:t>
      </w:r>
      <w:r w:rsidR="00CF10F0">
        <w:rPr>
          <w:rFonts w:cstheme="minorHAnsi"/>
        </w:rPr>
        <w:t xml:space="preserve">guideline value </w:t>
      </w:r>
      <w:r w:rsidR="003F552B" w:rsidRPr="003F552B">
        <w:rPr>
          <w:rFonts w:cstheme="minorHAnsi"/>
          <w:color w:val="000000" w:themeColor="text1"/>
        </w:rPr>
        <w:t xml:space="preserve">derivation </w:t>
      </w:r>
      <w:r w:rsidR="006E6929" w:rsidRPr="003F552B">
        <w:rPr>
          <w:rFonts w:cstheme="minorHAnsi"/>
          <w:color w:val="000000" w:themeColor="text1"/>
        </w:rPr>
        <w:t xml:space="preserve">methods </w:t>
      </w:r>
      <w:r w:rsidR="003F552B" w:rsidRPr="003F552B">
        <w:rPr>
          <w:rFonts w:cstheme="minorHAnsi"/>
          <w:color w:val="000000" w:themeColor="text1"/>
        </w:rPr>
        <w:t xml:space="preserve">(e.g. Batley et al. 2018), and the availability of newer toxicity data, there was an opportunity to derive more robust </w:t>
      </w:r>
      <w:r w:rsidR="00CF10F0">
        <w:rPr>
          <w:rFonts w:cstheme="minorHAnsi"/>
          <w:color w:val="000000" w:themeColor="text1"/>
        </w:rPr>
        <w:t xml:space="preserve">default </w:t>
      </w:r>
      <w:r w:rsidR="00CF10F0">
        <w:rPr>
          <w:rFonts w:cstheme="minorHAnsi"/>
        </w:rPr>
        <w:t>guideline values (DGVs) for Australia and New Zealand</w:t>
      </w:r>
      <w:r w:rsidR="003F552B" w:rsidRPr="003F552B">
        <w:rPr>
          <w:rFonts w:cstheme="minorHAnsi"/>
          <w:color w:val="000000" w:themeColor="text1"/>
        </w:rPr>
        <w:t xml:space="preserve">. </w:t>
      </w:r>
    </w:p>
    <w:p w14:paraId="13246C61" w14:textId="1594F39E" w:rsidR="003F552B" w:rsidRDefault="003F552B" w:rsidP="000E52A2">
      <w:pPr>
        <w:rPr>
          <w:rFonts w:cstheme="minorHAnsi"/>
          <w:color w:val="000000" w:themeColor="text1"/>
        </w:rPr>
      </w:pPr>
      <w:r w:rsidRPr="003F552B">
        <w:rPr>
          <w:rFonts w:cstheme="minorHAnsi"/>
          <w:color w:val="000000" w:themeColor="text1"/>
        </w:rPr>
        <w:t xml:space="preserve">In evaluating the toxicity data from experiments with reactive chemicals, there is the option to use either static tests (to simulate one-off discharges) or flow-through tests that model continuous discharges </w:t>
      </w:r>
      <w:r w:rsidR="00A00DD9">
        <w:rPr>
          <w:rFonts w:cstheme="minorHAnsi"/>
          <w:color w:val="000000" w:themeColor="text1"/>
        </w:rPr>
        <w:t xml:space="preserve">over several days </w:t>
      </w:r>
      <w:r w:rsidRPr="003F552B">
        <w:rPr>
          <w:rFonts w:cstheme="minorHAnsi"/>
          <w:color w:val="000000" w:themeColor="text1"/>
        </w:rPr>
        <w:t xml:space="preserve">and avoid decay of toxic reaction products. </w:t>
      </w:r>
      <w:r w:rsidR="00B568E9">
        <w:rPr>
          <w:rFonts w:cstheme="minorHAnsi"/>
          <w:color w:val="000000" w:themeColor="text1"/>
        </w:rPr>
        <w:t>F</w:t>
      </w:r>
      <w:r w:rsidR="00B568E9" w:rsidRPr="003F552B">
        <w:rPr>
          <w:rFonts w:cstheme="minorHAnsi"/>
          <w:color w:val="000000" w:themeColor="text1"/>
        </w:rPr>
        <w:t>low-through tests</w:t>
      </w:r>
      <w:r w:rsidRPr="003F552B">
        <w:rPr>
          <w:rFonts w:cstheme="minorHAnsi"/>
          <w:color w:val="000000" w:themeColor="text1"/>
        </w:rPr>
        <w:t xml:space="preserve"> are more appropriate for the derivation of </w:t>
      </w:r>
      <w:r w:rsidR="00CF10F0">
        <w:rPr>
          <w:rFonts w:cstheme="minorHAnsi"/>
          <w:color w:val="000000" w:themeColor="text1"/>
        </w:rPr>
        <w:t>D</w:t>
      </w:r>
      <w:r w:rsidRPr="003F552B">
        <w:rPr>
          <w:rFonts w:cstheme="minorHAnsi"/>
          <w:color w:val="000000" w:themeColor="text1"/>
        </w:rPr>
        <w:t xml:space="preserve">GVs for ecosystem protection. Further, given that toxicity </w:t>
      </w:r>
      <w:r w:rsidR="006B1528">
        <w:rPr>
          <w:rFonts w:cstheme="minorHAnsi"/>
          <w:color w:val="000000" w:themeColor="text1"/>
        </w:rPr>
        <w:t xml:space="preserve">is time-sensitive, it is </w:t>
      </w:r>
      <w:r w:rsidRPr="003F552B">
        <w:rPr>
          <w:rFonts w:cstheme="minorHAnsi"/>
          <w:color w:val="000000" w:themeColor="text1"/>
        </w:rPr>
        <w:t xml:space="preserve">appropriate to derive </w:t>
      </w:r>
      <w:r w:rsidR="006B1528">
        <w:rPr>
          <w:rFonts w:cstheme="minorHAnsi"/>
          <w:color w:val="000000" w:themeColor="text1"/>
        </w:rPr>
        <w:t xml:space="preserve">DGVs based on </w:t>
      </w:r>
      <w:r w:rsidRPr="003F552B">
        <w:rPr>
          <w:rFonts w:cstheme="minorHAnsi"/>
          <w:color w:val="000000" w:themeColor="text1"/>
        </w:rPr>
        <w:t xml:space="preserve">short-term </w:t>
      </w:r>
      <w:r w:rsidR="006B1528">
        <w:rPr>
          <w:rFonts w:cstheme="minorHAnsi"/>
          <w:color w:val="000000" w:themeColor="text1"/>
        </w:rPr>
        <w:t>(acute) data rather than on long-ter</w:t>
      </w:r>
      <w:r w:rsidR="00D84F7B">
        <w:rPr>
          <w:rFonts w:cstheme="minorHAnsi"/>
          <w:color w:val="000000" w:themeColor="text1"/>
        </w:rPr>
        <w:t>m (chronic) data</w:t>
      </w:r>
      <w:r w:rsidRPr="003F552B">
        <w:rPr>
          <w:rFonts w:cstheme="minorHAnsi"/>
          <w:color w:val="000000" w:themeColor="text1"/>
        </w:rPr>
        <w:t xml:space="preserve">. </w:t>
      </w:r>
    </w:p>
    <w:p w14:paraId="00432F0E" w14:textId="4BB5CA2D" w:rsidR="003F552B" w:rsidRPr="003F552B" w:rsidRDefault="003F552B" w:rsidP="000E52A2">
      <w:pPr>
        <w:rPr>
          <w:rFonts w:eastAsia="Calibri" w:cstheme="minorHAnsi"/>
          <w:color w:val="000000"/>
        </w:rPr>
      </w:pPr>
      <w:r w:rsidRPr="003F552B">
        <w:rPr>
          <w:rFonts w:eastAsia="Calibri" w:cstheme="minorHAnsi"/>
          <w:color w:val="000000"/>
        </w:rPr>
        <w:t xml:space="preserve">The oldest marine chlorine </w:t>
      </w:r>
      <w:r w:rsidR="00AD4E60">
        <w:rPr>
          <w:rFonts w:cstheme="minorHAnsi"/>
        </w:rPr>
        <w:t>guideline value</w:t>
      </w:r>
      <w:r w:rsidRPr="003F552B">
        <w:rPr>
          <w:rFonts w:eastAsia="Calibri" w:cstheme="minorHAnsi"/>
          <w:color w:val="000000"/>
        </w:rPr>
        <w:t xml:space="preserve"> is </w:t>
      </w:r>
      <w:r w:rsidR="001202A0">
        <w:rPr>
          <w:rFonts w:eastAsia="Calibri" w:cstheme="minorHAnsi"/>
          <w:color w:val="000000"/>
        </w:rPr>
        <w:t xml:space="preserve">from </w:t>
      </w:r>
      <w:r w:rsidRPr="003F552B">
        <w:rPr>
          <w:rFonts w:eastAsia="Calibri" w:cstheme="minorHAnsi"/>
          <w:color w:val="000000"/>
        </w:rPr>
        <w:t>USEPA (1985)</w:t>
      </w:r>
      <w:r w:rsidR="00AD4E60">
        <w:rPr>
          <w:rFonts w:eastAsia="Calibri" w:cstheme="minorHAnsi"/>
          <w:color w:val="000000"/>
        </w:rPr>
        <w:t>,</w:t>
      </w:r>
      <w:r w:rsidRPr="003F552B">
        <w:rPr>
          <w:rFonts w:eastAsia="Calibri" w:cstheme="minorHAnsi"/>
          <w:color w:val="000000"/>
        </w:rPr>
        <w:t xml:space="preserve"> </w:t>
      </w:r>
      <w:r w:rsidR="00AD4E60" w:rsidRPr="003F552B">
        <w:rPr>
          <w:rFonts w:eastAsia="Calibri" w:cstheme="minorHAnsi"/>
          <w:color w:val="000000"/>
        </w:rPr>
        <w:t>wh</w:t>
      </w:r>
      <w:r w:rsidR="00AD4E60">
        <w:rPr>
          <w:rFonts w:eastAsia="Calibri" w:cstheme="minorHAnsi"/>
          <w:color w:val="000000"/>
        </w:rPr>
        <w:t>ich</w:t>
      </w:r>
      <w:r w:rsidR="00AD4E60" w:rsidRPr="003F552B">
        <w:rPr>
          <w:rFonts w:eastAsia="Calibri" w:cstheme="minorHAnsi"/>
          <w:color w:val="000000"/>
        </w:rPr>
        <w:t xml:space="preserve"> </w:t>
      </w:r>
      <w:r w:rsidRPr="003F552B">
        <w:rPr>
          <w:rFonts w:eastAsia="Calibri" w:cstheme="minorHAnsi"/>
          <w:color w:val="000000"/>
        </w:rPr>
        <w:t xml:space="preserve">recommended that </w:t>
      </w:r>
      <w:r w:rsidR="000B702A">
        <w:rPr>
          <w:rFonts w:eastAsia="Calibri" w:cstheme="minorHAnsi"/>
          <w:color w:val="000000"/>
        </w:rPr>
        <w:t>‘</w:t>
      </w:r>
      <w:r w:rsidRPr="003F552B">
        <w:rPr>
          <w:rFonts w:eastAsia="Calibri" w:cstheme="minorHAnsi"/>
        </w:rPr>
        <w:t>except possibly where a locally important species is very sensitive, saltwater aquatic organisms and their uses should not be affected unacceptably if the four-day average concentration of CPO does not exceed 7.5</w:t>
      </w:r>
      <w:r w:rsidR="00B20651">
        <w:rPr>
          <w:rFonts w:eastAsia="Calibri" w:cstheme="minorHAnsi"/>
        </w:rPr>
        <w:t> </w:t>
      </w:r>
      <w:r w:rsidRPr="003F552B">
        <w:rPr>
          <w:rFonts w:eastAsia="Calibri" w:cstheme="minorHAnsi"/>
        </w:rPr>
        <w:t>µg/L more than once every three</w:t>
      </w:r>
      <w:r w:rsidR="0052181B">
        <w:rPr>
          <w:rFonts w:eastAsia="Calibri" w:cstheme="minorHAnsi"/>
        </w:rPr>
        <w:t> </w:t>
      </w:r>
      <w:r w:rsidRPr="003F552B">
        <w:rPr>
          <w:rFonts w:eastAsia="Calibri" w:cstheme="minorHAnsi"/>
        </w:rPr>
        <w:t>years on the average and if the one-hour average concentration does not exceed 13</w:t>
      </w:r>
      <w:r w:rsidR="00B20651">
        <w:rPr>
          <w:rFonts w:eastAsia="Calibri" w:cstheme="minorHAnsi"/>
        </w:rPr>
        <w:t> </w:t>
      </w:r>
      <w:r w:rsidRPr="003F552B">
        <w:rPr>
          <w:rFonts w:eastAsia="Calibri" w:cstheme="minorHAnsi"/>
        </w:rPr>
        <w:t>µg/L more than once every three</w:t>
      </w:r>
      <w:r w:rsidR="0052181B">
        <w:rPr>
          <w:rFonts w:eastAsia="Calibri" w:cstheme="minorHAnsi"/>
        </w:rPr>
        <w:t> </w:t>
      </w:r>
      <w:r w:rsidRPr="003F552B">
        <w:rPr>
          <w:rFonts w:eastAsia="Calibri" w:cstheme="minorHAnsi"/>
        </w:rPr>
        <w:t>years on the average</w:t>
      </w:r>
      <w:r w:rsidR="000B702A">
        <w:rPr>
          <w:rFonts w:eastAsia="Calibri" w:cstheme="minorHAnsi"/>
        </w:rPr>
        <w:t>’</w:t>
      </w:r>
      <w:r w:rsidRPr="003F552B">
        <w:rPr>
          <w:rFonts w:eastAsia="Calibri" w:cstheme="minorHAnsi"/>
        </w:rPr>
        <w:t>.</w:t>
      </w:r>
      <w:r w:rsidRPr="003F552B">
        <w:rPr>
          <w:rFonts w:eastAsia="Calibri" w:cstheme="minorHAnsi"/>
          <w:color w:val="000000"/>
        </w:rPr>
        <w:t xml:space="preserve"> </w:t>
      </w:r>
    </w:p>
    <w:p w14:paraId="2C70DDEA" w14:textId="79C47427" w:rsidR="003F552B" w:rsidRPr="003F552B" w:rsidRDefault="003F552B" w:rsidP="000E52A2">
      <w:pPr>
        <w:rPr>
          <w:rFonts w:eastAsia="Calibri" w:cstheme="minorHAnsi"/>
        </w:rPr>
      </w:pPr>
      <w:r w:rsidRPr="003F552B">
        <w:rPr>
          <w:rFonts w:eastAsia="Calibri" w:cstheme="minorHAnsi"/>
        </w:rPr>
        <w:t xml:space="preserve">CCME </w:t>
      </w:r>
      <w:r w:rsidR="0052181B">
        <w:rPr>
          <w:rFonts w:eastAsia="Calibri" w:cstheme="minorHAnsi"/>
        </w:rPr>
        <w:t>(</w:t>
      </w:r>
      <w:r w:rsidRPr="003F552B">
        <w:rPr>
          <w:rFonts w:eastAsia="Calibri" w:cstheme="minorHAnsi"/>
        </w:rPr>
        <w:t xml:space="preserve">1999) noted that the four most sensitive species endpoints in </w:t>
      </w:r>
      <w:r w:rsidR="0052181B">
        <w:rPr>
          <w:rFonts w:eastAsia="Calibri" w:cstheme="minorHAnsi"/>
        </w:rPr>
        <w:t>its</w:t>
      </w:r>
      <w:r w:rsidR="0052181B" w:rsidRPr="003F552B">
        <w:rPr>
          <w:rFonts w:eastAsia="Calibri" w:cstheme="minorHAnsi"/>
        </w:rPr>
        <w:t xml:space="preserve"> </w:t>
      </w:r>
      <w:r w:rsidRPr="003F552B">
        <w:rPr>
          <w:rFonts w:eastAsia="Calibri" w:cstheme="minorHAnsi"/>
        </w:rPr>
        <w:t>database were</w:t>
      </w:r>
      <w:r w:rsidR="00487409">
        <w:rPr>
          <w:rFonts w:eastAsia="Calibri" w:cstheme="minorHAnsi"/>
        </w:rPr>
        <w:t xml:space="preserve"> 5-min</w:t>
      </w:r>
      <w:r w:rsidR="00541835">
        <w:rPr>
          <w:rFonts w:eastAsia="Calibri" w:cstheme="minorHAnsi"/>
        </w:rPr>
        <w:t xml:space="preserve"> EC50</w:t>
      </w:r>
      <w:r w:rsidRPr="003F552B">
        <w:rPr>
          <w:rFonts w:eastAsia="Calibri" w:cstheme="minorHAnsi"/>
        </w:rPr>
        <w:t xml:space="preserve"> reduced egg fertilisation successes for sand dollars and green sea urchins </w:t>
      </w:r>
      <w:r w:rsidR="00AD4E60">
        <w:rPr>
          <w:rFonts w:eastAsia="Calibri" w:cstheme="minorHAnsi"/>
        </w:rPr>
        <w:t xml:space="preserve">(both echinoderms) </w:t>
      </w:r>
      <w:r w:rsidR="00541835">
        <w:rPr>
          <w:rFonts w:eastAsia="Calibri" w:cstheme="minorHAnsi"/>
        </w:rPr>
        <w:t>of</w:t>
      </w:r>
      <w:r w:rsidRPr="003F552B">
        <w:rPr>
          <w:rFonts w:eastAsia="Calibri" w:cstheme="minorHAnsi"/>
        </w:rPr>
        <w:t xml:space="preserve"> 2</w:t>
      </w:r>
      <w:r w:rsidR="0052181B">
        <w:rPr>
          <w:rFonts w:eastAsia="Calibri" w:cstheme="minorHAnsi"/>
        </w:rPr>
        <w:t> </w:t>
      </w:r>
      <w:r w:rsidR="0052181B" w:rsidRPr="003F552B">
        <w:rPr>
          <w:rFonts w:eastAsia="Calibri" w:cstheme="minorHAnsi"/>
        </w:rPr>
        <w:t>µg/L as CPO</w:t>
      </w:r>
      <w:r w:rsidRPr="003F552B">
        <w:rPr>
          <w:rFonts w:eastAsia="Calibri" w:cstheme="minorHAnsi"/>
        </w:rPr>
        <w:t xml:space="preserve"> and 5</w:t>
      </w:r>
      <w:r w:rsidR="0052181B">
        <w:rPr>
          <w:rFonts w:eastAsia="Calibri" w:cstheme="minorHAnsi"/>
        </w:rPr>
        <w:t> </w:t>
      </w:r>
      <w:r w:rsidRPr="003F552B">
        <w:rPr>
          <w:rFonts w:eastAsia="Calibri" w:cstheme="minorHAnsi"/>
        </w:rPr>
        <w:t>µg/L as CPO, respectively (Dinnel et al. 1981), the 48-h LC50 for the eastern oyster larvae of 5</w:t>
      </w:r>
      <w:r w:rsidR="00B20651">
        <w:rPr>
          <w:rFonts w:eastAsia="Calibri" w:cstheme="minorHAnsi"/>
        </w:rPr>
        <w:t> </w:t>
      </w:r>
      <w:r w:rsidRPr="003F552B">
        <w:rPr>
          <w:rFonts w:eastAsia="Calibri" w:cstheme="minorHAnsi"/>
        </w:rPr>
        <w:t>µg/L and the 48-h EC50 for hard clam larvae of 6</w:t>
      </w:r>
      <w:r w:rsidR="00B20651">
        <w:rPr>
          <w:rFonts w:eastAsia="Calibri" w:cstheme="minorHAnsi"/>
        </w:rPr>
        <w:t> </w:t>
      </w:r>
      <w:r w:rsidRPr="003F552B">
        <w:rPr>
          <w:rFonts w:eastAsia="Calibri" w:cstheme="minorHAnsi"/>
        </w:rPr>
        <w:t>µg/L (Roberts et al. 1975). These were not considered acceptable</w:t>
      </w:r>
      <w:r w:rsidR="00A33B00">
        <w:rPr>
          <w:rFonts w:eastAsia="Calibri" w:cstheme="minorHAnsi"/>
        </w:rPr>
        <w:t xml:space="preserve"> </w:t>
      </w:r>
      <w:r w:rsidR="003F6C83">
        <w:rPr>
          <w:rFonts w:eastAsia="Calibri" w:cstheme="minorHAnsi"/>
        </w:rPr>
        <w:t xml:space="preserve">by CCME (1999) </w:t>
      </w:r>
      <w:r w:rsidRPr="003F552B">
        <w:rPr>
          <w:rFonts w:eastAsia="Calibri" w:cstheme="minorHAnsi"/>
        </w:rPr>
        <w:t>due to the analytical method</w:t>
      </w:r>
      <w:r w:rsidR="00D04B7A">
        <w:rPr>
          <w:rFonts w:eastAsia="Calibri" w:cstheme="minorHAnsi"/>
        </w:rPr>
        <w:t>s</w:t>
      </w:r>
      <w:r w:rsidRPr="003F552B">
        <w:rPr>
          <w:rFonts w:eastAsia="Calibri" w:cstheme="minorHAnsi"/>
        </w:rPr>
        <w:t xml:space="preserve"> and testing protocols</w:t>
      </w:r>
      <w:r w:rsidR="00D04B7A">
        <w:rPr>
          <w:rFonts w:eastAsia="Calibri" w:cstheme="minorHAnsi"/>
        </w:rPr>
        <w:t xml:space="preserve"> used</w:t>
      </w:r>
      <w:r w:rsidRPr="003F552B">
        <w:rPr>
          <w:rFonts w:eastAsia="Calibri" w:cstheme="minorHAnsi"/>
        </w:rPr>
        <w:t xml:space="preserve">. </w:t>
      </w:r>
      <w:r w:rsidR="00CC0947">
        <w:rPr>
          <w:rFonts w:eastAsia="Calibri" w:cstheme="minorHAnsi"/>
        </w:rPr>
        <w:t>The CCME (1999)</w:t>
      </w:r>
      <w:r w:rsidR="00CC0947" w:rsidRPr="003F552B">
        <w:rPr>
          <w:rFonts w:eastAsia="Calibri" w:cstheme="minorHAnsi"/>
        </w:rPr>
        <w:t xml:space="preserve"> </w:t>
      </w:r>
      <w:r w:rsidRPr="003F552B">
        <w:rPr>
          <w:rFonts w:eastAsia="Calibri" w:cstheme="minorHAnsi"/>
        </w:rPr>
        <w:t xml:space="preserve">default acute </w:t>
      </w:r>
      <w:r w:rsidR="00AD4E60">
        <w:rPr>
          <w:rFonts w:cstheme="minorHAnsi"/>
        </w:rPr>
        <w:t>guideline value</w:t>
      </w:r>
      <w:r w:rsidRPr="003F552B">
        <w:rPr>
          <w:rFonts w:eastAsia="Calibri" w:cstheme="minorHAnsi"/>
        </w:rPr>
        <w:t xml:space="preserve"> </w:t>
      </w:r>
      <w:r w:rsidR="00CC0947">
        <w:rPr>
          <w:rFonts w:eastAsia="Calibri" w:cstheme="minorHAnsi"/>
        </w:rPr>
        <w:t>(</w:t>
      </w:r>
      <w:r w:rsidRPr="003F552B">
        <w:rPr>
          <w:rFonts w:eastAsia="Calibri" w:cstheme="minorHAnsi"/>
        </w:rPr>
        <w:t xml:space="preserve">termed a short-term </w:t>
      </w:r>
      <w:r w:rsidR="00AD4E60">
        <w:rPr>
          <w:rFonts w:cstheme="minorHAnsi"/>
        </w:rPr>
        <w:t>guideline value</w:t>
      </w:r>
      <w:r w:rsidR="00CC0947">
        <w:rPr>
          <w:rFonts w:cstheme="minorHAnsi"/>
        </w:rPr>
        <w:t>)</w:t>
      </w:r>
      <w:r w:rsidRPr="003F552B">
        <w:rPr>
          <w:rFonts w:eastAsia="Calibri" w:cstheme="minorHAnsi"/>
        </w:rPr>
        <w:t xml:space="preserve"> was derived by applying an ‘application factor’ of 0.05 to the 10</w:t>
      </w:r>
      <w:r w:rsidR="00B20651">
        <w:rPr>
          <w:rFonts w:eastAsia="Calibri" w:cstheme="minorHAnsi"/>
        </w:rPr>
        <w:t> </w:t>
      </w:r>
      <w:r w:rsidRPr="003F552B">
        <w:rPr>
          <w:rFonts w:eastAsia="Calibri" w:cstheme="minorHAnsi"/>
        </w:rPr>
        <w:t>µg/L LC50 for the next most sensitive species</w:t>
      </w:r>
      <w:r w:rsidR="009D6B32">
        <w:rPr>
          <w:rFonts w:eastAsia="Calibri" w:cstheme="minorHAnsi"/>
        </w:rPr>
        <w:t xml:space="preserve">, </w:t>
      </w:r>
      <w:r w:rsidR="00602783">
        <w:rPr>
          <w:rFonts w:eastAsia="Calibri" w:cstheme="minorHAnsi"/>
        </w:rPr>
        <w:t>which included</w:t>
      </w:r>
      <w:r w:rsidR="009D6B32">
        <w:rPr>
          <w:rFonts w:eastAsia="Calibri" w:cstheme="minorHAnsi"/>
        </w:rPr>
        <w:t xml:space="preserve"> </w:t>
      </w:r>
      <w:r w:rsidR="001176E1">
        <w:rPr>
          <w:rFonts w:eastAsia="Calibri" w:cstheme="minorHAnsi"/>
        </w:rPr>
        <w:t>the</w:t>
      </w:r>
      <w:r w:rsidRPr="003F552B">
        <w:rPr>
          <w:rFonts w:eastAsia="Calibri" w:cstheme="minorHAnsi"/>
        </w:rPr>
        <w:t xml:space="preserve"> blue crab (Patrick and McLean 1971), American oyster (Capuzzo</w:t>
      </w:r>
      <w:r w:rsidR="00527F7E">
        <w:rPr>
          <w:rFonts w:eastAsia="Calibri" w:cstheme="minorHAnsi"/>
        </w:rPr>
        <w:t xml:space="preserve"> </w:t>
      </w:r>
      <w:r w:rsidRPr="003F552B">
        <w:rPr>
          <w:rFonts w:eastAsia="Calibri" w:cstheme="minorHAnsi"/>
        </w:rPr>
        <w:t xml:space="preserve">1979), </w:t>
      </w:r>
      <w:r w:rsidRPr="003F552B">
        <w:rPr>
          <w:rFonts w:eastAsia="Calibri" w:cstheme="minorHAnsi"/>
        </w:rPr>
        <w:lastRenderedPageBreak/>
        <w:t xml:space="preserve">rotifer </w:t>
      </w:r>
      <w:r w:rsidRPr="003F552B">
        <w:rPr>
          <w:rFonts w:eastAsia="Calibri" w:cstheme="minorHAnsi"/>
          <w:i/>
          <w:iCs/>
        </w:rPr>
        <w:t xml:space="preserve">Brachionus plicatilis </w:t>
      </w:r>
      <w:r w:rsidRPr="003F552B">
        <w:rPr>
          <w:rFonts w:eastAsia="Calibri" w:cstheme="minorHAnsi"/>
        </w:rPr>
        <w:t xml:space="preserve">(Capuzzo </w:t>
      </w:r>
      <w:r w:rsidR="00466F9E">
        <w:rPr>
          <w:rFonts w:eastAsia="Calibri" w:cstheme="minorHAnsi"/>
        </w:rPr>
        <w:t xml:space="preserve">et al. </w:t>
      </w:r>
      <w:r w:rsidRPr="003F552B">
        <w:rPr>
          <w:rFonts w:eastAsia="Calibri" w:cstheme="minorHAnsi"/>
        </w:rPr>
        <w:t xml:space="preserve">1976) and phytoplankton (Eppley et al. 1976), giving a </w:t>
      </w:r>
      <w:r w:rsidR="00AD4E60">
        <w:rPr>
          <w:rFonts w:cstheme="minorHAnsi"/>
        </w:rPr>
        <w:t>guideline value</w:t>
      </w:r>
      <w:r w:rsidRPr="003F552B">
        <w:rPr>
          <w:rFonts w:eastAsia="Calibri" w:cstheme="minorHAnsi"/>
        </w:rPr>
        <w:t xml:space="preserve"> of 0.5</w:t>
      </w:r>
      <w:r w:rsidR="00B20651">
        <w:rPr>
          <w:rFonts w:eastAsia="Calibri" w:cstheme="minorHAnsi"/>
        </w:rPr>
        <w:t> </w:t>
      </w:r>
      <w:r w:rsidRPr="003F552B">
        <w:rPr>
          <w:rFonts w:eastAsia="Calibri" w:cstheme="minorHAnsi"/>
        </w:rPr>
        <w:t>µg/L.</w:t>
      </w:r>
    </w:p>
    <w:p w14:paraId="00FE2BD6" w14:textId="653A17CA" w:rsidR="003F552B" w:rsidRDefault="003F552B" w:rsidP="000E52A2">
      <w:pPr>
        <w:rPr>
          <w:rFonts w:eastAsia="Calibri" w:cstheme="minorHAnsi"/>
        </w:rPr>
      </w:pPr>
      <w:r w:rsidRPr="003F552B">
        <w:rPr>
          <w:rFonts w:eastAsia="Calibri" w:cstheme="minorHAnsi"/>
        </w:rPr>
        <w:t>A risk assessment report for the UK Environment Agency (Sorokin et al. 2007) identified the lowest reliable short-term toxicity data point as a 24-h LC50 of 5</w:t>
      </w:r>
      <w:r w:rsidR="00B20651">
        <w:rPr>
          <w:rFonts w:eastAsia="Calibri" w:cstheme="minorHAnsi"/>
        </w:rPr>
        <w:t> </w:t>
      </w:r>
      <w:r w:rsidRPr="003F552B">
        <w:rPr>
          <w:rFonts w:eastAsia="Calibri" w:cstheme="minorHAnsi"/>
        </w:rPr>
        <w:t xml:space="preserve">µg/L as free available chlorine for </w:t>
      </w:r>
      <w:r w:rsidR="00B17922">
        <w:rPr>
          <w:rFonts w:eastAsia="Calibri" w:cstheme="minorHAnsi"/>
        </w:rPr>
        <w:t>the</w:t>
      </w:r>
      <w:r w:rsidR="00D94917">
        <w:rPr>
          <w:rFonts w:eastAsia="Calibri" w:cstheme="minorHAnsi"/>
        </w:rPr>
        <w:t xml:space="preserve"> </w:t>
      </w:r>
      <w:r w:rsidRPr="003F552B">
        <w:rPr>
          <w:rFonts w:eastAsia="Calibri" w:cstheme="minorHAnsi"/>
        </w:rPr>
        <w:t>freshwater</w:t>
      </w:r>
      <w:r w:rsidR="00117CEA">
        <w:rPr>
          <w:rFonts w:eastAsia="Calibri" w:cstheme="minorHAnsi"/>
        </w:rPr>
        <w:t xml:space="preserve"> </w:t>
      </w:r>
      <w:r w:rsidRPr="003F552B">
        <w:rPr>
          <w:rFonts w:eastAsia="Calibri" w:cstheme="minorHAnsi"/>
        </w:rPr>
        <w:t xml:space="preserve">crustacean </w:t>
      </w:r>
      <w:r w:rsidRPr="003F552B">
        <w:rPr>
          <w:rFonts w:eastAsia="Calibri" w:cstheme="minorHAnsi"/>
          <w:i/>
          <w:iCs/>
        </w:rPr>
        <w:t>Ceriodaphnia dubia</w:t>
      </w:r>
      <w:r w:rsidRPr="003F552B">
        <w:rPr>
          <w:rFonts w:eastAsia="Calibri" w:cstheme="minorHAnsi"/>
        </w:rPr>
        <w:t>. A standard assessment factor of 100 was applied resulting in a predicted no</w:t>
      </w:r>
      <w:r w:rsidR="00117CEA">
        <w:rPr>
          <w:rFonts w:eastAsia="Calibri" w:cstheme="minorHAnsi"/>
        </w:rPr>
        <w:t xml:space="preserve"> </w:t>
      </w:r>
      <w:r w:rsidRPr="003F552B">
        <w:rPr>
          <w:rFonts w:eastAsia="Calibri" w:cstheme="minorHAnsi"/>
        </w:rPr>
        <w:t>effect concentration (PNEC) in saltwater of 0.05</w:t>
      </w:r>
      <w:r w:rsidR="00B20651">
        <w:rPr>
          <w:rFonts w:eastAsia="Calibri" w:cstheme="minorHAnsi"/>
        </w:rPr>
        <w:t> </w:t>
      </w:r>
      <w:r w:rsidRPr="003F552B">
        <w:rPr>
          <w:rFonts w:eastAsia="Calibri" w:cstheme="minorHAnsi"/>
        </w:rPr>
        <w:t xml:space="preserve">µg/L. This was recommended as a replacement for the existing environment quality standard (EQS) as part of the European Water Framework Directive. The existing EQS for total residual oxidants (TRO) (Lewis et al. 1994) was based on an assessment factor of </w:t>
      </w:r>
      <w:r w:rsidRPr="00117CEA">
        <w:rPr>
          <w:rFonts w:eastAsia="Calibri" w:cstheme="minorHAnsi"/>
          <w:lang w:eastAsia="en-AU"/>
        </w:rPr>
        <w:t>~</w:t>
      </w:r>
      <w:r w:rsidRPr="003F552B">
        <w:rPr>
          <w:rFonts w:eastAsia="Calibri" w:cstheme="minorHAnsi"/>
          <w:lang w:eastAsia="en-AU"/>
        </w:rPr>
        <w:t>2</w:t>
      </w:r>
      <w:r w:rsidRPr="003F552B">
        <w:rPr>
          <w:rFonts w:eastAsia="Calibri" w:cstheme="minorHAnsi"/>
        </w:rPr>
        <w:t xml:space="preserve"> applied to an acute LC50 value of 28</w:t>
      </w:r>
      <w:r w:rsidR="00B20651">
        <w:rPr>
          <w:rFonts w:eastAsia="Calibri" w:cstheme="minorHAnsi"/>
        </w:rPr>
        <w:t> </w:t>
      </w:r>
      <w:r w:rsidRPr="003F552B">
        <w:rPr>
          <w:rFonts w:eastAsia="Calibri" w:cstheme="minorHAnsi"/>
        </w:rPr>
        <w:t>µg/L for both plaice and sole. This resulted in an EQS of 10</w:t>
      </w:r>
      <w:r w:rsidR="00B20651">
        <w:rPr>
          <w:rFonts w:eastAsia="Calibri" w:cstheme="minorHAnsi"/>
        </w:rPr>
        <w:t> </w:t>
      </w:r>
      <w:r w:rsidRPr="003F552B">
        <w:rPr>
          <w:rFonts w:eastAsia="Calibri" w:cstheme="minorHAnsi"/>
        </w:rPr>
        <w:t>μg/L, substantially higher than the proposed PNEC in saltwater.</w:t>
      </w:r>
    </w:p>
    <w:p w14:paraId="40A24012" w14:textId="1B9D0891" w:rsidR="003F552B" w:rsidRDefault="003F552B" w:rsidP="00DF2F70">
      <w:r w:rsidRPr="003F552B">
        <w:t xml:space="preserve">In Australia and New Zealand, the absence of sufficient toxicity data for marine species led to the adoption of a moderate reliability freshwater chronic </w:t>
      </w:r>
      <w:r w:rsidR="00F53DDD">
        <w:t>D</w:t>
      </w:r>
      <w:r w:rsidRPr="003F552B">
        <w:t>GV of 3</w:t>
      </w:r>
      <w:r w:rsidR="00B20651">
        <w:t> </w:t>
      </w:r>
      <w:r w:rsidRPr="003F552B">
        <w:t xml:space="preserve">µg/L as a low reliability environmental concern value for marine water (ANZECC/ARMCANZ 2000). </w:t>
      </w:r>
      <w:r w:rsidR="00DF2F70">
        <w:t>A</w:t>
      </w:r>
      <w:r w:rsidRPr="003F552B">
        <w:t xml:space="preserve">lthough </w:t>
      </w:r>
      <w:r w:rsidR="00DF2F70">
        <w:t xml:space="preserve">ANZECC/ARMCANZ (2000) noted that </w:t>
      </w:r>
      <w:r w:rsidRPr="003F552B">
        <w:t xml:space="preserve">the </w:t>
      </w:r>
      <w:r w:rsidR="00DF2F70">
        <w:t xml:space="preserve">marine </w:t>
      </w:r>
      <w:r w:rsidRPr="003F552B">
        <w:t xml:space="preserve">chlorine 95% species protection </w:t>
      </w:r>
      <w:r w:rsidR="00DF2F70">
        <w:t xml:space="preserve">value </w:t>
      </w:r>
      <w:r w:rsidRPr="003F552B">
        <w:t xml:space="preserve">was relatively close to the acute toxicity value for the most sensitive species, </w:t>
      </w:r>
      <w:r w:rsidR="00DF2F70">
        <w:t>it</w:t>
      </w:r>
      <w:r w:rsidR="00DF2F70" w:rsidRPr="003F552B">
        <w:t xml:space="preserve"> </w:t>
      </w:r>
      <w:r w:rsidRPr="003F552B">
        <w:t>was considered sufficiently protective due to its decomposition rate in seawater, the narrow difference between acute and chronic toxicity</w:t>
      </w:r>
      <w:r w:rsidR="00DF2F70">
        <w:t>,</w:t>
      </w:r>
      <w:r w:rsidRPr="003F552B">
        <w:t xml:space="preserve"> and the l</w:t>
      </w:r>
      <w:r w:rsidR="00973303">
        <w:t>ow</w:t>
      </w:r>
      <w:r w:rsidRPr="003F552B">
        <w:t>er sensitivity of other data for this species</w:t>
      </w:r>
      <w:r w:rsidR="00DF2F70">
        <w:t>.</w:t>
      </w:r>
    </w:p>
    <w:p w14:paraId="09853C78" w14:textId="39FB3E85" w:rsidR="001740B1" w:rsidRDefault="00D85178" w:rsidP="000E52A2">
      <w:pPr>
        <w:rPr>
          <w:color w:val="000000" w:themeColor="text1"/>
          <w:szCs w:val="24"/>
        </w:rPr>
      </w:pPr>
      <w:r w:rsidRPr="00D85178">
        <w:rPr>
          <w:lang w:val="en-US"/>
        </w:rPr>
        <w:t xml:space="preserve">CPO analysis </w:t>
      </w:r>
      <w:r w:rsidR="00325689">
        <w:rPr>
          <w:lang w:val="en-US"/>
        </w:rPr>
        <w:t xml:space="preserve">of environmental samples </w:t>
      </w:r>
      <w:r w:rsidR="00D0713F">
        <w:rPr>
          <w:lang w:val="en-US"/>
        </w:rPr>
        <w:t xml:space="preserve">must </w:t>
      </w:r>
      <w:r w:rsidRPr="00D85178">
        <w:rPr>
          <w:lang w:val="en-US"/>
        </w:rPr>
        <w:t>be undertaken in the field</w:t>
      </w:r>
      <w:r w:rsidR="00332931">
        <w:rPr>
          <w:lang w:val="en-US"/>
        </w:rPr>
        <w:t>,</w:t>
      </w:r>
      <w:r w:rsidRPr="00D85178">
        <w:rPr>
          <w:lang w:val="en-US"/>
        </w:rPr>
        <w:t xml:space="preserve"> where possible</w:t>
      </w:r>
      <w:r w:rsidR="00332931">
        <w:rPr>
          <w:lang w:val="en-US"/>
        </w:rPr>
        <w:t>,</w:t>
      </w:r>
      <w:r w:rsidRPr="00D85178">
        <w:rPr>
          <w:lang w:val="en-US"/>
        </w:rPr>
        <w:t xml:space="preserve"> due to the reactivity</w:t>
      </w:r>
      <w:r w:rsidR="00332931">
        <w:rPr>
          <w:lang w:val="en-US"/>
        </w:rPr>
        <w:t xml:space="preserve"> and volatility</w:t>
      </w:r>
      <w:r w:rsidRPr="00D85178">
        <w:rPr>
          <w:lang w:val="en-US"/>
        </w:rPr>
        <w:t xml:space="preserve"> of chlorine</w:t>
      </w:r>
      <w:r w:rsidR="00332931">
        <w:rPr>
          <w:lang w:val="en-US"/>
        </w:rPr>
        <w:t xml:space="preserve"> and the reaction products</w:t>
      </w:r>
      <w:r w:rsidRPr="00D85178">
        <w:rPr>
          <w:lang w:val="en-US"/>
        </w:rPr>
        <w:t xml:space="preserve">. </w:t>
      </w:r>
      <w:r w:rsidR="00726B8F" w:rsidRPr="00D85178">
        <w:rPr>
          <w:lang w:val="en-US"/>
        </w:rPr>
        <w:t>C</w:t>
      </w:r>
      <w:r w:rsidR="00726B8F" w:rsidRPr="00D85178">
        <w:t xml:space="preserve">olorimetry </w:t>
      </w:r>
      <w:r w:rsidRPr="00D85178">
        <w:t xml:space="preserve">is the most common </w:t>
      </w:r>
      <w:r w:rsidR="00726B8F" w:rsidRPr="00D85178">
        <w:t xml:space="preserve">analysis </w:t>
      </w:r>
      <w:r w:rsidRPr="00D85178">
        <w:t xml:space="preserve">method </w:t>
      </w:r>
      <w:r w:rsidR="00726B8F">
        <w:t xml:space="preserve">that </w:t>
      </w:r>
      <w:r w:rsidRPr="00D85178">
        <w:t xml:space="preserve">can be used in the field as well as in the laboratory. Laboratory methods </w:t>
      </w:r>
      <w:r w:rsidR="006435FE">
        <w:t>(e.g. amperometry)</w:t>
      </w:r>
      <w:r w:rsidR="006435FE" w:rsidRPr="00D85178">
        <w:t xml:space="preserve"> </w:t>
      </w:r>
      <w:r w:rsidRPr="00D85178">
        <w:t xml:space="preserve">have lower detection limits, but analysis </w:t>
      </w:r>
      <w:r w:rsidR="00726B8F">
        <w:t>must</w:t>
      </w:r>
      <w:r w:rsidRPr="00D85178">
        <w:t xml:space="preserve"> be </w:t>
      </w:r>
      <w:r w:rsidR="00726B8F">
        <w:t>undertaken</w:t>
      </w:r>
      <w:r w:rsidRPr="00D85178">
        <w:t xml:space="preserve"> immediately to avoid loss of analyte. </w:t>
      </w:r>
      <w:r w:rsidR="00EA66E7">
        <w:t>Laboratory d</w:t>
      </w:r>
      <w:r w:rsidRPr="00D85178">
        <w:t xml:space="preserve">etection limits are as low as </w:t>
      </w:r>
      <w:r w:rsidR="00E96F96">
        <w:t>2</w:t>
      </w:r>
      <w:r w:rsidR="00B20651">
        <w:t> </w:t>
      </w:r>
      <w:r w:rsidRPr="00D85178">
        <w:t>μg/L, depending on the method used</w:t>
      </w:r>
      <w:r w:rsidR="00EA66E7">
        <w:t>, while</w:t>
      </w:r>
      <w:r w:rsidRPr="00D85178">
        <w:t xml:space="preserve"> </w:t>
      </w:r>
      <w:r w:rsidR="00EA66E7">
        <w:t>m</w:t>
      </w:r>
      <w:r w:rsidRPr="00D85178">
        <w:t>ost field test kits are unable to reach this limit</w:t>
      </w:r>
      <w:r w:rsidR="00EA66E7">
        <w:t>. However</w:t>
      </w:r>
      <w:r w:rsidR="0044078A">
        <w:t>,</w:t>
      </w:r>
      <w:r w:rsidR="006E7980">
        <w:t xml:space="preserve"> </w:t>
      </w:r>
      <w:r w:rsidR="00AF48E7">
        <w:t>common analytical methods</w:t>
      </w:r>
      <w:r w:rsidR="006E7980" w:rsidRPr="00067914">
        <w:t xml:space="preserve"> can also </w:t>
      </w:r>
      <w:r w:rsidR="00F736E1">
        <w:t>be affected by</w:t>
      </w:r>
      <w:r w:rsidR="006E7980" w:rsidRPr="00067914">
        <w:t xml:space="preserve"> </w:t>
      </w:r>
      <w:r w:rsidR="0094547B" w:rsidRPr="00067914">
        <w:t xml:space="preserve">various </w:t>
      </w:r>
      <w:r w:rsidR="006E7980" w:rsidRPr="00067914">
        <w:t>interferences</w:t>
      </w:r>
      <w:r w:rsidR="00DD6A0B" w:rsidRPr="00067914">
        <w:t xml:space="preserve"> </w:t>
      </w:r>
      <w:r w:rsidR="0011643D" w:rsidRPr="00067914">
        <w:t>(</w:t>
      </w:r>
      <w:r w:rsidR="006E7980" w:rsidRPr="00067914">
        <w:t xml:space="preserve">e.g. </w:t>
      </w:r>
      <w:r w:rsidR="00B72B38">
        <w:t xml:space="preserve">other oxidising agents, </w:t>
      </w:r>
      <w:r w:rsidR="00AF48E7">
        <w:t xml:space="preserve">manganese compounds, bromide and </w:t>
      </w:r>
      <w:r w:rsidR="0011643D" w:rsidRPr="00067914">
        <w:t>turbidity</w:t>
      </w:r>
      <w:r w:rsidR="00AF48E7">
        <w:t xml:space="preserve"> </w:t>
      </w:r>
      <w:r w:rsidR="00A30527">
        <w:t>(</w:t>
      </w:r>
      <w:r w:rsidR="00AF48E7">
        <w:t>Harp 2002</w:t>
      </w:r>
      <w:r w:rsidR="00A30527">
        <w:t>)</w:t>
      </w:r>
      <w:r w:rsidR="006E7980" w:rsidRPr="00067914">
        <w:t>)</w:t>
      </w:r>
      <w:r w:rsidRPr="00067914">
        <w:t>.</w:t>
      </w:r>
      <w:r w:rsidRPr="00D85178">
        <w:t xml:space="preserve"> The N,N-diethyl-p-phenylenediamine (DPD) colorimetric method (APHA 4500-Cl G </w:t>
      </w:r>
      <w:r w:rsidR="00F17E15">
        <w:t>(</w:t>
      </w:r>
      <w:r w:rsidRPr="00D85178">
        <w:t>APHA 2017</w:t>
      </w:r>
      <w:r w:rsidR="00F17E15">
        <w:t>)</w:t>
      </w:r>
      <w:r w:rsidRPr="00D85178">
        <w:t>) has been used for freshwater and</w:t>
      </w:r>
      <w:r w:rsidR="008C0E9F">
        <w:t>,</w:t>
      </w:r>
      <w:r w:rsidRPr="00D85178">
        <w:t xml:space="preserve"> </w:t>
      </w:r>
      <w:r w:rsidR="000B3D0C">
        <w:t>according to the method</w:t>
      </w:r>
      <w:r w:rsidR="008C0E9F">
        <w:t>,</w:t>
      </w:r>
      <w:r w:rsidR="000B3D0C">
        <w:t xml:space="preserve"> can be used for</w:t>
      </w:r>
      <w:r w:rsidRPr="00D85178">
        <w:t xml:space="preserve"> seawater</w:t>
      </w:r>
      <w:r w:rsidR="000B3D0C">
        <w:t xml:space="preserve"> (APHA 2017)</w:t>
      </w:r>
      <w:r w:rsidRPr="00D85178">
        <w:t>.</w:t>
      </w:r>
      <w:r w:rsidR="00AF644F">
        <w:t xml:space="preserve"> </w:t>
      </w:r>
      <w:r w:rsidR="004D5D13">
        <w:rPr>
          <w:color w:val="000000" w:themeColor="text1"/>
          <w:szCs w:val="24"/>
        </w:rPr>
        <w:t xml:space="preserve">A range of newer methods </w:t>
      </w:r>
      <w:r w:rsidR="006D79CF">
        <w:rPr>
          <w:color w:val="000000" w:themeColor="text1"/>
          <w:szCs w:val="24"/>
        </w:rPr>
        <w:t xml:space="preserve">was </w:t>
      </w:r>
      <w:r w:rsidR="004D5D13">
        <w:rPr>
          <w:color w:val="000000" w:themeColor="text1"/>
          <w:szCs w:val="24"/>
        </w:rPr>
        <w:t>reviewed by Wilson et al. (2019) and</w:t>
      </w:r>
      <w:r w:rsidR="00D71D7B">
        <w:rPr>
          <w:color w:val="000000" w:themeColor="text1"/>
          <w:szCs w:val="24"/>
        </w:rPr>
        <w:t>,</w:t>
      </w:r>
      <w:r w:rsidR="004D5D13">
        <w:rPr>
          <w:color w:val="000000" w:themeColor="text1"/>
          <w:szCs w:val="24"/>
        </w:rPr>
        <w:t xml:space="preserve"> of these</w:t>
      </w:r>
      <w:r w:rsidR="00D71D7B">
        <w:rPr>
          <w:color w:val="000000" w:themeColor="text1"/>
          <w:szCs w:val="24"/>
        </w:rPr>
        <w:t>,</w:t>
      </w:r>
      <w:r w:rsidR="004D5D13">
        <w:rPr>
          <w:color w:val="000000" w:themeColor="text1"/>
          <w:szCs w:val="24"/>
        </w:rPr>
        <w:t xml:space="preserve"> the 2,2’-azino-bis(3-ethylbenzothiazoline)-6-sulfonic acid-diammonium salt (ABTS) colorimetric method </w:t>
      </w:r>
      <w:r w:rsidR="00096C5A">
        <w:rPr>
          <w:color w:val="000000" w:themeColor="text1"/>
          <w:szCs w:val="24"/>
        </w:rPr>
        <w:t>was the most</w:t>
      </w:r>
      <w:r w:rsidR="004D5D13">
        <w:rPr>
          <w:color w:val="000000" w:themeColor="text1"/>
          <w:szCs w:val="24"/>
        </w:rPr>
        <w:t xml:space="preserve"> promising</w:t>
      </w:r>
      <w:r w:rsidR="00096C5A">
        <w:rPr>
          <w:color w:val="000000" w:themeColor="text1"/>
          <w:szCs w:val="24"/>
        </w:rPr>
        <w:t>,</w:t>
      </w:r>
      <w:r w:rsidR="004D5D13">
        <w:rPr>
          <w:color w:val="000000" w:themeColor="text1"/>
          <w:szCs w:val="24"/>
        </w:rPr>
        <w:t xml:space="preserve"> with a </w:t>
      </w:r>
      <w:r w:rsidR="00096C5A">
        <w:rPr>
          <w:color w:val="000000" w:themeColor="text1"/>
          <w:szCs w:val="24"/>
        </w:rPr>
        <w:t xml:space="preserve">detection </w:t>
      </w:r>
      <w:r w:rsidR="004D5D13">
        <w:rPr>
          <w:color w:val="000000" w:themeColor="text1"/>
          <w:szCs w:val="24"/>
        </w:rPr>
        <w:t>limit</w:t>
      </w:r>
      <w:r w:rsidR="009820F4">
        <w:rPr>
          <w:color w:val="000000" w:themeColor="text1"/>
          <w:szCs w:val="24"/>
        </w:rPr>
        <w:t xml:space="preserve"> </w:t>
      </w:r>
      <w:r w:rsidR="004D5D13">
        <w:rPr>
          <w:color w:val="000000" w:themeColor="text1"/>
          <w:szCs w:val="24"/>
        </w:rPr>
        <w:t>of 2</w:t>
      </w:r>
      <w:r w:rsidR="008636FA">
        <w:rPr>
          <w:color w:val="000000" w:themeColor="text1"/>
          <w:szCs w:val="24"/>
        </w:rPr>
        <w:t> </w:t>
      </w:r>
      <w:r w:rsidR="004D5D13">
        <w:rPr>
          <w:color w:val="000000" w:themeColor="text1"/>
          <w:szCs w:val="24"/>
        </w:rPr>
        <w:t>µg/L. Compared to DPD, the greater stability of the colour</w:t>
      </w:r>
      <w:r w:rsidR="00281D8A">
        <w:rPr>
          <w:color w:val="000000" w:themeColor="text1"/>
          <w:szCs w:val="24"/>
        </w:rPr>
        <w:t xml:space="preserve"> </w:t>
      </w:r>
      <w:r w:rsidR="000B3D0C">
        <w:rPr>
          <w:color w:val="000000" w:themeColor="text1"/>
          <w:szCs w:val="24"/>
        </w:rPr>
        <w:t>of the ABTS</w:t>
      </w:r>
      <w:r w:rsidR="004D5D13">
        <w:rPr>
          <w:color w:val="000000" w:themeColor="text1"/>
          <w:szCs w:val="24"/>
        </w:rPr>
        <w:t xml:space="preserve"> means that samples could be prepared in the field and measured in the laboratory. </w:t>
      </w:r>
      <w:r w:rsidR="00DF49C2">
        <w:rPr>
          <w:color w:val="000000" w:themeColor="text1"/>
          <w:szCs w:val="24"/>
        </w:rPr>
        <w:t>Using th</w:t>
      </w:r>
      <w:r w:rsidR="00F6105F">
        <w:rPr>
          <w:color w:val="000000" w:themeColor="text1"/>
          <w:szCs w:val="24"/>
        </w:rPr>
        <w:t>e ABTS</w:t>
      </w:r>
      <w:r w:rsidR="00DF49C2">
        <w:rPr>
          <w:color w:val="000000" w:themeColor="text1"/>
          <w:szCs w:val="24"/>
        </w:rPr>
        <w:t xml:space="preserve"> method, c</w:t>
      </w:r>
      <w:r w:rsidR="004D5D13">
        <w:rPr>
          <w:color w:val="000000" w:themeColor="text1"/>
          <w:szCs w:val="24"/>
        </w:rPr>
        <w:t xml:space="preserve">hloramine and </w:t>
      </w:r>
      <w:r w:rsidR="00931663">
        <w:rPr>
          <w:color w:val="000000" w:themeColor="text1"/>
          <w:szCs w:val="24"/>
        </w:rPr>
        <w:t>total residual chlorine</w:t>
      </w:r>
      <w:r w:rsidR="004D5D13">
        <w:rPr>
          <w:color w:val="000000" w:themeColor="text1"/>
          <w:szCs w:val="24"/>
        </w:rPr>
        <w:t xml:space="preserve"> can be determined separately</w:t>
      </w:r>
      <w:r w:rsidR="00D71D7B">
        <w:rPr>
          <w:color w:val="000000" w:themeColor="text1"/>
          <w:szCs w:val="24"/>
        </w:rPr>
        <w:t>,</w:t>
      </w:r>
      <w:r w:rsidR="004D5D13">
        <w:rPr>
          <w:color w:val="000000" w:themeColor="text1"/>
          <w:szCs w:val="24"/>
        </w:rPr>
        <w:t xml:space="preserve"> and free chlorine</w:t>
      </w:r>
      <w:r w:rsidR="00D71D7B">
        <w:rPr>
          <w:color w:val="000000" w:themeColor="text1"/>
          <w:szCs w:val="24"/>
        </w:rPr>
        <w:t>,</w:t>
      </w:r>
      <w:r w:rsidR="004D5D13">
        <w:rPr>
          <w:color w:val="000000" w:themeColor="text1"/>
          <w:szCs w:val="24"/>
        </w:rPr>
        <w:t xml:space="preserve"> if required</w:t>
      </w:r>
      <w:r w:rsidR="00DF49C2">
        <w:rPr>
          <w:color w:val="000000" w:themeColor="text1"/>
          <w:szCs w:val="24"/>
        </w:rPr>
        <w:t>,</w:t>
      </w:r>
      <w:r w:rsidR="004D5D13">
        <w:rPr>
          <w:color w:val="000000" w:themeColor="text1"/>
          <w:szCs w:val="24"/>
        </w:rPr>
        <w:t xml:space="preserve"> </w:t>
      </w:r>
      <w:r w:rsidR="00DF49C2">
        <w:rPr>
          <w:color w:val="000000" w:themeColor="text1"/>
          <w:szCs w:val="24"/>
        </w:rPr>
        <w:t xml:space="preserve">can be </w:t>
      </w:r>
      <w:r w:rsidR="004D5D13">
        <w:rPr>
          <w:color w:val="000000" w:themeColor="text1"/>
          <w:szCs w:val="24"/>
        </w:rPr>
        <w:t xml:space="preserve">determined by </w:t>
      </w:r>
      <w:r w:rsidR="00DF49C2">
        <w:rPr>
          <w:color w:val="000000" w:themeColor="text1"/>
          <w:szCs w:val="24"/>
        </w:rPr>
        <w:t xml:space="preserve">the </w:t>
      </w:r>
      <w:r w:rsidR="004D5D13">
        <w:rPr>
          <w:color w:val="000000" w:themeColor="text1"/>
          <w:szCs w:val="24"/>
        </w:rPr>
        <w:t>difference.</w:t>
      </w:r>
      <w:r w:rsidR="003B361B">
        <w:rPr>
          <w:color w:val="000000" w:themeColor="text1"/>
          <w:szCs w:val="24"/>
        </w:rPr>
        <w:t xml:space="preserve"> </w:t>
      </w:r>
      <w:r w:rsidR="00774D4E">
        <w:rPr>
          <w:color w:val="000000" w:themeColor="text1"/>
          <w:szCs w:val="24"/>
        </w:rPr>
        <w:t>However,</w:t>
      </w:r>
      <w:r w:rsidR="00281D8A">
        <w:rPr>
          <w:color w:val="000000" w:themeColor="text1"/>
          <w:szCs w:val="24"/>
        </w:rPr>
        <w:t xml:space="preserve"> </w:t>
      </w:r>
      <w:r w:rsidR="00774D4E">
        <w:rPr>
          <w:color w:val="000000" w:themeColor="text1"/>
          <w:szCs w:val="24"/>
        </w:rPr>
        <w:t xml:space="preserve">the application of the ABTS method to seawater has yet to be described. </w:t>
      </w:r>
      <w:r w:rsidR="003B361B">
        <w:rPr>
          <w:color w:val="000000" w:themeColor="text1"/>
          <w:szCs w:val="24"/>
        </w:rPr>
        <w:t xml:space="preserve">A sensitive iodometric method </w:t>
      </w:r>
      <w:r w:rsidR="007D5FBB">
        <w:rPr>
          <w:color w:val="000000" w:themeColor="text1"/>
          <w:szCs w:val="24"/>
        </w:rPr>
        <w:t>for use in seawater has been described by Wang et al. (2008).</w:t>
      </w:r>
      <w:r w:rsidR="00D71D7B">
        <w:rPr>
          <w:color w:val="000000" w:themeColor="text1"/>
          <w:szCs w:val="24"/>
        </w:rPr>
        <w:t xml:space="preserve"> </w:t>
      </w:r>
    </w:p>
    <w:p w14:paraId="3BDD56C4" w14:textId="77777777" w:rsidR="002E2A92" w:rsidRDefault="00C858F9" w:rsidP="000E52A2">
      <w:pPr>
        <w:rPr>
          <w:bCs/>
        </w:rPr>
      </w:pPr>
      <w:r w:rsidRPr="00067914">
        <w:rPr>
          <w:bCs/>
        </w:rPr>
        <w:t>Recently</w:t>
      </w:r>
      <w:r w:rsidR="00DF12A6">
        <w:rPr>
          <w:bCs/>
        </w:rPr>
        <w:t xml:space="preserve"> in Australia and New Zealand</w:t>
      </w:r>
      <w:r w:rsidRPr="00067914">
        <w:rPr>
          <w:bCs/>
        </w:rPr>
        <w:t xml:space="preserve">, there have been at least two efforts to derive guideline values for chlorine in marine water. Batley and Simpson (2020) derived short-term exposure </w:t>
      </w:r>
      <w:r w:rsidRPr="00067914">
        <w:t xml:space="preserve">guideline values for chlorine in marine water </w:t>
      </w:r>
      <w:r w:rsidRPr="00067914">
        <w:rPr>
          <w:bCs/>
        </w:rPr>
        <w:t xml:space="preserve">based on the derivation method of Warne et al. (2018). They reported 99%, 95%, 90% and 80% species protection values </w:t>
      </w:r>
      <w:r w:rsidR="00EC2C22" w:rsidRPr="00067914">
        <w:rPr>
          <w:bCs/>
        </w:rPr>
        <w:t xml:space="preserve">(as CPO) </w:t>
      </w:r>
      <w:r w:rsidRPr="00067914">
        <w:rPr>
          <w:bCs/>
        </w:rPr>
        <w:t>of 2.2</w:t>
      </w:r>
      <w:r w:rsidR="00B20651">
        <w:rPr>
          <w:bCs/>
        </w:rPr>
        <w:t> </w:t>
      </w:r>
      <w:r w:rsidRPr="00067914">
        <w:rPr>
          <w:rFonts w:ascii="Calibri" w:hAnsi="Calibri" w:cs="Calibri"/>
          <w:bCs/>
        </w:rPr>
        <w:t>µ</w:t>
      </w:r>
      <w:r w:rsidRPr="00067914">
        <w:rPr>
          <w:bCs/>
        </w:rPr>
        <w:t>g/L, 7.2</w:t>
      </w:r>
      <w:r w:rsidR="00B20651">
        <w:rPr>
          <w:bCs/>
        </w:rPr>
        <w:t> </w:t>
      </w:r>
      <w:r w:rsidRPr="00067914">
        <w:rPr>
          <w:rFonts w:ascii="Calibri" w:hAnsi="Calibri" w:cs="Calibri"/>
          <w:bCs/>
        </w:rPr>
        <w:t>µ</w:t>
      </w:r>
      <w:r w:rsidRPr="00067914">
        <w:rPr>
          <w:bCs/>
        </w:rPr>
        <w:t>g/L, 13</w:t>
      </w:r>
      <w:r w:rsidR="00B20651">
        <w:rPr>
          <w:rFonts w:ascii="Calibri" w:hAnsi="Calibri" w:cs="Calibri"/>
          <w:bCs/>
        </w:rPr>
        <w:t> </w:t>
      </w:r>
      <w:r w:rsidRPr="00067914">
        <w:rPr>
          <w:rFonts w:ascii="Calibri" w:hAnsi="Calibri" w:cs="Calibri"/>
          <w:bCs/>
        </w:rPr>
        <w:t>µ</w:t>
      </w:r>
      <w:r w:rsidRPr="00067914">
        <w:rPr>
          <w:bCs/>
        </w:rPr>
        <w:t>g/L and 22</w:t>
      </w:r>
      <w:r w:rsidR="00B20651">
        <w:rPr>
          <w:bCs/>
        </w:rPr>
        <w:t> </w:t>
      </w:r>
      <w:r w:rsidRPr="00067914">
        <w:rPr>
          <w:rFonts w:ascii="Calibri" w:hAnsi="Calibri" w:cs="Calibri"/>
          <w:bCs/>
        </w:rPr>
        <w:t>µ</w:t>
      </w:r>
      <w:r w:rsidRPr="00067914">
        <w:rPr>
          <w:bCs/>
        </w:rPr>
        <w:t xml:space="preserve">g/L, respectively. Subsequently, Wallis </w:t>
      </w:r>
      <w:r w:rsidR="00B20651">
        <w:rPr>
          <w:bCs/>
        </w:rPr>
        <w:t>and</w:t>
      </w:r>
      <w:r w:rsidRPr="00067914">
        <w:rPr>
          <w:bCs/>
        </w:rPr>
        <w:t xml:space="preserve"> Chidgey (2022) </w:t>
      </w:r>
      <w:r w:rsidR="00EC2C22" w:rsidRPr="00067914">
        <w:rPr>
          <w:bCs/>
        </w:rPr>
        <w:t xml:space="preserve">challenged some of the data used in the derivation by Batley </w:t>
      </w:r>
      <w:r w:rsidR="00B20651">
        <w:rPr>
          <w:bCs/>
        </w:rPr>
        <w:t>and</w:t>
      </w:r>
      <w:r w:rsidR="00EC2C22" w:rsidRPr="00067914">
        <w:rPr>
          <w:bCs/>
        </w:rPr>
        <w:t xml:space="preserve"> Simpson (202</w:t>
      </w:r>
      <w:r w:rsidR="00084A14" w:rsidRPr="00067914">
        <w:rPr>
          <w:bCs/>
        </w:rPr>
        <w:t>0</w:t>
      </w:r>
      <w:r w:rsidR="00EC2C22" w:rsidRPr="00067914">
        <w:rPr>
          <w:bCs/>
        </w:rPr>
        <w:t>) and, using a slightly modified dataset, reported 99%</w:t>
      </w:r>
      <w:r w:rsidR="00084A14" w:rsidRPr="00067914">
        <w:rPr>
          <w:bCs/>
        </w:rPr>
        <w:t xml:space="preserve"> and</w:t>
      </w:r>
      <w:r w:rsidR="00EC2C22" w:rsidRPr="00067914">
        <w:rPr>
          <w:bCs/>
        </w:rPr>
        <w:t xml:space="preserve"> 95% species protection values (as CPO) of </w:t>
      </w:r>
      <w:r w:rsidR="00084A14" w:rsidRPr="00067914">
        <w:rPr>
          <w:bCs/>
        </w:rPr>
        <w:t>12</w:t>
      </w:r>
      <w:r w:rsidR="00B20651">
        <w:rPr>
          <w:bCs/>
        </w:rPr>
        <w:t> </w:t>
      </w:r>
      <w:r w:rsidR="00EC2C22" w:rsidRPr="00067914">
        <w:rPr>
          <w:rFonts w:ascii="Calibri" w:hAnsi="Calibri" w:cs="Calibri"/>
          <w:bCs/>
        </w:rPr>
        <w:t>µ</w:t>
      </w:r>
      <w:r w:rsidR="00EC2C22" w:rsidRPr="00067914">
        <w:rPr>
          <w:bCs/>
        </w:rPr>
        <w:t>g/L</w:t>
      </w:r>
      <w:r w:rsidR="00084A14" w:rsidRPr="00067914">
        <w:rPr>
          <w:bCs/>
        </w:rPr>
        <w:t xml:space="preserve"> and</w:t>
      </w:r>
      <w:r w:rsidR="00EC2C22" w:rsidRPr="00067914">
        <w:rPr>
          <w:bCs/>
        </w:rPr>
        <w:t xml:space="preserve"> </w:t>
      </w:r>
      <w:r w:rsidR="00084A14" w:rsidRPr="00067914">
        <w:rPr>
          <w:bCs/>
        </w:rPr>
        <w:t>1</w:t>
      </w:r>
      <w:r w:rsidR="00EC2C22" w:rsidRPr="00067914">
        <w:rPr>
          <w:bCs/>
        </w:rPr>
        <w:t>8</w:t>
      </w:r>
      <w:r w:rsidR="00B20651">
        <w:rPr>
          <w:bCs/>
        </w:rPr>
        <w:t> </w:t>
      </w:r>
      <w:r w:rsidR="00EC2C22" w:rsidRPr="00067914">
        <w:rPr>
          <w:rFonts w:ascii="Calibri" w:hAnsi="Calibri" w:cs="Calibri"/>
          <w:bCs/>
        </w:rPr>
        <w:t>µ</w:t>
      </w:r>
      <w:r w:rsidR="00EC2C22" w:rsidRPr="00067914">
        <w:rPr>
          <w:bCs/>
        </w:rPr>
        <w:t xml:space="preserve">g/L, respectively. </w:t>
      </w:r>
    </w:p>
    <w:p w14:paraId="7FBEC094" w14:textId="53BCF0A5" w:rsidR="00B87CBA" w:rsidRPr="00ED5553" w:rsidRDefault="00F53DDD" w:rsidP="000E52A2">
      <w:pPr>
        <w:rPr>
          <w:rFonts w:cs="TimesNewRoman"/>
        </w:rPr>
      </w:pPr>
      <w:r w:rsidRPr="00067914">
        <w:rPr>
          <w:bCs/>
        </w:rPr>
        <w:lastRenderedPageBreak/>
        <w:t xml:space="preserve">The DGVs derived and reported in </w:t>
      </w:r>
      <w:r w:rsidR="002E2A92">
        <w:rPr>
          <w:bCs/>
        </w:rPr>
        <w:t xml:space="preserve">this </w:t>
      </w:r>
      <w:r w:rsidRPr="00067914">
        <w:rPr>
          <w:bCs/>
        </w:rPr>
        <w:t>document are</w:t>
      </w:r>
      <w:r w:rsidR="009566B0" w:rsidRPr="00067914">
        <w:rPr>
          <w:bCs/>
        </w:rPr>
        <w:t xml:space="preserve"> largely based on the </w:t>
      </w:r>
      <w:r w:rsidRPr="00067914">
        <w:rPr>
          <w:bCs/>
        </w:rPr>
        <w:t>work of</w:t>
      </w:r>
      <w:r w:rsidR="009566B0" w:rsidRPr="00067914">
        <w:rPr>
          <w:bCs/>
        </w:rPr>
        <w:t xml:space="preserve"> </w:t>
      </w:r>
      <w:r w:rsidR="0056242E" w:rsidRPr="00067914">
        <w:rPr>
          <w:bCs/>
        </w:rPr>
        <w:t>Batley and Simpson (202</w:t>
      </w:r>
      <w:r w:rsidR="003D012B" w:rsidRPr="00067914">
        <w:rPr>
          <w:bCs/>
        </w:rPr>
        <w:t>0</w:t>
      </w:r>
      <w:r w:rsidR="0056242E" w:rsidRPr="00067914">
        <w:rPr>
          <w:bCs/>
        </w:rPr>
        <w:t>)</w:t>
      </w:r>
      <w:r w:rsidR="00321ADF">
        <w:rPr>
          <w:bCs/>
        </w:rPr>
        <w:t>,</w:t>
      </w:r>
      <w:r w:rsidR="0056242E" w:rsidRPr="00067914">
        <w:rPr>
          <w:bCs/>
        </w:rPr>
        <w:t xml:space="preserve"> </w:t>
      </w:r>
      <w:r w:rsidR="00EC2C22" w:rsidRPr="00067914">
        <w:rPr>
          <w:bCs/>
        </w:rPr>
        <w:t>tak</w:t>
      </w:r>
      <w:r w:rsidR="00712D17">
        <w:rPr>
          <w:bCs/>
        </w:rPr>
        <w:t>ing</w:t>
      </w:r>
      <w:r w:rsidR="00EC2C22" w:rsidRPr="00067914">
        <w:rPr>
          <w:bCs/>
        </w:rPr>
        <w:t xml:space="preserve"> into consideration the work of Wallis </w:t>
      </w:r>
      <w:r w:rsidR="008636FA">
        <w:rPr>
          <w:bCs/>
        </w:rPr>
        <w:t>and</w:t>
      </w:r>
      <w:r w:rsidR="00EC2C22" w:rsidRPr="00067914">
        <w:rPr>
          <w:bCs/>
        </w:rPr>
        <w:t xml:space="preserve"> Chidgey (2022), and </w:t>
      </w:r>
      <w:r w:rsidR="002E2A92">
        <w:rPr>
          <w:bCs/>
        </w:rPr>
        <w:t xml:space="preserve">they </w:t>
      </w:r>
      <w:r w:rsidR="00EC2C22" w:rsidRPr="00067914">
        <w:rPr>
          <w:bCs/>
        </w:rPr>
        <w:t xml:space="preserve">supersede the </w:t>
      </w:r>
      <w:r w:rsidR="00EC2C22" w:rsidRPr="00067914">
        <w:t>ANZECC/ARMCANZ (2000) DGVs</w:t>
      </w:r>
      <w:r w:rsidR="007D6BDF" w:rsidRPr="00067914">
        <w:rPr>
          <w:bCs/>
        </w:rPr>
        <w:t>.</w:t>
      </w:r>
      <w:r w:rsidR="007D6BDF" w:rsidRPr="00ED5553">
        <w:rPr>
          <w:bCs/>
        </w:rPr>
        <w:t xml:space="preserve"> </w:t>
      </w:r>
      <w:r w:rsidR="007D6BDF" w:rsidRPr="00067914">
        <w:rPr>
          <w:bCs/>
        </w:rPr>
        <w:t>To ensure that the DGVs account for the rapid formation of chlorine reaction products, they are expressed as the concentration of CPO.</w:t>
      </w:r>
      <w:r w:rsidR="007A6376">
        <w:rPr>
          <w:bCs/>
        </w:rPr>
        <w:t xml:space="preserve"> </w:t>
      </w:r>
      <w:r w:rsidR="00090AD0">
        <w:rPr>
          <w:bCs/>
        </w:rPr>
        <w:t>However, as CPO measures the oxidising power of a solution, methods for CPO analysis may also measure oxidants that are not covered by the DGVs. Nevertheless, the use of CPO as a measure of chlorine and its reaction products is considered the most appropriate approach for the DGVs.</w:t>
      </w:r>
      <w:r w:rsidR="003D388A">
        <w:rPr>
          <w:bCs/>
        </w:rPr>
        <w:t xml:space="preserve"> </w:t>
      </w:r>
    </w:p>
    <w:p w14:paraId="768658E0" w14:textId="0C71E77D" w:rsidR="00BF0280" w:rsidRDefault="00BF0280" w:rsidP="00BF0280">
      <w:pPr>
        <w:pStyle w:val="Heading2"/>
      </w:pPr>
      <w:bookmarkStart w:id="4" w:name="_Toc178451646"/>
      <w:bookmarkStart w:id="5" w:name="_Toc189409335"/>
      <w:r>
        <w:t>Aquatic toxicology</w:t>
      </w:r>
      <w:bookmarkEnd w:id="4"/>
      <w:bookmarkEnd w:id="5"/>
    </w:p>
    <w:p w14:paraId="5ACEAE56" w14:textId="77777777" w:rsidR="00342D9C" w:rsidRPr="0053068D" w:rsidRDefault="00342D9C" w:rsidP="0053068D">
      <w:pPr>
        <w:pStyle w:val="Heading3"/>
      </w:pPr>
      <w:bookmarkStart w:id="6" w:name="_Toc178451647"/>
      <w:bookmarkStart w:id="7" w:name="_Toc189409336"/>
      <w:r w:rsidRPr="0053068D">
        <w:t>Mechanism of toxicity</w:t>
      </w:r>
      <w:bookmarkEnd w:id="6"/>
      <w:bookmarkEnd w:id="7"/>
    </w:p>
    <w:p w14:paraId="4602EE36" w14:textId="3F3811AD" w:rsidR="00342D9C" w:rsidRDefault="0084363F" w:rsidP="000E52A2">
      <w:r>
        <w:t xml:space="preserve">The toxicity of chlorine is strongly related to its oxidising capacity (ATSDR 2010). </w:t>
      </w:r>
      <w:r w:rsidR="00016033">
        <w:t xml:space="preserve">It is a well-known respiratory toxicant and, although the mechanism by which it affects respiratory </w:t>
      </w:r>
      <w:r w:rsidR="00DF77F6">
        <w:t>tissues</w:t>
      </w:r>
      <w:r w:rsidR="00016033">
        <w:t xml:space="preserve"> is not fully known, it is thought to be due to CPO interacting with </w:t>
      </w:r>
      <w:r w:rsidR="00016033" w:rsidRPr="00016033">
        <w:rPr>
          <w:lang w:val="en-GB"/>
        </w:rPr>
        <w:t>functional groups in components from cells in the respiratory epithelium</w:t>
      </w:r>
      <w:r w:rsidR="00016033">
        <w:rPr>
          <w:lang w:val="en-GB"/>
        </w:rPr>
        <w:t xml:space="preserve"> (ATSDR 2010).</w:t>
      </w:r>
      <w:r w:rsidR="00016033">
        <w:t xml:space="preserve"> </w:t>
      </w:r>
      <w:r w:rsidR="005117BA">
        <w:t>Other</w:t>
      </w:r>
      <w:r w:rsidR="00F445CD">
        <w:t xml:space="preserve"> reported</w:t>
      </w:r>
      <w:r w:rsidR="005117BA">
        <w:t xml:space="preserve"> </w:t>
      </w:r>
      <w:r w:rsidR="00342D9C">
        <w:t xml:space="preserve">mechanisms of CPO toxicity </w:t>
      </w:r>
      <w:r w:rsidR="00F445CD">
        <w:t>include</w:t>
      </w:r>
      <w:r w:rsidR="00342D9C">
        <w:t xml:space="preserve"> chlorination of amino acids and the inhibition of biological processes such as </w:t>
      </w:r>
      <w:r w:rsidR="00C844F3">
        <w:t>enzyme</w:t>
      </w:r>
      <w:r w:rsidR="00342D9C">
        <w:t xml:space="preserve"> function. In fish, oxidative damage to the gills affects respiration, while oxidation of haemoglobin is also possible, affecting oxygen transport (Sorokin et al. 2007).</w:t>
      </w:r>
      <w:r w:rsidR="00BC45A0">
        <w:t xml:space="preserve"> For algae and </w:t>
      </w:r>
      <w:r w:rsidR="00B23846">
        <w:t xml:space="preserve">aquatic </w:t>
      </w:r>
      <w:r w:rsidR="00BC45A0">
        <w:t>plants, El-Sherbiny et al. (2021) hypothesised that chlorine may damage chloroplasts or interfere with enzymes.</w:t>
      </w:r>
    </w:p>
    <w:p w14:paraId="797966B4" w14:textId="77777777" w:rsidR="00342D9C" w:rsidRDefault="00342D9C" w:rsidP="00342D9C">
      <w:pPr>
        <w:pStyle w:val="Heading3"/>
      </w:pPr>
      <w:bookmarkStart w:id="8" w:name="_Toc178451648"/>
      <w:bookmarkStart w:id="9" w:name="_Ref178602581"/>
      <w:bookmarkStart w:id="10" w:name="_Toc189409337"/>
      <w:r>
        <w:t>Toxicity</w:t>
      </w:r>
      <w:bookmarkEnd w:id="8"/>
      <w:bookmarkEnd w:id="9"/>
      <w:bookmarkEnd w:id="10"/>
    </w:p>
    <w:p w14:paraId="1649798C" w14:textId="1860A032" w:rsidR="00413514" w:rsidRDefault="00342D9C" w:rsidP="000E52A2">
      <w:r>
        <w:t xml:space="preserve">The toxicity of CPO to aquatic organisms is dependent on the species, the </w:t>
      </w:r>
      <w:r w:rsidR="009C10D5">
        <w:t xml:space="preserve">exposure </w:t>
      </w:r>
      <w:r>
        <w:t xml:space="preserve">duration and </w:t>
      </w:r>
      <w:r w:rsidR="00755F7F">
        <w:t>how</w:t>
      </w:r>
      <w:r>
        <w:t xml:space="preserve"> the</w:t>
      </w:r>
      <w:r w:rsidR="003D2F6B">
        <w:t>y</w:t>
      </w:r>
      <w:r>
        <w:t xml:space="preserve"> are exposed. </w:t>
      </w:r>
      <w:r w:rsidR="00413514">
        <w:t xml:space="preserve">Acute LC50s </w:t>
      </w:r>
      <w:r w:rsidR="00A7762D">
        <w:t xml:space="preserve">reported in the literature </w:t>
      </w:r>
      <w:r w:rsidR="00413514">
        <w:t>for over 30</w:t>
      </w:r>
      <w:r w:rsidR="000E56F6">
        <w:t> </w:t>
      </w:r>
      <w:r w:rsidR="00413514">
        <w:t>species of marine organisms range from &lt;5</w:t>
      </w:r>
      <w:r w:rsidR="008636FA">
        <w:t> </w:t>
      </w:r>
      <w:r w:rsidR="00413514">
        <w:rPr>
          <w:rFonts w:ascii="Calibri" w:hAnsi="Calibri" w:cs="Calibri"/>
        </w:rPr>
        <w:t>µ</w:t>
      </w:r>
      <w:r w:rsidR="00413514">
        <w:t>g/L to almost 3</w:t>
      </w:r>
      <w:r w:rsidR="008636FA">
        <w:t> </w:t>
      </w:r>
      <w:r w:rsidR="00413514">
        <w:t>000</w:t>
      </w:r>
      <w:r w:rsidR="008636FA">
        <w:t> </w:t>
      </w:r>
      <w:r w:rsidR="00413514">
        <w:rPr>
          <w:rFonts w:ascii="Calibri" w:hAnsi="Calibri" w:cs="Calibri"/>
        </w:rPr>
        <w:t>µ</w:t>
      </w:r>
      <w:r w:rsidR="00413514">
        <w:t>g/L.</w:t>
      </w:r>
    </w:p>
    <w:p w14:paraId="4E3EEB1E" w14:textId="78A4BB11" w:rsidR="00741564" w:rsidRPr="00574570" w:rsidRDefault="00CA5EB1" w:rsidP="000E52A2">
      <w:r>
        <w:t xml:space="preserve">Of the species assessed for CPO toxicity, </w:t>
      </w:r>
      <w:r w:rsidR="00C95DAA">
        <w:t>t</w:t>
      </w:r>
      <w:r w:rsidR="00DD47F4" w:rsidRPr="00F901CD">
        <w:t xml:space="preserve">he most sensitive </w:t>
      </w:r>
      <w:r w:rsidR="00A10EAF" w:rsidRPr="00F901CD">
        <w:t xml:space="preserve">are </w:t>
      </w:r>
      <w:r w:rsidR="000A5780" w:rsidRPr="00F901CD">
        <w:t>the echinoderms</w:t>
      </w:r>
      <w:r w:rsidR="00DD47F4" w:rsidRPr="00F901CD">
        <w:t xml:space="preserve"> </w:t>
      </w:r>
      <w:r w:rsidR="000A5780" w:rsidRPr="00F901CD">
        <w:rPr>
          <w:i/>
          <w:iCs/>
        </w:rPr>
        <w:t>Strongylocentrotus droebachiensis</w:t>
      </w:r>
      <w:r w:rsidR="000A5780" w:rsidRPr="00F901CD">
        <w:t xml:space="preserve"> and </w:t>
      </w:r>
      <w:r w:rsidR="000A5780" w:rsidRPr="00F901CD">
        <w:rPr>
          <w:i/>
          <w:iCs/>
        </w:rPr>
        <w:t>Dendrast</w:t>
      </w:r>
      <w:r w:rsidR="00C844F3" w:rsidRPr="00F901CD">
        <w:rPr>
          <w:i/>
          <w:iCs/>
        </w:rPr>
        <w:t>e</w:t>
      </w:r>
      <w:r w:rsidR="000A5780" w:rsidRPr="00F901CD">
        <w:rPr>
          <w:i/>
          <w:iCs/>
        </w:rPr>
        <w:t>r excentricus</w:t>
      </w:r>
      <w:r w:rsidR="00936080" w:rsidRPr="00F901CD">
        <w:t xml:space="preserve"> (Dinnel et al. 1981). In this study, sperm viability for the echinoderms was assessed by quantifying egg fertilisation after 15</w:t>
      </w:r>
      <w:r w:rsidR="008636FA">
        <w:t> </w:t>
      </w:r>
      <w:r w:rsidR="00936080" w:rsidRPr="00F901CD">
        <w:t xml:space="preserve">min of </w:t>
      </w:r>
      <w:r w:rsidR="00C84E26" w:rsidRPr="00F901CD">
        <w:t>incubation with</w:t>
      </w:r>
      <w:r w:rsidR="00936080" w:rsidRPr="00F901CD">
        <w:t xml:space="preserve"> sperm that had been exposed to chlorine </w:t>
      </w:r>
      <w:r w:rsidR="00CA2C1E" w:rsidRPr="00F901CD">
        <w:t>(as hyp</w:t>
      </w:r>
      <w:r w:rsidR="00845FE2">
        <w:t>o</w:t>
      </w:r>
      <w:r w:rsidR="00CA2C1E" w:rsidRPr="00F901CD">
        <w:t xml:space="preserve">chlorite) </w:t>
      </w:r>
      <w:r w:rsidR="00936080" w:rsidRPr="00F901CD">
        <w:t>for 5</w:t>
      </w:r>
      <w:r w:rsidR="008636FA">
        <w:t> </w:t>
      </w:r>
      <w:r w:rsidR="00936080" w:rsidRPr="00F901CD">
        <w:t xml:space="preserve">min. Prior to exposing the sperm, the chlorine solutions were subject to several </w:t>
      </w:r>
      <w:r w:rsidR="002F1677" w:rsidRPr="00F901CD">
        <w:t xml:space="preserve">different </w:t>
      </w:r>
      <w:r w:rsidR="00936080" w:rsidRPr="00F901CD">
        <w:t>reaction times from 1</w:t>
      </w:r>
      <w:r w:rsidR="008636FA">
        <w:t> </w:t>
      </w:r>
      <w:r w:rsidR="00936080" w:rsidRPr="00F901CD">
        <w:t>min to 48</w:t>
      </w:r>
      <w:r w:rsidR="008636FA">
        <w:t> </w:t>
      </w:r>
      <w:r w:rsidR="00936080" w:rsidRPr="00F901CD">
        <w:t xml:space="preserve">h depending on the species, where reaction time refers to the time allowed for chlorine in the test solution to react with the seawater </w:t>
      </w:r>
      <w:r w:rsidR="00CA2C1E" w:rsidRPr="00F901CD">
        <w:t xml:space="preserve">diluent </w:t>
      </w:r>
      <w:r w:rsidR="00936080" w:rsidRPr="00F901CD">
        <w:t xml:space="preserve">before adding the sperm. The EC50s </w:t>
      </w:r>
      <w:r w:rsidR="00CA2C1E" w:rsidRPr="00F901CD">
        <w:t xml:space="preserve">(expressed as </w:t>
      </w:r>
      <w:r w:rsidR="006C05BE" w:rsidRPr="00F901CD">
        <w:t>TRO,</w:t>
      </w:r>
      <w:r w:rsidR="00CA2C1E" w:rsidRPr="00F901CD">
        <w:t xml:space="preserve"> which is analogous to CPO) </w:t>
      </w:r>
      <w:r w:rsidR="00936080" w:rsidRPr="00F901CD">
        <w:t xml:space="preserve">for </w:t>
      </w:r>
      <w:r w:rsidR="00936080" w:rsidRPr="00F901CD">
        <w:rPr>
          <w:i/>
          <w:iCs/>
        </w:rPr>
        <w:t>D.</w:t>
      </w:r>
      <w:r w:rsidR="00B61F2F">
        <w:t> </w:t>
      </w:r>
      <w:r w:rsidR="00936080" w:rsidRPr="00F901CD">
        <w:rPr>
          <w:i/>
          <w:iCs/>
        </w:rPr>
        <w:t>excentricus</w:t>
      </w:r>
      <w:r w:rsidR="00936080" w:rsidRPr="00F901CD">
        <w:t xml:space="preserve"> and </w:t>
      </w:r>
      <w:r w:rsidR="00936080" w:rsidRPr="00F901CD">
        <w:rPr>
          <w:i/>
          <w:iCs/>
        </w:rPr>
        <w:t>S.</w:t>
      </w:r>
      <w:r w:rsidR="00B61F2F">
        <w:rPr>
          <w:i/>
          <w:iCs/>
        </w:rPr>
        <w:t> </w:t>
      </w:r>
      <w:r w:rsidR="00936080" w:rsidRPr="00F901CD">
        <w:rPr>
          <w:i/>
          <w:iCs/>
        </w:rPr>
        <w:t>droebachiensis</w:t>
      </w:r>
      <w:r w:rsidR="00936080" w:rsidRPr="00F901CD">
        <w:t xml:space="preserve"> </w:t>
      </w:r>
      <w:r w:rsidR="002060ED" w:rsidRPr="00F901CD">
        <w:t xml:space="preserve">in unfiltered seawater </w:t>
      </w:r>
      <w:r w:rsidR="00936080" w:rsidRPr="00F901CD">
        <w:t xml:space="preserve">ranged from approximately </w:t>
      </w:r>
      <w:r w:rsidR="002060ED" w:rsidRPr="00F901CD">
        <w:t>2</w:t>
      </w:r>
      <w:r w:rsidR="00552A9C">
        <w:t> </w:t>
      </w:r>
      <w:r w:rsidR="00552A9C" w:rsidRPr="00F901CD">
        <w:rPr>
          <w:rFonts w:ascii="Calibri" w:hAnsi="Calibri" w:cs="Calibri"/>
        </w:rPr>
        <w:t>µ</w:t>
      </w:r>
      <w:r w:rsidR="00552A9C" w:rsidRPr="00F901CD">
        <w:t>g/</w:t>
      </w:r>
      <w:r w:rsidR="00BF3614">
        <w:t>L</w:t>
      </w:r>
      <w:r w:rsidR="00936080" w:rsidRPr="00F901CD">
        <w:t xml:space="preserve"> to 13</w:t>
      </w:r>
      <w:r w:rsidR="00552A9C">
        <w:t> </w:t>
      </w:r>
      <w:r w:rsidR="00936080" w:rsidRPr="00F901CD">
        <w:rPr>
          <w:rFonts w:ascii="Calibri" w:hAnsi="Calibri" w:cs="Calibri"/>
        </w:rPr>
        <w:t>µ</w:t>
      </w:r>
      <w:r w:rsidR="00936080" w:rsidRPr="00F901CD">
        <w:t>g/L and 5</w:t>
      </w:r>
      <w:r w:rsidR="00552A9C">
        <w:t> </w:t>
      </w:r>
      <w:r w:rsidR="00552A9C" w:rsidRPr="00F901CD">
        <w:rPr>
          <w:rFonts w:ascii="Calibri" w:hAnsi="Calibri" w:cs="Calibri"/>
        </w:rPr>
        <w:t>µ</w:t>
      </w:r>
      <w:r w:rsidR="00552A9C" w:rsidRPr="00F901CD">
        <w:t>g/</w:t>
      </w:r>
      <w:r w:rsidR="00BF3614">
        <w:t>L</w:t>
      </w:r>
      <w:r w:rsidR="00936080" w:rsidRPr="00F901CD">
        <w:t xml:space="preserve"> to 6</w:t>
      </w:r>
      <w:r w:rsidR="00552A9C">
        <w:t> </w:t>
      </w:r>
      <w:r w:rsidR="00936080" w:rsidRPr="00F901CD">
        <w:rPr>
          <w:rFonts w:ascii="Calibri" w:hAnsi="Calibri" w:cs="Calibri"/>
        </w:rPr>
        <w:t>µ</w:t>
      </w:r>
      <w:r w:rsidR="00936080" w:rsidRPr="00F901CD">
        <w:t xml:space="preserve">g/L, respectively (Dinnel et al. 1981). </w:t>
      </w:r>
      <w:r w:rsidR="002060ED" w:rsidRPr="00F901CD">
        <w:t xml:space="preserve">For </w:t>
      </w:r>
      <w:r w:rsidR="002060ED" w:rsidRPr="00F901CD">
        <w:rPr>
          <w:i/>
          <w:iCs/>
        </w:rPr>
        <w:t>D.</w:t>
      </w:r>
      <w:r w:rsidR="009527A9">
        <w:rPr>
          <w:i/>
          <w:iCs/>
        </w:rPr>
        <w:t> </w:t>
      </w:r>
      <w:r w:rsidR="002060ED" w:rsidRPr="00F901CD">
        <w:rPr>
          <w:i/>
          <w:iCs/>
        </w:rPr>
        <w:t>excentricus</w:t>
      </w:r>
      <w:r w:rsidR="002060ED" w:rsidRPr="00F901CD">
        <w:t xml:space="preserve"> in filtered seawater, the EC50s (after 1</w:t>
      </w:r>
      <w:r w:rsidR="004C4EAE">
        <w:t>–</w:t>
      </w:r>
      <w:r w:rsidR="002060ED" w:rsidRPr="00F901CD">
        <w:t>2</w:t>
      </w:r>
      <w:r w:rsidR="004C4EAE">
        <w:t> </w:t>
      </w:r>
      <w:r w:rsidR="002060ED" w:rsidRPr="00F901CD">
        <w:t>h reaction time) were higher, at 0.018</w:t>
      </w:r>
      <w:r w:rsidR="00C868F5">
        <w:t>–</w:t>
      </w:r>
      <w:r w:rsidR="002060ED" w:rsidRPr="00F901CD">
        <w:t>0.020</w:t>
      </w:r>
      <w:r w:rsidR="009527A9">
        <w:t> </w:t>
      </w:r>
      <w:r w:rsidR="002060ED" w:rsidRPr="00F901CD">
        <w:rPr>
          <w:rFonts w:ascii="Calibri" w:hAnsi="Calibri" w:cs="Calibri"/>
        </w:rPr>
        <w:t>µ</w:t>
      </w:r>
      <w:r w:rsidR="002060ED" w:rsidRPr="00F901CD">
        <w:t xml:space="preserve">g/L (Dinnel et al. 1981). </w:t>
      </w:r>
      <w:r w:rsidR="00936080" w:rsidRPr="00F901CD">
        <w:t>For both species, reaction time did not appear to affect toxicity</w:t>
      </w:r>
      <w:r w:rsidR="00DD47F4" w:rsidRPr="00F901CD">
        <w:rPr>
          <w:iCs/>
        </w:rPr>
        <w:t xml:space="preserve">, suggesting that reaction products other than CPO were causing toxicity </w:t>
      </w:r>
      <w:r w:rsidR="00DD47F4" w:rsidRPr="00F901CD">
        <w:t>(Dinnel et al. 1981)</w:t>
      </w:r>
      <w:r w:rsidR="00DD47F4" w:rsidRPr="00F901CD">
        <w:rPr>
          <w:iCs/>
        </w:rPr>
        <w:t xml:space="preserve">. </w:t>
      </w:r>
      <w:r w:rsidR="00BC54D8" w:rsidRPr="00F901CD">
        <w:t xml:space="preserve">Wallis </w:t>
      </w:r>
      <w:r w:rsidR="00BC54D8">
        <w:t>and</w:t>
      </w:r>
      <w:r w:rsidR="00BC54D8" w:rsidRPr="00F901CD">
        <w:t xml:space="preserve"> Chidgey (2022) </w:t>
      </w:r>
      <w:r w:rsidR="00BC54D8">
        <w:t>also recognised</w:t>
      </w:r>
      <w:r w:rsidR="00776FB4">
        <w:t xml:space="preserve"> that</w:t>
      </w:r>
      <w:r w:rsidR="00BC54D8" w:rsidRPr="00F901CD">
        <w:t xml:space="preserve"> the reaction times used by Dinnel et al. (1981) were long enough for no CPO to remain in solution, and that the sensitive responses of the echinoderms must have </w:t>
      </w:r>
      <w:r w:rsidR="00776FB4">
        <w:t>reflected</w:t>
      </w:r>
      <w:r w:rsidR="00BC54D8" w:rsidRPr="00F901CD">
        <w:t xml:space="preserve"> some other stressor in the test water. </w:t>
      </w:r>
      <w:r w:rsidR="00DD47F4" w:rsidRPr="00F901CD">
        <w:t xml:space="preserve">As the </w:t>
      </w:r>
      <w:r w:rsidR="00CA2C1E" w:rsidRPr="00F901CD">
        <w:t xml:space="preserve">chlorine exposure duration </w:t>
      </w:r>
      <w:r w:rsidR="00DD47F4" w:rsidRPr="00F901CD">
        <w:t>was only 5</w:t>
      </w:r>
      <w:r w:rsidR="009527A9">
        <w:t> </w:t>
      </w:r>
      <w:r w:rsidR="00DD47F4" w:rsidRPr="00F901CD">
        <w:t xml:space="preserve">min in these fertilisation experiments, the tests are classified as acute (Warne et al. 2018); chronic tests with this species </w:t>
      </w:r>
      <w:r w:rsidR="00DA3263" w:rsidRPr="00F901CD">
        <w:t xml:space="preserve">and endpoint </w:t>
      </w:r>
      <w:r w:rsidR="00DD47F4" w:rsidRPr="00F901CD">
        <w:t>require ≥1</w:t>
      </w:r>
      <w:r w:rsidR="00BF03D4">
        <w:t> </w:t>
      </w:r>
      <w:r w:rsidR="00DD47F4" w:rsidRPr="00F901CD">
        <w:t>h exposure</w:t>
      </w:r>
      <w:r w:rsidR="00CA2C1E" w:rsidRPr="00F901CD">
        <w:t xml:space="preserve"> duration to chlorine</w:t>
      </w:r>
      <w:r w:rsidR="00DD47F4" w:rsidRPr="00931663">
        <w:t>.</w:t>
      </w:r>
      <w:r w:rsidR="00A30527">
        <w:t xml:space="preserve"> </w:t>
      </w:r>
      <w:r w:rsidR="00776FB4">
        <w:t>T</w:t>
      </w:r>
      <w:r w:rsidR="00776FB4" w:rsidRPr="00F901CD">
        <w:t>he implications for the inclusion of the Dinnel et al. (1981) echinoderm data in the</w:t>
      </w:r>
      <w:r w:rsidR="00776FB4">
        <w:t xml:space="preserve"> DGV</w:t>
      </w:r>
      <w:r w:rsidR="00776FB4" w:rsidRPr="00F901CD">
        <w:t xml:space="preserve"> derivation are addressed in Section</w:t>
      </w:r>
      <w:r w:rsidR="00776FB4">
        <w:t> </w:t>
      </w:r>
      <w:r w:rsidR="00776FB4">
        <w:fldChar w:fldCharType="begin"/>
      </w:r>
      <w:r w:rsidR="00776FB4">
        <w:instrText xml:space="preserve"> REF _Ref178602561 \r \h </w:instrText>
      </w:r>
      <w:r w:rsidR="00776FB4">
        <w:fldChar w:fldCharType="separate"/>
      </w:r>
      <w:r w:rsidR="003E6080">
        <w:t>4.1</w:t>
      </w:r>
      <w:r w:rsidR="00776FB4">
        <w:fldChar w:fldCharType="end"/>
      </w:r>
      <w:r w:rsidR="00776FB4" w:rsidRPr="00F901CD">
        <w:t>.</w:t>
      </w:r>
    </w:p>
    <w:p w14:paraId="2DA4D5CA" w14:textId="505BBCFD" w:rsidR="00DD47F4" w:rsidRPr="00281437" w:rsidRDefault="00DD47F4" w:rsidP="000E52A2">
      <w:pPr>
        <w:rPr>
          <w:color w:val="FFFFFF" w:themeColor="background1"/>
        </w:rPr>
      </w:pPr>
      <w:r w:rsidRPr="00DD47F4">
        <w:lastRenderedPageBreak/>
        <w:t xml:space="preserve">The next most sensitive species </w:t>
      </w:r>
      <w:r w:rsidR="00413514">
        <w:t>i</w:t>
      </w:r>
      <w:r w:rsidR="006D7E63">
        <w:t>s the</w:t>
      </w:r>
      <w:r w:rsidRPr="00DD47F4">
        <w:t xml:space="preserve"> </w:t>
      </w:r>
      <w:r w:rsidR="006D7E63">
        <w:t>fish</w:t>
      </w:r>
      <w:r w:rsidRPr="00DD47F4">
        <w:t xml:space="preserve"> </w:t>
      </w:r>
      <w:r w:rsidRPr="00DD47F4">
        <w:rPr>
          <w:i/>
          <w:iCs/>
        </w:rPr>
        <w:t>Pleuronectes</w:t>
      </w:r>
      <w:r w:rsidRPr="00DD47F4">
        <w:t xml:space="preserve"> </w:t>
      </w:r>
      <w:r w:rsidRPr="00DD47F4">
        <w:rPr>
          <w:i/>
          <w:iCs/>
        </w:rPr>
        <w:t>platessa</w:t>
      </w:r>
      <w:r w:rsidR="006D7E63">
        <w:t>,</w:t>
      </w:r>
      <w:r w:rsidRPr="00DD47F4">
        <w:t xml:space="preserve"> </w:t>
      </w:r>
      <w:r w:rsidR="006D7E63">
        <w:t>with</w:t>
      </w:r>
      <w:r w:rsidR="006D7E63" w:rsidRPr="00DD47F4">
        <w:t xml:space="preserve"> </w:t>
      </w:r>
      <w:r w:rsidRPr="00DD47F4">
        <w:t>a 96-h LC50 of 24</w:t>
      </w:r>
      <w:r w:rsidR="00BF03D4">
        <w:t> </w:t>
      </w:r>
      <w:r w:rsidRPr="00DD47F4">
        <w:t>µg/L (Alderson 1972).</w:t>
      </w:r>
      <w:r w:rsidR="00413514">
        <w:t xml:space="preserve"> </w:t>
      </w:r>
      <w:r w:rsidR="00413514" w:rsidRPr="00F901CD">
        <w:t xml:space="preserve">Crustaceans appear to exhibit a wide range of sensitivity to chlorine, </w:t>
      </w:r>
      <w:r w:rsidR="00281437" w:rsidRPr="00F901CD">
        <w:t xml:space="preserve">with acute LC50s ranging </w:t>
      </w:r>
      <w:r w:rsidR="00413514" w:rsidRPr="00F901CD">
        <w:t xml:space="preserve">from </w:t>
      </w:r>
      <w:r w:rsidR="00281437" w:rsidRPr="00F901CD">
        <w:t>29</w:t>
      </w:r>
      <w:r w:rsidR="00BF03D4">
        <w:t> </w:t>
      </w:r>
      <w:r w:rsidR="00281437" w:rsidRPr="00F901CD">
        <w:t xml:space="preserve">µg/L for the copepod </w:t>
      </w:r>
      <w:r w:rsidR="00281437" w:rsidRPr="00F901CD">
        <w:rPr>
          <w:i/>
          <w:iCs/>
        </w:rPr>
        <w:t>Acartia tonsa</w:t>
      </w:r>
      <w:r w:rsidR="00281437" w:rsidRPr="00F901CD">
        <w:t xml:space="preserve"> </w:t>
      </w:r>
      <w:r w:rsidR="003232AD" w:rsidRPr="00F901CD">
        <w:t xml:space="preserve">(Roberts and Gleeson 1978) </w:t>
      </w:r>
      <w:r w:rsidR="00281437" w:rsidRPr="00F901CD">
        <w:t>to 1</w:t>
      </w:r>
      <w:r w:rsidR="00BF03D4">
        <w:t> </w:t>
      </w:r>
      <w:r w:rsidR="00281437" w:rsidRPr="00F901CD">
        <w:t>420</w:t>
      </w:r>
      <w:r w:rsidR="00BF03D4">
        <w:t> </w:t>
      </w:r>
      <w:r w:rsidR="00281437" w:rsidRPr="00F901CD">
        <w:t>µg/L</w:t>
      </w:r>
      <w:r w:rsidR="003232AD" w:rsidRPr="00F901CD">
        <w:t xml:space="preserve"> </w:t>
      </w:r>
      <w:r w:rsidR="00281437" w:rsidRPr="00F901CD">
        <w:t>for shore crab</w:t>
      </w:r>
      <w:r w:rsidR="003232AD" w:rsidRPr="00F901CD">
        <w:t>s</w:t>
      </w:r>
      <w:r w:rsidR="00281437" w:rsidRPr="00F901CD">
        <w:t xml:space="preserve"> </w:t>
      </w:r>
      <w:r w:rsidR="00281437" w:rsidRPr="00F901CD">
        <w:rPr>
          <w:i/>
          <w:iCs/>
        </w:rPr>
        <w:t>Hemigrapsus</w:t>
      </w:r>
      <w:r w:rsidR="003232AD" w:rsidRPr="00F901CD">
        <w:t xml:space="preserve"> spp.</w:t>
      </w:r>
      <w:r w:rsidR="00281437" w:rsidRPr="00F901CD">
        <w:t xml:space="preserve"> </w:t>
      </w:r>
      <w:r w:rsidR="003232AD" w:rsidRPr="00F901CD">
        <w:t xml:space="preserve">(Thatcher 1978) </w:t>
      </w:r>
      <w:r w:rsidR="00281437" w:rsidRPr="00F901CD">
        <w:t>and</w:t>
      </w:r>
      <w:r w:rsidR="002D57F9" w:rsidRPr="002D57F9">
        <w:t xml:space="preserve"> </w:t>
      </w:r>
      <w:r w:rsidR="002D57F9">
        <w:t xml:space="preserve">to </w:t>
      </w:r>
      <w:r w:rsidR="002D57F9" w:rsidRPr="00F901CD">
        <w:t>2</w:t>
      </w:r>
      <w:r w:rsidR="002D57F9">
        <w:t> </w:t>
      </w:r>
      <w:r w:rsidR="002D57F9" w:rsidRPr="00F901CD">
        <w:t>890</w:t>
      </w:r>
      <w:r w:rsidR="002D57F9">
        <w:t> </w:t>
      </w:r>
      <w:r w:rsidR="002D57F9" w:rsidRPr="00F901CD">
        <w:t>µg/L</w:t>
      </w:r>
      <w:r w:rsidR="00281437" w:rsidRPr="00F901CD">
        <w:t xml:space="preserve"> </w:t>
      </w:r>
      <w:r w:rsidR="002D57F9">
        <w:t xml:space="preserve">for the </w:t>
      </w:r>
      <w:r w:rsidR="00281437" w:rsidRPr="00F901CD">
        <w:t xml:space="preserve">lobster </w:t>
      </w:r>
      <w:r w:rsidR="00281437" w:rsidRPr="00F901CD">
        <w:rPr>
          <w:i/>
          <w:iCs/>
        </w:rPr>
        <w:t>Homarus americanus</w:t>
      </w:r>
      <w:r w:rsidR="003232AD" w:rsidRPr="00F901CD">
        <w:t xml:space="preserve"> (Capuzzo et al. 1976)</w:t>
      </w:r>
      <w:r w:rsidR="00281437" w:rsidRPr="00F901CD">
        <w:t>.</w:t>
      </w:r>
      <w:r w:rsidR="003232AD" w:rsidRPr="00F901CD">
        <w:t xml:space="preserve"> Also, in contrast to the high sensitivity of the </w:t>
      </w:r>
      <w:r w:rsidR="00C13B18" w:rsidRPr="00F901CD">
        <w:t xml:space="preserve">two </w:t>
      </w:r>
      <w:r w:rsidR="003232AD" w:rsidRPr="00F901CD">
        <w:t xml:space="preserve">echinoderms reported by Dinnel et al. (1981), Wallis </w:t>
      </w:r>
      <w:r w:rsidR="00F11CFA">
        <w:t>and</w:t>
      </w:r>
      <w:r w:rsidR="003232AD" w:rsidRPr="00F901CD">
        <w:t xml:space="preserve"> Chidgey (2022) reported an EC50 (1-h </w:t>
      </w:r>
      <w:r w:rsidR="005405A8" w:rsidRPr="00F901CD">
        <w:t>fertilisation</w:t>
      </w:r>
      <w:r w:rsidR="00EC4D74" w:rsidRPr="00F901CD">
        <w:t xml:space="preserve"> success, no pre-exposure reaction time</w:t>
      </w:r>
      <w:r w:rsidR="003232AD" w:rsidRPr="00F901CD">
        <w:t>) of 133</w:t>
      </w:r>
      <w:r w:rsidR="00BF03D4">
        <w:t> </w:t>
      </w:r>
      <w:r w:rsidR="003232AD" w:rsidRPr="00F901CD">
        <w:t>µg/L</w:t>
      </w:r>
      <w:r w:rsidR="00C13B18" w:rsidRPr="00F901CD">
        <w:t xml:space="preserve"> for the echinoderm </w:t>
      </w:r>
      <w:r w:rsidR="00C13B18" w:rsidRPr="00F901CD">
        <w:rPr>
          <w:i/>
          <w:iCs/>
        </w:rPr>
        <w:t>Heliocidaris tuberculata</w:t>
      </w:r>
      <w:r w:rsidR="007D2872" w:rsidRPr="00F901CD">
        <w:t>; however, this would generally be considered a chronic test for this life stage and endpoint.</w:t>
      </w:r>
    </w:p>
    <w:p w14:paraId="27AA6241" w14:textId="55D213D2" w:rsidR="00DD47F4" w:rsidRPr="00342DEF" w:rsidRDefault="00DD47F4" w:rsidP="000E52A2">
      <w:r w:rsidRPr="00DD47F4">
        <w:t xml:space="preserve">There </w:t>
      </w:r>
      <w:r w:rsidR="006A3A3E">
        <w:t>are toxicity data</w:t>
      </w:r>
      <w:r w:rsidRPr="00DD47F4">
        <w:t xml:space="preserve"> for only </w:t>
      </w:r>
      <w:r w:rsidR="00377F10">
        <w:t>a few marine</w:t>
      </w:r>
      <w:r w:rsidR="00377F10" w:rsidRPr="00DD47F4">
        <w:t xml:space="preserve"> </w:t>
      </w:r>
      <w:r w:rsidR="004A4DCC">
        <w:t>micro</w:t>
      </w:r>
      <w:r w:rsidRPr="00DD47F4">
        <w:t>algal species</w:t>
      </w:r>
      <w:r w:rsidR="00342DEF">
        <w:t xml:space="preserve">. The available data suggest that algae are not the most sensitive species to chlorine. </w:t>
      </w:r>
      <w:r w:rsidR="00342DEF" w:rsidRPr="00DD47F4">
        <w:t xml:space="preserve">Lopez-Galindo et al. </w:t>
      </w:r>
      <w:r w:rsidR="00342DEF">
        <w:t>(</w:t>
      </w:r>
      <w:r w:rsidR="00342DEF" w:rsidRPr="00DD47F4">
        <w:t>2010</w:t>
      </w:r>
      <w:r w:rsidR="00342DEF">
        <w:t>) reported</w:t>
      </w:r>
      <w:r w:rsidRPr="00DD47F4">
        <w:t xml:space="preserve"> chronic </w:t>
      </w:r>
      <w:r w:rsidR="00342DEF">
        <w:t xml:space="preserve">96-h </w:t>
      </w:r>
      <w:r w:rsidR="00231773">
        <w:t>I</w:t>
      </w:r>
      <w:r w:rsidR="00425665" w:rsidRPr="00DD47F4">
        <w:t>C1</w:t>
      </w:r>
      <w:r w:rsidR="00425665">
        <w:t>5</w:t>
      </w:r>
      <w:r w:rsidR="00425665" w:rsidRPr="00DD47F4">
        <w:t xml:space="preserve"> </w:t>
      </w:r>
      <w:r w:rsidRPr="00DD47F4">
        <w:t xml:space="preserve">values </w:t>
      </w:r>
      <w:r w:rsidR="001E7A12">
        <w:t>of 172 </w:t>
      </w:r>
      <w:r w:rsidR="001E7A12" w:rsidRPr="00DD47F4">
        <w:t xml:space="preserve">µg/L </w:t>
      </w:r>
      <w:r w:rsidRPr="00DD47F4">
        <w:t xml:space="preserve">for </w:t>
      </w:r>
      <w:r w:rsidR="00342DEF" w:rsidRPr="00DD47F4">
        <w:rPr>
          <w:i/>
          <w:iCs/>
        </w:rPr>
        <w:t xml:space="preserve">Isochrysis galbana </w:t>
      </w:r>
      <w:r w:rsidR="00342DEF" w:rsidRPr="00DD47F4">
        <w:rPr>
          <w:iCs/>
        </w:rPr>
        <w:t>and</w:t>
      </w:r>
      <w:r w:rsidR="00342DEF" w:rsidRPr="00DD47F4">
        <w:rPr>
          <w:i/>
          <w:iCs/>
        </w:rPr>
        <w:t xml:space="preserve"> </w:t>
      </w:r>
      <w:r w:rsidR="001E7A12">
        <w:t>4</w:t>
      </w:r>
      <w:r w:rsidR="001E7A12" w:rsidRPr="00DD47F4">
        <w:t>81</w:t>
      </w:r>
      <w:r w:rsidR="001E7A12">
        <w:t> </w:t>
      </w:r>
      <w:r w:rsidR="001E7A12" w:rsidRPr="00DD47F4">
        <w:t>µg/L</w:t>
      </w:r>
      <w:r w:rsidR="001E7A12" w:rsidRPr="00DD47F4">
        <w:rPr>
          <w:i/>
          <w:iCs/>
        </w:rPr>
        <w:t xml:space="preserve"> </w:t>
      </w:r>
      <w:r w:rsidR="001E7A12" w:rsidRPr="001E7A12">
        <w:t>for</w:t>
      </w:r>
      <w:r w:rsidR="001E7A12">
        <w:rPr>
          <w:i/>
          <w:iCs/>
        </w:rPr>
        <w:t xml:space="preserve"> </w:t>
      </w:r>
      <w:r w:rsidR="00342DEF" w:rsidRPr="00DD47F4">
        <w:rPr>
          <w:i/>
          <w:iCs/>
        </w:rPr>
        <w:t>Dunaliella salina</w:t>
      </w:r>
      <w:r w:rsidRPr="00DD47F4">
        <w:t xml:space="preserve">. Their respective </w:t>
      </w:r>
      <w:r w:rsidR="00231773">
        <w:t>I</w:t>
      </w:r>
      <w:r w:rsidRPr="00DD47F4">
        <w:t xml:space="preserve">C50 values of </w:t>
      </w:r>
      <w:r w:rsidR="00425665">
        <w:t>1</w:t>
      </w:r>
      <w:r w:rsidR="00BF03D4">
        <w:t> </w:t>
      </w:r>
      <w:r w:rsidR="00425665">
        <w:t>390</w:t>
      </w:r>
      <w:r w:rsidR="00BF03D4">
        <w:t> </w:t>
      </w:r>
      <w:r w:rsidR="00342DEF" w:rsidRPr="00DD47F4">
        <w:t xml:space="preserve">µg/L </w:t>
      </w:r>
      <w:r w:rsidRPr="00DD47F4">
        <w:t xml:space="preserve">and </w:t>
      </w:r>
      <w:r w:rsidR="00425665">
        <w:t>824</w:t>
      </w:r>
      <w:r w:rsidR="00BF03D4">
        <w:t> </w:t>
      </w:r>
      <w:r w:rsidRPr="00DD47F4">
        <w:t xml:space="preserve">µg/L were the highest of any tests reported. </w:t>
      </w:r>
      <w:r w:rsidR="00342DEF">
        <w:t xml:space="preserve">The relatively low sensitivity might be </w:t>
      </w:r>
      <w:r w:rsidR="001E7A12">
        <w:t>attributed to the</w:t>
      </w:r>
      <w:r w:rsidR="00342DEF">
        <w:t xml:space="preserve"> </w:t>
      </w:r>
      <w:r w:rsidR="00D23BE4">
        <w:t>test methods</w:t>
      </w:r>
      <w:r w:rsidR="00574570">
        <w:t xml:space="preserve"> employing static </w:t>
      </w:r>
      <w:r w:rsidR="00342DEF">
        <w:t>exposures.</w:t>
      </w:r>
      <w:r w:rsidR="003D2F6B">
        <w:t xml:space="preserve"> </w:t>
      </w:r>
      <w:r w:rsidRPr="00DD47F4">
        <w:t>Flow-through tests with algae are difficult to undertake and are</w:t>
      </w:r>
      <w:r w:rsidR="00DA3263">
        <w:t>,</w:t>
      </w:r>
      <w:r w:rsidRPr="00DD47F4">
        <w:t xml:space="preserve"> therefore</w:t>
      </w:r>
      <w:r w:rsidR="00DA3263">
        <w:t>,</w:t>
      </w:r>
      <w:r w:rsidRPr="00DD47F4">
        <w:t xml:space="preserve"> rarely reported.</w:t>
      </w:r>
      <w:r w:rsidR="00D27BEC">
        <w:t xml:space="preserve"> </w:t>
      </w:r>
      <w:r w:rsidR="00342DEF">
        <w:t xml:space="preserve">However, Vannoni et al. (2018) assessed the toxicity of chlorine to two marine </w:t>
      </w:r>
      <w:r w:rsidR="00BF3614">
        <w:t>micro</w:t>
      </w:r>
      <w:r w:rsidR="00342DEF">
        <w:t>alga</w:t>
      </w:r>
      <w:r w:rsidR="00D23BE4">
        <w:t>e</w:t>
      </w:r>
      <w:r w:rsidR="00342DEF">
        <w:t xml:space="preserve"> using both static and flow-through procedures. Based on static exposures, 72-h EC</w:t>
      </w:r>
      <w:r w:rsidR="00235AAE">
        <w:t>5</w:t>
      </w:r>
      <w:r w:rsidR="00342DEF">
        <w:t>0s (</w:t>
      </w:r>
      <w:r w:rsidR="00DF44A0">
        <w:t>fluores</w:t>
      </w:r>
      <w:r w:rsidR="00235AAE">
        <w:t>c</w:t>
      </w:r>
      <w:r w:rsidR="00DF44A0">
        <w:t>ence</w:t>
      </w:r>
      <w:r w:rsidR="00342DEF">
        <w:t xml:space="preserve">) for </w:t>
      </w:r>
      <w:r w:rsidR="00342DEF" w:rsidRPr="00342DEF">
        <w:rPr>
          <w:i/>
          <w:iCs/>
          <w:lang w:val="en-GB"/>
        </w:rPr>
        <w:t xml:space="preserve">Navicula pelliculosa </w:t>
      </w:r>
      <w:r w:rsidR="00342DEF" w:rsidRPr="00342DEF">
        <w:rPr>
          <w:lang w:val="en-GB"/>
        </w:rPr>
        <w:t>and</w:t>
      </w:r>
      <w:r w:rsidR="00342DEF" w:rsidRPr="00342DEF">
        <w:rPr>
          <w:i/>
          <w:iCs/>
          <w:lang w:val="en-GB"/>
        </w:rPr>
        <w:t xml:space="preserve"> Achnanthes </w:t>
      </w:r>
      <w:r w:rsidR="00342DEF" w:rsidRPr="00342DEF">
        <w:rPr>
          <w:lang w:val="en-GB"/>
        </w:rPr>
        <w:t>spp.</w:t>
      </w:r>
      <w:r w:rsidR="00342DEF">
        <w:rPr>
          <w:lang w:val="en-GB"/>
        </w:rPr>
        <w:t xml:space="preserve"> were </w:t>
      </w:r>
      <w:r w:rsidR="00235AAE">
        <w:rPr>
          <w:lang w:val="en-GB"/>
        </w:rPr>
        <w:t>2</w:t>
      </w:r>
      <w:r w:rsidR="00BF03D4">
        <w:rPr>
          <w:lang w:val="en-GB"/>
        </w:rPr>
        <w:t> </w:t>
      </w:r>
      <w:r w:rsidR="00235AAE">
        <w:rPr>
          <w:lang w:val="en-GB"/>
        </w:rPr>
        <w:t>790</w:t>
      </w:r>
      <w:r w:rsidR="00BF03D4">
        <w:rPr>
          <w:lang w:val="en-GB"/>
        </w:rPr>
        <w:t> </w:t>
      </w:r>
      <w:r w:rsidR="00342DEF" w:rsidRPr="00DD47F4">
        <w:t>µg/L</w:t>
      </w:r>
      <w:r w:rsidR="00342DEF">
        <w:rPr>
          <w:lang w:val="en-GB"/>
        </w:rPr>
        <w:t xml:space="preserve"> and </w:t>
      </w:r>
      <w:r w:rsidR="00235AAE">
        <w:rPr>
          <w:lang w:val="en-GB"/>
        </w:rPr>
        <w:t>230</w:t>
      </w:r>
      <w:r w:rsidR="00BF03D4">
        <w:rPr>
          <w:lang w:val="en-GB"/>
        </w:rPr>
        <w:t> </w:t>
      </w:r>
      <w:r w:rsidR="00342DEF" w:rsidRPr="00DD47F4">
        <w:t>µg/L</w:t>
      </w:r>
      <w:r w:rsidR="00342DEF">
        <w:t>, respectively</w:t>
      </w:r>
      <w:r w:rsidR="00DF44A0">
        <w:t xml:space="preserve">. Based on flow-through exposures, the toxicity of chlorine was </w:t>
      </w:r>
      <w:r w:rsidR="005623F6">
        <w:t>increased</w:t>
      </w:r>
      <w:r w:rsidR="00DF44A0">
        <w:t>, with 72-h EC</w:t>
      </w:r>
      <w:r w:rsidR="00235AAE">
        <w:t>5</w:t>
      </w:r>
      <w:r w:rsidR="00DF44A0">
        <w:t xml:space="preserve">0s (fluorescence) for </w:t>
      </w:r>
      <w:r w:rsidR="00DF44A0" w:rsidRPr="00DF44A0">
        <w:rPr>
          <w:lang w:val="en-GB"/>
        </w:rPr>
        <w:t>the same two species</w:t>
      </w:r>
      <w:r w:rsidR="00DF44A0">
        <w:rPr>
          <w:lang w:val="en-GB"/>
        </w:rPr>
        <w:t xml:space="preserve"> being </w:t>
      </w:r>
      <w:r w:rsidR="00235AAE">
        <w:rPr>
          <w:lang w:val="en-GB"/>
        </w:rPr>
        <w:t>430</w:t>
      </w:r>
      <w:r w:rsidR="00BF03D4">
        <w:rPr>
          <w:lang w:val="en-GB"/>
        </w:rPr>
        <w:t> </w:t>
      </w:r>
      <w:r w:rsidR="00DF44A0" w:rsidRPr="00DD47F4">
        <w:t>µg/L</w:t>
      </w:r>
      <w:r w:rsidR="00DF44A0">
        <w:rPr>
          <w:lang w:val="en-GB"/>
        </w:rPr>
        <w:t xml:space="preserve"> and </w:t>
      </w:r>
      <w:r w:rsidR="00235AAE">
        <w:rPr>
          <w:lang w:val="en-GB"/>
        </w:rPr>
        <w:t>80</w:t>
      </w:r>
      <w:r w:rsidR="00BF03D4">
        <w:rPr>
          <w:lang w:val="en-GB"/>
        </w:rPr>
        <w:t> </w:t>
      </w:r>
      <w:r w:rsidR="00DF44A0" w:rsidRPr="00DD47F4">
        <w:t>µg/L</w:t>
      </w:r>
      <w:r w:rsidR="00DF44A0">
        <w:t xml:space="preserve">, respectively. </w:t>
      </w:r>
      <w:r w:rsidR="008E66A8">
        <w:t xml:space="preserve">There appear to be no chlorine toxicity data available for marine plants </w:t>
      </w:r>
      <w:r w:rsidR="005623F6">
        <w:t xml:space="preserve">such as </w:t>
      </w:r>
      <w:r w:rsidR="008E66A8">
        <w:rPr>
          <w:lang w:val="en-US"/>
        </w:rPr>
        <w:t>macroalgae</w:t>
      </w:r>
      <w:r w:rsidR="005623F6">
        <w:rPr>
          <w:lang w:val="en-US"/>
        </w:rPr>
        <w:t xml:space="preserve"> or</w:t>
      </w:r>
      <w:r w:rsidR="008E66A8">
        <w:rPr>
          <w:lang w:val="en-US"/>
        </w:rPr>
        <w:t xml:space="preserve"> seagrasses.</w:t>
      </w:r>
    </w:p>
    <w:p w14:paraId="0CB0FB37" w14:textId="648AD051" w:rsidR="000815B0" w:rsidRDefault="000815B0" w:rsidP="000E52A2">
      <w:pPr>
        <w:rPr>
          <w:lang w:val="en-US"/>
        </w:rPr>
      </w:pPr>
      <w:r w:rsidRPr="00325DB4">
        <w:t>Ebenezer and Ki (</w:t>
      </w:r>
      <w:r w:rsidRPr="00174364">
        <w:rPr>
          <w:lang w:val="en-US"/>
        </w:rPr>
        <w:t xml:space="preserve">2013) </w:t>
      </w:r>
      <w:r w:rsidR="00325DB4" w:rsidRPr="00174364">
        <w:rPr>
          <w:lang w:val="en-US"/>
        </w:rPr>
        <w:t>e</w:t>
      </w:r>
      <w:r w:rsidR="00FC3FB6">
        <w:rPr>
          <w:lang w:val="en-US"/>
        </w:rPr>
        <w:t>x</w:t>
      </w:r>
      <w:r w:rsidR="00325DB4" w:rsidRPr="00174364">
        <w:rPr>
          <w:lang w:val="en-US"/>
        </w:rPr>
        <w:t>amined the effects of chlorine on t</w:t>
      </w:r>
      <w:r w:rsidRPr="00174364">
        <w:rPr>
          <w:lang w:val="en-US"/>
        </w:rPr>
        <w:t xml:space="preserve">he </w:t>
      </w:r>
      <w:r w:rsidR="00657C45">
        <w:rPr>
          <w:lang w:val="en-US"/>
        </w:rPr>
        <w:t xml:space="preserve">population growth of the </w:t>
      </w:r>
      <w:r w:rsidRPr="00174364">
        <w:rPr>
          <w:lang w:val="en-US"/>
        </w:rPr>
        <w:t xml:space="preserve">marine dinoflagellate </w:t>
      </w:r>
      <w:r w:rsidRPr="00174364">
        <w:rPr>
          <w:i/>
          <w:lang w:val="en-US"/>
        </w:rPr>
        <w:t>Prorocentrum minimum</w:t>
      </w:r>
      <w:r w:rsidRPr="00174364">
        <w:rPr>
          <w:lang w:val="en-US"/>
        </w:rPr>
        <w:t xml:space="preserve"> </w:t>
      </w:r>
      <w:r w:rsidR="00325DB4">
        <w:rPr>
          <w:lang w:val="en-US"/>
        </w:rPr>
        <w:t>in static tests</w:t>
      </w:r>
      <w:r w:rsidR="006E3E45">
        <w:rPr>
          <w:lang w:val="en-US"/>
        </w:rPr>
        <w:t xml:space="preserve">. </w:t>
      </w:r>
      <w:r w:rsidR="00657C45">
        <w:rPr>
          <w:lang w:val="en-US"/>
        </w:rPr>
        <w:t>Unfortunately, test salinity was not reported.</w:t>
      </w:r>
      <w:r w:rsidR="006E3E45">
        <w:rPr>
          <w:lang w:val="en-US"/>
        </w:rPr>
        <w:t xml:space="preserve"> </w:t>
      </w:r>
      <w:r w:rsidR="00657C45">
        <w:rPr>
          <w:lang w:val="en-US"/>
        </w:rPr>
        <w:t>They reported a significant (&gt;50%) reduction in population growth at the lowest concentration tested</w:t>
      </w:r>
      <w:r w:rsidR="00CC5A18">
        <w:rPr>
          <w:lang w:val="en-US"/>
        </w:rPr>
        <w:t>:</w:t>
      </w:r>
      <w:r w:rsidR="00657C45">
        <w:rPr>
          <w:lang w:val="en-US"/>
        </w:rPr>
        <w:t xml:space="preserve"> 0.1</w:t>
      </w:r>
      <w:r w:rsidR="00BF03D4">
        <w:rPr>
          <w:lang w:val="en-US"/>
        </w:rPr>
        <w:t> </w:t>
      </w:r>
      <w:r w:rsidR="00657C45">
        <w:rPr>
          <w:lang w:val="en-US"/>
        </w:rPr>
        <w:t>mg/</w:t>
      </w:r>
      <w:r w:rsidR="00A42BCB">
        <w:rPr>
          <w:lang w:val="en-US"/>
        </w:rPr>
        <w:t>L</w:t>
      </w:r>
      <w:r w:rsidR="00657C45">
        <w:rPr>
          <w:lang w:val="en-US"/>
        </w:rPr>
        <w:t>. H</w:t>
      </w:r>
      <w:r w:rsidR="00571B81">
        <w:rPr>
          <w:lang w:val="en-US"/>
        </w:rPr>
        <w:t>owever</w:t>
      </w:r>
      <w:r w:rsidR="00D55D75">
        <w:rPr>
          <w:lang w:val="en-US"/>
        </w:rPr>
        <w:t>,</w:t>
      </w:r>
      <w:r w:rsidR="00571B81">
        <w:rPr>
          <w:lang w:val="en-US"/>
        </w:rPr>
        <w:t xml:space="preserve"> </w:t>
      </w:r>
      <w:r w:rsidR="00D55D75">
        <w:rPr>
          <w:lang w:val="en-US"/>
        </w:rPr>
        <w:t xml:space="preserve">concentrations </w:t>
      </w:r>
      <w:r w:rsidR="00657C45">
        <w:rPr>
          <w:lang w:val="en-US"/>
        </w:rPr>
        <w:t xml:space="preserve">had </w:t>
      </w:r>
      <w:r w:rsidR="00D55D75">
        <w:rPr>
          <w:lang w:val="en-US"/>
        </w:rPr>
        <w:t>decay</w:t>
      </w:r>
      <w:r w:rsidR="00657C45">
        <w:rPr>
          <w:lang w:val="en-US"/>
        </w:rPr>
        <w:t>ed</w:t>
      </w:r>
      <w:r w:rsidR="00D55D75">
        <w:rPr>
          <w:lang w:val="en-US"/>
        </w:rPr>
        <w:t xml:space="preserve"> </w:t>
      </w:r>
      <w:r w:rsidR="00657C45">
        <w:rPr>
          <w:lang w:val="en-US"/>
        </w:rPr>
        <w:t>to below the detection limit of 0.01</w:t>
      </w:r>
      <w:r w:rsidR="00BF03D4">
        <w:rPr>
          <w:lang w:val="en-US"/>
        </w:rPr>
        <w:t> </w:t>
      </w:r>
      <w:r w:rsidR="00657C45">
        <w:rPr>
          <w:lang w:val="en-US"/>
        </w:rPr>
        <w:t>mg/L</w:t>
      </w:r>
      <w:r w:rsidR="00D55D75">
        <w:rPr>
          <w:lang w:val="en-US"/>
        </w:rPr>
        <w:t xml:space="preserve"> over this duration</w:t>
      </w:r>
      <w:r w:rsidR="00657C45">
        <w:rPr>
          <w:lang w:val="en-US"/>
        </w:rPr>
        <w:t>, suggesting</w:t>
      </w:r>
      <w:r w:rsidR="00D55D75">
        <w:rPr>
          <w:lang w:val="en-US"/>
        </w:rPr>
        <w:t xml:space="preserve"> that </w:t>
      </w:r>
      <w:r w:rsidR="008B787A">
        <w:rPr>
          <w:lang w:val="en-US"/>
        </w:rPr>
        <w:t>it was the initial exposure that governed the impact.</w:t>
      </w:r>
      <w:r w:rsidR="007A20B6">
        <w:rPr>
          <w:lang w:val="en-US"/>
        </w:rPr>
        <w:t xml:space="preserve"> </w:t>
      </w:r>
    </w:p>
    <w:p w14:paraId="72BF7E2C" w14:textId="7F995EF9" w:rsidR="00A9255E" w:rsidRDefault="00CC5A18" w:rsidP="000E52A2">
      <w:r>
        <w:t xml:space="preserve">The following are general </w:t>
      </w:r>
      <w:r w:rsidR="00A9255E">
        <w:t>observation</w:t>
      </w:r>
      <w:r>
        <w:t>s of static and flow-through tests.</w:t>
      </w:r>
    </w:p>
    <w:p w14:paraId="369EA893" w14:textId="2E16C75B" w:rsidR="000B5875" w:rsidRPr="000B5875" w:rsidRDefault="000B5875" w:rsidP="0053068D">
      <w:pPr>
        <w:pStyle w:val="ListBullet"/>
      </w:pPr>
      <w:r w:rsidRPr="000B5875">
        <w:t>Static tests with regular renewal (24</w:t>
      </w:r>
      <w:r w:rsidR="00BF03D4">
        <w:t> </w:t>
      </w:r>
      <w:r w:rsidRPr="000B5875">
        <w:t xml:space="preserve">h) show lower toxicity (higher LC50 values) than continuous flow-through tests because of the reactivity </w:t>
      </w:r>
      <w:r w:rsidR="00DA3263">
        <w:t xml:space="preserve">and volatility </w:t>
      </w:r>
      <w:r w:rsidRPr="000B5875">
        <w:t xml:space="preserve">of chlorine (hypochlorite). For example, a </w:t>
      </w:r>
      <w:r w:rsidR="00161970">
        <w:t>30-min</w:t>
      </w:r>
      <w:r w:rsidRPr="000B5875">
        <w:t xml:space="preserve"> flow-through test with the rotifer </w:t>
      </w:r>
      <w:bookmarkStart w:id="11" w:name="_Hlk21004366"/>
      <w:r w:rsidRPr="000B5875">
        <w:rPr>
          <w:i/>
          <w:iCs/>
        </w:rPr>
        <w:t>Brachionus plicatilis</w:t>
      </w:r>
      <w:r w:rsidRPr="000B5875">
        <w:t xml:space="preserve"> </w:t>
      </w:r>
      <w:bookmarkEnd w:id="11"/>
      <w:r w:rsidRPr="000B5875">
        <w:t>had an LC50 of 90</w:t>
      </w:r>
      <w:r w:rsidR="00BF03D4">
        <w:t> </w:t>
      </w:r>
      <w:r w:rsidRPr="000B5875">
        <w:t>µg/L (</w:t>
      </w:r>
      <w:r w:rsidR="00AA3803">
        <w:t xml:space="preserve">as CPO, </w:t>
      </w:r>
      <w:r w:rsidRPr="000B5875">
        <w:t>Capuzzo et al. 197</w:t>
      </w:r>
      <w:r w:rsidR="00340D14">
        <w:t>9</w:t>
      </w:r>
      <w:r w:rsidRPr="000B5875">
        <w:t>) compared to a 24-h static test LC50 of 586</w:t>
      </w:r>
      <w:r w:rsidR="00BF03D4">
        <w:t> </w:t>
      </w:r>
      <w:r w:rsidRPr="000B5875">
        <w:t>µg/L (</w:t>
      </w:r>
      <w:r w:rsidR="00AA3803">
        <w:t xml:space="preserve">as CPO, </w:t>
      </w:r>
      <w:r w:rsidRPr="000B5875">
        <w:t xml:space="preserve">Lopez-Galindo et al. 2010). </w:t>
      </w:r>
    </w:p>
    <w:p w14:paraId="7FB5F095" w14:textId="4F7FBD75" w:rsidR="000B5875" w:rsidRPr="000B5875" w:rsidRDefault="000B5875" w:rsidP="0053068D">
      <w:pPr>
        <w:pStyle w:val="ListBullet"/>
      </w:pPr>
      <w:r w:rsidRPr="000B5875">
        <w:t>In flow-through systems, short-term exposures (</w:t>
      </w:r>
      <w:r w:rsidR="00A439F2">
        <w:t>30 min</w:t>
      </w:r>
      <w:r w:rsidRPr="000B5875">
        <w:t>) generally show lower toxicity than 96-h exposures for the same species. The former may better reflect discharge conditions and the high reactivity of chlorine and its reaction products in seawater. For some species in flow-through tests, LC50 values decreased significantly as exposure duration increased from 24</w:t>
      </w:r>
      <w:r w:rsidR="00487D2B">
        <w:t> h</w:t>
      </w:r>
      <w:r w:rsidRPr="000B5875">
        <w:t xml:space="preserve"> to 96</w:t>
      </w:r>
      <w:r w:rsidR="00BF03D4">
        <w:t> </w:t>
      </w:r>
      <w:r w:rsidRPr="000B5875">
        <w:t>h as shown by Wan et al. (2000) for two marine amphipods</w:t>
      </w:r>
      <w:r w:rsidR="00487D2B">
        <w:t>. A</w:t>
      </w:r>
      <w:r w:rsidRPr="000B5875">
        <w:t>lthough</w:t>
      </w:r>
      <w:r w:rsidR="00487D2B">
        <w:t>,</w:t>
      </w:r>
      <w:r w:rsidRPr="000B5875">
        <w:t xml:space="preserve"> for studies on </w:t>
      </w:r>
      <w:r w:rsidRPr="000B5875">
        <w:rPr>
          <w:i/>
        </w:rPr>
        <w:t>Menid</w:t>
      </w:r>
      <w:r w:rsidR="00487D2B">
        <w:rPr>
          <w:i/>
        </w:rPr>
        <w:t>i</w:t>
      </w:r>
      <w:r w:rsidRPr="000B5875">
        <w:rPr>
          <w:i/>
        </w:rPr>
        <w:t>a beryllina</w:t>
      </w:r>
      <w:r w:rsidRPr="000B5875">
        <w:t xml:space="preserve"> fish embryos, Fisher et al. (1994) found little difference between 24-</w:t>
      </w:r>
      <w:r w:rsidR="00A42BCB">
        <w:t>h</w:t>
      </w:r>
      <w:r w:rsidRPr="000B5875">
        <w:t xml:space="preserve"> and 48-h LC50 values.</w:t>
      </w:r>
    </w:p>
    <w:p w14:paraId="256BE097" w14:textId="18C11E0E" w:rsidR="005100F3" w:rsidRDefault="00DD47F4" w:rsidP="000E52A2">
      <w:pPr>
        <w:rPr>
          <w:color w:val="000000" w:themeColor="text1"/>
        </w:rPr>
      </w:pPr>
      <w:r w:rsidRPr="00DD47F4">
        <w:t>There have been few studies that have examined the toxicity of reaction products. The oxidation products from bromine were found to be less toxic than those from chlorine (Dinnel et al. 1981)</w:t>
      </w:r>
      <w:r w:rsidR="009304B9">
        <w:t>. With regard to</w:t>
      </w:r>
      <w:r w:rsidRPr="00DD47F4">
        <w:t xml:space="preserve"> the toxicity of chloroform and bromoform </w:t>
      </w:r>
      <w:r w:rsidR="009304B9">
        <w:t>(</w:t>
      </w:r>
      <w:r w:rsidR="00950210">
        <w:t xml:space="preserve">both </w:t>
      </w:r>
      <w:r w:rsidRPr="00DD47F4">
        <w:t>produced by reactions with organics</w:t>
      </w:r>
      <w:r w:rsidR="009304B9">
        <w:t>)</w:t>
      </w:r>
      <w:r w:rsidR="00CE3679">
        <w:t>,</w:t>
      </w:r>
      <w:r w:rsidRPr="00DD47F4">
        <w:t xml:space="preserve"> </w:t>
      </w:r>
      <w:r w:rsidR="009304B9">
        <w:t>a</w:t>
      </w:r>
      <w:r w:rsidRPr="00DD47F4">
        <w:t xml:space="preserve"> recent review showed that</w:t>
      </w:r>
      <w:r w:rsidR="00CE3679">
        <w:t>—</w:t>
      </w:r>
      <w:r w:rsidRPr="00DD47F4">
        <w:t>at least for chloroform</w:t>
      </w:r>
      <w:r w:rsidR="00CE3679">
        <w:t>—</w:t>
      </w:r>
      <w:r w:rsidRPr="00DD47F4">
        <w:t xml:space="preserve">effects on algae and fish are typically seen at mg/L concentrations, orders of magnitude above those for hypochlorite toxicity (UK </w:t>
      </w:r>
      <w:r w:rsidRPr="00DD47F4">
        <w:lastRenderedPageBreak/>
        <w:t>Marine SAC 2019).</w:t>
      </w:r>
      <w:r w:rsidR="00DA3263">
        <w:t xml:space="preserve"> </w:t>
      </w:r>
      <w:r w:rsidRPr="00DD47F4">
        <w:t xml:space="preserve">The </w:t>
      </w:r>
      <w:r w:rsidRPr="00DD47F4">
        <w:rPr>
          <w:color w:val="000000" w:themeColor="text1"/>
        </w:rPr>
        <w:t xml:space="preserve">LC50 values for larval survival for the oyster </w:t>
      </w:r>
      <w:r w:rsidRPr="00DD47F4">
        <w:rPr>
          <w:i/>
          <w:color w:val="000000" w:themeColor="text1"/>
        </w:rPr>
        <w:t>Crassostrea virginica</w:t>
      </w:r>
      <w:r w:rsidRPr="00DD47F4">
        <w:rPr>
          <w:color w:val="000000" w:themeColor="text1"/>
        </w:rPr>
        <w:t>, estimated from the published dose-response curves (Stewart et al. 1979)</w:t>
      </w:r>
      <w:r w:rsidR="00F5039E">
        <w:rPr>
          <w:color w:val="000000" w:themeColor="text1"/>
        </w:rPr>
        <w:t>,</w:t>
      </w:r>
      <w:r w:rsidRPr="00DD47F4">
        <w:rPr>
          <w:color w:val="000000" w:themeColor="text1"/>
        </w:rPr>
        <w:t xml:space="preserve"> were 2</w:t>
      </w:r>
      <w:r w:rsidR="00F5039E">
        <w:rPr>
          <w:color w:val="000000" w:themeColor="text1"/>
        </w:rPr>
        <w:t> </w:t>
      </w:r>
      <w:r w:rsidR="00F5039E" w:rsidRPr="00DD47F4">
        <w:rPr>
          <w:color w:val="000000" w:themeColor="text1"/>
        </w:rPr>
        <w:t>mg/L</w:t>
      </w:r>
      <w:r w:rsidRPr="00DD47F4">
        <w:rPr>
          <w:color w:val="000000" w:themeColor="text1"/>
        </w:rPr>
        <w:t>, 1</w:t>
      </w:r>
      <w:r w:rsidR="00F5039E">
        <w:rPr>
          <w:color w:val="000000" w:themeColor="text1"/>
        </w:rPr>
        <w:t> </w:t>
      </w:r>
      <w:r w:rsidR="00F5039E" w:rsidRPr="00DD47F4">
        <w:rPr>
          <w:color w:val="000000" w:themeColor="text1"/>
        </w:rPr>
        <w:t>mg/L</w:t>
      </w:r>
      <w:r w:rsidRPr="00DD47F4">
        <w:rPr>
          <w:color w:val="000000" w:themeColor="text1"/>
        </w:rPr>
        <w:t xml:space="preserve"> and 0.1</w:t>
      </w:r>
      <w:r w:rsidR="00BF03D4">
        <w:rPr>
          <w:color w:val="000000" w:themeColor="text1"/>
        </w:rPr>
        <w:t> </w:t>
      </w:r>
      <w:r w:rsidRPr="00DD47F4">
        <w:rPr>
          <w:color w:val="000000" w:themeColor="text1"/>
        </w:rPr>
        <w:t>mg/L respectively for chloroform, bromoform and bromate. They noted that chloroform and bromoform were both lost from solution by volatili</w:t>
      </w:r>
      <w:r w:rsidR="00F5039E">
        <w:rPr>
          <w:color w:val="000000" w:themeColor="text1"/>
        </w:rPr>
        <w:t>s</w:t>
      </w:r>
      <w:r w:rsidRPr="00DD47F4">
        <w:rPr>
          <w:color w:val="000000" w:themeColor="text1"/>
        </w:rPr>
        <w:t xml:space="preserve">ation. </w:t>
      </w:r>
      <w:r w:rsidR="00F5039E">
        <w:rPr>
          <w:color w:val="000000" w:themeColor="text1"/>
        </w:rPr>
        <w:t>T</w:t>
      </w:r>
      <w:r w:rsidRPr="00DD47F4">
        <w:rPr>
          <w:color w:val="000000" w:themeColor="text1"/>
        </w:rPr>
        <w:t xml:space="preserve">he toxicity of chloramine and bromamine products </w:t>
      </w:r>
      <w:r w:rsidR="00444223">
        <w:rPr>
          <w:color w:val="000000" w:themeColor="text1"/>
        </w:rPr>
        <w:t>that</w:t>
      </w:r>
      <w:r w:rsidR="006F112E">
        <w:rPr>
          <w:color w:val="000000" w:themeColor="text1"/>
        </w:rPr>
        <w:t xml:space="preserve"> are </w:t>
      </w:r>
      <w:r w:rsidRPr="00DD47F4">
        <w:rPr>
          <w:color w:val="000000" w:themeColor="text1"/>
        </w:rPr>
        <w:t xml:space="preserve">formed </w:t>
      </w:r>
      <w:r w:rsidR="00F5039E" w:rsidRPr="00DD47F4">
        <w:rPr>
          <w:color w:val="000000" w:themeColor="text1"/>
        </w:rPr>
        <w:t xml:space="preserve">only </w:t>
      </w:r>
      <w:r w:rsidRPr="00DD47F4">
        <w:rPr>
          <w:color w:val="000000" w:themeColor="text1"/>
        </w:rPr>
        <w:t>when ammonia concentrations are elevated in the seawater</w:t>
      </w:r>
      <w:r w:rsidR="00F5039E">
        <w:rPr>
          <w:color w:val="000000" w:themeColor="text1"/>
        </w:rPr>
        <w:t xml:space="preserve"> was not considered</w:t>
      </w:r>
      <w:r w:rsidRPr="00DD47F4">
        <w:rPr>
          <w:color w:val="000000" w:themeColor="text1"/>
        </w:rPr>
        <w:t>.</w:t>
      </w:r>
    </w:p>
    <w:p w14:paraId="22D8B396" w14:textId="41A91598" w:rsidR="00A47617" w:rsidRPr="0053068D" w:rsidRDefault="007B3976" w:rsidP="0053068D">
      <w:pPr>
        <w:pStyle w:val="Heading2"/>
      </w:pPr>
      <w:bookmarkStart w:id="12" w:name="_Ref90985848"/>
      <w:bookmarkStart w:id="13" w:name="_Toc178451649"/>
      <w:bookmarkStart w:id="14" w:name="_Toc189409338"/>
      <w:r w:rsidRPr="0053068D">
        <w:t>Fac</w:t>
      </w:r>
      <w:r w:rsidR="00A47617" w:rsidRPr="0053068D">
        <w:t>tors affecting toxicity</w:t>
      </w:r>
      <w:bookmarkEnd w:id="12"/>
      <w:bookmarkEnd w:id="13"/>
      <w:bookmarkEnd w:id="14"/>
    </w:p>
    <w:p w14:paraId="4CA9433E" w14:textId="29C11453" w:rsidR="00A9255E" w:rsidRPr="00A9255E" w:rsidRDefault="00A9255E" w:rsidP="000E52A2">
      <w:r w:rsidRPr="00A9255E">
        <w:t>The rapid hydrolysis of chlorine</w:t>
      </w:r>
      <w:r w:rsidR="00A376A5">
        <w:t xml:space="preserve"> (</w:t>
      </w:r>
      <w:r w:rsidR="00A376A5" w:rsidRPr="00A9255E">
        <w:t>Cl</w:t>
      </w:r>
      <w:r w:rsidR="00A376A5" w:rsidRPr="00A9255E">
        <w:rPr>
          <w:vertAlign w:val="subscript"/>
        </w:rPr>
        <w:t>2</w:t>
      </w:r>
      <w:r w:rsidR="00A376A5" w:rsidRPr="00A376A5">
        <w:t>)</w:t>
      </w:r>
      <w:r w:rsidRPr="00A9255E">
        <w:t xml:space="preserve"> leads to the formation of hypochlorous acid (HOCl) and its dissociation product, the hypochlorite ion (OCl</w:t>
      </w:r>
      <w:r w:rsidR="00B64635">
        <w:rPr>
          <w:vertAlign w:val="superscript"/>
        </w:rPr>
        <w:t>–</w:t>
      </w:r>
      <w:r w:rsidRPr="00A9255E">
        <w:t>)</w:t>
      </w:r>
      <w:r w:rsidR="00C90499">
        <w:t xml:space="preserve"> (Wallis </w:t>
      </w:r>
      <w:r w:rsidR="00BF03D4">
        <w:t>and</w:t>
      </w:r>
      <w:r w:rsidR="00C90499">
        <w:t xml:space="preserve"> Chidgey 2022)</w:t>
      </w:r>
      <w:r w:rsidRPr="00A9255E">
        <w:t>. At the pH of seawater</w:t>
      </w:r>
      <w:r w:rsidR="00F037B1">
        <w:t xml:space="preserve"> (</w:t>
      </w:r>
      <w:r w:rsidR="000D5AD1">
        <w:t>~</w:t>
      </w:r>
      <w:r w:rsidR="008677BE">
        <w:t>8.1)</w:t>
      </w:r>
      <w:r w:rsidRPr="00A9255E">
        <w:t>, HOCl is 80% dissociated to hypochlorite (pKa</w:t>
      </w:r>
      <w:r w:rsidR="000E52A2">
        <w:t> </w:t>
      </w:r>
      <w:r w:rsidRPr="00A9255E">
        <w:t>=</w:t>
      </w:r>
      <w:r w:rsidR="000E52A2">
        <w:t> </w:t>
      </w:r>
      <w:r w:rsidRPr="00A9255E">
        <w:t xml:space="preserve">7.54). The term </w:t>
      </w:r>
      <w:r w:rsidR="00B90CF6">
        <w:t>‘</w:t>
      </w:r>
      <w:r w:rsidRPr="00B90CF6">
        <w:t>free chlorine</w:t>
      </w:r>
      <w:r w:rsidR="00B90CF6">
        <w:t>’</w:t>
      </w:r>
      <w:r w:rsidRPr="00A9255E">
        <w:rPr>
          <w:iCs/>
        </w:rPr>
        <w:t xml:space="preserve"> refer</w:t>
      </w:r>
      <w:r w:rsidR="008677BE">
        <w:rPr>
          <w:iCs/>
        </w:rPr>
        <w:t>s</w:t>
      </w:r>
      <w:r w:rsidRPr="00A9255E">
        <w:rPr>
          <w:iCs/>
        </w:rPr>
        <w:t xml:space="preserve"> to the mixture of</w:t>
      </w:r>
      <w:r w:rsidR="00281D8A">
        <w:rPr>
          <w:iCs/>
        </w:rPr>
        <w:t xml:space="preserve"> </w:t>
      </w:r>
      <w:r w:rsidR="00446AF6">
        <w:t>these three components</w:t>
      </w:r>
      <w:r w:rsidRPr="00A9255E">
        <w:t xml:space="preserve"> in equilibrium. </w:t>
      </w:r>
    </w:p>
    <w:p w14:paraId="28BB0A8B" w14:textId="161F1CA5" w:rsidR="00980118" w:rsidRDefault="00A9255E" w:rsidP="000E52A2">
      <w:r w:rsidRPr="00A9255E">
        <w:t xml:space="preserve">Both chlorine and the hypochlorite ion are powerful oxidants. In particular, bromide ion, present in seawater at </w:t>
      </w:r>
      <w:r w:rsidR="00F037B1">
        <w:t>approximately</w:t>
      </w:r>
      <w:r w:rsidR="00833ED4">
        <w:t xml:space="preserve"> </w:t>
      </w:r>
      <w:r w:rsidRPr="00A9255E">
        <w:t>65</w:t>
      </w:r>
      <w:r w:rsidR="0003671F">
        <w:t> </w:t>
      </w:r>
      <w:r w:rsidRPr="00A9255E">
        <w:t>mg/L, is rapidly oxidi</w:t>
      </w:r>
      <w:r w:rsidR="00F037B1">
        <w:t>s</w:t>
      </w:r>
      <w:r w:rsidRPr="00A9255E">
        <w:t>ed by hypochlorite to form hypobromous acid (pKa</w:t>
      </w:r>
      <w:r w:rsidR="0003671F">
        <w:t> </w:t>
      </w:r>
      <w:r w:rsidRPr="00A9255E">
        <w:t>=</w:t>
      </w:r>
      <w:r w:rsidR="0003671F">
        <w:t> </w:t>
      </w:r>
      <w:r w:rsidRPr="00A9255E">
        <w:t>8.6)</w:t>
      </w:r>
      <w:r w:rsidR="00F037B1">
        <w:t>,</w:t>
      </w:r>
      <w:r w:rsidRPr="00A9255E">
        <w:t xml:space="preserve"> which is only some 20% dissociated to hypobromite ion at the pH of seawater. This reaction is 99% complete in 10</w:t>
      </w:r>
      <w:r w:rsidR="0053068D">
        <w:t> </w:t>
      </w:r>
      <w:r w:rsidRPr="00A9255E">
        <w:t>s</w:t>
      </w:r>
      <w:r w:rsidR="00D666D5">
        <w:t>econds</w:t>
      </w:r>
      <w:r w:rsidRPr="00A9255E">
        <w:t xml:space="preserve"> (Jenner et al. 1997). Hypobromous acid is a</w:t>
      </w:r>
      <w:r w:rsidR="004C43B8">
        <w:t>n effective</w:t>
      </w:r>
      <w:r w:rsidRPr="00A9255E">
        <w:t xml:space="preserve"> oxidant, although weaker than hypochlorite. The antifouling and oxidative capacity of electrolysed seawater is</w:t>
      </w:r>
      <w:r w:rsidR="00DA3263">
        <w:t>,</w:t>
      </w:r>
      <w:r w:rsidRPr="00A9255E">
        <w:t xml:space="preserve"> therefore</w:t>
      </w:r>
      <w:r w:rsidR="00DA3263">
        <w:t>,</w:t>
      </w:r>
      <w:r w:rsidRPr="00A9255E">
        <w:t xml:space="preserve"> largely due to hypobromite rather than hypochlorite. </w:t>
      </w:r>
    </w:p>
    <w:p w14:paraId="6058EAC4" w14:textId="7D537D66" w:rsidR="00A9255E" w:rsidRPr="00A9255E" w:rsidRDefault="00A9255E" w:rsidP="000E52A2">
      <w:r w:rsidRPr="00A9255E">
        <w:t xml:space="preserve">The term </w:t>
      </w:r>
      <w:r w:rsidR="00E96539">
        <w:t>‘</w:t>
      </w:r>
      <w:r w:rsidRPr="00980118">
        <w:rPr>
          <w:iCs/>
        </w:rPr>
        <w:t>total residual chlorine</w:t>
      </w:r>
      <w:r w:rsidR="00980118" w:rsidRPr="00980118">
        <w:rPr>
          <w:iCs/>
        </w:rPr>
        <w:t>’</w:t>
      </w:r>
      <w:r w:rsidRPr="00A9255E">
        <w:t xml:space="preserve"> (TRC)</w:t>
      </w:r>
      <w:r w:rsidR="00E96539">
        <w:t xml:space="preserve"> used for freshwater is the equivalent of the term CPO for seawater</w:t>
      </w:r>
      <w:r w:rsidRPr="00A9255E">
        <w:t xml:space="preserve">. </w:t>
      </w:r>
      <w:r w:rsidR="001E20D1">
        <w:t>CPO</w:t>
      </w:r>
      <w:r w:rsidRPr="00A9255E">
        <w:t xml:space="preserve"> </w:t>
      </w:r>
      <w:r w:rsidR="001E20D1">
        <w:t>are</w:t>
      </w:r>
      <w:r w:rsidRPr="00A9255E">
        <w:t xml:space="preserve"> mostly bromine-based</w:t>
      </w:r>
      <w:r w:rsidR="00DA3263">
        <w:t xml:space="preserve"> in seawater</w:t>
      </w:r>
      <w:r w:rsidR="002D60C9">
        <w:t xml:space="preserve"> and</w:t>
      </w:r>
      <w:r w:rsidRPr="00A9255E">
        <w:t xml:space="preserve"> </w:t>
      </w:r>
      <w:r w:rsidR="003D2F6B">
        <w:t>include</w:t>
      </w:r>
      <w:r w:rsidR="002D60C9">
        <w:t xml:space="preserve"> hypobromous acid and (in the presence of ammonia) </w:t>
      </w:r>
      <w:r w:rsidR="003D2F6B">
        <w:t>chloramine/bromamine compounds</w:t>
      </w:r>
      <w:r w:rsidR="00FF08D6">
        <w:t xml:space="preserve"> referred to as combined chlorine</w:t>
      </w:r>
      <w:r w:rsidR="003D2F6B">
        <w:t xml:space="preserve">. </w:t>
      </w:r>
      <w:r w:rsidR="00563429">
        <w:t>By definition, CPO largely refer</w:t>
      </w:r>
      <w:r w:rsidR="00C4223D">
        <w:t>s</w:t>
      </w:r>
      <w:r w:rsidR="00563429">
        <w:t xml:space="preserve"> to </w:t>
      </w:r>
      <w:r w:rsidR="00691862">
        <w:t xml:space="preserve">the </w:t>
      </w:r>
      <w:r w:rsidR="00563429">
        <w:t>oxidative products hypobromous acid (HOBr), hypobromous ion (OBr-), and bromamines as discussed in detail by Kinani et al. (2022)</w:t>
      </w:r>
      <w:r w:rsidR="00BE4942">
        <w:t>, but do</w:t>
      </w:r>
      <w:r w:rsidR="00C4223D">
        <w:t>es</w:t>
      </w:r>
      <w:r w:rsidR="00BE4942">
        <w:t xml:space="preserve"> not include chloroform or bromoform</w:t>
      </w:r>
      <w:r w:rsidR="00563429">
        <w:t>.</w:t>
      </w:r>
    </w:p>
    <w:p w14:paraId="4E334515" w14:textId="725E5E8A" w:rsidR="00A9255E" w:rsidRPr="00A9255E" w:rsidRDefault="00260805" w:rsidP="000E52A2">
      <w:r>
        <w:t>I</w:t>
      </w:r>
      <w:r w:rsidR="00A9255E" w:rsidRPr="00A9255E">
        <w:t>n water where ammonia is present at elevated concentrations, the formation of chloramines (NH</w:t>
      </w:r>
      <w:r w:rsidR="00A9255E" w:rsidRPr="00A9255E">
        <w:rPr>
          <w:vertAlign w:val="subscript"/>
        </w:rPr>
        <w:t>2</w:t>
      </w:r>
      <w:r w:rsidR="00A9255E" w:rsidRPr="00A9255E">
        <w:t xml:space="preserve">Cl) (and bromamines) is also </w:t>
      </w:r>
      <w:r>
        <w:t>possible</w:t>
      </w:r>
      <w:r w:rsidR="00A9255E" w:rsidRPr="00A9255E">
        <w:t xml:space="preserve">. </w:t>
      </w:r>
      <w:r w:rsidRPr="00A9255E">
        <w:t xml:space="preserve">Sugam and Helz </w:t>
      </w:r>
      <w:r>
        <w:t>(</w:t>
      </w:r>
      <w:r w:rsidRPr="00A9255E">
        <w:t>1977</w:t>
      </w:r>
      <w:r>
        <w:t>)</w:t>
      </w:r>
      <w:r w:rsidR="00A9255E" w:rsidRPr="00A9255E">
        <w:t xml:space="preserve"> estimated that for these to be significant, ammonia concentrations would need to exceed 10</w:t>
      </w:r>
      <w:r w:rsidR="0003671F">
        <w:t> </w:t>
      </w:r>
      <w:r w:rsidR="00A9255E" w:rsidRPr="00A9255E">
        <w:t>µg/L for chlorination at 1</w:t>
      </w:r>
      <w:r w:rsidR="0003671F">
        <w:t> </w:t>
      </w:r>
      <w:r w:rsidR="00A9255E" w:rsidRPr="00A9255E">
        <w:t>mg/L, but values of this order are uncommon in seawater. Because the majority of hypochlorous and hypobromous acids are consumed by reaction with organic compounds, the main products are a diverse range of halogenated organics, particular</w:t>
      </w:r>
      <w:r w:rsidR="00207871">
        <w:t>ly</w:t>
      </w:r>
      <w:r w:rsidR="00A9255E" w:rsidRPr="00A9255E">
        <w:t xml:space="preserve"> trihalomethanes. Jenner et al. (1997) found that bromoform was the major product in </w:t>
      </w:r>
      <w:r w:rsidR="00132F83" w:rsidRPr="00A9255E">
        <w:t xml:space="preserve">cooling water discharge </w:t>
      </w:r>
      <w:r w:rsidR="00132F83">
        <w:t xml:space="preserve">from </w:t>
      </w:r>
      <w:r w:rsidR="00A9255E" w:rsidRPr="00A9255E">
        <w:t xml:space="preserve">a </w:t>
      </w:r>
      <w:r w:rsidR="003F3BE9">
        <w:t xml:space="preserve">coastal </w:t>
      </w:r>
      <w:r w:rsidR="00A9255E" w:rsidRPr="00A9255E">
        <w:t xml:space="preserve">power station </w:t>
      </w:r>
      <w:r w:rsidR="00AE1AD3">
        <w:t xml:space="preserve">using </w:t>
      </w:r>
      <w:r w:rsidR="00A9255E" w:rsidRPr="00A9255E">
        <w:t>seawater</w:t>
      </w:r>
      <w:r w:rsidR="003F3BE9">
        <w:t xml:space="preserve"> for cooling purposes</w:t>
      </w:r>
      <w:r w:rsidR="003612D4">
        <w:t>.</w:t>
      </w:r>
      <w:r w:rsidR="00A9255E" w:rsidRPr="00A9255E">
        <w:t xml:space="preserve"> </w:t>
      </w:r>
      <w:r w:rsidR="003612D4">
        <w:t>Bromoform was measured</w:t>
      </w:r>
      <w:r w:rsidR="00AF6E22">
        <w:t xml:space="preserve"> </w:t>
      </w:r>
      <w:r w:rsidR="00A9255E" w:rsidRPr="00A9255E">
        <w:t>at 16</w:t>
      </w:r>
      <w:r w:rsidR="0003671F">
        <w:t> </w:t>
      </w:r>
      <w:r w:rsidR="00A9255E" w:rsidRPr="00A9255E">
        <w:t xml:space="preserve">µg/L </w:t>
      </w:r>
      <w:r w:rsidR="00AF6E22">
        <w:t>following</w:t>
      </w:r>
      <w:r w:rsidR="00A9255E" w:rsidRPr="00A9255E">
        <w:t xml:space="preserve"> a mean chlorine dosage of 0.5</w:t>
      </w:r>
      <w:r w:rsidR="0003671F">
        <w:t>–</w:t>
      </w:r>
      <w:r w:rsidR="00A9255E" w:rsidRPr="00A9255E">
        <w:t>1.5</w:t>
      </w:r>
      <w:r w:rsidR="0003671F">
        <w:t> </w:t>
      </w:r>
      <w:r w:rsidR="00A9255E" w:rsidRPr="00A9255E">
        <w:t>mg/L as Cl</w:t>
      </w:r>
      <w:r w:rsidR="00A9255E" w:rsidRPr="00A9255E">
        <w:rPr>
          <w:vertAlign w:val="subscript"/>
        </w:rPr>
        <w:t>2.</w:t>
      </w:r>
      <w:r w:rsidR="00A9255E" w:rsidRPr="00A9255E">
        <w:t xml:space="preserve"> The high volatility of such compounds means they are rapidly lost. The half-life of bromoform varies from 16.9</w:t>
      </w:r>
      <w:r w:rsidR="0003671F">
        <w:t> </w:t>
      </w:r>
      <w:r w:rsidR="00A9255E" w:rsidRPr="00A9255E">
        <w:t>h at 1</w:t>
      </w:r>
      <w:r w:rsidR="0003671F">
        <w:t> </w:t>
      </w:r>
      <w:r w:rsidR="00A9255E" w:rsidRPr="00A9255E">
        <w:t>m depth to 85</w:t>
      </w:r>
      <w:r w:rsidR="0003671F">
        <w:t> </w:t>
      </w:r>
      <w:r w:rsidR="00A9255E" w:rsidRPr="00A9255E">
        <w:t>h at 5</w:t>
      </w:r>
      <w:r w:rsidR="0003671F">
        <w:t> </w:t>
      </w:r>
      <w:r w:rsidR="00A9255E" w:rsidRPr="00A9255E">
        <w:t xml:space="preserve">m (Abarnou and Miossec 1992), considerably longer than the half-life </w:t>
      </w:r>
      <w:r w:rsidR="00207871">
        <w:t>of</w:t>
      </w:r>
      <w:r w:rsidR="00207871" w:rsidRPr="00A9255E">
        <w:t xml:space="preserve"> </w:t>
      </w:r>
      <w:r w:rsidR="00A9255E" w:rsidRPr="00A9255E">
        <w:t xml:space="preserve">chloroform of </w:t>
      </w:r>
      <w:r w:rsidR="00207871">
        <w:t>approximately</w:t>
      </w:r>
      <w:r w:rsidR="00207871" w:rsidRPr="00A9255E">
        <w:t xml:space="preserve"> </w:t>
      </w:r>
      <w:r w:rsidR="00A9255E" w:rsidRPr="00A9255E">
        <w:t>30</w:t>
      </w:r>
      <w:r w:rsidR="0053068D">
        <w:t> </w:t>
      </w:r>
      <w:r w:rsidR="00A9255E" w:rsidRPr="00A9255E">
        <w:t>min</w:t>
      </w:r>
      <w:r w:rsidR="00E830BF">
        <w:t xml:space="preserve"> (Dilling </w:t>
      </w:r>
      <w:r w:rsidR="00531A9B">
        <w:t xml:space="preserve">et al. </w:t>
      </w:r>
      <w:r w:rsidR="00E830BF">
        <w:t>1975)</w:t>
      </w:r>
      <w:r w:rsidR="00A9255E" w:rsidRPr="00A9255E">
        <w:t>. Measured CPO includes free chlorine and combined chlorine (as chloramines).</w:t>
      </w:r>
    </w:p>
    <w:p w14:paraId="1FEE1557" w14:textId="3833F4D7" w:rsidR="00A9255E" w:rsidRPr="00A9255E" w:rsidRDefault="00A9255E" w:rsidP="000E52A2">
      <w:pPr>
        <w:rPr>
          <w:color w:val="000000" w:themeColor="text1"/>
        </w:rPr>
      </w:pPr>
      <w:r w:rsidRPr="00A9255E">
        <w:t xml:space="preserve">In assessing the ecological impacts of chlorine discharges, the rates at which chlorine and hypochlorite species initially </w:t>
      </w:r>
      <w:r w:rsidR="004467D9" w:rsidRPr="00A9255E">
        <w:t xml:space="preserve">react </w:t>
      </w:r>
      <w:r w:rsidRPr="00A9255E">
        <w:t>to form hypobromite species</w:t>
      </w:r>
      <w:r w:rsidR="004467D9">
        <w:t>,</w:t>
      </w:r>
      <w:r w:rsidRPr="00A9255E">
        <w:t xml:space="preserve"> and further </w:t>
      </w:r>
      <w:r w:rsidR="004467D9">
        <w:t xml:space="preserve">react </w:t>
      </w:r>
      <w:r w:rsidRPr="00A9255E">
        <w:t xml:space="preserve">with other receiving water constituents such as ammonia or natural dissolved organic matter (DOM), </w:t>
      </w:r>
      <w:r w:rsidR="004467D9">
        <w:t>are</w:t>
      </w:r>
      <w:r w:rsidRPr="00A9255E">
        <w:t xml:space="preserve"> critical. </w:t>
      </w:r>
      <w:r w:rsidR="004467D9">
        <w:t>F</w:t>
      </w:r>
      <w:r w:rsidRPr="00A9255E">
        <w:t>ew studies have examined this in detail. Zeng et al. (2009) showed that at 15</w:t>
      </w:r>
      <w:r w:rsidR="00DA1009">
        <w:rPr>
          <w:rFonts w:cs="Calibri"/>
        </w:rPr>
        <w:t>°</w:t>
      </w:r>
      <w:r w:rsidRPr="00A9255E">
        <w:t>C, an initial chlorine concentration of 2.35</w:t>
      </w:r>
      <w:r w:rsidR="0003671F">
        <w:t> </w:t>
      </w:r>
      <w:r w:rsidRPr="00A9255E">
        <w:t xml:space="preserve">mg/L reduced to </w:t>
      </w:r>
      <w:r w:rsidR="00B5310F">
        <w:t>approximately</w:t>
      </w:r>
      <w:r w:rsidR="00B5310F" w:rsidRPr="00A9255E">
        <w:t xml:space="preserve"> </w:t>
      </w:r>
      <w:r w:rsidRPr="00A9255E">
        <w:t>0.8</w:t>
      </w:r>
      <w:r w:rsidR="0003671F">
        <w:t> </w:t>
      </w:r>
      <w:r w:rsidRPr="00A9255E">
        <w:t>mg/L in less than 1</w:t>
      </w:r>
      <w:r w:rsidR="0003671F">
        <w:t> </w:t>
      </w:r>
      <w:r w:rsidRPr="00A9255E">
        <w:t xml:space="preserve">min. This reduction </w:t>
      </w:r>
      <w:r w:rsidRPr="00A9255E">
        <w:lastRenderedPageBreak/>
        <w:t>resulted from the oxidation of bromide to hypobromous acid</w:t>
      </w:r>
      <w:r w:rsidR="003C7F85">
        <w:t>,</w:t>
      </w:r>
      <w:r w:rsidRPr="00A9255E">
        <w:t xml:space="preserve"> which </w:t>
      </w:r>
      <w:r w:rsidR="003C7F85">
        <w:t>was</w:t>
      </w:r>
      <w:r w:rsidRPr="00A9255E">
        <w:t xml:space="preserve"> too fast to measure. This was followed by a slower first-order decomposition over 15</w:t>
      </w:r>
      <w:r w:rsidR="0003671F">
        <w:t> </w:t>
      </w:r>
      <w:r w:rsidRPr="00A9255E">
        <w:t>min to 0.5</w:t>
      </w:r>
      <w:r w:rsidR="0003671F">
        <w:t> </w:t>
      </w:r>
      <w:r w:rsidRPr="00A9255E">
        <w:t>mg/L and almost to completion in 30</w:t>
      </w:r>
      <w:r w:rsidR="0003671F">
        <w:t>–</w:t>
      </w:r>
      <w:r w:rsidRPr="00A9255E">
        <w:t>40</w:t>
      </w:r>
      <w:r w:rsidR="0003671F">
        <w:t> </w:t>
      </w:r>
      <w:r w:rsidRPr="00A9255E">
        <w:t xml:space="preserve">min. The higher the water temperature, the faster the reactions and the reduction in chlorine concentration. They noted that in summer the CPO had fully decayed before discharge, whereas in winter the CPO decomposition was slower and </w:t>
      </w:r>
      <w:r w:rsidR="00A15F6E">
        <w:t>could</w:t>
      </w:r>
      <w:r w:rsidR="00A15F6E" w:rsidRPr="00A9255E">
        <w:t xml:space="preserve"> </w:t>
      </w:r>
      <w:r w:rsidRPr="00A9255E">
        <w:t>be incomplete</w:t>
      </w:r>
      <w:r w:rsidR="00DA3263">
        <w:t xml:space="preserve"> at discharge</w:t>
      </w:r>
      <w:r w:rsidRPr="00A9255E">
        <w:t xml:space="preserve">. </w:t>
      </w:r>
    </w:p>
    <w:p w14:paraId="0BB574DD" w14:textId="3F8E0052" w:rsidR="00A9255E" w:rsidRPr="00A9255E" w:rsidRDefault="00A9255E" w:rsidP="000E52A2">
      <w:r w:rsidRPr="00A9255E">
        <w:rPr>
          <w:color w:val="000000" w:themeColor="text1"/>
        </w:rPr>
        <w:t>Using CPO decomposition data and models from the literature (Wang et al. 2008; Saeed et al. 2015), a CPO concentration of 100</w:t>
      </w:r>
      <w:r w:rsidR="0003671F">
        <w:rPr>
          <w:color w:val="000000" w:themeColor="text1"/>
        </w:rPr>
        <w:t> </w:t>
      </w:r>
      <w:r w:rsidRPr="00A9255E">
        <w:rPr>
          <w:color w:val="000000" w:themeColor="text1"/>
        </w:rPr>
        <w:t>µ</w:t>
      </w:r>
      <w:r w:rsidR="00425665">
        <w:rPr>
          <w:color w:val="000000" w:themeColor="text1"/>
        </w:rPr>
        <w:t>g</w:t>
      </w:r>
      <w:r w:rsidRPr="00A9255E">
        <w:rPr>
          <w:color w:val="000000" w:themeColor="text1"/>
        </w:rPr>
        <w:t>/L is predicted to decay to 50</w:t>
      </w:r>
      <w:r w:rsidR="0003671F">
        <w:rPr>
          <w:color w:val="000000" w:themeColor="text1"/>
        </w:rPr>
        <w:t> </w:t>
      </w:r>
      <w:r w:rsidRPr="00A9255E">
        <w:rPr>
          <w:color w:val="000000" w:themeColor="text1"/>
        </w:rPr>
        <w:t>µg/L within 2</w:t>
      </w:r>
      <w:r w:rsidR="0003671F">
        <w:rPr>
          <w:color w:val="000000" w:themeColor="text1"/>
        </w:rPr>
        <w:t> </w:t>
      </w:r>
      <w:r w:rsidRPr="00A9255E">
        <w:rPr>
          <w:color w:val="000000" w:themeColor="text1"/>
        </w:rPr>
        <w:t>h (~50%), and 25</w:t>
      </w:r>
      <w:r w:rsidR="0003671F">
        <w:rPr>
          <w:color w:val="000000" w:themeColor="text1"/>
        </w:rPr>
        <w:t> </w:t>
      </w:r>
      <w:r w:rsidRPr="00A9255E">
        <w:rPr>
          <w:color w:val="000000" w:themeColor="text1"/>
        </w:rPr>
        <w:t>µg/L within 24</w:t>
      </w:r>
      <w:r w:rsidR="0003671F">
        <w:rPr>
          <w:color w:val="000000" w:themeColor="text1"/>
        </w:rPr>
        <w:t> </w:t>
      </w:r>
      <w:r w:rsidRPr="00A9255E">
        <w:rPr>
          <w:color w:val="000000" w:themeColor="text1"/>
        </w:rPr>
        <w:t>h (~75%) in a 5</w:t>
      </w:r>
      <w:r w:rsidR="0003671F">
        <w:rPr>
          <w:color w:val="000000" w:themeColor="text1"/>
        </w:rPr>
        <w:t>–</w:t>
      </w:r>
      <w:r w:rsidRPr="00A9255E">
        <w:rPr>
          <w:color w:val="000000" w:themeColor="text1"/>
        </w:rPr>
        <w:t>15</w:t>
      </w:r>
      <w:r w:rsidR="00DA1009">
        <w:rPr>
          <w:rFonts w:cs="Calibri"/>
        </w:rPr>
        <w:t>°</w:t>
      </w:r>
      <w:r w:rsidRPr="00A9255E">
        <w:rPr>
          <w:color w:val="000000" w:themeColor="text1"/>
        </w:rPr>
        <w:t xml:space="preserve">C receiving seawater environment. </w:t>
      </w:r>
      <w:r w:rsidRPr="00A9255E">
        <w:t>The CPO decomposition is slower at salinit</w:t>
      </w:r>
      <w:r w:rsidR="00CA1024">
        <w:t>y</w:t>
      </w:r>
      <w:r w:rsidRPr="00A9255E">
        <w:t xml:space="preserve"> </w:t>
      </w:r>
      <w:r w:rsidR="00A15F6E">
        <w:t>&lt;</w:t>
      </w:r>
      <w:r w:rsidRPr="00A9255E">
        <w:t xml:space="preserve">35‰. The rate of reaction with DOM is slower than the reaction with bromide and increases with increasing DOM concentrations (Wang et al. 2008). Similar findings were obtained by Saeed et al. (2015). </w:t>
      </w:r>
    </w:p>
    <w:p w14:paraId="5F89A747" w14:textId="60735881" w:rsidR="00B87CBA" w:rsidRPr="00B87CBA" w:rsidRDefault="00A9255E" w:rsidP="000E52A2">
      <w:pPr>
        <w:rPr>
          <w:lang w:eastAsia="ja-JP"/>
        </w:rPr>
      </w:pPr>
      <w:r w:rsidRPr="00A9255E">
        <w:t xml:space="preserve">The above findings are relevant to how the toxicity testing data might be interpreted and applied to derive </w:t>
      </w:r>
      <w:r w:rsidR="004471EB">
        <w:t>D</w:t>
      </w:r>
      <w:r w:rsidRPr="00A9255E">
        <w:t xml:space="preserve">GVs to protect </w:t>
      </w:r>
      <w:r w:rsidR="006274DB">
        <w:t xml:space="preserve">the </w:t>
      </w:r>
      <w:r w:rsidRPr="00A9255E">
        <w:t xml:space="preserve">aquatic receiving environment. In </w:t>
      </w:r>
      <w:r w:rsidR="005156CD">
        <w:t xml:space="preserve">flow-through </w:t>
      </w:r>
      <w:r w:rsidRPr="00A9255E">
        <w:t xml:space="preserve">tests </w:t>
      </w:r>
      <w:r w:rsidR="005156CD">
        <w:t>with</w:t>
      </w:r>
      <w:r w:rsidR="005156CD" w:rsidRPr="00A9255E">
        <w:t xml:space="preserve"> </w:t>
      </w:r>
      <w:r w:rsidRPr="00A9255E">
        <w:t xml:space="preserve">continuous hypochlorite addition, reaction with bromide would be presumed to have occurred (available bromide reacts rapidly), whereas in static tests, depending on the duration, further oxidative reactions might have progressed (slower reactions with DOM). Applying toxicity data derived in this way </w:t>
      </w:r>
      <w:r w:rsidR="00123BBC">
        <w:t xml:space="preserve">must </w:t>
      </w:r>
      <w:r w:rsidRPr="00A9255E">
        <w:t xml:space="preserve">account </w:t>
      </w:r>
      <w:r w:rsidR="00123BBC">
        <w:t xml:space="preserve">for </w:t>
      </w:r>
      <w:r w:rsidRPr="00A9255E">
        <w:t xml:space="preserve">the time of exposure required to elicit either acute or chronic toxicity to determine the nature of </w:t>
      </w:r>
      <w:r w:rsidR="00D15F56">
        <w:t>an</w:t>
      </w:r>
      <w:r w:rsidR="00D15F56" w:rsidRPr="00A9255E">
        <w:t xml:space="preserve"> </w:t>
      </w:r>
      <w:r w:rsidRPr="00A9255E">
        <w:t xml:space="preserve">impact. </w:t>
      </w:r>
    </w:p>
    <w:p w14:paraId="496E4DB8" w14:textId="51F6D880" w:rsidR="00BF0280" w:rsidRDefault="00A47617" w:rsidP="00A47617">
      <w:pPr>
        <w:pStyle w:val="Heading2"/>
      </w:pPr>
      <w:bookmarkStart w:id="15" w:name="_Toc178451650"/>
      <w:bookmarkStart w:id="16" w:name="_Toc189409339"/>
      <w:r>
        <w:t>Default guideline value derivation</w:t>
      </w:r>
      <w:bookmarkEnd w:id="15"/>
      <w:bookmarkEnd w:id="16"/>
    </w:p>
    <w:p w14:paraId="59A27BA5" w14:textId="16D09B8D" w:rsidR="00BF0280" w:rsidRPr="00E245F2" w:rsidRDefault="001303C0" w:rsidP="00E245F2">
      <w:pPr>
        <w:pStyle w:val="Heading3"/>
      </w:pPr>
      <w:bookmarkStart w:id="17" w:name="_Toc178451651"/>
      <w:bookmarkStart w:id="18" w:name="_Ref178602561"/>
      <w:bookmarkStart w:id="19" w:name="_Ref178602612"/>
      <w:bookmarkStart w:id="20" w:name="_Ref178602623"/>
      <w:bookmarkStart w:id="21" w:name="_Toc189409340"/>
      <w:r w:rsidRPr="00E245F2">
        <w:t>Toxicity data used in derivation</w:t>
      </w:r>
      <w:bookmarkEnd w:id="17"/>
      <w:bookmarkEnd w:id="18"/>
      <w:bookmarkEnd w:id="19"/>
      <w:bookmarkEnd w:id="20"/>
      <w:bookmarkEnd w:id="21"/>
    </w:p>
    <w:p w14:paraId="28198B29" w14:textId="15DC6BAC" w:rsidR="006B0D0E" w:rsidRDefault="00ED0286" w:rsidP="000E52A2">
      <w:r w:rsidRPr="00B13877">
        <w:t xml:space="preserve">Because of the high reactivity of chlorine, and the </w:t>
      </w:r>
      <w:r w:rsidR="00902393">
        <w:t xml:space="preserve">short </w:t>
      </w:r>
      <w:r w:rsidR="0063639A">
        <w:t>residence</w:t>
      </w:r>
      <w:r w:rsidR="000F76E5">
        <w:t xml:space="preserve"> </w:t>
      </w:r>
      <w:r w:rsidRPr="00B13877">
        <w:t xml:space="preserve">time of the reaction products </w:t>
      </w:r>
      <w:r w:rsidR="00787D91">
        <w:t xml:space="preserve">(i.e. </w:t>
      </w:r>
      <w:r w:rsidRPr="00B13877">
        <w:t xml:space="preserve">several hours </w:t>
      </w:r>
      <w:r w:rsidR="00787D91">
        <w:t>maximum)</w:t>
      </w:r>
      <w:r w:rsidR="00442275">
        <w:t xml:space="preserve"> (Wallis </w:t>
      </w:r>
      <w:r w:rsidR="00D1591E">
        <w:t>and</w:t>
      </w:r>
      <w:r w:rsidR="00442275">
        <w:t xml:space="preserve"> Chidgey 2022)</w:t>
      </w:r>
      <w:r w:rsidRPr="00B13877">
        <w:t xml:space="preserve">, it was </w:t>
      </w:r>
      <w:r w:rsidR="00787D91">
        <w:t>more</w:t>
      </w:r>
      <w:r>
        <w:t xml:space="preserve"> </w:t>
      </w:r>
      <w:r w:rsidRPr="00B13877">
        <w:t xml:space="preserve">appropriate to </w:t>
      </w:r>
      <w:r>
        <w:t>derive</w:t>
      </w:r>
      <w:r w:rsidRPr="00B13877">
        <w:t xml:space="preserve"> </w:t>
      </w:r>
      <w:r>
        <w:t>D</w:t>
      </w:r>
      <w:r w:rsidRPr="00B13877">
        <w:t xml:space="preserve">GVs that are protective against short-term </w:t>
      </w:r>
      <w:r w:rsidR="00E57FD4">
        <w:t xml:space="preserve">(acute) </w:t>
      </w:r>
      <w:r w:rsidRPr="00B13877">
        <w:t>effects</w:t>
      </w:r>
      <w:r w:rsidR="00E57FD4">
        <w:t xml:space="preserve"> rather than long-term (chronic) effects</w:t>
      </w:r>
      <w:r w:rsidRPr="00B13877">
        <w:t xml:space="preserve">. </w:t>
      </w:r>
      <w:r>
        <w:t>D</w:t>
      </w:r>
      <w:r w:rsidRPr="00DD47F4">
        <w:rPr>
          <w:rFonts w:eastAsia="Times New Roman"/>
        </w:rPr>
        <w:t xml:space="preserve">ata from </w:t>
      </w:r>
      <w:r w:rsidR="006B0D0E">
        <w:rPr>
          <w:rFonts w:eastAsia="Times New Roman"/>
        </w:rPr>
        <w:t xml:space="preserve">acute </w:t>
      </w:r>
      <w:r w:rsidR="00E57FD4">
        <w:rPr>
          <w:rFonts w:eastAsia="Times New Roman"/>
        </w:rPr>
        <w:t xml:space="preserve">toxicity </w:t>
      </w:r>
      <w:r w:rsidRPr="00DD47F4">
        <w:rPr>
          <w:rFonts w:eastAsia="Times New Roman"/>
        </w:rPr>
        <w:t xml:space="preserve">tests are </w:t>
      </w:r>
      <w:r w:rsidR="00787D91">
        <w:rPr>
          <w:rFonts w:eastAsia="Times New Roman"/>
        </w:rPr>
        <w:t xml:space="preserve">relevant for deriving </w:t>
      </w:r>
      <w:r>
        <w:rPr>
          <w:rFonts w:eastAsia="Times New Roman"/>
        </w:rPr>
        <w:t>guideline values</w:t>
      </w:r>
      <w:r w:rsidRPr="00DD47F4">
        <w:rPr>
          <w:rFonts w:eastAsia="Times New Roman"/>
        </w:rPr>
        <w:t xml:space="preserve"> for contaminants </w:t>
      </w:r>
      <w:r>
        <w:rPr>
          <w:rFonts w:eastAsia="Times New Roman"/>
        </w:rPr>
        <w:t xml:space="preserve">that </w:t>
      </w:r>
      <w:r w:rsidRPr="00DD47F4">
        <w:rPr>
          <w:rFonts w:eastAsia="Times New Roman"/>
        </w:rPr>
        <w:t>are short-lived and non-persistent due to dispersion, volatili</w:t>
      </w:r>
      <w:r w:rsidR="00F5039E">
        <w:rPr>
          <w:rFonts w:eastAsia="Times New Roman"/>
        </w:rPr>
        <w:t>s</w:t>
      </w:r>
      <w:r w:rsidRPr="00DD47F4">
        <w:rPr>
          <w:rFonts w:eastAsia="Times New Roman"/>
        </w:rPr>
        <w:t>ation or degradation</w:t>
      </w:r>
      <w:r w:rsidR="00787D91">
        <w:rPr>
          <w:rFonts w:eastAsia="Times New Roman"/>
        </w:rPr>
        <w:t>—</w:t>
      </w:r>
      <w:r w:rsidRPr="00DD47F4">
        <w:rPr>
          <w:rFonts w:eastAsia="Times New Roman"/>
        </w:rPr>
        <w:t>as is the case with chlorine in marine water.</w:t>
      </w:r>
      <w:r w:rsidR="004958C4">
        <w:rPr>
          <w:rFonts w:eastAsia="Times New Roman"/>
        </w:rPr>
        <w:t xml:space="preserve"> </w:t>
      </w:r>
      <w:r w:rsidR="00266B1F">
        <w:t xml:space="preserve">Thus, the literature search focused on data from </w:t>
      </w:r>
      <w:r w:rsidR="00787D91">
        <w:t>acute</w:t>
      </w:r>
      <w:r w:rsidR="00787D91" w:rsidDel="00787D91">
        <w:t xml:space="preserve"> </w:t>
      </w:r>
      <w:r w:rsidR="000F3D21">
        <w:t>exposures</w:t>
      </w:r>
      <w:r w:rsidR="00266B1F">
        <w:t>.</w:t>
      </w:r>
    </w:p>
    <w:p w14:paraId="20F1551C" w14:textId="407784F0" w:rsidR="00CC5721" w:rsidRDefault="006B0D0E" w:rsidP="000E52A2">
      <w:r w:rsidRPr="00DD47F4">
        <w:t xml:space="preserve">Because </w:t>
      </w:r>
      <w:r w:rsidR="0062411A">
        <w:t xml:space="preserve">of </w:t>
      </w:r>
      <w:r w:rsidRPr="00DD47F4">
        <w:t xml:space="preserve">the </w:t>
      </w:r>
      <w:r w:rsidR="0062411A">
        <w:t xml:space="preserve">short </w:t>
      </w:r>
      <w:r w:rsidRPr="00DD47F4">
        <w:t xml:space="preserve">half-lives of chlorine and its reaction products in marine water, </w:t>
      </w:r>
      <w:r w:rsidR="0062411A">
        <w:t xml:space="preserve">flow-through </w:t>
      </w:r>
      <w:r w:rsidRPr="00DD47F4">
        <w:t xml:space="preserve">toxicity tests </w:t>
      </w:r>
      <w:r w:rsidR="0062411A">
        <w:t>are usually conducted</w:t>
      </w:r>
      <w:r w:rsidRPr="00DD47F4">
        <w:t xml:space="preserve">, resulting in </w:t>
      </w:r>
      <w:r w:rsidR="0062411A">
        <w:t xml:space="preserve">the </w:t>
      </w:r>
      <w:r w:rsidRPr="00DD47F4">
        <w:t xml:space="preserve">continuous renewal of test water and maintenance of a near-constant chlorine (hypochlorite) exposure to the test organisms. </w:t>
      </w:r>
      <w:r w:rsidR="0062411A" w:rsidRPr="00DD47F4">
        <w:t xml:space="preserve">CPO </w:t>
      </w:r>
      <w:r w:rsidR="0062411A">
        <w:t>c</w:t>
      </w:r>
      <w:r w:rsidRPr="00DD47F4">
        <w:t xml:space="preserve">oncentrations must be measured frequently to demonstrate that substantial reduction in concentration is not occurring. Static-renewal tests where hypochlorite-containing seawater was replaced regularly (usually daily) </w:t>
      </w:r>
      <w:r>
        <w:t>have been</w:t>
      </w:r>
      <w:r w:rsidRPr="00DD47F4">
        <w:t xml:space="preserve"> used in some </w:t>
      </w:r>
      <w:r>
        <w:t>studies</w:t>
      </w:r>
      <w:r w:rsidRPr="00DD47F4">
        <w:t xml:space="preserve">. In static laboratory tests, </w:t>
      </w:r>
      <w:r>
        <w:t>organisms are exposed</w:t>
      </w:r>
      <w:r w:rsidRPr="00DD47F4">
        <w:t xml:space="preserve"> to rapidly decaying hypochlorite concentrations</w:t>
      </w:r>
      <w:r w:rsidR="0062411A">
        <w:t>,</w:t>
      </w:r>
      <w:r w:rsidRPr="00DD47F4">
        <w:t xml:space="preserve"> and the LC50 values from such tests </w:t>
      </w:r>
      <w:r>
        <w:t>a</w:t>
      </w:r>
      <w:r w:rsidRPr="00DD47F4">
        <w:t>re generally higher (i.e. toxicity was lower) than those for flow-through tests.</w:t>
      </w:r>
      <w:r w:rsidR="004958C4">
        <w:t xml:space="preserve"> </w:t>
      </w:r>
      <w:r w:rsidR="00FC22C2">
        <w:t>Flow</w:t>
      </w:r>
      <w:r w:rsidR="00FC22C2" w:rsidRPr="00294E9C">
        <w:t xml:space="preserve">-through tests </w:t>
      </w:r>
      <w:r w:rsidR="00FC22C2">
        <w:t xml:space="preserve">best simulate continuous rather than intermittent discharges, and </w:t>
      </w:r>
      <w:r w:rsidR="00FC22C2" w:rsidRPr="00294E9C">
        <w:t xml:space="preserve">they provide a controlled environment </w:t>
      </w:r>
      <w:r w:rsidR="00FC22C2">
        <w:t>that results in less-</w:t>
      </w:r>
      <w:r w:rsidR="00FC22C2" w:rsidRPr="00294E9C">
        <w:t xml:space="preserve">variable decay rates </w:t>
      </w:r>
      <w:r w:rsidR="00FC22C2">
        <w:t xml:space="preserve">compared to </w:t>
      </w:r>
      <w:r w:rsidR="00FC22C2" w:rsidRPr="00294E9C">
        <w:t>static and static renewal tests</w:t>
      </w:r>
      <w:r w:rsidR="00FC22C2">
        <w:t xml:space="preserve">. </w:t>
      </w:r>
      <w:r>
        <w:t>This has implications for selecti</w:t>
      </w:r>
      <w:r w:rsidR="0062411A">
        <w:t>ng</w:t>
      </w:r>
      <w:r>
        <w:t xml:space="preserve"> data for </w:t>
      </w:r>
      <w:r w:rsidR="00174744">
        <w:t>DGV</w:t>
      </w:r>
      <w:r>
        <w:t xml:space="preserve"> derivation.</w:t>
      </w:r>
      <w:r w:rsidRPr="00DD47F4">
        <w:t xml:space="preserve"> </w:t>
      </w:r>
      <w:r w:rsidR="00AC3E3F">
        <w:t>T</w:t>
      </w:r>
      <w:r w:rsidR="00B13877" w:rsidRPr="00B13877">
        <w:t xml:space="preserve">oxicity tests that use flow-through systems </w:t>
      </w:r>
      <w:r w:rsidR="00AC3E3F">
        <w:t>to</w:t>
      </w:r>
      <w:r w:rsidR="00B13877" w:rsidRPr="00B13877">
        <w:t xml:space="preserve"> attempt to </w:t>
      </w:r>
      <w:r w:rsidR="002735C9">
        <w:t xml:space="preserve">maintain a constant chlorine concentration and/or </w:t>
      </w:r>
      <w:r w:rsidR="00B13877" w:rsidRPr="00B13877">
        <w:t xml:space="preserve">prolong the exposure period will result in </w:t>
      </w:r>
      <w:r w:rsidR="00487FAF">
        <w:t>higher exposure concentrations</w:t>
      </w:r>
      <w:r w:rsidR="00B13877" w:rsidRPr="00B13877">
        <w:t xml:space="preserve"> than tests undertaken </w:t>
      </w:r>
      <w:r w:rsidR="002735C9">
        <w:t>using static/static-renewal</w:t>
      </w:r>
      <w:r w:rsidR="00B13877" w:rsidRPr="00B13877">
        <w:t xml:space="preserve"> </w:t>
      </w:r>
      <w:r w:rsidR="00B13877" w:rsidRPr="00B13877">
        <w:lastRenderedPageBreak/>
        <w:t>conditions</w:t>
      </w:r>
      <w:r w:rsidR="006F4A20">
        <w:t>. Therefore</w:t>
      </w:r>
      <w:r w:rsidR="00B13877" w:rsidRPr="00B13877">
        <w:t xml:space="preserve">, the </w:t>
      </w:r>
      <w:r w:rsidR="00446750">
        <w:t>D</w:t>
      </w:r>
      <w:r w:rsidR="00B13877" w:rsidRPr="00B13877">
        <w:t xml:space="preserve">GVs derived using </w:t>
      </w:r>
      <w:r w:rsidR="00DF2F7C">
        <w:t>such</w:t>
      </w:r>
      <w:r w:rsidR="006F4A20">
        <w:t xml:space="preserve"> flow-through</w:t>
      </w:r>
      <w:r w:rsidR="00B13877" w:rsidRPr="00B13877">
        <w:t xml:space="preserve"> data will be conservative. For static-renewal tests, it is the frequency of renewal (if any) in the context of reaction rate that is important</w:t>
      </w:r>
      <w:r w:rsidR="00243066">
        <w:t>. H</w:t>
      </w:r>
      <w:r w:rsidR="00B13877" w:rsidRPr="00B13877">
        <w:t>ence</w:t>
      </w:r>
      <w:r w:rsidR="00592143">
        <w:t>,</w:t>
      </w:r>
      <w:r w:rsidR="00B13877" w:rsidRPr="00B13877">
        <w:t xml:space="preserve"> 1</w:t>
      </w:r>
      <w:r w:rsidR="00D1591E">
        <w:t>–</w:t>
      </w:r>
      <w:r w:rsidR="00B13877" w:rsidRPr="00B13877">
        <w:t>15</w:t>
      </w:r>
      <w:r w:rsidR="00D1591E">
        <w:t> </w:t>
      </w:r>
      <w:r w:rsidR="00B13877" w:rsidRPr="00B13877">
        <w:t xml:space="preserve">min static exposures </w:t>
      </w:r>
      <w:r w:rsidR="00CC1160">
        <w:t xml:space="preserve">for early life stages (e.g. eggs, sperm, embryos) </w:t>
      </w:r>
      <w:r w:rsidR="00DA3263">
        <w:t>may be appropriate</w:t>
      </w:r>
      <w:r w:rsidR="00592143">
        <w:t xml:space="preserve"> for</w:t>
      </w:r>
      <w:r w:rsidR="00D2655C">
        <w:t xml:space="preserve"> use in</w:t>
      </w:r>
      <w:r w:rsidR="00592143">
        <w:t xml:space="preserve"> DGV derivation, whereas</w:t>
      </w:r>
      <w:r w:rsidR="00DA3263">
        <w:t xml:space="preserve"> static tests </w:t>
      </w:r>
      <w:r w:rsidR="00B50410">
        <w:t xml:space="preserve">where renewal </w:t>
      </w:r>
      <w:r w:rsidR="00CA0FA2">
        <w:t xml:space="preserve">of CPO </w:t>
      </w:r>
      <w:r w:rsidR="00B50410">
        <w:t xml:space="preserve">is </w:t>
      </w:r>
      <w:r w:rsidR="00592143">
        <w:rPr>
          <w:rFonts w:cstheme="minorHAnsi"/>
        </w:rPr>
        <w:t>≥</w:t>
      </w:r>
      <w:r w:rsidR="00DA3263">
        <w:t>24</w:t>
      </w:r>
      <w:r w:rsidR="00D1591E">
        <w:t> </w:t>
      </w:r>
      <w:r w:rsidR="00DA3263">
        <w:t xml:space="preserve">h </w:t>
      </w:r>
      <w:r w:rsidR="002839DB">
        <w:t>should not be</w:t>
      </w:r>
      <w:r w:rsidR="00DA3263">
        <w:t xml:space="preserve"> </w:t>
      </w:r>
      <w:r w:rsidR="00592143">
        <w:t>used</w:t>
      </w:r>
      <w:r w:rsidR="00B849D9">
        <w:t xml:space="preserve">. </w:t>
      </w:r>
    </w:p>
    <w:p w14:paraId="08868D32" w14:textId="706EA125" w:rsidR="006B0D0E" w:rsidRPr="00DD47F4" w:rsidRDefault="006B0D0E" w:rsidP="000E52A2">
      <w:r w:rsidRPr="00DD47F4">
        <w:t>T</w:t>
      </w:r>
      <w:r>
        <w:t xml:space="preserve">he data in </w:t>
      </w:r>
      <w:r w:rsidR="000300D2">
        <w:fldChar w:fldCharType="begin"/>
      </w:r>
      <w:r w:rsidR="000300D2">
        <w:instrText xml:space="preserve"> REF _Ref178602665 \h </w:instrText>
      </w:r>
      <w:r w:rsidR="000300D2">
        <w:fldChar w:fldCharType="separate"/>
      </w:r>
      <w:r w:rsidR="003E6080" w:rsidRPr="000C7ECF">
        <w:t>Appendix</w:t>
      </w:r>
      <w:r w:rsidR="003E6080">
        <w:t> A</w:t>
      </w:r>
      <w:r w:rsidR="003E6080" w:rsidRPr="000C7ECF">
        <w:t xml:space="preserve">: </w:t>
      </w:r>
      <w:r w:rsidR="003E6080">
        <w:t>T</w:t>
      </w:r>
      <w:r w:rsidR="003E6080" w:rsidRPr="000C7ECF">
        <w:t xml:space="preserve">oxicity data that passed the screening and quality </w:t>
      </w:r>
      <w:r w:rsidR="003E6080">
        <w:t xml:space="preserve">assessment </w:t>
      </w:r>
      <w:r w:rsidR="003E6080" w:rsidRPr="00D2581F">
        <w:t>and were used to derive the default guideline values</w:t>
      </w:r>
      <w:r w:rsidR="000300D2">
        <w:fldChar w:fldCharType="end"/>
      </w:r>
      <w:r>
        <w:t xml:space="preserve"> are</w:t>
      </w:r>
      <w:r w:rsidRPr="00DD47F4">
        <w:t xml:space="preserve"> </w:t>
      </w:r>
      <w:r w:rsidR="009E65B1">
        <w:t>composed</w:t>
      </w:r>
      <w:r w:rsidRPr="00DD47F4">
        <w:t xml:space="preserve"> of the available </w:t>
      </w:r>
      <w:r w:rsidR="005C036B">
        <w:t>acute</w:t>
      </w:r>
      <w:r w:rsidR="004101A0">
        <w:t xml:space="preserve"> </w:t>
      </w:r>
      <w:r w:rsidRPr="00DD47F4">
        <w:t>toxicity data from Chariton and Stauber (2008), CCME (1999), USEPA (1985) and additional recent literature data</w:t>
      </w:r>
      <w:r>
        <w:t>,</w:t>
      </w:r>
      <w:r w:rsidRPr="00DD47F4">
        <w:t xml:space="preserve"> all of which </w:t>
      </w:r>
      <w:r>
        <w:t>were</w:t>
      </w:r>
      <w:r w:rsidRPr="00DD47F4">
        <w:t xml:space="preserve"> assessed </w:t>
      </w:r>
      <w:r>
        <w:t>for quality according to the process specified by Warne et al. (2018)</w:t>
      </w:r>
      <w:r w:rsidRPr="00DD47F4">
        <w:t xml:space="preserve">. </w:t>
      </w:r>
      <w:r w:rsidR="005C036B">
        <w:t xml:space="preserve">Warne et al. (2018) </w:t>
      </w:r>
      <w:r w:rsidRPr="00DD47F4">
        <w:t xml:space="preserve">recommends </w:t>
      </w:r>
      <w:r>
        <w:t xml:space="preserve">using toxicity data for studies with salinities </w:t>
      </w:r>
      <w:r w:rsidRPr="002D1406">
        <w:rPr>
          <w:rFonts w:cs="Calibri"/>
        </w:rPr>
        <w:t>≥</w:t>
      </w:r>
      <w:r>
        <w:rPr>
          <w:rFonts w:cs="Calibri"/>
        </w:rPr>
        <w:t xml:space="preserve">25‰ for marine </w:t>
      </w:r>
      <w:r>
        <w:t xml:space="preserve">guideline values </w:t>
      </w:r>
      <w:r>
        <w:rPr>
          <w:rFonts w:cs="Calibri"/>
        </w:rPr>
        <w:t>(</w:t>
      </w:r>
      <w:r w:rsidR="00191804">
        <w:rPr>
          <w:rFonts w:cs="Calibri"/>
        </w:rPr>
        <w:fldChar w:fldCharType="begin"/>
      </w:r>
      <w:r w:rsidR="00191804">
        <w:rPr>
          <w:rFonts w:cs="Calibri"/>
        </w:rPr>
        <w:instrText xml:space="preserve"> REF _Ref178601661 \h </w:instrText>
      </w:r>
      <w:r w:rsidR="00191804">
        <w:rPr>
          <w:rFonts w:cs="Calibri"/>
        </w:rPr>
      </w:r>
      <w:r w:rsidR="00191804">
        <w:rPr>
          <w:rFonts w:cs="Calibri"/>
        </w:rPr>
        <w:fldChar w:fldCharType="separate"/>
      </w:r>
      <w:r w:rsidR="003E6080">
        <w:t>Table A </w:t>
      </w:r>
      <w:r w:rsidR="003E6080">
        <w:rPr>
          <w:noProof/>
        </w:rPr>
        <w:t>1</w:t>
      </w:r>
      <w:r w:rsidR="00191804">
        <w:rPr>
          <w:rFonts w:cs="Calibri"/>
        </w:rPr>
        <w:fldChar w:fldCharType="end"/>
      </w:r>
      <w:r>
        <w:rPr>
          <w:rFonts w:cs="Calibri"/>
        </w:rPr>
        <w:t xml:space="preserve">) and </w:t>
      </w:r>
      <w:r w:rsidRPr="00DD47F4">
        <w:t xml:space="preserve">not using data </w:t>
      </w:r>
      <w:r>
        <w:t>from studies where</w:t>
      </w:r>
      <w:r w:rsidRPr="00DD47F4">
        <w:t xml:space="preserve"> the </w:t>
      </w:r>
      <w:r>
        <w:t xml:space="preserve">test </w:t>
      </w:r>
      <w:r w:rsidRPr="00DD47F4">
        <w:t xml:space="preserve">salinity </w:t>
      </w:r>
      <w:r w:rsidR="007F587E">
        <w:t>&lt;</w:t>
      </w:r>
      <w:r w:rsidRPr="00DD47F4">
        <w:t xml:space="preserve">25‰. </w:t>
      </w:r>
      <w:r>
        <w:t>However, for chlorine, t</w:t>
      </w:r>
      <w:r w:rsidRPr="00DD47F4">
        <w:t>here were a number of tests conducted at salinities just outside th</w:t>
      </w:r>
      <w:r>
        <w:t>e</w:t>
      </w:r>
      <w:r w:rsidRPr="00DD47F4">
        <w:t xml:space="preserve"> </w:t>
      </w:r>
      <w:r w:rsidRPr="002D1406">
        <w:rPr>
          <w:rFonts w:cs="Calibri"/>
        </w:rPr>
        <w:t>≥</w:t>
      </w:r>
      <w:r>
        <w:rPr>
          <w:rFonts w:cs="Calibri"/>
        </w:rPr>
        <w:t>25‰ criterion</w:t>
      </w:r>
      <w:r w:rsidRPr="00DD47F4">
        <w:t xml:space="preserve"> (</w:t>
      </w:r>
      <w:r>
        <w:t xml:space="preserve">i.e. </w:t>
      </w:r>
      <w:r w:rsidRPr="00DD47F4">
        <w:t>15</w:t>
      </w:r>
      <w:r w:rsidR="00653B43">
        <w:t>–</w:t>
      </w:r>
      <w:r w:rsidR="00472064">
        <w:t>&lt;</w:t>
      </w:r>
      <w:r w:rsidRPr="00DD47F4">
        <w:t xml:space="preserve">25‰) </w:t>
      </w:r>
      <w:r>
        <w:t>as</w:t>
      </w:r>
      <w:r w:rsidRPr="00DD47F4">
        <w:t xml:space="preserve"> shown in </w:t>
      </w:r>
      <w:r w:rsidR="00191804">
        <w:fldChar w:fldCharType="begin"/>
      </w:r>
      <w:r w:rsidR="00191804">
        <w:instrText xml:space="preserve"> REF _Ref178601673 \h </w:instrText>
      </w:r>
      <w:r w:rsidR="00191804">
        <w:fldChar w:fldCharType="separate"/>
      </w:r>
      <w:r w:rsidR="003E6080">
        <w:t>Table A </w:t>
      </w:r>
      <w:r w:rsidR="003E6080">
        <w:rPr>
          <w:noProof/>
        </w:rPr>
        <w:t>2</w:t>
      </w:r>
      <w:r w:rsidR="00191804">
        <w:fldChar w:fldCharType="end"/>
      </w:r>
      <w:r w:rsidRPr="00DD47F4">
        <w:t>.</w:t>
      </w:r>
      <w:r w:rsidR="00EF4C33">
        <w:t xml:space="preserve"> </w:t>
      </w:r>
      <w:r>
        <w:t>A</w:t>
      </w:r>
      <w:r w:rsidR="00111E49">
        <w:t>n</w:t>
      </w:r>
      <w:r>
        <w:t xml:space="preserve"> assessment was undertaken to determine whether data from appropriate tests conducted at </w:t>
      </w:r>
      <w:r w:rsidRPr="00DD47F4">
        <w:t>15</w:t>
      </w:r>
      <w:r w:rsidR="00653B43">
        <w:t>–</w:t>
      </w:r>
      <w:r w:rsidR="001C6236">
        <w:t>&lt;25</w:t>
      </w:r>
      <w:r w:rsidRPr="00DD47F4">
        <w:t>‰</w:t>
      </w:r>
      <w:r>
        <w:t xml:space="preserve"> salinity could be added to the dataset based on tests conducted at ≥25</w:t>
      </w:r>
      <w:r w:rsidRPr="00DD47F4">
        <w:t>‰</w:t>
      </w:r>
      <w:r w:rsidR="007F587E">
        <w:t xml:space="preserve">. The assessment </w:t>
      </w:r>
      <w:r w:rsidR="003D2F6B">
        <w:t>concluded</w:t>
      </w:r>
      <w:r>
        <w:t xml:space="preserve"> that the two datasets could be combined (</w:t>
      </w:r>
      <w:r w:rsidR="000300D2">
        <w:fldChar w:fldCharType="begin"/>
      </w:r>
      <w:r w:rsidR="000300D2">
        <w:instrText xml:space="preserve"> REF _Ref178602726 \h </w:instrText>
      </w:r>
      <w:r w:rsidR="000300D2">
        <w:fldChar w:fldCharType="separate"/>
      </w:r>
      <w:r w:rsidR="003E6080" w:rsidRPr="00A23629">
        <w:t>Appendix</w:t>
      </w:r>
      <w:r w:rsidR="003E6080">
        <w:t> </w:t>
      </w:r>
      <w:r w:rsidR="003E6080" w:rsidRPr="00A23629">
        <w:t>B: Assessment of dataset</w:t>
      </w:r>
      <w:r w:rsidR="003E6080">
        <w:t>s</w:t>
      </w:r>
      <w:r w:rsidR="003E6080" w:rsidRPr="00A23629">
        <w:t xml:space="preserve"> for DGV derivation</w:t>
      </w:r>
      <w:r w:rsidR="000300D2">
        <w:fldChar w:fldCharType="end"/>
      </w:r>
      <w:r>
        <w:t xml:space="preserve">). </w:t>
      </w:r>
    </w:p>
    <w:p w14:paraId="2127B786" w14:textId="25CC4143" w:rsidR="00B13877" w:rsidRPr="00B13877" w:rsidRDefault="00266B1F" w:rsidP="000E52A2">
      <w:r w:rsidRPr="00DD47F4">
        <w:rPr>
          <w:rFonts w:eastAsia="Times New Roman"/>
        </w:rPr>
        <w:t xml:space="preserve">Nearly all reported </w:t>
      </w:r>
      <w:r>
        <w:rPr>
          <w:rFonts w:eastAsia="Times New Roman"/>
        </w:rPr>
        <w:t>marine toxicity tests for chlorine</w:t>
      </w:r>
      <w:r w:rsidRPr="00DD47F4">
        <w:rPr>
          <w:rFonts w:eastAsia="Times New Roman"/>
        </w:rPr>
        <w:t xml:space="preserve"> were classified as acute, </w:t>
      </w:r>
      <w:r w:rsidRPr="00DD47F4">
        <w:t xml:space="preserve">as defined by Warne et al. (2018). The only chronic data reported </w:t>
      </w:r>
      <w:r w:rsidR="007D2872">
        <w:t xml:space="preserve">(as defined by Warne et al. 2018) </w:t>
      </w:r>
      <w:r w:rsidRPr="00DD47F4">
        <w:t xml:space="preserve">were for </w:t>
      </w:r>
      <w:r w:rsidRPr="00DD47F4">
        <w:rPr>
          <w:rFonts w:eastAsia="Times New Roman"/>
        </w:rPr>
        <w:t xml:space="preserve">72-h algal </w:t>
      </w:r>
      <w:r w:rsidR="007D2872">
        <w:rPr>
          <w:rFonts w:eastAsia="Times New Roman"/>
        </w:rPr>
        <w:t>tests</w:t>
      </w:r>
      <w:r w:rsidR="007D2872" w:rsidRPr="00DD47F4">
        <w:rPr>
          <w:rFonts w:eastAsia="Times New Roman"/>
        </w:rPr>
        <w:t xml:space="preserve"> </w:t>
      </w:r>
      <w:r w:rsidRPr="00DD47F4">
        <w:rPr>
          <w:rFonts w:eastAsia="Times New Roman"/>
        </w:rPr>
        <w:t xml:space="preserve">(Lopez-Galindo et al. 2010), </w:t>
      </w:r>
      <w:r w:rsidR="007D2872">
        <w:rPr>
          <w:rFonts w:eastAsia="Times New Roman"/>
        </w:rPr>
        <w:t xml:space="preserve">a 1-h sea urchin fertilisation test (Wallis </w:t>
      </w:r>
      <w:r w:rsidR="00653B43">
        <w:rPr>
          <w:rFonts w:eastAsia="Times New Roman"/>
        </w:rPr>
        <w:t>and</w:t>
      </w:r>
      <w:r w:rsidR="007D2872">
        <w:rPr>
          <w:rFonts w:eastAsia="Times New Roman"/>
        </w:rPr>
        <w:t xml:space="preserve"> Chidgey 2022) </w:t>
      </w:r>
      <w:r w:rsidRPr="00DD47F4">
        <w:rPr>
          <w:rFonts w:eastAsia="Times New Roman"/>
        </w:rPr>
        <w:t xml:space="preserve">and </w:t>
      </w:r>
      <w:r w:rsidR="007D2872">
        <w:rPr>
          <w:rFonts w:eastAsia="Times New Roman"/>
        </w:rPr>
        <w:t>an</w:t>
      </w:r>
      <w:r w:rsidRPr="00DD47F4">
        <w:rPr>
          <w:rFonts w:eastAsia="Times New Roman"/>
        </w:rPr>
        <w:t xml:space="preserve"> 8-d fish test (Alderson </w:t>
      </w:r>
      <w:r w:rsidR="00464962" w:rsidRPr="00DD47F4">
        <w:rPr>
          <w:rFonts w:eastAsia="Times New Roman"/>
        </w:rPr>
        <w:t>197</w:t>
      </w:r>
      <w:r w:rsidR="00464962">
        <w:rPr>
          <w:rFonts w:eastAsia="Times New Roman"/>
        </w:rPr>
        <w:t>4</w:t>
      </w:r>
      <w:r w:rsidRPr="00DD47F4">
        <w:rPr>
          <w:rFonts w:eastAsia="Times New Roman"/>
        </w:rPr>
        <w:t xml:space="preserve">). </w:t>
      </w:r>
      <w:r w:rsidRPr="00DD47F4">
        <w:t>For acute effects, usually only LC50</w:t>
      </w:r>
      <w:r>
        <w:t xml:space="preserve"> or EC50</w:t>
      </w:r>
      <w:r w:rsidRPr="00DD47F4">
        <w:t xml:space="preserve"> data are recorded</w:t>
      </w:r>
      <w:r w:rsidR="00AD48B2">
        <w:t>; however,</w:t>
      </w:r>
      <w:r w:rsidR="00AD48B2" w:rsidRPr="00DD47F4" w:rsidDel="00AD48B2">
        <w:t xml:space="preserve"> </w:t>
      </w:r>
      <w:r w:rsidRPr="00DD47F4">
        <w:t xml:space="preserve">given that </w:t>
      </w:r>
      <w:r>
        <w:t>such estimates</w:t>
      </w:r>
      <w:r w:rsidRPr="00DD47F4">
        <w:t xml:space="preserve"> represent a 50% effect on species survival</w:t>
      </w:r>
      <w:r>
        <w:t xml:space="preserve"> or some sub-lethal effect, </w:t>
      </w:r>
      <w:r w:rsidRPr="00DD47F4">
        <w:t xml:space="preserve">it </w:t>
      </w:r>
      <w:r w:rsidR="00AD48B2">
        <w:t>is</w:t>
      </w:r>
      <w:r w:rsidRPr="00DD47F4">
        <w:t xml:space="preserve"> more reasonable to use acute </w:t>
      </w:r>
      <w:r w:rsidR="005B5C6A">
        <w:t xml:space="preserve">negligible </w:t>
      </w:r>
      <w:r w:rsidR="00A609B6">
        <w:t>effect concentrations such as LC</w:t>
      </w:r>
      <w:r w:rsidR="00AD48B2">
        <w:t>5</w:t>
      </w:r>
      <w:r w:rsidR="00A609B6">
        <w:t>/EC5 or LC</w:t>
      </w:r>
      <w:r w:rsidR="00AD48B2">
        <w:t>10</w:t>
      </w:r>
      <w:r w:rsidR="00A609B6">
        <w:t>/EC10</w:t>
      </w:r>
      <w:r w:rsidRPr="00DD47F4">
        <w:t xml:space="preserve"> values </w:t>
      </w:r>
      <w:r w:rsidR="00AD48B2">
        <w:t>to derive</w:t>
      </w:r>
      <w:r w:rsidRPr="00DD47F4">
        <w:t xml:space="preserve"> a </w:t>
      </w:r>
      <w:r>
        <w:t>D</w:t>
      </w:r>
      <w:r w:rsidRPr="00DD47F4">
        <w:t>GV</w:t>
      </w:r>
      <w:r>
        <w:t xml:space="preserve"> that is intended to </w:t>
      </w:r>
      <w:r w:rsidR="00AD48B2">
        <w:t>protect</w:t>
      </w:r>
      <w:r>
        <w:t xml:space="preserve"> aquatic ecosystems</w:t>
      </w:r>
      <w:r w:rsidRPr="00DD47F4">
        <w:t xml:space="preserve">, as </w:t>
      </w:r>
      <w:r>
        <w:t>these estimates</w:t>
      </w:r>
      <w:r w:rsidRPr="00DD47F4">
        <w:t xml:space="preserve"> represent a point of incipient toxicity</w:t>
      </w:r>
      <w:r>
        <w:t>,</w:t>
      </w:r>
      <w:r w:rsidRPr="00DD47F4">
        <w:t xml:space="preserve"> not 50% </w:t>
      </w:r>
      <w:r w:rsidR="00A609B6">
        <w:t>leth</w:t>
      </w:r>
      <w:r w:rsidRPr="00DD47F4">
        <w:t>ality</w:t>
      </w:r>
      <w:r>
        <w:t>/effect (Warne et al. 2018)</w:t>
      </w:r>
      <w:r w:rsidRPr="00DD47F4">
        <w:t xml:space="preserve">. </w:t>
      </w:r>
      <w:r w:rsidR="00A609B6">
        <w:rPr>
          <w:color w:val="000000" w:themeColor="text1"/>
        </w:rPr>
        <w:t>An exception to this may be where</w:t>
      </w:r>
      <w:r w:rsidR="00A609B6" w:rsidRPr="00B13877">
        <w:rPr>
          <w:color w:val="000000" w:themeColor="text1"/>
        </w:rPr>
        <w:t xml:space="preserve"> regulations have stipulated </w:t>
      </w:r>
      <w:r w:rsidR="005F4F90">
        <w:rPr>
          <w:color w:val="000000" w:themeColor="text1"/>
        </w:rPr>
        <w:t xml:space="preserve">that </w:t>
      </w:r>
      <w:r w:rsidR="00A609B6" w:rsidRPr="00B13877">
        <w:rPr>
          <w:color w:val="000000" w:themeColor="text1"/>
        </w:rPr>
        <w:t xml:space="preserve">an acute LC50/EC50-based </w:t>
      </w:r>
      <w:r w:rsidR="00AD48B2">
        <w:rPr>
          <w:color w:val="000000" w:themeColor="text1"/>
        </w:rPr>
        <w:t>guideline value</w:t>
      </w:r>
      <w:r w:rsidR="00A609B6" w:rsidRPr="00B13877">
        <w:rPr>
          <w:color w:val="000000" w:themeColor="text1"/>
        </w:rPr>
        <w:t xml:space="preserve"> not be exceeded in </w:t>
      </w:r>
      <w:r w:rsidR="00A609B6">
        <w:rPr>
          <w:color w:val="000000" w:themeColor="text1"/>
        </w:rPr>
        <w:t xml:space="preserve">a </w:t>
      </w:r>
      <w:r w:rsidR="00A609B6" w:rsidRPr="00B13877">
        <w:rPr>
          <w:color w:val="000000" w:themeColor="text1"/>
        </w:rPr>
        <w:t xml:space="preserve">mixing zone. </w:t>
      </w:r>
      <w:r w:rsidR="00A609B6">
        <w:t>A</w:t>
      </w:r>
      <w:r>
        <w:t xml:space="preserve">cute </w:t>
      </w:r>
      <w:r w:rsidR="005B5C6A">
        <w:t>negligible</w:t>
      </w:r>
      <w:r w:rsidR="00A609B6">
        <w:t xml:space="preserve"> effect</w:t>
      </w:r>
      <w:r>
        <w:t xml:space="preserve"> values were not available for most species</w:t>
      </w:r>
      <w:r w:rsidR="005600C0">
        <w:t>,</w:t>
      </w:r>
      <w:r w:rsidR="00A95E19">
        <w:t xml:space="preserve"> and</w:t>
      </w:r>
      <w:r w:rsidR="00A609B6">
        <w:rPr>
          <w:color w:val="000000" w:themeColor="text1"/>
        </w:rPr>
        <w:t xml:space="preserve"> it was not possible to estimate </w:t>
      </w:r>
      <w:r w:rsidR="005600C0">
        <w:rPr>
          <w:color w:val="000000" w:themeColor="text1"/>
        </w:rPr>
        <w:t xml:space="preserve">these </w:t>
      </w:r>
      <w:r w:rsidR="00A609B6">
        <w:rPr>
          <w:color w:val="000000" w:themeColor="text1"/>
        </w:rPr>
        <w:t>values based on concentration</w:t>
      </w:r>
      <w:r w:rsidR="005600C0">
        <w:rPr>
          <w:color w:val="000000" w:themeColor="text1"/>
        </w:rPr>
        <w:t>–</w:t>
      </w:r>
      <w:r w:rsidR="00A609B6">
        <w:rPr>
          <w:color w:val="000000" w:themeColor="text1"/>
        </w:rPr>
        <w:t xml:space="preserve">response data or curves for chlorine toxicity because </w:t>
      </w:r>
      <w:r w:rsidR="005600C0">
        <w:rPr>
          <w:color w:val="000000" w:themeColor="text1"/>
        </w:rPr>
        <w:t>these</w:t>
      </w:r>
      <w:r w:rsidR="00A609B6">
        <w:rPr>
          <w:color w:val="000000" w:themeColor="text1"/>
        </w:rPr>
        <w:t xml:space="preserve"> data or curves were not published for most of the studies. </w:t>
      </w:r>
      <w:r>
        <w:t xml:space="preserve">However, </w:t>
      </w:r>
      <w:r w:rsidR="00B13877" w:rsidRPr="00B13877">
        <w:t xml:space="preserve">Morgan and Prince (1977) reported both LC5 and LC50 values for flow-through tests on eggs and larvae of </w:t>
      </w:r>
      <w:r w:rsidR="005600C0">
        <w:t>five</w:t>
      </w:r>
      <w:r w:rsidR="00B13877" w:rsidRPr="00B13877">
        <w:t xml:space="preserve"> estuarine fish species. Ratios of LC5/LC50 were 0.55, 0.50, 0.66, 0.53 and 0.76 (mean</w:t>
      </w:r>
      <w:r w:rsidR="00653B43">
        <w:t> </w:t>
      </w:r>
      <w:r w:rsidR="00B13877" w:rsidRPr="00B13877">
        <w:t>=</w:t>
      </w:r>
      <w:r w:rsidR="00653B43">
        <w:t> </w:t>
      </w:r>
      <w:r w:rsidR="00B13877" w:rsidRPr="00B13877">
        <w:t xml:space="preserve">0.6). In static tests on the rotifer </w:t>
      </w:r>
      <w:r w:rsidR="00B13877" w:rsidRPr="00B13877">
        <w:rPr>
          <w:rFonts w:eastAsia="Times New Roman"/>
          <w:i/>
          <w:iCs/>
        </w:rPr>
        <w:t xml:space="preserve">Brachionus plicatilis, </w:t>
      </w:r>
      <w:r w:rsidR="00B13877" w:rsidRPr="00B13877">
        <w:rPr>
          <w:rFonts w:eastAsia="Times New Roman"/>
          <w:iCs/>
        </w:rPr>
        <w:t>Lopez-Galindo et al. (2010)</w:t>
      </w:r>
      <w:r w:rsidR="00B13877" w:rsidRPr="00B13877">
        <w:t xml:space="preserve"> found an LC10/LC50 ratio of 0.75. Given the uncertainties in measurement of LC5 and LC10 values, and in the effects of salinity and temperature, and in flow-through versus static tests</w:t>
      </w:r>
      <w:r w:rsidR="00A609B6">
        <w:t>,</w:t>
      </w:r>
      <w:r w:rsidR="00B13877" w:rsidRPr="00B13877">
        <w:t xml:space="preserve"> </w:t>
      </w:r>
      <w:r w:rsidR="00A609B6" w:rsidRPr="00B13877">
        <w:t>th</w:t>
      </w:r>
      <w:r w:rsidR="00A609B6">
        <w:t>e</w:t>
      </w:r>
      <w:r w:rsidR="00A609B6" w:rsidRPr="00B13877">
        <w:t xml:space="preserve"> </w:t>
      </w:r>
      <w:r w:rsidR="00B13877" w:rsidRPr="00B13877">
        <w:t>difference</w:t>
      </w:r>
      <w:r w:rsidR="00A609B6">
        <w:t>s between these</w:t>
      </w:r>
      <w:r w:rsidR="00A95E19">
        <w:t xml:space="preserve"> acute </w:t>
      </w:r>
      <w:r w:rsidR="00F26291">
        <w:t>‘</w:t>
      </w:r>
      <w:r w:rsidR="00A95E19">
        <w:t xml:space="preserve">median effect to </w:t>
      </w:r>
      <w:r w:rsidR="005B5C6A">
        <w:t>negligible</w:t>
      </w:r>
      <w:r w:rsidR="00A95E19">
        <w:t xml:space="preserve"> effect</w:t>
      </w:r>
      <w:r w:rsidR="00F26291">
        <w:t>’</w:t>
      </w:r>
      <w:r w:rsidR="00A609B6">
        <w:t xml:space="preserve"> ratios are</w:t>
      </w:r>
      <w:r w:rsidR="00B13877" w:rsidRPr="00B13877">
        <w:t xml:space="preserve"> </w:t>
      </w:r>
      <w:r w:rsidR="005600C0">
        <w:t>likely</w:t>
      </w:r>
      <w:r w:rsidR="00B13877" w:rsidRPr="00B13877">
        <w:t xml:space="preserve"> not significant. </w:t>
      </w:r>
      <w:r w:rsidR="00D67FB4">
        <w:t>Therefore, a</w:t>
      </w:r>
      <w:r w:rsidR="00B13877" w:rsidRPr="00B13877">
        <w:t>dopting an alternative and more conservative default ratio of 0.2</w:t>
      </w:r>
      <w:r w:rsidR="00A609B6">
        <w:t>,</w:t>
      </w:r>
      <w:r w:rsidR="00B13877" w:rsidRPr="00B13877">
        <w:t xml:space="preserve"> as used to convert chronic EC50 values to EC10</w:t>
      </w:r>
      <w:r w:rsidR="00DF64FA">
        <w:t xml:space="preserve"> value</w:t>
      </w:r>
      <w:r w:rsidR="00B13877" w:rsidRPr="00B13877">
        <w:t xml:space="preserve">s (Warne et al. 2018) cannot be justified. </w:t>
      </w:r>
      <w:r w:rsidR="00B13877" w:rsidRPr="00294E9C">
        <w:t xml:space="preserve">Thus, for chlorine, </w:t>
      </w:r>
      <w:r w:rsidR="007C4287" w:rsidRPr="00294E9C">
        <w:t xml:space="preserve">the </w:t>
      </w:r>
      <w:r w:rsidR="00C02732">
        <w:t>species sensitivity distribution (</w:t>
      </w:r>
      <w:r w:rsidR="007C4287" w:rsidRPr="00294E9C">
        <w:t>SSD</w:t>
      </w:r>
      <w:r w:rsidR="00C02732">
        <w:t>)</w:t>
      </w:r>
      <w:r w:rsidR="007C4287" w:rsidRPr="00294E9C">
        <w:t xml:space="preserve"> was based on an LC</w:t>
      </w:r>
      <w:r w:rsidR="00C02732">
        <w:t>50</w:t>
      </w:r>
      <w:r w:rsidR="00F26291" w:rsidRPr="00294E9C">
        <w:t>/EC</w:t>
      </w:r>
      <w:r w:rsidR="007C4287" w:rsidRPr="00294E9C">
        <w:t xml:space="preserve">50 dataset, with a </w:t>
      </w:r>
      <w:r w:rsidR="00F26291" w:rsidRPr="00294E9C">
        <w:t>‘</w:t>
      </w:r>
      <w:r w:rsidR="00A95E19" w:rsidRPr="00294E9C">
        <w:t xml:space="preserve">median effect to </w:t>
      </w:r>
      <w:r w:rsidR="005B5C6A">
        <w:t>negligible</w:t>
      </w:r>
      <w:r w:rsidR="00A95E19" w:rsidRPr="00294E9C">
        <w:t xml:space="preserve"> effect</w:t>
      </w:r>
      <w:r w:rsidR="00F26291" w:rsidRPr="00294E9C">
        <w:t>’</w:t>
      </w:r>
      <w:r w:rsidR="00A95E19" w:rsidRPr="00294E9C">
        <w:t xml:space="preserve"> </w:t>
      </w:r>
      <w:r w:rsidR="007C4287" w:rsidRPr="00294E9C">
        <w:t>conversion</w:t>
      </w:r>
      <w:r w:rsidR="00B13877" w:rsidRPr="00294E9C">
        <w:t xml:space="preserve"> factor </w:t>
      </w:r>
      <w:r w:rsidR="00EF4C33">
        <w:t xml:space="preserve">of </w:t>
      </w:r>
      <w:r w:rsidR="003B2771" w:rsidRPr="003B2771">
        <w:t xml:space="preserve">0.6 </w:t>
      </w:r>
      <w:r w:rsidR="00B13877" w:rsidRPr="00294E9C">
        <w:t xml:space="preserve">applied to the </w:t>
      </w:r>
      <w:r w:rsidR="00D01BE1" w:rsidRPr="00294E9C">
        <w:t xml:space="preserve">resulting protective concentrations </w:t>
      </w:r>
      <w:r w:rsidR="0013446C">
        <w:t>(PC</w:t>
      </w:r>
      <w:r w:rsidR="00F8067B">
        <w:t>s</w:t>
      </w:r>
      <w:r w:rsidR="0013446C">
        <w:t xml:space="preserve">) </w:t>
      </w:r>
      <w:r w:rsidR="00D01BE1" w:rsidRPr="00294E9C">
        <w:t>from the</w:t>
      </w:r>
      <w:r w:rsidR="00B13877" w:rsidRPr="00294E9C">
        <w:t xml:space="preserve"> SSD </w:t>
      </w:r>
      <w:r w:rsidR="00D01BE1" w:rsidRPr="00294E9C">
        <w:t>to derive the DGVs</w:t>
      </w:r>
      <w:r w:rsidR="00B13877" w:rsidRPr="00294E9C">
        <w:t xml:space="preserve">. </w:t>
      </w:r>
      <w:r w:rsidR="002735C9">
        <w:t xml:space="preserve">Notably, </w:t>
      </w:r>
      <w:r w:rsidR="00E6377E">
        <w:t xml:space="preserve">the DGVs derived by </w:t>
      </w:r>
      <w:r w:rsidR="002735C9">
        <w:t xml:space="preserve">applying the conversion factor to the </w:t>
      </w:r>
      <w:r w:rsidR="0013446C">
        <w:t>PC</w:t>
      </w:r>
      <w:r w:rsidR="00F8067B">
        <w:t>s</w:t>
      </w:r>
      <w:r w:rsidR="002735C9">
        <w:t xml:space="preserve"> from the SSD</w:t>
      </w:r>
      <w:r w:rsidR="00E6377E">
        <w:t xml:space="preserve"> were effectively the same as</w:t>
      </w:r>
      <w:r w:rsidR="002735C9">
        <w:t xml:space="preserve"> </w:t>
      </w:r>
      <w:r w:rsidR="00E6377E">
        <w:t>applying the conversion factor to</w:t>
      </w:r>
      <w:r w:rsidR="002735C9">
        <w:t xml:space="preserve"> each EC</w:t>
      </w:r>
      <w:r w:rsidR="00B1544C">
        <w:t>50</w:t>
      </w:r>
      <w:r w:rsidR="002735C9">
        <w:t>/LC50 value prior to constructing the SSD. Also, t</w:t>
      </w:r>
      <w:r w:rsidR="002735C9" w:rsidRPr="00294E9C">
        <w:t>h</w:t>
      </w:r>
      <w:r w:rsidR="00E6377E">
        <w:t>e</w:t>
      </w:r>
      <w:r w:rsidR="002735C9" w:rsidRPr="00294E9C">
        <w:t xml:space="preserve"> </w:t>
      </w:r>
      <w:r w:rsidR="00B1544C">
        <w:t xml:space="preserve">adopted </w:t>
      </w:r>
      <w:r w:rsidR="00946870" w:rsidRPr="00294E9C">
        <w:t xml:space="preserve">approach </w:t>
      </w:r>
      <w:r w:rsidR="002735C9">
        <w:t xml:space="preserve">allows for jurisdictions to </w:t>
      </w:r>
      <w:r w:rsidR="00E6377E">
        <w:t>use</w:t>
      </w:r>
      <w:r w:rsidR="002735C9">
        <w:t xml:space="preserve"> the unconverted EC</w:t>
      </w:r>
      <w:r w:rsidR="00B1544C">
        <w:t>50</w:t>
      </w:r>
      <w:r w:rsidR="002735C9">
        <w:t xml:space="preserve">/LC50 </w:t>
      </w:r>
      <w:r w:rsidR="0013446C">
        <w:t>PC</w:t>
      </w:r>
      <w:r w:rsidR="00F8067B">
        <w:t>s</w:t>
      </w:r>
      <w:r w:rsidR="002735C9">
        <w:t xml:space="preserve"> </w:t>
      </w:r>
      <w:r w:rsidR="00B1544C">
        <w:t xml:space="preserve">for other </w:t>
      </w:r>
      <w:r w:rsidR="002735C9">
        <w:t>purpose</w:t>
      </w:r>
      <w:r w:rsidR="00B1544C">
        <w:t>s</w:t>
      </w:r>
      <w:r w:rsidR="002735C9">
        <w:t xml:space="preserve"> (e.g. assessing the likelihood of significant short-term toxic effects)</w:t>
      </w:r>
      <w:r w:rsidR="00946870" w:rsidRPr="00294E9C">
        <w:t>.</w:t>
      </w:r>
    </w:p>
    <w:p w14:paraId="387EF57C" w14:textId="68940D59" w:rsidR="00B13877" w:rsidRDefault="00BC143C" w:rsidP="000E52A2">
      <w:r>
        <w:t>T</w:t>
      </w:r>
      <w:r w:rsidR="00B13877" w:rsidRPr="00B13877">
        <w:t xml:space="preserve">he majority of the data </w:t>
      </w:r>
      <w:r>
        <w:t xml:space="preserve">used in the derivation </w:t>
      </w:r>
      <w:r w:rsidR="00B13877" w:rsidRPr="00B13877">
        <w:t xml:space="preserve">were from studies in the 1970s, </w:t>
      </w:r>
      <w:r>
        <w:t>19</w:t>
      </w:r>
      <w:r w:rsidR="00B13877" w:rsidRPr="00B13877">
        <w:t xml:space="preserve">80s and </w:t>
      </w:r>
      <w:r>
        <w:t>19</w:t>
      </w:r>
      <w:r w:rsidR="00B13877" w:rsidRPr="00B13877">
        <w:t>90s and</w:t>
      </w:r>
      <w:r w:rsidR="007D2872">
        <w:t>,</w:t>
      </w:r>
      <w:r w:rsidR="00B13877" w:rsidRPr="00B13877">
        <w:t xml:space="preserve"> while their quality was acceptable, </w:t>
      </w:r>
      <w:r w:rsidR="000878EE">
        <w:t xml:space="preserve">additional </w:t>
      </w:r>
      <w:r w:rsidR="00B13877" w:rsidRPr="00B13877">
        <w:t xml:space="preserve">data that looked more closely at the effects of </w:t>
      </w:r>
      <w:r w:rsidR="00B13877" w:rsidRPr="00B13877">
        <w:lastRenderedPageBreak/>
        <w:t xml:space="preserve">exposure time, salinity and temperature as well as reporting LC10 and LC50 values and </w:t>
      </w:r>
      <w:r w:rsidR="00426E82">
        <w:t>concentration</w:t>
      </w:r>
      <w:r w:rsidR="000F76E5">
        <w:t>–</w:t>
      </w:r>
      <w:r w:rsidR="00B13877" w:rsidRPr="00B13877">
        <w:t xml:space="preserve">response curves would </w:t>
      </w:r>
      <w:r w:rsidR="00B37BFE">
        <w:t>improve the quality of the dataset</w:t>
      </w:r>
      <w:r w:rsidR="00464962">
        <w:t xml:space="preserve">. </w:t>
      </w:r>
    </w:p>
    <w:p w14:paraId="06A0C915" w14:textId="43C4B91F" w:rsidR="00B13877" w:rsidRDefault="00A05097" w:rsidP="000E52A2">
      <w:r>
        <w:t>N</w:t>
      </w:r>
      <w:r w:rsidR="00B13877" w:rsidRPr="00B13877">
        <w:t xml:space="preserve">o </w:t>
      </w:r>
      <w:r w:rsidR="000C2CC0">
        <w:t>chlorine toxicity data for algae</w:t>
      </w:r>
      <w:r w:rsidR="00B13877" w:rsidRPr="00B13877">
        <w:t xml:space="preserve"> </w:t>
      </w:r>
      <w:r w:rsidR="00211761">
        <w:t xml:space="preserve">or plants </w:t>
      </w:r>
      <w:r>
        <w:t xml:space="preserve">were </w:t>
      </w:r>
      <w:r w:rsidR="00EF4C33">
        <w:t xml:space="preserve">used </w:t>
      </w:r>
      <w:r w:rsidR="00B13877" w:rsidRPr="00B13877">
        <w:t xml:space="preserve">in </w:t>
      </w:r>
      <w:r w:rsidR="00426E82" w:rsidRPr="00B13877">
        <w:t>th</w:t>
      </w:r>
      <w:r w:rsidR="00426E82">
        <w:t xml:space="preserve">e </w:t>
      </w:r>
      <w:r w:rsidR="00E92127">
        <w:t xml:space="preserve">DGV </w:t>
      </w:r>
      <w:r w:rsidR="00B13877" w:rsidRPr="00B13877">
        <w:t>derivation. The European Chemicals Bureau (ECB 2002) recommend</w:t>
      </w:r>
      <w:r w:rsidR="00464962">
        <w:t>ed</w:t>
      </w:r>
      <w:r w:rsidR="00B13877" w:rsidRPr="00B13877">
        <w:t xml:space="preserve"> using the 72-h (or longer) algal EC50 values as </w:t>
      </w:r>
      <w:r>
        <w:t xml:space="preserve">an </w:t>
      </w:r>
      <w:r w:rsidR="00B13877" w:rsidRPr="00B13877">
        <w:t xml:space="preserve">equivalent a short-term result, with EC10 </w:t>
      </w:r>
      <w:r>
        <w:t xml:space="preserve">values </w:t>
      </w:r>
      <w:r w:rsidR="00B13877" w:rsidRPr="00B13877">
        <w:t xml:space="preserve">being the long-term result. </w:t>
      </w:r>
      <w:r w:rsidR="00F26291">
        <w:t xml:space="preserve">However, </w:t>
      </w:r>
      <w:r w:rsidR="001C6994">
        <w:t xml:space="preserve">most of </w:t>
      </w:r>
      <w:r w:rsidR="00F26291">
        <w:t>t</w:t>
      </w:r>
      <w:r w:rsidR="00F26291" w:rsidRPr="00B13877">
        <w:t xml:space="preserve">he </w:t>
      </w:r>
      <w:r w:rsidR="00E92127">
        <w:t xml:space="preserve">available </w:t>
      </w:r>
      <w:r w:rsidR="00464962">
        <w:t xml:space="preserve">algal </w:t>
      </w:r>
      <w:r w:rsidR="00F26291">
        <w:t xml:space="preserve">toxicity </w:t>
      </w:r>
      <w:r w:rsidR="00B13877" w:rsidRPr="00B13877">
        <w:t xml:space="preserve">values </w:t>
      </w:r>
      <w:r w:rsidR="00F26291">
        <w:t xml:space="preserve">for chlorine </w:t>
      </w:r>
      <w:r w:rsidR="00B13877" w:rsidRPr="00B13877">
        <w:t>were</w:t>
      </w:r>
      <w:r w:rsidR="00F26291">
        <w:t xml:space="preserve"> </w:t>
      </w:r>
      <w:r w:rsidR="00B13877" w:rsidRPr="00B13877">
        <w:t xml:space="preserve">from </w:t>
      </w:r>
      <w:r w:rsidR="009E0193">
        <w:t xml:space="preserve">chronic </w:t>
      </w:r>
      <w:r w:rsidR="00B13877" w:rsidRPr="00B13877">
        <w:t xml:space="preserve">static tests lasting </w:t>
      </w:r>
      <w:r w:rsidR="001C6994">
        <w:t>72</w:t>
      </w:r>
      <w:r>
        <w:t>–</w:t>
      </w:r>
      <w:r w:rsidR="00F26291">
        <w:t>96</w:t>
      </w:r>
      <w:r w:rsidR="007B7742">
        <w:t> </w:t>
      </w:r>
      <w:r w:rsidR="00F26291">
        <w:t>h,</w:t>
      </w:r>
      <w:r w:rsidR="00B13877" w:rsidRPr="00B13877">
        <w:t xml:space="preserve"> </w:t>
      </w:r>
      <w:r w:rsidR="00F26291">
        <w:t>and</w:t>
      </w:r>
      <w:r w:rsidR="00B13877" w:rsidRPr="00B13877">
        <w:t xml:space="preserve"> </w:t>
      </w:r>
      <w:r w:rsidR="00D01BE1">
        <w:t>were not</w:t>
      </w:r>
      <w:r w:rsidR="00B13877" w:rsidRPr="00B13877">
        <w:t xml:space="preserve"> </w:t>
      </w:r>
      <w:r w:rsidR="00D01BE1" w:rsidRPr="00B13877">
        <w:t>includ</w:t>
      </w:r>
      <w:r w:rsidR="00D01BE1">
        <w:t>ed in the derivation</w:t>
      </w:r>
      <w:r w:rsidR="00D01BE1" w:rsidRPr="00B13877">
        <w:t xml:space="preserve"> </w:t>
      </w:r>
      <w:r w:rsidR="00B13877" w:rsidRPr="00B13877">
        <w:t>because of the decay in concentration that would occur</w:t>
      </w:r>
      <w:r w:rsidR="00426E82">
        <w:t xml:space="preserve"> over th</w:t>
      </w:r>
      <w:r w:rsidR="00F26291">
        <w:t>is</w:t>
      </w:r>
      <w:r w:rsidR="00426E82">
        <w:t xml:space="preserve"> test duration</w:t>
      </w:r>
      <w:r w:rsidR="001C6994" w:rsidRPr="00B13877">
        <w:t xml:space="preserve">. </w:t>
      </w:r>
      <w:r w:rsidR="001C6994">
        <w:t>The single study that assess</w:t>
      </w:r>
      <w:r w:rsidR="00871F56">
        <w:t>ed</w:t>
      </w:r>
      <w:r w:rsidR="001C6994">
        <w:t xml:space="preserve"> chlorine toxicity to </w:t>
      </w:r>
      <w:r w:rsidR="00871F56">
        <w:t xml:space="preserve">two </w:t>
      </w:r>
      <w:r w:rsidR="001C6994">
        <w:t>alga</w:t>
      </w:r>
      <w:r w:rsidR="00871F56">
        <w:t>l species</w:t>
      </w:r>
      <w:r w:rsidR="001C6994">
        <w:t xml:space="preserve"> using flow-through exposures (Vannoni et al. 2018) used fluorescence as the endpoint, which is not considered an ecologically relevant endpoint; therefore, the data from this study were not used.</w:t>
      </w:r>
      <w:r w:rsidR="0000135A">
        <w:t xml:space="preserve"> </w:t>
      </w:r>
      <w:r w:rsidR="009E0193">
        <w:t>As</w:t>
      </w:r>
      <w:r w:rsidR="0000135A">
        <w:t xml:space="preserve"> algae </w:t>
      </w:r>
      <w:r w:rsidR="009E0193">
        <w:t>a</w:t>
      </w:r>
      <w:r w:rsidR="0000135A">
        <w:t>re not among the most sensitive species</w:t>
      </w:r>
      <w:r w:rsidR="00DD0E8B">
        <w:t xml:space="preserve"> to chlorine</w:t>
      </w:r>
      <w:r w:rsidR="009F133B">
        <w:t xml:space="preserve"> (Section</w:t>
      </w:r>
      <w:r w:rsidR="00AB6F12">
        <w:t> </w:t>
      </w:r>
      <w:r w:rsidR="00AB6F12">
        <w:fldChar w:fldCharType="begin"/>
      </w:r>
      <w:r w:rsidR="00AB6F12">
        <w:instrText xml:space="preserve"> REF _Ref178602581 \r \h </w:instrText>
      </w:r>
      <w:r w:rsidR="00AB6F12">
        <w:fldChar w:fldCharType="separate"/>
      </w:r>
      <w:r w:rsidR="003E6080">
        <w:t>2.2</w:t>
      </w:r>
      <w:r w:rsidR="00AB6F12">
        <w:fldChar w:fldCharType="end"/>
      </w:r>
      <w:r w:rsidR="009F133B">
        <w:t>)</w:t>
      </w:r>
      <w:r w:rsidR="0000135A">
        <w:t xml:space="preserve">, their </w:t>
      </w:r>
      <w:r w:rsidR="009F133B">
        <w:t xml:space="preserve">exclusion </w:t>
      </w:r>
      <w:r w:rsidR="0000135A">
        <w:t xml:space="preserve">from the derivation </w:t>
      </w:r>
      <w:r w:rsidR="009E0193">
        <w:t>does</w:t>
      </w:r>
      <w:r w:rsidR="0000135A">
        <w:t xml:space="preserve"> not have a marked influence on the DGVs. </w:t>
      </w:r>
    </w:p>
    <w:p w14:paraId="39CF54BC" w14:textId="5C5AD584" w:rsidR="000C2CC0" w:rsidRDefault="004958C4" w:rsidP="000E52A2">
      <w:pPr>
        <w:rPr>
          <w:rFonts w:eastAsia="Cambria"/>
          <w:lang w:eastAsia="en-AU"/>
        </w:rPr>
      </w:pPr>
      <w:r>
        <w:rPr>
          <w:rFonts w:eastAsia="Cambria"/>
          <w:lang w:eastAsia="en-AU"/>
        </w:rPr>
        <w:t xml:space="preserve">For the oyster </w:t>
      </w:r>
      <w:r w:rsidRPr="002E682E">
        <w:rPr>
          <w:rFonts w:eastAsia="Cambria"/>
          <w:i/>
          <w:iCs/>
          <w:lang w:eastAsia="en-AU"/>
        </w:rPr>
        <w:t>C</w:t>
      </w:r>
      <w:r w:rsidR="009E6CB0">
        <w:rPr>
          <w:rFonts w:eastAsia="Cambria"/>
          <w:i/>
          <w:iCs/>
          <w:lang w:eastAsia="en-AU"/>
        </w:rPr>
        <w:t>.</w:t>
      </w:r>
      <w:r w:rsidR="00653B43">
        <w:rPr>
          <w:rFonts w:eastAsia="Cambria"/>
          <w:i/>
          <w:iCs/>
          <w:lang w:eastAsia="en-AU"/>
        </w:rPr>
        <w:t> </w:t>
      </w:r>
      <w:r w:rsidRPr="002E682E">
        <w:rPr>
          <w:rFonts w:eastAsia="Cambria"/>
          <w:i/>
          <w:iCs/>
          <w:lang w:eastAsia="en-AU"/>
        </w:rPr>
        <w:t>virginica</w:t>
      </w:r>
      <w:r w:rsidRPr="002E682E">
        <w:rPr>
          <w:rFonts w:eastAsia="Cambria"/>
          <w:lang w:eastAsia="en-AU"/>
        </w:rPr>
        <w:t xml:space="preserve">, Capuzzo (1979) found an LC50 of </w:t>
      </w:r>
      <w:r>
        <w:rPr>
          <w:rFonts w:eastAsia="Cambria"/>
          <w:lang w:eastAsia="en-AU"/>
        </w:rPr>
        <w:t>80</w:t>
      </w:r>
      <w:r w:rsidR="00653B43">
        <w:rPr>
          <w:rFonts w:eastAsia="Cambria"/>
          <w:lang w:eastAsia="en-AU"/>
        </w:rPr>
        <w:t> </w:t>
      </w:r>
      <w:r w:rsidRPr="002E682E">
        <w:rPr>
          <w:rFonts w:eastAsia="Cambria"/>
          <w:lang w:eastAsia="en-AU"/>
        </w:rPr>
        <w:t>μg/L after a</w:t>
      </w:r>
      <w:r>
        <w:rPr>
          <w:rFonts w:eastAsia="Cambria"/>
          <w:lang w:eastAsia="en-AU"/>
        </w:rPr>
        <w:t xml:space="preserve"> </w:t>
      </w:r>
      <w:r w:rsidRPr="002E682E">
        <w:rPr>
          <w:rFonts w:eastAsia="Cambria"/>
          <w:lang w:eastAsia="en-AU"/>
        </w:rPr>
        <w:t>30</w:t>
      </w:r>
      <w:r w:rsidRPr="002E682E">
        <w:rPr>
          <w:rFonts w:eastAsia="AdvOT8608a8d1+20"/>
          <w:lang w:eastAsia="en-AU"/>
        </w:rPr>
        <w:t>‐</w:t>
      </w:r>
      <w:r w:rsidRPr="002E682E">
        <w:rPr>
          <w:rFonts w:eastAsia="Cambria"/>
          <w:lang w:eastAsia="en-AU"/>
        </w:rPr>
        <w:t xml:space="preserve">min </w:t>
      </w:r>
      <w:r>
        <w:rPr>
          <w:rFonts w:eastAsia="Cambria"/>
          <w:lang w:eastAsia="en-AU"/>
        </w:rPr>
        <w:t>e</w:t>
      </w:r>
      <w:r w:rsidRPr="002E682E">
        <w:rPr>
          <w:rFonts w:eastAsia="Cambria"/>
          <w:lang w:eastAsia="en-AU"/>
        </w:rPr>
        <w:t xml:space="preserve">xposure in water of </w:t>
      </w:r>
      <w:r w:rsidR="00154FFC">
        <w:rPr>
          <w:rFonts w:eastAsia="Cambria"/>
          <w:lang w:eastAsia="en-AU"/>
        </w:rPr>
        <w:t>28</w:t>
      </w:r>
      <w:r w:rsidRPr="002E682E">
        <w:rPr>
          <w:rFonts w:eastAsia="Cambria"/>
          <w:lang w:eastAsia="en-AU"/>
        </w:rPr>
        <w:t>‰</w:t>
      </w:r>
      <w:r w:rsidR="005315D9">
        <w:rPr>
          <w:rFonts w:eastAsia="Cambria"/>
          <w:lang w:eastAsia="en-AU"/>
        </w:rPr>
        <w:t xml:space="preserve"> salinity</w:t>
      </w:r>
      <w:r>
        <w:rPr>
          <w:rFonts w:eastAsia="Cambria"/>
          <w:lang w:eastAsia="en-AU"/>
        </w:rPr>
        <w:t xml:space="preserve">. </w:t>
      </w:r>
      <w:r w:rsidRPr="002E682E">
        <w:rPr>
          <w:rFonts w:eastAsia="Cambria"/>
          <w:lang w:eastAsia="en-AU"/>
        </w:rPr>
        <w:t xml:space="preserve">Roberts </w:t>
      </w:r>
      <w:r w:rsidR="0021271D">
        <w:rPr>
          <w:rFonts w:eastAsia="Cambria"/>
          <w:lang w:eastAsia="en-AU"/>
        </w:rPr>
        <w:t>et al. 1975</w:t>
      </w:r>
      <w:r w:rsidRPr="002E682E">
        <w:rPr>
          <w:rFonts w:eastAsia="Cambria"/>
          <w:lang w:eastAsia="en-AU"/>
        </w:rPr>
        <w:t xml:space="preserve"> obtained a </w:t>
      </w:r>
      <w:r w:rsidR="00F77586">
        <w:rPr>
          <w:rFonts w:eastAsia="Cambria"/>
          <w:lang w:eastAsia="en-AU"/>
        </w:rPr>
        <w:t>96</w:t>
      </w:r>
      <w:r w:rsidRPr="002E682E">
        <w:rPr>
          <w:rFonts w:eastAsia="AdvOT8608a8d1+20"/>
          <w:lang w:eastAsia="en-AU"/>
        </w:rPr>
        <w:t>‐</w:t>
      </w:r>
      <w:r w:rsidRPr="002E682E">
        <w:rPr>
          <w:rFonts w:eastAsia="Cambria"/>
          <w:lang w:eastAsia="en-AU"/>
        </w:rPr>
        <w:t>h LC50 of</w:t>
      </w:r>
      <w:r>
        <w:rPr>
          <w:rFonts w:eastAsia="Cambria"/>
          <w:lang w:eastAsia="en-AU"/>
        </w:rPr>
        <w:t xml:space="preserve"> </w:t>
      </w:r>
      <w:r w:rsidR="00B73F00" w:rsidRPr="002E682E">
        <w:rPr>
          <w:rFonts w:eastAsia="Cambria"/>
          <w:lang w:eastAsia="en-AU"/>
        </w:rPr>
        <w:t>2</w:t>
      </w:r>
      <w:r w:rsidR="00B73F00">
        <w:rPr>
          <w:rFonts w:eastAsia="Cambria"/>
          <w:lang w:eastAsia="en-AU"/>
        </w:rPr>
        <w:t>3</w:t>
      </w:r>
      <w:r w:rsidR="00653B43">
        <w:rPr>
          <w:rFonts w:eastAsia="Cambria"/>
          <w:lang w:eastAsia="en-AU"/>
        </w:rPr>
        <w:t> </w:t>
      </w:r>
      <w:r w:rsidRPr="002E682E">
        <w:rPr>
          <w:rFonts w:eastAsia="Cambria"/>
          <w:lang w:eastAsia="en-AU"/>
        </w:rPr>
        <w:t>μg/L</w:t>
      </w:r>
      <w:r w:rsidR="001F74FB">
        <w:rPr>
          <w:rFonts w:eastAsia="Cambria"/>
          <w:lang w:eastAsia="en-AU"/>
        </w:rPr>
        <w:t xml:space="preserve"> </w:t>
      </w:r>
      <w:r w:rsidR="00154FFC">
        <w:rPr>
          <w:rFonts w:eastAsia="Cambria"/>
          <w:lang w:eastAsia="en-AU"/>
        </w:rPr>
        <w:t>at 20</w:t>
      </w:r>
      <w:r w:rsidR="00154FFC" w:rsidRPr="002E682E">
        <w:rPr>
          <w:rFonts w:eastAsia="Cambria"/>
          <w:lang w:eastAsia="en-AU"/>
        </w:rPr>
        <w:t>‰</w:t>
      </w:r>
      <w:r w:rsidR="00154FFC">
        <w:rPr>
          <w:rFonts w:eastAsia="Cambria"/>
          <w:lang w:eastAsia="en-AU"/>
        </w:rPr>
        <w:t xml:space="preserve"> </w:t>
      </w:r>
      <w:r w:rsidR="001F74FB">
        <w:rPr>
          <w:rFonts w:eastAsia="Cambria"/>
          <w:lang w:eastAsia="en-AU"/>
        </w:rPr>
        <w:t>for the same species</w:t>
      </w:r>
      <w:r w:rsidR="009E6CB0">
        <w:rPr>
          <w:rFonts w:eastAsia="Cambria"/>
          <w:lang w:eastAsia="en-AU"/>
        </w:rPr>
        <w:t>. Both studies used a</w:t>
      </w:r>
      <w:r w:rsidRPr="002E682E">
        <w:rPr>
          <w:rFonts w:eastAsia="Cambria"/>
          <w:lang w:eastAsia="en-AU"/>
        </w:rPr>
        <w:t xml:space="preserve"> flow</w:t>
      </w:r>
      <w:r w:rsidRPr="002E682E">
        <w:rPr>
          <w:rFonts w:eastAsia="AdvOT8608a8d1+20"/>
          <w:lang w:eastAsia="en-AU"/>
        </w:rPr>
        <w:t>‐</w:t>
      </w:r>
      <w:r w:rsidRPr="002E682E">
        <w:rPr>
          <w:rFonts w:eastAsia="Cambria"/>
          <w:lang w:eastAsia="en-AU"/>
        </w:rPr>
        <w:t xml:space="preserve">through </w:t>
      </w:r>
      <w:r w:rsidR="00154FFC">
        <w:rPr>
          <w:rFonts w:eastAsia="Cambria"/>
          <w:lang w:eastAsia="en-AU"/>
        </w:rPr>
        <w:t>test</w:t>
      </w:r>
      <w:r w:rsidRPr="002E682E">
        <w:rPr>
          <w:rFonts w:eastAsia="Cambria"/>
          <w:lang w:eastAsia="en-AU"/>
        </w:rPr>
        <w:t>. Although the shorter</w:t>
      </w:r>
      <w:r>
        <w:rPr>
          <w:rFonts w:eastAsia="Cambria"/>
          <w:lang w:eastAsia="en-AU"/>
        </w:rPr>
        <w:t xml:space="preserve"> </w:t>
      </w:r>
      <w:r w:rsidRPr="002E682E">
        <w:rPr>
          <w:rFonts w:eastAsia="Cambria"/>
          <w:lang w:eastAsia="en-AU"/>
        </w:rPr>
        <w:t>exposure was possibly more appropriate for a chlorine discharge,</w:t>
      </w:r>
      <w:r>
        <w:rPr>
          <w:rFonts w:eastAsia="Cambria"/>
          <w:lang w:eastAsia="en-AU"/>
        </w:rPr>
        <w:t xml:space="preserve"> </w:t>
      </w:r>
      <w:r w:rsidRPr="002E682E">
        <w:rPr>
          <w:rFonts w:eastAsia="Cambria"/>
          <w:lang w:eastAsia="en-AU"/>
        </w:rPr>
        <w:t xml:space="preserve">for consistency with other data, the </w:t>
      </w:r>
      <w:r w:rsidR="000B6F67">
        <w:rPr>
          <w:rFonts w:eastAsia="Cambria"/>
          <w:lang w:eastAsia="en-AU"/>
        </w:rPr>
        <w:t>96</w:t>
      </w:r>
      <w:r w:rsidRPr="002E682E">
        <w:rPr>
          <w:rFonts w:eastAsia="AdvOT8608a8d1+20"/>
          <w:lang w:eastAsia="en-AU"/>
        </w:rPr>
        <w:t>‐</w:t>
      </w:r>
      <w:r w:rsidRPr="002E682E">
        <w:rPr>
          <w:rFonts w:eastAsia="Cambria"/>
          <w:lang w:eastAsia="en-AU"/>
        </w:rPr>
        <w:t>h value was</w:t>
      </w:r>
      <w:r>
        <w:rPr>
          <w:rFonts w:eastAsia="Cambria"/>
          <w:lang w:eastAsia="en-AU"/>
        </w:rPr>
        <w:t xml:space="preserve"> </w:t>
      </w:r>
      <w:r w:rsidRPr="002E682E">
        <w:rPr>
          <w:rFonts w:eastAsia="Cambria"/>
          <w:lang w:eastAsia="en-AU"/>
        </w:rPr>
        <w:t xml:space="preserve">used in the </w:t>
      </w:r>
      <w:r w:rsidR="00316085">
        <w:rPr>
          <w:rFonts w:eastAsia="Cambria"/>
          <w:lang w:eastAsia="en-AU"/>
        </w:rPr>
        <w:t>final</w:t>
      </w:r>
      <w:r w:rsidRPr="002E682E">
        <w:rPr>
          <w:rFonts w:eastAsia="Cambria"/>
          <w:lang w:eastAsia="en-AU"/>
        </w:rPr>
        <w:t xml:space="preserve"> SSD.</w:t>
      </w:r>
      <w:r>
        <w:rPr>
          <w:rFonts w:eastAsia="Cambria"/>
          <w:lang w:eastAsia="en-AU"/>
        </w:rPr>
        <w:t xml:space="preserve"> </w:t>
      </w:r>
      <w:r w:rsidRPr="006651FF">
        <w:rPr>
          <w:rFonts w:eastAsia="Cambria"/>
          <w:lang w:eastAsia="en-AU"/>
        </w:rPr>
        <w:t xml:space="preserve">For the copepod </w:t>
      </w:r>
      <w:r w:rsidRPr="006651FF">
        <w:rPr>
          <w:rFonts w:eastAsia="Cambria"/>
          <w:i/>
          <w:iCs/>
          <w:lang w:eastAsia="en-AU"/>
        </w:rPr>
        <w:t>Acartia tonsa</w:t>
      </w:r>
      <w:r>
        <w:rPr>
          <w:rFonts w:eastAsia="Cambria"/>
          <w:lang w:eastAsia="en-AU"/>
        </w:rPr>
        <w:t>,</w:t>
      </w:r>
      <w:r w:rsidRPr="006651FF">
        <w:rPr>
          <w:rFonts w:eastAsia="Cambria"/>
          <w:lang w:eastAsia="en-AU"/>
        </w:rPr>
        <w:t xml:space="preserve"> an</w:t>
      </w:r>
      <w:r>
        <w:rPr>
          <w:rFonts w:eastAsia="Cambria"/>
          <w:lang w:eastAsia="en-AU"/>
        </w:rPr>
        <w:t xml:space="preserve"> </w:t>
      </w:r>
      <w:r w:rsidRPr="006651FF">
        <w:rPr>
          <w:rFonts w:eastAsia="Cambria"/>
          <w:lang w:eastAsia="en-AU"/>
        </w:rPr>
        <w:t>LC50 of 820</w:t>
      </w:r>
      <w:r w:rsidR="00653B43">
        <w:rPr>
          <w:rFonts w:eastAsia="Cambria"/>
          <w:lang w:eastAsia="en-AU"/>
        </w:rPr>
        <w:t> </w:t>
      </w:r>
      <w:r w:rsidRPr="006651FF">
        <w:rPr>
          <w:rFonts w:eastAsia="Cambria"/>
          <w:lang w:eastAsia="en-AU"/>
        </w:rPr>
        <w:t>μg/L after 30</w:t>
      </w:r>
      <w:r w:rsidR="00E81EFD">
        <w:rPr>
          <w:rFonts w:eastAsia="Cambria"/>
          <w:lang w:eastAsia="en-AU"/>
        </w:rPr>
        <w:t>-</w:t>
      </w:r>
      <w:r w:rsidRPr="006651FF">
        <w:rPr>
          <w:rFonts w:eastAsia="Cambria"/>
          <w:lang w:eastAsia="en-AU"/>
        </w:rPr>
        <w:t>min</w:t>
      </w:r>
      <w:r w:rsidR="000B6F67">
        <w:rPr>
          <w:rFonts w:eastAsia="Cambria"/>
          <w:lang w:eastAsia="en-AU"/>
        </w:rPr>
        <w:t xml:space="preserve"> in 28</w:t>
      </w:r>
      <w:r w:rsidR="000B6F67" w:rsidRPr="006651FF">
        <w:rPr>
          <w:rFonts w:eastAsia="Cambria"/>
          <w:lang w:eastAsia="en-AU"/>
        </w:rPr>
        <w:t>‰</w:t>
      </w:r>
      <w:r w:rsidR="000B6F67">
        <w:rPr>
          <w:rFonts w:eastAsia="Cambria"/>
          <w:lang w:eastAsia="en-AU"/>
        </w:rPr>
        <w:t xml:space="preserve"> water</w:t>
      </w:r>
      <w:r w:rsidR="003B25B5">
        <w:rPr>
          <w:rFonts w:eastAsia="Cambria"/>
          <w:lang w:eastAsia="en-AU"/>
        </w:rPr>
        <w:t xml:space="preserve"> (Capuzzo 1979)</w:t>
      </w:r>
      <w:r w:rsidRPr="006651FF">
        <w:rPr>
          <w:rFonts w:eastAsia="Cambria"/>
          <w:lang w:eastAsia="en-AU"/>
        </w:rPr>
        <w:t xml:space="preserve"> </w:t>
      </w:r>
      <w:r w:rsidR="00783EE7">
        <w:rPr>
          <w:rFonts w:eastAsia="Cambria"/>
          <w:lang w:eastAsia="en-AU"/>
        </w:rPr>
        <w:t xml:space="preserve">was </w:t>
      </w:r>
      <w:r w:rsidRPr="006651FF">
        <w:rPr>
          <w:rFonts w:eastAsia="Cambria"/>
          <w:lang w:eastAsia="en-AU"/>
        </w:rPr>
        <w:t xml:space="preserve">compared with </w:t>
      </w:r>
      <w:r w:rsidR="000B6F67">
        <w:rPr>
          <w:rFonts w:eastAsia="Cambria"/>
          <w:lang w:eastAsia="en-AU"/>
        </w:rPr>
        <w:t xml:space="preserve">an LC50 of </w:t>
      </w:r>
      <w:r w:rsidRPr="006651FF">
        <w:rPr>
          <w:rFonts w:eastAsia="Cambria"/>
          <w:lang w:eastAsia="en-AU"/>
        </w:rPr>
        <w:t>29</w:t>
      </w:r>
      <w:r w:rsidR="00653B43">
        <w:rPr>
          <w:rFonts w:eastAsia="Cambria"/>
          <w:lang w:eastAsia="en-AU"/>
        </w:rPr>
        <w:t> </w:t>
      </w:r>
      <w:r w:rsidRPr="006651FF">
        <w:rPr>
          <w:rFonts w:eastAsia="Cambria"/>
          <w:lang w:eastAsia="en-AU"/>
        </w:rPr>
        <w:t>μg/L after 96</w:t>
      </w:r>
      <w:r w:rsidR="00E81EFD">
        <w:rPr>
          <w:rFonts w:eastAsia="Cambria"/>
          <w:lang w:eastAsia="en-AU"/>
        </w:rPr>
        <w:t>-</w:t>
      </w:r>
      <w:r w:rsidRPr="006651FF">
        <w:rPr>
          <w:rFonts w:eastAsia="Cambria"/>
          <w:lang w:eastAsia="en-AU"/>
        </w:rPr>
        <w:t>h</w:t>
      </w:r>
      <w:r>
        <w:rPr>
          <w:rFonts w:eastAsia="Cambria"/>
          <w:lang w:eastAsia="en-AU"/>
        </w:rPr>
        <w:t xml:space="preserve"> </w:t>
      </w:r>
      <w:r w:rsidRPr="006651FF">
        <w:rPr>
          <w:rFonts w:eastAsia="Cambria"/>
          <w:lang w:eastAsia="en-AU"/>
        </w:rPr>
        <w:t>in 20‰ water</w:t>
      </w:r>
      <w:r w:rsidR="00A657FA">
        <w:rPr>
          <w:rFonts w:eastAsia="Cambria"/>
          <w:lang w:eastAsia="en-AU"/>
        </w:rPr>
        <w:t xml:space="preserve"> (Roberts and Gleeson 1978)</w:t>
      </w:r>
      <w:r w:rsidRPr="006651FF">
        <w:rPr>
          <w:rFonts w:eastAsia="Cambria"/>
          <w:lang w:eastAsia="en-AU"/>
        </w:rPr>
        <w:t>. The reasons for this difference were unclear.</w:t>
      </w:r>
      <w:r>
        <w:rPr>
          <w:rFonts w:eastAsia="Cambria"/>
          <w:lang w:eastAsia="en-AU"/>
        </w:rPr>
        <w:t xml:space="preserve"> </w:t>
      </w:r>
      <w:r w:rsidRPr="006651FF">
        <w:rPr>
          <w:rFonts w:eastAsia="Cambria"/>
          <w:lang w:eastAsia="en-AU"/>
        </w:rPr>
        <w:t>Again, the lower value was used in the</w:t>
      </w:r>
      <w:r>
        <w:rPr>
          <w:rFonts w:eastAsia="Cambria"/>
          <w:lang w:eastAsia="en-AU"/>
        </w:rPr>
        <w:t xml:space="preserve"> </w:t>
      </w:r>
      <w:r w:rsidR="00245FEC">
        <w:rPr>
          <w:rFonts w:eastAsia="Cambria"/>
          <w:lang w:eastAsia="en-AU"/>
        </w:rPr>
        <w:t>final</w:t>
      </w:r>
      <w:r w:rsidRPr="006651FF">
        <w:rPr>
          <w:rFonts w:eastAsia="Cambria"/>
          <w:lang w:eastAsia="en-AU"/>
        </w:rPr>
        <w:t xml:space="preserve"> SSD.</w:t>
      </w:r>
      <w:r w:rsidR="007B7742">
        <w:rPr>
          <w:rFonts w:eastAsia="Cambria"/>
          <w:lang w:eastAsia="en-AU"/>
        </w:rPr>
        <w:t xml:space="preserve"> </w:t>
      </w:r>
    </w:p>
    <w:p w14:paraId="3A7AA2FA" w14:textId="4100BBAD" w:rsidR="000C2CC0" w:rsidRPr="004D2459" w:rsidRDefault="000C2CC0" w:rsidP="000E52A2">
      <w:pPr>
        <w:rPr>
          <w:rFonts w:eastAsia="Cambria"/>
          <w:lang w:eastAsia="en-AU"/>
        </w:rPr>
      </w:pPr>
      <w:r w:rsidRPr="00A23629">
        <w:rPr>
          <w:rFonts w:eastAsia="Cambria"/>
          <w:lang w:eastAsia="en-AU"/>
        </w:rPr>
        <w:t>As noted in Section</w:t>
      </w:r>
      <w:r w:rsidR="000300D2">
        <w:t> </w:t>
      </w:r>
      <w:r w:rsidR="000300D2">
        <w:fldChar w:fldCharType="begin"/>
      </w:r>
      <w:r w:rsidR="000300D2">
        <w:instrText xml:space="preserve"> REF _Ref178602581 \r \h </w:instrText>
      </w:r>
      <w:r w:rsidR="000300D2">
        <w:fldChar w:fldCharType="separate"/>
      </w:r>
      <w:r w:rsidR="003E6080">
        <w:t>2.2</w:t>
      </w:r>
      <w:r w:rsidR="000300D2">
        <w:fldChar w:fldCharType="end"/>
      </w:r>
      <w:r w:rsidRPr="00A23629">
        <w:rPr>
          <w:rFonts w:eastAsia="Cambria"/>
          <w:lang w:eastAsia="en-AU"/>
        </w:rPr>
        <w:t xml:space="preserve">, </w:t>
      </w:r>
      <w:r w:rsidR="00EE1257" w:rsidRPr="00A23629">
        <w:rPr>
          <w:rFonts w:eastAsia="Cambria"/>
          <w:lang w:eastAsia="en-AU"/>
        </w:rPr>
        <w:t xml:space="preserve">Wallis </w:t>
      </w:r>
      <w:r w:rsidR="00653B43">
        <w:rPr>
          <w:rFonts w:eastAsia="Cambria"/>
          <w:lang w:eastAsia="en-AU"/>
        </w:rPr>
        <w:t>and</w:t>
      </w:r>
      <w:r w:rsidR="00EE1257" w:rsidRPr="00A23629">
        <w:rPr>
          <w:rFonts w:eastAsia="Cambria"/>
          <w:lang w:eastAsia="en-AU"/>
        </w:rPr>
        <w:t xml:space="preserve"> Chidgey (2022) questioned the reliability of the chlorine toxicity data reported by Dinnel et al. (1981) for </w:t>
      </w:r>
      <w:r w:rsidR="00DD71A7" w:rsidRPr="00A23629">
        <w:rPr>
          <w:rFonts w:eastAsia="Cambria"/>
          <w:lang w:eastAsia="en-AU"/>
        </w:rPr>
        <w:t xml:space="preserve">the </w:t>
      </w:r>
      <w:r w:rsidR="00EE1257" w:rsidRPr="00A23629">
        <w:rPr>
          <w:rFonts w:eastAsia="Cambria"/>
          <w:lang w:eastAsia="en-AU"/>
        </w:rPr>
        <w:t>two echinoderm species</w:t>
      </w:r>
      <w:r w:rsidR="00DD71A7" w:rsidRPr="00A23629">
        <w:rPr>
          <w:rFonts w:eastAsia="Cambria"/>
          <w:lang w:eastAsia="en-AU"/>
        </w:rPr>
        <w:t xml:space="preserve"> </w:t>
      </w:r>
      <w:r w:rsidR="00DD71A7" w:rsidRPr="00A23629">
        <w:rPr>
          <w:rFonts w:eastAsia="Cambria"/>
          <w:i/>
          <w:iCs/>
          <w:lang w:eastAsia="en-AU"/>
        </w:rPr>
        <w:t>S.</w:t>
      </w:r>
      <w:r w:rsidR="00653B43">
        <w:rPr>
          <w:rFonts w:eastAsia="Cambria"/>
          <w:lang w:eastAsia="en-AU"/>
        </w:rPr>
        <w:t> </w:t>
      </w:r>
      <w:r w:rsidR="00DD71A7" w:rsidRPr="00A23629">
        <w:rPr>
          <w:rFonts w:eastAsia="Cambria"/>
          <w:i/>
          <w:iCs/>
          <w:lang w:eastAsia="en-AU"/>
        </w:rPr>
        <w:t>droebachiensis</w:t>
      </w:r>
      <w:r w:rsidR="00DD71A7" w:rsidRPr="00A23629">
        <w:rPr>
          <w:rFonts w:eastAsia="Cambria"/>
          <w:lang w:eastAsia="en-AU"/>
        </w:rPr>
        <w:t xml:space="preserve"> and </w:t>
      </w:r>
      <w:r w:rsidR="00DD71A7" w:rsidRPr="00A23629">
        <w:rPr>
          <w:rFonts w:eastAsia="Cambria"/>
          <w:i/>
          <w:iCs/>
          <w:lang w:eastAsia="en-AU"/>
        </w:rPr>
        <w:t>D.</w:t>
      </w:r>
      <w:r w:rsidR="00653B43">
        <w:rPr>
          <w:rFonts w:eastAsia="Cambria"/>
          <w:i/>
          <w:iCs/>
          <w:lang w:eastAsia="en-AU"/>
        </w:rPr>
        <w:t> </w:t>
      </w:r>
      <w:r w:rsidR="00DD71A7" w:rsidRPr="00A23629">
        <w:rPr>
          <w:rFonts w:eastAsia="Cambria"/>
          <w:i/>
          <w:iCs/>
          <w:lang w:eastAsia="en-AU"/>
        </w:rPr>
        <w:t>excentricus</w:t>
      </w:r>
      <w:r w:rsidR="00EE1257" w:rsidRPr="00A23629">
        <w:rPr>
          <w:rFonts w:eastAsia="Cambria"/>
          <w:lang w:eastAsia="en-AU"/>
        </w:rPr>
        <w:t xml:space="preserve">, and suggested that they should </w:t>
      </w:r>
      <w:r w:rsidR="0089181D" w:rsidRPr="00A23629">
        <w:rPr>
          <w:rFonts w:eastAsia="Cambria"/>
          <w:lang w:eastAsia="en-AU"/>
        </w:rPr>
        <w:t xml:space="preserve">not </w:t>
      </w:r>
      <w:r w:rsidR="005C237D" w:rsidRPr="00A23629">
        <w:rPr>
          <w:rFonts w:eastAsia="Cambria"/>
          <w:lang w:eastAsia="en-AU"/>
        </w:rPr>
        <w:t xml:space="preserve">be </w:t>
      </w:r>
      <w:r w:rsidR="00E330CD" w:rsidRPr="00A23629">
        <w:rPr>
          <w:rFonts w:eastAsia="Cambria"/>
          <w:lang w:eastAsia="en-AU"/>
        </w:rPr>
        <w:t>included</w:t>
      </w:r>
      <w:r w:rsidR="005C237D" w:rsidRPr="00A23629">
        <w:rPr>
          <w:rFonts w:eastAsia="Cambria"/>
          <w:lang w:eastAsia="en-AU"/>
        </w:rPr>
        <w:t xml:space="preserve"> in</w:t>
      </w:r>
      <w:r w:rsidR="00EE1257" w:rsidRPr="00A23629">
        <w:rPr>
          <w:rFonts w:eastAsia="Cambria"/>
          <w:lang w:eastAsia="en-AU"/>
        </w:rPr>
        <w:t xml:space="preserve"> any dataset used to derive guideline values for chlorine</w:t>
      </w:r>
      <w:r w:rsidR="00F2585A" w:rsidRPr="00A23629">
        <w:rPr>
          <w:rFonts w:eastAsia="Cambria"/>
          <w:lang w:eastAsia="en-AU"/>
        </w:rPr>
        <w:t xml:space="preserve"> in marine water</w:t>
      </w:r>
      <w:r w:rsidR="00EE1257" w:rsidRPr="00A23629">
        <w:rPr>
          <w:rFonts w:eastAsia="Cambria"/>
          <w:lang w:eastAsia="en-AU"/>
        </w:rPr>
        <w:t>.</w:t>
      </w:r>
      <w:r w:rsidR="00F2585A" w:rsidRPr="00A23629">
        <w:rPr>
          <w:rFonts w:eastAsia="Cambria"/>
          <w:lang w:eastAsia="en-AU"/>
        </w:rPr>
        <w:t xml:space="preserve"> The </w:t>
      </w:r>
      <w:r w:rsidR="00DD71A7" w:rsidRPr="00A23629">
        <w:rPr>
          <w:rFonts w:eastAsia="Cambria"/>
          <w:lang w:eastAsia="en-AU"/>
        </w:rPr>
        <w:t>arguments</w:t>
      </w:r>
      <w:r w:rsidR="00F2585A" w:rsidRPr="00A23629">
        <w:rPr>
          <w:rFonts w:eastAsia="Cambria"/>
          <w:lang w:eastAsia="en-AU"/>
        </w:rPr>
        <w:t xml:space="preserve"> presented by Wallis </w:t>
      </w:r>
      <w:r w:rsidR="00653B43">
        <w:rPr>
          <w:rFonts w:eastAsia="Cambria"/>
          <w:lang w:eastAsia="en-AU"/>
        </w:rPr>
        <w:t>and</w:t>
      </w:r>
      <w:r w:rsidR="00F2585A" w:rsidRPr="00A23629">
        <w:rPr>
          <w:rFonts w:eastAsia="Cambria"/>
          <w:lang w:eastAsia="en-AU"/>
        </w:rPr>
        <w:t xml:space="preserve"> Chidgey (2022) w</w:t>
      </w:r>
      <w:r w:rsidR="00DD71A7" w:rsidRPr="00A23629">
        <w:rPr>
          <w:rFonts w:eastAsia="Cambria"/>
          <w:lang w:eastAsia="en-AU"/>
        </w:rPr>
        <w:t>ere</w:t>
      </w:r>
      <w:r w:rsidR="00F2585A" w:rsidRPr="00A23629">
        <w:rPr>
          <w:rFonts w:eastAsia="Cambria"/>
          <w:lang w:eastAsia="en-AU"/>
        </w:rPr>
        <w:t xml:space="preserve"> scrutinised (</w:t>
      </w:r>
      <w:r w:rsidR="000300D2">
        <w:rPr>
          <w:rFonts w:eastAsia="Cambria"/>
          <w:lang w:eastAsia="en-AU"/>
        </w:rPr>
        <w:fldChar w:fldCharType="begin"/>
      </w:r>
      <w:r w:rsidR="000300D2">
        <w:rPr>
          <w:rFonts w:eastAsia="Cambria"/>
          <w:lang w:eastAsia="en-AU"/>
        </w:rPr>
        <w:instrText xml:space="preserve"> REF _Ref178602744 \h </w:instrText>
      </w:r>
      <w:r w:rsidR="000300D2">
        <w:rPr>
          <w:rFonts w:eastAsia="Cambria"/>
          <w:lang w:eastAsia="en-AU"/>
        </w:rPr>
      </w:r>
      <w:r w:rsidR="000300D2">
        <w:rPr>
          <w:rFonts w:eastAsia="Cambria"/>
          <w:lang w:eastAsia="en-AU"/>
        </w:rPr>
        <w:fldChar w:fldCharType="separate"/>
      </w:r>
      <w:r w:rsidR="003E6080" w:rsidRPr="00A23629">
        <w:t>Appendix</w:t>
      </w:r>
      <w:r w:rsidR="003E6080">
        <w:t> </w:t>
      </w:r>
      <w:r w:rsidR="003E6080" w:rsidRPr="00A23629">
        <w:t>C: Assessment of reliability of echinoderm toxicity data from Dinnel et al. (1981)</w:t>
      </w:r>
      <w:r w:rsidR="000300D2">
        <w:rPr>
          <w:rFonts w:eastAsia="Cambria"/>
          <w:lang w:eastAsia="en-AU"/>
        </w:rPr>
        <w:fldChar w:fldCharType="end"/>
      </w:r>
      <w:r w:rsidR="00F2585A" w:rsidRPr="00A23629">
        <w:rPr>
          <w:rFonts w:eastAsia="Cambria"/>
          <w:lang w:eastAsia="en-AU"/>
        </w:rPr>
        <w:t xml:space="preserve">), </w:t>
      </w:r>
      <w:r w:rsidR="005C237D" w:rsidRPr="00A23629">
        <w:rPr>
          <w:rFonts w:eastAsia="Cambria"/>
          <w:lang w:eastAsia="en-AU"/>
        </w:rPr>
        <w:t>and it was</w:t>
      </w:r>
      <w:r w:rsidR="00F2585A" w:rsidRPr="00A23629">
        <w:rPr>
          <w:rFonts w:eastAsia="Cambria"/>
          <w:lang w:eastAsia="en-AU"/>
        </w:rPr>
        <w:t xml:space="preserve"> conclu</w:t>
      </w:r>
      <w:r w:rsidR="005C237D" w:rsidRPr="00A23629">
        <w:rPr>
          <w:rFonts w:eastAsia="Cambria"/>
          <w:lang w:eastAsia="en-AU"/>
        </w:rPr>
        <w:t>ded</w:t>
      </w:r>
      <w:r w:rsidR="00F2585A" w:rsidRPr="00A23629">
        <w:rPr>
          <w:rFonts w:eastAsia="Cambria"/>
          <w:lang w:eastAsia="en-AU"/>
        </w:rPr>
        <w:t xml:space="preserve"> that, on the basis of the reaction times used by Dinnel et al. (1981), the data for </w:t>
      </w:r>
      <w:r w:rsidR="00F2585A" w:rsidRPr="00A23629">
        <w:rPr>
          <w:rFonts w:eastAsia="Cambria"/>
          <w:i/>
          <w:iCs/>
          <w:lang w:eastAsia="en-AU"/>
        </w:rPr>
        <w:t>S.</w:t>
      </w:r>
      <w:r w:rsidR="00653B43">
        <w:rPr>
          <w:rFonts w:eastAsia="Cambria"/>
          <w:lang w:eastAsia="en-AU"/>
        </w:rPr>
        <w:t> </w:t>
      </w:r>
      <w:r w:rsidR="00F2585A" w:rsidRPr="00A23629">
        <w:rPr>
          <w:rFonts w:eastAsia="Cambria"/>
          <w:i/>
          <w:iCs/>
          <w:lang w:eastAsia="en-AU"/>
        </w:rPr>
        <w:t>droebachiensis</w:t>
      </w:r>
      <w:r w:rsidR="00F2585A" w:rsidRPr="00A23629">
        <w:rPr>
          <w:rFonts w:eastAsia="Cambria"/>
          <w:lang w:eastAsia="en-AU"/>
        </w:rPr>
        <w:t xml:space="preserve"> should be excluded from the </w:t>
      </w:r>
      <w:r w:rsidR="00130FFA">
        <w:rPr>
          <w:rFonts w:eastAsia="Cambria"/>
          <w:lang w:eastAsia="en-AU"/>
        </w:rPr>
        <w:t xml:space="preserve">DGV </w:t>
      </w:r>
      <w:r w:rsidR="00F2585A" w:rsidRPr="00A23629">
        <w:rPr>
          <w:rFonts w:eastAsia="Cambria"/>
          <w:lang w:eastAsia="en-AU"/>
        </w:rPr>
        <w:t>derivation</w:t>
      </w:r>
      <w:r w:rsidR="00130FFA">
        <w:rPr>
          <w:rFonts w:eastAsia="Cambria"/>
          <w:lang w:eastAsia="en-AU"/>
        </w:rPr>
        <w:t xml:space="preserve"> and</w:t>
      </w:r>
      <w:r w:rsidR="00F2585A" w:rsidRPr="00A23629">
        <w:rPr>
          <w:rFonts w:eastAsia="Cambria"/>
          <w:lang w:eastAsia="en-AU"/>
        </w:rPr>
        <w:t xml:space="preserve"> the data for </w:t>
      </w:r>
      <w:r w:rsidR="00F2585A" w:rsidRPr="00A23629">
        <w:rPr>
          <w:rFonts w:eastAsia="Cambria"/>
          <w:i/>
          <w:iCs/>
          <w:lang w:eastAsia="en-AU"/>
        </w:rPr>
        <w:t>D.</w:t>
      </w:r>
      <w:r w:rsidR="00653B43">
        <w:rPr>
          <w:rFonts w:eastAsia="Cambria"/>
          <w:i/>
          <w:iCs/>
          <w:lang w:eastAsia="en-AU"/>
        </w:rPr>
        <w:t> </w:t>
      </w:r>
      <w:r w:rsidR="00F2585A" w:rsidRPr="00A23629">
        <w:rPr>
          <w:rFonts w:eastAsia="Cambria"/>
          <w:i/>
          <w:iCs/>
          <w:lang w:eastAsia="en-AU"/>
        </w:rPr>
        <w:t>excentricus</w:t>
      </w:r>
      <w:r w:rsidR="00F2585A" w:rsidRPr="00A23629">
        <w:rPr>
          <w:rFonts w:eastAsia="Cambria"/>
          <w:lang w:eastAsia="en-AU"/>
        </w:rPr>
        <w:t xml:space="preserve"> should be included in the derivation.</w:t>
      </w:r>
      <w:r w:rsidR="004D2459" w:rsidRPr="00A23629">
        <w:rPr>
          <w:rFonts w:eastAsia="Cambria"/>
          <w:lang w:eastAsia="en-AU"/>
        </w:rPr>
        <w:t xml:space="preserve"> For </w:t>
      </w:r>
      <w:r w:rsidR="004D2459" w:rsidRPr="00A23629">
        <w:rPr>
          <w:rFonts w:eastAsia="Cambria"/>
          <w:i/>
          <w:iCs/>
          <w:lang w:eastAsia="en-AU"/>
        </w:rPr>
        <w:t>D.</w:t>
      </w:r>
      <w:r w:rsidR="00653B43">
        <w:rPr>
          <w:rFonts w:eastAsia="Cambria"/>
          <w:i/>
          <w:iCs/>
          <w:lang w:eastAsia="en-AU"/>
        </w:rPr>
        <w:t> </w:t>
      </w:r>
      <w:r w:rsidR="004D2459" w:rsidRPr="00A23629">
        <w:rPr>
          <w:rFonts w:eastAsia="Cambria"/>
          <w:i/>
          <w:iCs/>
          <w:lang w:eastAsia="en-AU"/>
        </w:rPr>
        <w:t>excentricus</w:t>
      </w:r>
      <w:r w:rsidR="004D2459" w:rsidRPr="00A23629">
        <w:rPr>
          <w:rFonts w:eastAsia="Cambria"/>
          <w:lang w:eastAsia="en-AU"/>
        </w:rPr>
        <w:t>, six</w:t>
      </w:r>
      <w:r w:rsidR="00130FFA">
        <w:rPr>
          <w:rFonts w:eastAsia="Cambria"/>
          <w:lang w:eastAsia="en-AU"/>
        </w:rPr>
        <w:t> </w:t>
      </w:r>
      <w:r w:rsidR="004D2459" w:rsidRPr="00A23629">
        <w:rPr>
          <w:rFonts w:eastAsia="Cambria"/>
          <w:lang w:eastAsia="en-AU"/>
        </w:rPr>
        <w:t>tests were run using reaction times of 1</w:t>
      </w:r>
      <w:r w:rsidR="00653B43">
        <w:rPr>
          <w:rFonts w:eastAsia="Cambria"/>
          <w:lang w:eastAsia="en-AU"/>
        </w:rPr>
        <w:t> </w:t>
      </w:r>
      <w:r w:rsidR="004D2459" w:rsidRPr="00A23629">
        <w:rPr>
          <w:rFonts w:eastAsia="Cambria"/>
          <w:lang w:eastAsia="en-AU"/>
        </w:rPr>
        <w:t>min (</w:t>
      </w:r>
      <w:r w:rsidR="00130FFA">
        <w:rPr>
          <w:rFonts w:eastAsia="Cambria"/>
          <w:lang w:eastAsia="en-AU"/>
        </w:rPr>
        <w:t>three </w:t>
      </w:r>
      <w:r w:rsidR="004D2459" w:rsidRPr="00A23629">
        <w:rPr>
          <w:rFonts w:eastAsia="Cambria"/>
          <w:lang w:eastAsia="en-AU"/>
        </w:rPr>
        <w:t>tests), 5</w:t>
      </w:r>
      <w:r w:rsidR="00653B43">
        <w:rPr>
          <w:rFonts w:eastAsia="Cambria"/>
          <w:lang w:eastAsia="en-AU"/>
        </w:rPr>
        <w:t> </w:t>
      </w:r>
      <w:r w:rsidR="004D2459" w:rsidRPr="00A23629">
        <w:rPr>
          <w:rFonts w:eastAsia="Cambria"/>
          <w:lang w:eastAsia="en-AU"/>
        </w:rPr>
        <w:t>min, 15</w:t>
      </w:r>
      <w:r w:rsidR="00653B43">
        <w:rPr>
          <w:rFonts w:eastAsia="Cambria"/>
          <w:lang w:eastAsia="en-AU"/>
        </w:rPr>
        <w:t> </w:t>
      </w:r>
      <w:r w:rsidR="004D2459" w:rsidRPr="00A23629">
        <w:rPr>
          <w:rFonts w:eastAsia="Cambria"/>
          <w:lang w:eastAsia="en-AU"/>
        </w:rPr>
        <w:t>min and 60</w:t>
      </w:r>
      <w:r w:rsidR="00653B43">
        <w:rPr>
          <w:rFonts w:eastAsia="Cambria"/>
          <w:lang w:eastAsia="en-AU"/>
        </w:rPr>
        <w:t> </w:t>
      </w:r>
      <w:r w:rsidR="004D2459" w:rsidRPr="00A23629">
        <w:rPr>
          <w:rFonts w:eastAsia="Cambria"/>
          <w:lang w:eastAsia="en-AU"/>
        </w:rPr>
        <w:t xml:space="preserve">min. Although toxicity across these </w:t>
      </w:r>
      <w:r w:rsidR="00130FFA">
        <w:rPr>
          <w:rFonts w:eastAsia="Cambria"/>
          <w:lang w:eastAsia="en-AU"/>
        </w:rPr>
        <w:t>reaction</w:t>
      </w:r>
      <w:r w:rsidR="004D2459" w:rsidRPr="00A23629">
        <w:rPr>
          <w:rFonts w:eastAsia="Cambria"/>
          <w:lang w:eastAsia="en-AU"/>
        </w:rPr>
        <w:t xml:space="preserve"> times did not differ, the geometric mean of the three EC50s from the 1</w:t>
      </w:r>
      <w:r w:rsidR="00130FFA">
        <w:rPr>
          <w:rFonts w:eastAsia="Cambria"/>
          <w:lang w:eastAsia="en-AU"/>
        </w:rPr>
        <w:t> </w:t>
      </w:r>
      <w:r w:rsidR="004D2459" w:rsidRPr="00A23629">
        <w:rPr>
          <w:rFonts w:eastAsia="Cambria"/>
          <w:lang w:eastAsia="en-AU"/>
        </w:rPr>
        <w:t xml:space="preserve">min </w:t>
      </w:r>
      <w:r w:rsidR="00D87A33">
        <w:rPr>
          <w:rFonts w:eastAsia="Cambria"/>
          <w:lang w:eastAsia="en-AU"/>
        </w:rPr>
        <w:t>reaction</w:t>
      </w:r>
      <w:r w:rsidR="004D2459" w:rsidRPr="00A23629">
        <w:rPr>
          <w:rFonts w:eastAsia="Cambria"/>
          <w:lang w:eastAsia="en-AU"/>
        </w:rPr>
        <w:t xml:space="preserve"> time tests (6.4</w:t>
      </w:r>
      <w:r w:rsidR="00653B43">
        <w:rPr>
          <w:rFonts w:eastAsia="Cambria"/>
          <w:lang w:eastAsia="en-AU"/>
        </w:rPr>
        <w:t> </w:t>
      </w:r>
      <w:r w:rsidR="004D2459" w:rsidRPr="00A23629">
        <w:rPr>
          <w:rFonts w:ascii="Calibri" w:eastAsia="Cambria" w:hAnsi="Calibri" w:cs="Calibri"/>
          <w:lang w:eastAsia="en-AU"/>
        </w:rPr>
        <w:t>µ</w:t>
      </w:r>
      <w:r w:rsidR="004D2459" w:rsidRPr="00A23629">
        <w:rPr>
          <w:rFonts w:eastAsia="Cambria"/>
          <w:lang w:eastAsia="en-AU"/>
        </w:rPr>
        <w:t xml:space="preserve">g/L) was selected over the other tests. This value was effectively the same as the EC50s from the other </w:t>
      </w:r>
      <w:r w:rsidR="00130FFA">
        <w:rPr>
          <w:rFonts w:eastAsia="Cambria"/>
          <w:lang w:eastAsia="en-AU"/>
        </w:rPr>
        <w:t>reaction</w:t>
      </w:r>
      <w:r w:rsidR="004D2459" w:rsidRPr="00A23629">
        <w:rPr>
          <w:rFonts w:eastAsia="Cambria"/>
          <w:lang w:eastAsia="en-AU"/>
        </w:rPr>
        <w:t xml:space="preserve"> times (i.e. 7</w:t>
      </w:r>
      <w:r w:rsidR="00653B43">
        <w:rPr>
          <w:rFonts w:eastAsia="Cambria"/>
          <w:lang w:eastAsia="en-AU"/>
        </w:rPr>
        <w:t> </w:t>
      </w:r>
      <w:r w:rsidR="004D2459" w:rsidRPr="00A23629">
        <w:rPr>
          <w:rFonts w:ascii="Calibri" w:eastAsia="Cambria" w:hAnsi="Calibri" w:cs="Calibri"/>
          <w:lang w:eastAsia="en-AU"/>
        </w:rPr>
        <w:t>µ</w:t>
      </w:r>
      <w:r w:rsidR="004D2459" w:rsidRPr="00A23629">
        <w:rPr>
          <w:rFonts w:eastAsia="Cambria"/>
          <w:lang w:eastAsia="en-AU"/>
        </w:rPr>
        <w:t>g/L for 5</w:t>
      </w:r>
      <w:r w:rsidR="00653B43">
        <w:rPr>
          <w:rFonts w:eastAsia="Cambria"/>
          <w:lang w:eastAsia="en-AU"/>
        </w:rPr>
        <w:t> </w:t>
      </w:r>
      <w:r w:rsidR="004D2459" w:rsidRPr="00A23629">
        <w:rPr>
          <w:rFonts w:eastAsia="Cambria"/>
          <w:lang w:eastAsia="en-AU"/>
        </w:rPr>
        <w:t>min, 6</w:t>
      </w:r>
      <w:r w:rsidR="00653B43">
        <w:rPr>
          <w:rFonts w:eastAsia="Cambria"/>
          <w:lang w:eastAsia="en-AU"/>
        </w:rPr>
        <w:t> </w:t>
      </w:r>
      <w:r w:rsidR="004D2459" w:rsidRPr="00A23629">
        <w:rPr>
          <w:rFonts w:ascii="Calibri" w:eastAsia="Cambria" w:hAnsi="Calibri" w:cs="Calibri"/>
          <w:lang w:eastAsia="en-AU"/>
        </w:rPr>
        <w:t>µ</w:t>
      </w:r>
      <w:r w:rsidR="004D2459" w:rsidRPr="00A23629">
        <w:rPr>
          <w:rFonts w:eastAsia="Cambria"/>
          <w:lang w:eastAsia="en-AU"/>
        </w:rPr>
        <w:t>g/L for 15</w:t>
      </w:r>
      <w:r w:rsidR="00653B43">
        <w:rPr>
          <w:rFonts w:eastAsia="Cambria"/>
          <w:lang w:eastAsia="en-AU"/>
        </w:rPr>
        <w:t> </w:t>
      </w:r>
      <w:r w:rsidR="004D2459" w:rsidRPr="00A23629">
        <w:rPr>
          <w:rFonts w:eastAsia="Cambria"/>
          <w:lang w:eastAsia="en-AU"/>
        </w:rPr>
        <w:t>min and 8</w:t>
      </w:r>
      <w:r w:rsidR="00653B43">
        <w:rPr>
          <w:rFonts w:eastAsia="Cambria"/>
          <w:lang w:eastAsia="en-AU"/>
        </w:rPr>
        <w:t> </w:t>
      </w:r>
      <w:r w:rsidR="004D2459" w:rsidRPr="00A23629">
        <w:rPr>
          <w:rFonts w:ascii="Calibri" w:eastAsia="Cambria" w:hAnsi="Calibri" w:cs="Calibri"/>
          <w:lang w:eastAsia="en-AU"/>
        </w:rPr>
        <w:t>µ</w:t>
      </w:r>
      <w:r w:rsidR="004D2459" w:rsidRPr="00A23629">
        <w:rPr>
          <w:rFonts w:eastAsia="Cambria"/>
          <w:lang w:eastAsia="en-AU"/>
        </w:rPr>
        <w:t>g/L for 60</w:t>
      </w:r>
      <w:r w:rsidR="00653B43">
        <w:rPr>
          <w:rFonts w:eastAsia="Cambria"/>
          <w:lang w:eastAsia="en-AU"/>
        </w:rPr>
        <w:t> </w:t>
      </w:r>
      <w:r w:rsidR="004D2459" w:rsidRPr="00A23629">
        <w:rPr>
          <w:rFonts w:eastAsia="Cambria"/>
          <w:lang w:eastAsia="en-AU"/>
        </w:rPr>
        <w:t>min) (Dinnel et al. 1981).</w:t>
      </w:r>
    </w:p>
    <w:p w14:paraId="40F33B49" w14:textId="1EAC03CA" w:rsidR="00F234D5" w:rsidRDefault="00C53E71" w:rsidP="000E52A2">
      <w:r>
        <w:t>Based on</w:t>
      </w:r>
      <w:r w:rsidR="00AA558C">
        <w:t xml:space="preserve"> the key decisions described </w:t>
      </w:r>
      <w:r w:rsidR="00AA558C" w:rsidRPr="00174364">
        <w:t xml:space="preserve">above, the final dataset used to derive the DGVs for chlorine (as CPO) in marine water </w:t>
      </w:r>
      <w:r w:rsidR="00426E82" w:rsidRPr="00174364">
        <w:t>comprised toxicity data</w:t>
      </w:r>
      <w:r w:rsidR="00426E82" w:rsidRPr="00B13877">
        <w:t xml:space="preserve"> from </w:t>
      </w:r>
      <w:r w:rsidR="007D2872">
        <w:t>29</w:t>
      </w:r>
      <w:r w:rsidR="00B10B58">
        <w:t> </w:t>
      </w:r>
      <w:r w:rsidR="00426E82">
        <w:t>species from</w:t>
      </w:r>
      <w:r w:rsidR="00426E82" w:rsidRPr="00B13877">
        <w:t xml:space="preserve"> </w:t>
      </w:r>
      <w:r w:rsidR="007D2872">
        <w:t>five</w:t>
      </w:r>
      <w:r w:rsidR="007D2872" w:rsidRPr="00B13877">
        <w:t xml:space="preserve"> </w:t>
      </w:r>
      <w:r w:rsidR="00426E82" w:rsidRPr="00B13877">
        <w:t>different taxonomic groups</w:t>
      </w:r>
      <w:r w:rsidR="00426E82">
        <w:t xml:space="preserve"> </w:t>
      </w:r>
      <w:r>
        <w:t>a</w:t>
      </w:r>
      <w:r w:rsidR="000F1EAC">
        <w:t>cr</w:t>
      </w:r>
      <w:r w:rsidR="00946870">
        <w:t>o</w:t>
      </w:r>
      <w:r w:rsidR="000F1EAC">
        <w:t>ss a salinity range of 15–35</w:t>
      </w:r>
      <w:r w:rsidR="000F1EAC" w:rsidRPr="007B3976">
        <w:rPr>
          <w:rFonts w:eastAsia="Times New Roman"/>
          <w:sz w:val="20"/>
          <w:szCs w:val="20"/>
        </w:rPr>
        <w:t>‰</w:t>
      </w:r>
      <w:r w:rsidR="000F1EAC">
        <w:t xml:space="preserve"> </w:t>
      </w:r>
      <w:r w:rsidR="00426E82" w:rsidRPr="00574F95">
        <w:t>(</w:t>
      </w:r>
      <w:r w:rsidR="00191804">
        <w:fldChar w:fldCharType="begin"/>
      </w:r>
      <w:r w:rsidR="00191804">
        <w:instrText xml:space="preserve"> REF _Ref178601693 \h </w:instrText>
      </w:r>
      <w:r w:rsidR="00191804">
        <w:fldChar w:fldCharType="separate"/>
      </w:r>
      <w:r w:rsidR="003E6080">
        <w:t>Table </w:t>
      </w:r>
      <w:r w:rsidR="003E6080">
        <w:rPr>
          <w:noProof/>
        </w:rPr>
        <w:t>1</w:t>
      </w:r>
      <w:r w:rsidR="00191804">
        <w:fldChar w:fldCharType="end"/>
      </w:r>
      <w:r w:rsidR="00426E82" w:rsidRPr="00574F95">
        <w:t>)</w:t>
      </w:r>
      <w:r w:rsidR="000F1EAC">
        <w:t>.</w:t>
      </w:r>
      <w:r w:rsidR="000A09DB">
        <w:t xml:space="preserve"> </w:t>
      </w:r>
      <w:r w:rsidR="00E246A6" w:rsidRPr="00A23629">
        <w:t>All of the data used in the DGV derivation were based on CPO measurements using either amperometry or iodometric titration.</w:t>
      </w:r>
      <w:r w:rsidR="00EF4C33" w:rsidRPr="00A23629">
        <w:t xml:space="preserve"> </w:t>
      </w:r>
      <w:r w:rsidR="00806ECD" w:rsidRPr="00A23629">
        <w:t>An assessment of the modality of the dataset concluded that the dataset was unimodal and</w:t>
      </w:r>
      <w:r w:rsidR="00A53291">
        <w:t xml:space="preserve"> that</w:t>
      </w:r>
      <w:r w:rsidR="00DE17C6" w:rsidRPr="00A23629">
        <w:t xml:space="preserve"> </w:t>
      </w:r>
      <w:r w:rsidR="00806ECD" w:rsidRPr="00A23629">
        <w:t xml:space="preserve">the data </w:t>
      </w:r>
      <w:r w:rsidR="00A53291">
        <w:t>could</w:t>
      </w:r>
      <w:r w:rsidR="00806ECD" w:rsidRPr="00A23629">
        <w:t xml:space="preserve"> be used for the </w:t>
      </w:r>
      <w:r w:rsidR="00A53291" w:rsidRPr="00A23629">
        <w:t xml:space="preserve">DGV </w:t>
      </w:r>
      <w:r w:rsidR="00806ECD" w:rsidRPr="00A23629">
        <w:t>derivation</w:t>
      </w:r>
      <w:r w:rsidR="00A53291">
        <w:t xml:space="preserve"> </w:t>
      </w:r>
      <w:r w:rsidR="00945D04" w:rsidRPr="00A23629">
        <w:t>(</w:t>
      </w:r>
      <w:r w:rsidR="000300D2">
        <w:fldChar w:fldCharType="begin"/>
      </w:r>
      <w:r w:rsidR="000300D2">
        <w:instrText xml:space="preserve"> REF _Ref178602764 \h </w:instrText>
      </w:r>
      <w:r w:rsidR="000300D2">
        <w:fldChar w:fldCharType="separate"/>
      </w:r>
      <w:r w:rsidR="003E6080" w:rsidRPr="00A23629">
        <w:t>Appendix</w:t>
      </w:r>
      <w:r w:rsidR="003E6080">
        <w:t> </w:t>
      </w:r>
      <w:r w:rsidR="003E6080" w:rsidRPr="00A23629">
        <w:t xml:space="preserve">D: Modality assessment for </w:t>
      </w:r>
      <w:r w:rsidR="003E6080">
        <w:t>chlorine</w:t>
      </w:r>
      <w:r w:rsidR="000300D2">
        <w:fldChar w:fldCharType="end"/>
      </w:r>
      <w:r w:rsidR="00945D04" w:rsidRPr="00A23629">
        <w:t>)</w:t>
      </w:r>
      <w:r w:rsidR="00806ECD" w:rsidRPr="00A23629">
        <w:t>.</w:t>
      </w:r>
      <w:r w:rsidR="00806ECD">
        <w:t xml:space="preserve"> </w:t>
      </w:r>
    </w:p>
    <w:p w14:paraId="22388B9F" w14:textId="008F729F" w:rsidR="00336C31" w:rsidRDefault="000A09DB" w:rsidP="000E52A2">
      <w:r w:rsidRPr="003A0E6B">
        <w:t xml:space="preserve">Further details on the data that passed the quality </w:t>
      </w:r>
      <w:r>
        <w:t>assessment</w:t>
      </w:r>
      <w:r w:rsidR="007B7742">
        <w:t>,</w:t>
      </w:r>
      <w:r>
        <w:t xml:space="preserve"> and </w:t>
      </w:r>
      <w:r w:rsidR="00DA1009">
        <w:t xml:space="preserve">were </w:t>
      </w:r>
      <w:r w:rsidR="007B7742">
        <w:t>subsequently</w:t>
      </w:r>
      <w:r w:rsidR="007B7742" w:rsidRPr="003A0E6B">
        <w:t xml:space="preserve"> </w:t>
      </w:r>
      <w:r w:rsidRPr="003A0E6B">
        <w:t>used to derive</w:t>
      </w:r>
      <w:r>
        <w:t xml:space="preserve"> </w:t>
      </w:r>
      <w:r w:rsidRPr="003A0E6B">
        <w:t>the DGVs</w:t>
      </w:r>
      <w:r w:rsidR="007B7742">
        <w:t>,</w:t>
      </w:r>
      <w:r>
        <w:t xml:space="preserve"> </w:t>
      </w:r>
      <w:r w:rsidRPr="003A0E6B">
        <w:t>are presented in</w:t>
      </w:r>
      <w:r>
        <w:t xml:space="preserve"> </w:t>
      </w:r>
      <w:r w:rsidR="00191804">
        <w:fldChar w:fldCharType="begin"/>
      </w:r>
      <w:r w:rsidR="00191804">
        <w:instrText xml:space="preserve"> REF _Ref178601661 \h </w:instrText>
      </w:r>
      <w:r w:rsidR="00191804">
        <w:fldChar w:fldCharType="separate"/>
      </w:r>
      <w:r w:rsidR="003E6080">
        <w:t>Table A </w:t>
      </w:r>
      <w:r w:rsidR="003E6080">
        <w:rPr>
          <w:noProof/>
        </w:rPr>
        <w:t>1</w:t>
      </w:r>
      <w:r w:rsidR="00191804">
        <w:fldChar w:fldCharType="end"/>
      </w:r>
      <w:r w:rsidR="00191804">
        <w:t xml:space="preserve"> and </w:t>
      </w:r>
      <w:r w:rsidR="00191804">
        <w:fldChar w:fldCharType="begin"/>
      </w:r>
      <w:r w:rsidR="00191804">
        <w:instrText xml:space="preserve"> REF _Ref178601673 \h </w:instrText>
      </w:r>
      <w:r w:rsidR="00191804">
        <w:fldChar w:fldCharType="separate"/>
      </w:r>
      <w:r w:rsidR="003E6080">
        <w:t>Table A </w:t>
      </w:r>
      <w:r w:rsidR="003E6080">
        <w:rPr>
          <w:noProof/>
        </w:rPr>
        <w:t>2</w:t>
      </w:r>
      <w:r w:rsidR="00191804">
        <w:fldChar w:fldCharType="end"/>
      </w:r>
      <w:r>
        <w:t>.</w:t>
      </w:r>
      <w:r w:rsidR="00EF4C33">
        <w:t xml:space="preserve"> </w:t>
      </w:r>
      <w:r>
        <w:t>Data that passed the</w:t>
      </w:r>
      <w:r w:rsidRPr="003A0E6B">
        <w:t xml:space="preserve"> quality </w:t>
      </w:r>
      <w:r>
        <w:t xml:space="preserve">assessment but were </w:t>
      </w:r>
      <w:r w:rsidR="00336C31">
        <w:t>excluded from the</w:t>
      </w:r>
      <w:r>
        <w:t xml:space="preserve"> DGV derivation are in </w:t>
      </w:r>
      <w:r w:rsidR="00191804">
        <w:fldChar w:fldCharType="begin"/>
      </w:r>
      <w:r w:rsidR="00191804">
        <w:instrText xml:space="preserve"> REF _Ref178601739 \h </w:instrText>
      </w:r>
      <w:r w:rsidR="00191804">
        <w:fldChar w:fldCharType="separate"/>
      </w:r>
      <w:r w:rsidR="003E6080">
        <w:t>Table A </w:t>
      </w:r>
      <w:r w:rsidR="003E6080">
        <w:rPr>
          <w:noProof/>
        </w:rPr>
        <w:t>3</w:t>
      </w:r>
      <w:r w:rsidR="00191804">
        <w:fldChar w:fldCharType="end"/>
      </w:r>
      <w:r>
        <w:t>.</w:t>
      </w:r>
      <w:r w:rsidR="001B1E6A">
        <w:t xml:space="preserve"> </w:t>
      </w:r>
      <w:r w:rsidR="001B1E6A" w:rsidRPr="00A23629">
        <w:t xml:space="preserve">Details of the </w:t>
      </w:r>
      <w:commentRangeStart w:id="22"/>
      <w:r w:rsidR="001B1E6A" w:rsidRPr="00A23629">
        <w:t xml:space="preserve">data quality assessment </w:t>
      </w:r>
      <w:commentRangeEnd w:id="22"/>
      <w:r w:rsidR="001B1E6A" w:rsidRPr="00A23629">
        <w:rPr>
          <w:rStyle w:val="CommentReference"/>
        </w:rPr>
        <w:commentReference w:id="22"/>
      </w:r>
      <w:r w:rsidR="001B1E6A" w:rsidRPr="00A23629">
        <w:t xml:space="preserve">and the </w:t>
      </w:r>
      <w:commentRangeStart w:id="23"/>
      <w:r w:rsidR="001B1E6A" w:rsidRPr="00A23629">
        <w:t xml:space="preserve">data that passed the quality assessment </w:t>
      </w:r>
      <w:commentRangeEnd w:id="23"/>
      <w:r w:rsidR="001B1E6A" w:rsidRPr="00A23629">
        <w:rPr>
          <w:rStyle w:val="CommentReference"/>
        </w:rPr>
        <w:commentReference w:id="23"/>
      </w:r>
      <w:r w:rsidR="001B1E6A" w:rsidRPr="00A23629">
        <w:t>are provided as supporting information.</w:t>
      </w:r>
    </w:p>
    <w:p w14:paraId="14D6C2FA" w14:textId="59D126D7" w:rsidR="00292EDE" w:rsidRDefault="00F11CFA" w:rsidP="00F11CFA">
      <w:pPr>
        <w:pStyle w:val="Caption"/>
      </w:pPr>
      <w:bookmarkStart w:id="24" w:name="_Ref178601693"/>
      <w:bookmarkStart w:id="25" w:name="_Toc185441657"/>
      <w:bookmarkStart w:id="26" w:name="_Hlk33021604"/>
      <w:r>
        <w:lastRenderedPageBreak/>
        <w:t>Table </w:t>
      </w:r>
      <w:r w:rsidR="00141D27">
        <w:fldChar w:fldCharType="begin"/>
      </w:r>
      <w:r w:rsidR="00141D27">
        <w:instrText xml:space="preserve"> SEQ Table \* ARABIC </w:instrText>
      </w:r>
      <w:r w:rsidR="00141D27">
        <w:fldChar w:fldCharType="separate"/>
      </w:r>
      <w:r w:rsidR="003E6080">
        <w:rPr>
          <w:noProof/>
        </w:rPr>
        <w:t>1</w:t>
      </w:r>
      <w:r w:rsidR="00141D27">
        <w:rPr>
          <w:noProof/>
        </w:rPr>
        <w:fldChar w:fldCharType="end"/>
      </w:r>
      <w:bookmarkEnd w:id="24"/>
      <w:r w:rsidR="00292EDE" w:rsidRPr="00292EDE">
        <w:rPr>
          <w:rFonts w:cstheme="minorHAnsi"/>
        </w:rPr>
        <w:t xml:space="preserve"> </w:t>
      </w:r>
      <w:r w:rsidR="00292EDE" w:rsidRPr="00292EDE">
        <w:t>Summary</w:t>
      </w:r>
      <w:r w:rsidR="00BD7E1D">
        <w:t>,</w:t>
      </w:r>
      <w:r w:rsidR="00292EDE" w:rsidRPr="00292EDE">
        <w:t xml:space="preserve"> </w:t>
      </w:r>
      <w:r w:rsidR="00E155CD">
        <w:t>single</w:t>
      </w:r>
      <w:r w:rsidR="00E155CD" w:rsidRPr="00292EDE">
        <w:t xml:space="preserve"> </w:t>
      </w:r>
      <w:r w:rsidR="00292EDE" w:rsidRPr="00292EDE">
        <w:t>acute toxicity values</w:t>
      </w:r>
      <w:r w:rsidR="00E155CD">
        <w:t>, all species</w:t>
      </w:r>
      <w:r w:rsidR="00292EDE" w:rsidRPr="00292EDE">
        <w:t xml:space="preserve"> used to derive default guideline values for chlorine</w:t>
      </w:r>
      <w:r w:rsidR="002D1F42">
        <w:t xml:space="preserve"> (CPO)</w:t>
      </w:r>
      <w:r w:rsidR="00292EDE" w:rsidRPr="00292EDE">
        <w:t xml:space="preserve"> in marine water</w:t>
      </w:r>
      <w:bookmarkEnd w:id="25"/>
      <w:r w:rsidR="00E155CD">
        <w:t xml:space="preserve"> </w:t>
      </w:r>
    </w:p>
    <w:tbl>
      <w:tblPr>
        <w:tblW w:w="5182"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single acute toxicity values, all species used to derive default guideline values for chlorine (CPO) in marine water"/>
        <w:tblDescription w:val="Table provides a list of the species used to derive the chlorine (CPO) DGVs with additional details such as taxonomic group, life stage, exposure duration, test type, toxicity measure, test medium, and concentration (microgram per litre)."/>
      </w:tblPr>
      <w:tblGrid>
        <w:gridCol w:w="1134"/>
        <w:gridCol w:w="1701"/>
        <w:gridCol w:w="995"/>
        <w:gridCol w:w="991"/>
        <w:gridCol w:w="993"/>
        <w:gridCol w:w="1137"/>
        <w:gridCol w:w="1137"/>
        <w:gridCol w:w="1312"/>
      </w:tblGrid>
      <w:tr w:rsidR="00CA1024" w:rsidRPr="005100F3" w14:paraId="5DD729EF" w14:textId="77777777" w:rsidTr="00CA1024">
        <w:trPr>
          <w:cantSplit/>
          <w:tblHeader/>
        </w:trPr>
        <w:tc>
          <w:tcPr>
            <w:tcW w:w="603" w:type="pct"/>
            <w:tcBorders>
              <w:top w:val="single" w:sz="12" w:space="0" w:color="auto"/>
              <w:bottom w:val="single" w:sz="12" w:space="0" w:color="auto"/>
            </w:tcBorders>
          </w:tcPr>
          <w:p w14:paraId="0E451977" w14:textId="2F759CD7" w:rsidR="00644318" w:rsidRPr="00B07EBB" w:rsidRDefault="00644318" w:rsidP="0064378B">
            <w:pPr>
              <w:pStyle w:val="TableHeading"/>
            </w:pPr>
            <w:r>
              <w:t>Taxonomic group</w:t>
            </w:r>
          </w:p>
        </w:tc>
        <w:tc>
          <w:tcPr>
            <w:tcW w:w="905" w:type="pct"/>
            <w:tcBorders>
              <w:top w:val="single" w:sz="12" w:space="0" w:color="auto"/>
              <w:bottom w:val="single" w:sz="12" w:space="0" w:color="auto"/>
            </w:tcBorders>
            <w:shd w:val="clear" w:color="auto" w:fill="auto"/>
          </w:tcPr>
          <w:p w14:paraId="4931F96A" w14:textId="6785ACDA" w:rsidR="00644318" w:rsidRPr="00B07EBB" w:rsidRDefault="00644318" w:rsidP="0064378B">
            <w:pPr>
              <w:pStyle w:val="TableHeading"/>
            </w:pPr>
            <w:r w:rsidRPr="00B07EBB">
              <w:t>Species</w:t>
            </w:r>
          </w:p>
        </w:tc>
        <w:tc>
          <w:tcPr>
            <w:tcW w:w="529" w:type="pct"/>
            <w:tcBorders>
              <w:top w:val="single" w:sz="12" w:space="0" w:color="auto"/>
              <w:bottom w:val="single" w:sz="12" w:space="0" w:color="auto"/>
            </w:tcBorders>
            <w:shd w:val="clear" w:color="auto" w:fill="auto"/>
            <w:noWrap/>
          </w:tcPr>
          <w:p w14:paraId="1D3A3159" w14:textId="338210A1" w:rsidR="00644318" w:rsidRPr="00B07EBB" w:rsidRDefault="00644318" w:rsidP="0064378B">
            <w:pPr>
              <w:pStyle w:val="TableHeading"/>
            </w:pPr>
            <w:r w:rsidRPr="00B07EBB">
              <w:t>Life stage</w:t>
            </w:r>
          </w:p>
        </w:tc>
        <w:tc>
          <w:tcPr>
            <w:tcW w:w="527" w:type="pct"/>
            <w:tcBorders>
              <w:top w:val="single" w:sz="12" w:space="0" w:color="auto"/>
              <w:bottom w:val="single" w:sz="12" w:space="0" w:color="auto"/>
            </w:tcBorders>
            <w:shd w:val="clear" w:color="auto" w:fill="auto"/>
          </w:tcPr>
          <w:p w14:paraId="5C83F501" w14:textId="3F73061E" w:rsidR="00644318" w:rsidRPr="00B07EBB" w:rsidRDefault="00644318" w:rsidP="0064378B">
            <w:pPr>
              <w:pStyle w:val="TableHeading"/>
            </w:pPr>
            <w:r w:rsidRPr="00B07EBB">
              <w:t>Exposure duration</w:t>
            </w:r>
          </w:p>
        </w:tc>
        <w:tc>
          <w:tcPr>
            <w:tcW w:w="528" w:type="pct"/>
            <w:tcBorders>
              <w:top w:val="single" w:sz="12" w:space="0" w:color="auto"/>
              <w:bottom w:val="single" w:sz="12" w:space="0" w:color="auto"/>
            </w:tcBorders>
            <w:shd w:val="clear" w:color="auto" w:fill="auto"/>
          </w:tcPr>
          <w:p w14:paraId="4D5B00C1" w14:textId="6B6F08ED" w:rsidR="00644318" w:rsidRPr="00B07EBB" w:rsidRDefault="00644318" w:rsidP="0064378B">
            <w:pPr>
              <w:pStyle w:val="TableHeading"/>
            </w:pPr>
            <w:r w:rsidRPr="00B07EBB">
              <w:t>Test type</w:t>
            </w:r>
          </w:p>
        </w:tc>
        <w:tc>
          <w:tcPr>
            <w:tcW w:w="605" w:type="pct"/>
            <w:tcBorders>
              <w:top w:val="single" w:sz="12" w:space="0" w:color="auto"/>
              <w:bottom w:val="single" w:sz="12" w:space="0" w:color="auto"/>
            </w:tcBorders>
            <w:shd w:val="clear" w:color="auto" w:fill="auto"/>
          </w:tcPr>
          <w:p w14:paraId="3738BA57" w14:textId="2BEC621B" w:rsidR="00644318" w:rsidRPr="00B07EBB" w:rsidRDefault="00644318" w:rsidP="0064378B">
            <w:pPr>
              <w:pStyle w:val="TableHeading"/>
            </w:pPr>
            <w:r w:rsidRPr="00B07EBB">
              <w:t>Toxicity measure</w:t>
            </w:r>
          </w:p>
        </w:tc>
        <w:tc>
          <w:tcPr>
            <w:tcW w:w="605" w:type="pct"/>
            <w:tcBorders>
              <w:top w:val="single" w:sz="12" w:space="0" w:color="auto"/>
              <w:bottom w:val="single" w:sz="12" w:space="0" w:color="auto"/>
            </w:tcBorders>
            <w:shd w:val="clear" w:color="auto" w:fill="auto"/>
          </w:tcPr>
          <w:p w14:paraId="1651675C" w14:textId="0D6636F6" w:rsidR="00644318" w:rsidRPr="00B07EBB" w:rsidRDefault="00644318" w:rsidP="0064378B">
            <w:pPr>
              <w:pStyle w:val="TableHeading"/>
            </w:pPr>
            <w:r w:rsidRPr="00B07EBB">
              <w:t>Test medium</w:t>
            </w:r>
          </w:p>
        </w:tc>
        <w:tc>
          <w:tcPr>
            <w:tcW w:w="698" w:type="pct"/>
            <w:tcBorders>
              <w:top w:val="single" w:sz="12" w:space="0" w:color="auto"/>
              <w:bottom w:val="single" w:sz="12" w:space="0" w:color="auto"/>
            </w:tcBorders>
            <w:shd w:val="clear" w:color="auto" w:fill="auto"/>
          </w:tcPr>
          <w:p w14:paraId="4BF70066" w14:textId="47208A99" w:rsidR="00644318" w:rsidRPr="00B07EBB" w:rsidRDefault="00644318" w:rsidP="00AE52A1">
            <w:pPr>
              <w:pStyle w:val="TableHeading"/>
            </w:pPr>
            <w:r w:rsidRPr="00B07EBB">
              <w:rPr>
                <w:bCs/>
              </w:rPr>
              <w:t>Concentration</w:t>
            </w:r>
            <w:r w:rsidR="00AE52A1">
              <w:rPr>
                <w:bCs/>
              </w:rPr>
              <w:t xml:space="preserve"> </w:t>
            </w:r>
            <w:r w:rsidRPr="00B07EBB">
              <w:rPr>
                <w:bCs/>
              </w:rPr>
              <w:t>(µg/L)</w:t>
            </w:r>
          </w:p>
        </w:tc>
      </w:tr>
      <w:tr w:rsidR="00CA1024" w:rsidRPr="005100F3" w14:paraId="7DF635D2" w14:textId="77777777" w:rsidTr="00CA1024">
        <w:trPr>
          <w:cantSplit/>
          <w:trHeight w:val="480"/>
        </w:trPr>
        <w:tc>
          <w:tcPr>
            <w:tcW w:w="603" w:type="pct"/>
            <w:tcBorders>
              <w:top w:val="single" w:sz="12" w:space="0" w:color="auto"/>
            </w:tcBorders>
          </w:tcPr>
          <w:p w14:paraId="5C27DA4C" w14:textId="3AA9A546" w:rsidR="000E6738" w:rsidRPr="007B3976" w:rsidRDefault="000E6738" w:rsidP="000E6738">
            <w:pPr>
              <w:pStyle w:val="TableText"/>
            </w:pPr>
            <w:r>
              <w:t>Echinoderm</w:t>
            </w:r>
          </w:p>
        </w:tc>
        <w:tc>
          <w:tcPr>
            <w:tcW w:w="905" w:type="pct"/>
            <w:tcBorders>
              <w:top w:val="single" w:sz="12" w:space="0" w:color="auto"/>
            </w:tcBorders>
            <w:shd w:val="clear" w:color="auto" w:fill="auto"/>
          </w:tcPr>
          <w:p w14:paraId="2C2A619E" w14:textId="05EE3FE9" w:rsidR="000E6738" w:rsidRPr="005100F3" w:rsidRDefault="000E6738" w:rsidP="00AC396E">
            <w:pPr>
              <w:pStyle w:val="TableText"/>
            </w:pPr>
            <w:r w:rsidRPr="007B47C9">
              <w:rPr>
                <w:i/>
                <w:iCs/>
              </w:rPr>
              <w:t>Dendrast</w:t>
            </w:r>
            <w:r>
              <w:rPr>
                <w:i/>
                <w:iCs/>
              </w:rPr>
              <w:t>e</w:t>
            </w:r>
            <w:r w:rsidRPr="007B47C9">
              <w:rPr>
                <w:i/>
                <w:iCs/>
              </w:rPr>
              <w:t>r excentricus</w:t>
            </w:r>
          </w:p>
        </w:tc>
        <w:tc>
          <w:tcPr>
            <w:tcW w:w="529" w:type="pct"/>
            <w:tcBorders>
              <w:top w:val="single" w:sz="12" w:space="0" w:color="auto"/>
            </w:tcBorders>
            <w:shd w:val="clear" w:color="auto" w:fill="auto"/>
            <w:noWrap/>
          </w:tcPr>
          <w:p w14:paraId="70EFBFBD" w14:textId="201681A6" w:rsidR="000E6738" w:rsidRPr="005100F3" w:rsidRDefault="000E6738" w:rsidP="00AC396E">
            <w:pPr>
              <w:pStyle w:val="TableText"/>
            </w:pPr>
            <w:r w:rsidRPr="007B47C9">
              <w:t>Sperm</w:t>
            </w:r>
          </w:p>
        </w:tc>
        <w:tc>
          <w:tcPr>
            <w:tcW w:w="527" w:type="pct"/>
            <w:tcBorders>
              <w:top w:val="single" w:sz="12" w:space="0" w:color="auto"/>
            </w:tcBorders>
            <w:shd w:val="clear" w:color="auto" w:fill="auto"/>
          </w:tcPr>
          <w:p w14:paraId="389BB198" w14:textId="1A787308" w:rsidR="000E6738" w:rsidRPr="005100F3" w:rsidRDefault="000E6738" w:rsidP="00AC396E">
            <w:pPr>
              <w:pStyle w:val="TableText"/>
            </w:pPr>
            <w:r>
              <w:t>5 </w:t>
            </w:r>
            <w:r w:rsidRPr="007B47C9">
              <w:t>min</w:t>
            </w:r>
          </w:p>
        </w:tc>
        <w:tc>
          <w:tcPr>
            <w:tcW w:w="528" w:type="pct"/>
            <w:tcBorders>
              <w:top w:val="single" w:sz="12" w:space="0" w:color="auto"/>
            </w:tcBorders>
            <w:shd w:val="clear" w:color="auto" w:fill="auto"/>
          </w:tcPr>
          <w:p w14:paraId="3095AC5E" w14:textId="19E1B673" w:rsidR="000E6738" w:rsidRPr="005100F3" w:rsidRDefault="000E6738" w:rsidP="00AC396E">
            <w:pPr>
              <w:pStyle w:val="TableText"/>
            </w:pPr>
            <w:r w:rsidRPr="007B47C9">
              <w:t>Static</w:t>
            </w:r>
          </w:p>
        </w:tc>
        <w:tc>
          <w:tcPr>
            <w:tcW w:w="605" w:type="pct"/>
            <w:tcBorders>
              <w:top w:val="single" w:sz="12" w:space="0" w:color="auto"/>
            </w:tcBorders>
            <w:shd w:val="clear" w:color="auto" w:fill="auto"/>
          </w:tcPr>
          <w:p w14:paraId="79026923" w14:textId="03212AA1" w:rsidR="000E6738" w:rsidRPr="005100F3" w:rsidRDefault="000E6738" w:rsidP="00AC396E">
            <w:pPr>
              <w:pStyle w:val="TableText"/>
            </w:pPr>
            <w:r w:rsidRPr="007B47C9">
              <w:t>Fertilisation (EC50)</w:t>
            </w:r>
          </w:p>
        </w:tc>
        <w:tc>
          <w:tcPr>
            <w:tcW w:w="605" w:type="pct"/>
            <w:tcBorders>
              <w:top w:val="single" w:sz="12" w:space="0" w:color="auto"/>
            </w:tcBorders>
            <w:shd w:val="clear" w:color="auto" w:fill="auto"/>
          </w:tcPr>
          <w:p w14:paraId="46C467AC" w14:textId="2A6D1597" w:rsidR="000E6738" w:rsidRPr="005100F3" w:rsidRDefault="000E6738" w:rsidP="00AC396E">
            <w:pPr>
              <w:pStyle w:val="TableText"/>
            </w:pPr>
            <w:r w:rsidRPr="007B47C9">
              <w:t>Seawater</w:t>
            </w:r>
            <w:r>
              <w:t xml:space="preserve"> </w:t>
            </w:r>
            <w:r w:rsidRPr="007B47C9">
              <w:t>(28‰)</w:t>
            </w:r>
          </w:p>
        </w:tc>
        <w:tc>
          <w:tcPr>
            <w:tcW w:w="698" w:type="pct"/>
            <w:tcBorders>
              <w:top w:val="single" w:sz="12" w:space="0" w:color="auto"/>
            </w:tcBorders>
            <w:shd w:val="clear" w:color="auto" w:fill="auto"/>
          </w:tcPr>
          <w:p w14:paraId="1F042B1A" w14:textId="35E2170D" w:rsidR="000E6738" w:rsidRPr="000542D9" w:rsidRDefault="000E6738" w:rsidP="00AC396E">
            <w:pPr>
              <w:pStyle w:val="TableText"/>
            </w:pPr>
            <w:r w:rsidRPr="007B47C9">
              <w:rPr>
                <w:bCs/>
              </w:rPr>
              <w:t>6.4</w:t>
            </w:r>
          </w:p>
        </w:tc>
      </w:tr>
      <w:tr w:rsidR="00CA1024" w:rsidRPr="005100F3" w14:paraId="0F1A419F" w14:textId="77777777" w:rsidTr="00CA1024">
        <w:trPr>
          <w:cantSplit/>
          <w:trHeight w:val="515"/>
        </w:trPr>
        <w:tc>
          <w:tcPr>
            <w:tcW w:w="603" w:type="pct"/>
          </w:tcPr>
          <w:p w14:paraId="6E927899" w14:textId="30AC1EE5" w:rsidR="000E6738" w:rsidRPr="007B3976" w:rsidRDefault="000E6738" w:rsidP="00821190">
            <w:pPr>
              <w:pStyle w:val="TableText"/>
            </w:pPr>
            <w:r>
              <w:t>Rotifer</w:t>
            </w:r>
          </w:p>
        </w:tc>
        <w:tc>
          <w:tcPr>
            <w:tcW w:w="905" w:type="pct"/>
            <w:shd w:val="clear" w:color="auto" w:fill="auto"/>
          </w:tcPr>
          <w:p w14:paraId="04297FF2" w14:textId="20302BAB" w:rsidR="000E6738" w:rsidRPr="000E6738" w:rsidDel="0064378B" w:rsidRDefault="000E6738" w:rsidP="00821190">
            <w:pPr>
              <w:pStyle w:val="TableText"/>
            </w:pPr>
            <w:r w:rsidRPr="000E6738">
              <w:rPr>
                <w:i/>
                <w:iCs/>
              </w:rPr>
              <w:t>Brachionus plicatilis</w:t>
            </w:r>
          </w:p>
        </w:tc>
        <w:tc>
          <w:tcPr>
            <w:tcW w:w="529" w:type="pct"/>
            <w:shd w:val="clear" w:color="auto" w:fill="auto"/>
            <w:noWrap/>
          </w:tcPr>
          <w:p w14:paraId="471E0BDB" w14:textId="7307FA9D" w:rsidR="000E6738" w:rsidRPr="000E6738" w:rsidRDefault="000E6738" w:rsidP="00821190">
            <w:pPr>
              <w:pStyle w:val="TableText"/>
            </w:pPr>
            <w:r w:rsidRPr="000E6738">
              <w:t>–</w:t>
            </w:r>
          </w:p>
        </w:tc>
        <w:tc>
          <w:tcPr>
            <w:tcW w:w="527" w:type="pct"/>
            <w:shd w:val="clear" w:color="auto" w:fill="auto"/>
          </w:tcPr>
          <w:p w14:paraId="66B99916" w14:textId="14263B6B" w:rsidR="000E6738" w:rsidRPr="000E6738" w:rsidRDefault="000E6738" w:rsidP="00821190">
            <w:pPr>
              <w:pStyle w:val="TableText"/>
            </w:pPr>
            <w:r w:rsidRPr="000E6738">
              <w:t>30 min</w:t>
            </w:r>
          </w:p>
        </w:tc>
        <w:tc>
          <w:tcPr>
            <w:tcW w:w="528" w:type="pct"/>
            <w:shd w:val="clear" w:color="auto" w:fill="auto"/>
          </w:tcPr>
          <w:p w14:paraId="7932DA99" w14:textId="19C23E62" w:rsidR="000E6738" w:rsidRPr="000E6738" w:rsidRDefault="000E6738" w:rsidP="00821190">
            <w:pPr>
              <w:pStyle w:val="TableText"/>
            </w:pPr>
            <w:r w:rsidRPr="000E6738">
              <w:t>Flow-through</w:t>
            </w:r>
          </w:p>
        </w:tc>
        <w:tc>
          <w:tcPr>
            <w:tcW w:w="605" w:type="pct"/>
            <w:shd w:val="clear" w:color="auto" w:fill="auto"/>
          </w:tcPr>
          <w:p w14:paraId="2EF91838" w14:textId="4BDFE628" w:rsidR="000E6738" w:rsidRPr="000E6738" w:rsidRDefault="000E6738" w:rsidP="00821190">
            <w:pPr>
              <w:pStyle w:val="TableText"/>
            </w:pPr>
            <w:r w:rsidRPr="000E6738">
              <w:t>Mortality (LC50)</w:t>
            </w:r>
          </w:p>
        </w:tc>
        <w:tc>
          <w:tcPr>
            <w:tcW w:w="605" w:type="pct"/>
            <w:shd w:val="clear" w:color="auto" w:fill="auto"/>
          </w:tcPr>
          <w:p w14:paraId="2522E0E8" w14:textId="678D5AFB" w:rsidR="000E6738" w:rsidRPr="000E6738" w:rsidRDefault="000E6738" w:rsidP="00821190">
            <w:pPr>
              <w:pStyle w:val="TableText"/>
            </w:pPr>
            <w:r w:rsidRPr="000E6738">
              <w:t>Seawater (28‰)</w:t>
            </w:r>
          </w:p>
        </w:tc>
        <w:tc>
          <w:tcPr>
            <w:tcW w:w="698" w:type="pct"/>
            <w:shd w:val="clear" w:color="auto" w:fill="auto"/>
          </w:tcPr>
          <w:p w14:paraId="461ADF79" w14:textId="34E82FD8" w:rsidR="000E6738" w:rsidRPr="000E6738" w:rsidRDefault="000E6738" w:rsidP="00821190">
            <w:pPr>
              <w:pStyle w:val="TableText"/>
            </w:pPr>
            <w:r w:rsidRPr="000E6738">
              <w:t>90</w:t>
            </w:r>
          </w:p>
        </w:tc>
      </w:tr>
      <w:tr w:rsidR="00CA1024" w:rsidRPr="005100F3" w14:paraId="046FB31E" w14:textId="77777777" w:rsidTr="00CA1024">
        <w:trPr>
          <w:cantSplit/>
          <w:trHeight w:val="515"/>
        </w:trPr>
        <w:tc>
          <w:tcPr>
            <w:tcW w:w="603" w:type="pct"/>
          </w:tcPr>
          <w:p w14:paraId="7BF85305" w14:textId="271A977C" w:rsidR="000E6738" w:rsidRPr="007B3976" w:rsidRDefault="000E6738" w:rsidP="003F408F">
            <w:pPr>
              <w:pStyle w:val="TableText"/>
            </w:pPr>
            <w:r>
              <w:t>Mollusc</w:t>
            </w:r>
            <w:r w:rsidR="003F408F">
              <w:br/>
            </w:r>
            <w:r>
              <w:t>(bivalve)</w:t>
            </w:r>
          </w:p>
        </w:tc>
        <w:tc>
          <w:tcPr>
            <w:tcW w:w="905" w:type="pct"/>
            <w:shd w:val="clear" w:color="auto" w:fill="auto"/>
          </w:tcPr>
          <w:p w14:paraId="0095EB12" w14:textId="18516F5B" w:rsidR="000E6738" w:rsidRPr="000E6738" w:rsidDel="0064378B" w:rsidRDefault="000E6738" w:rsidP="00821190">
            <w:pPr>
              <w:pStyle w:val="TableText"/>
            </w:pPr>
            <w:r w:rsidRPr="000E6738">
              <w:rPr>
                <w:i/>
                <w:iCs/>
              </w:rPr>
              <w:t>Crassostrea virginica</w:t>
            </w:r>
          </w:p>
        </w:tc>
        <w:tc>
          <w:tcPr>
            <w:tcW w:w="529" w:type="pct"/>
            <w:shd w:val="clear" w:color="auto" w:fill="auto"/>
            <w:noWrap/>
          </w:tcPr>
          <w:p w14:paraId="1267B595" w14:textId="13970056" w:rsidR="000E6738" w:rsidRPr="000E6738" w:rsidRDefault="000E6738" w:rsidP="00821190">
            <w:pPr>
              <w:pStyle w:val="TableText"/>
            </w:pPr>
            <w:r w:rsidRPr="000E6738">
              <w:t>Larva</w:t>
            </w:r>
          </w:p>
        </w:tc>
        <w:tc>
          <w:tcPr>
            <w:tcW w:w="527" w:type="pct"/>
            <w:shd w:val="clear" w:color="auto" w:fill="auto"/>
          </w:tcPr>
          <w:p w14:paraId="2FADD6C5" w14:textId="2AD208EB" w:rsidR="000E6738" w:rsidRPr="000E6738" w:rsidRDefault="000E6738" w:rsidP="00821190">
            <w:pPr>
              <w:pStyle w:val="TableText"/>
            </w:pPr>
            <w:r w:rsidRPr="000E6738">
              <w:t>96 h</w:t>
            </w:r>
          </w:p>
        </w:tc>
        <w:tc>
          <w:tcPr>
            <w:tcW w:w="528" w:type="pct"/>
            <w:shd w:val="clear" w:color="auto" w:fill="auto"/>
          </w:tcPr>
          <w:p w14:paraId="3B15070A" w14:textId="56ACD997" w:rsidR="000E6738" w:rsidRPr="000E6738" w:rsidRDefault="000E6738" w:rsidP="00821190">
            <w:pPr>
              <w:pStyle w:val="TableText"/>
            </w:pPr>
            <w:r w:rsidRPr="000E6738">
              <w:t>Flow-through</w:t>
            </w:r>
          </w:p>
        </w:tc>
        <w:tc>
          <w:tcPr>
            <w:tcW w:w="605" w:type="pct"/>
            <w:shd w:val="clear" w:color="auto" w:fill="auto"/>
          </w:tcPr>
          <w:p w14:paraId="30BBE70F" w14:textId="402454DD" w:rsidR="000E6738" w:rsidRPr="000E6738" w:rsidRDefault="000E6738" w:rsidP="00821190">
            <w:pPr>
              <w:pStyle w:val="TableText"/>
            </w:pPr>
            <w:r w:rsidRPr="000E6738">
              <w:t>Mortality (LC50)</w:t>
            </w:r>
          </w:p>
        </w:tc>
        <w:tc>
          <w:tcPr>
            <w:tcW w:w="605" w:type="pct"/>
            <w:shd w:val="clear" w:color="auto" w:fill="auto"/>
          </w:tcPr>
          <w:p w14:paraId="339BF321" w14:textId="4CD88869" w:rsidR="000E6738" w:rsidRPr="000E6738" w:rsidRDefault="000E6738" w:rsidP="00821190">
            <w:pPr>
              <w:pStyle w:val="TableText"/>
            </w:pPr>
            <w:r w:rsidRPr="000E6738">
              <w:t>Seawater (20‰)</w:t>
            </w:r>
          </w:p>
        </w:tc>
        <w:tc>
          <w:tcPr>
            <w:tcW w:w="698" w:type="pct"/>
            <w:shd w:val="clear" w:color="auto" w:fill="auto"/>
          </w:tcPr>
          <w:p w14:paraId="00CB1A2D" w14:textId="29F61417" w:rsidR="000E6738" w:rsidRPr="000E6738" w:rsidRDefault="000E6738" w:rsidP="00821190">
            <w:pPr>
              <w:pStyle w:val="TableText"/>
            </w:pPr>
            <w:r w:rsidRPr="000E6738">
              <w:t>23</w:t>
            </w:r>
          </w:p>
        </w:tc>
      </w:tr>
      <w:tr w:rsidR="00CA1024" w:rsidRPr="005100F3" w14:paraId="6250ADDC" w14:textId="77777777" w:rsidTr="00CA1024">
        <w:trPr>
          <w:cantSplit/>
          <w:trHeight w:val="515"/>
        </w:trPr>
        <w:tc>
          <w:tcPr>
            <w:tcW w:w="603" w:type="pct"/>
          </w:tcPr>
          <w:p w14:paraId="1384046D" w14:textId="3DA1D435" w:rsidR="000E6738" w:rsidRPr="007B3976" w:rsidRDefault="000E6738" w:rsidP="00821190">
            <w:pPr>
              <w:pStyle w:val="TableText"/>
            </w:pPr>
            <w:r>
              <w:t>Crustacean</w:t>
            </w:r>
            <w:r w:rsidR="007F2E30">
              <w:br/>
            </w:r>
            <w:r>
              <w:t>(copepod)</w:t>
            </w:r>
          </w:p>
        </w:tc>
        <w:tc>
          <w:tcPr>
            <w:tcW w:w="905" w:type="pct"/>
            <w:shd w:val="clear" w:color="auto" w:fill="auto"/>
          </w:tcPr>
          <w:p w14:paraId="24A527D0" w14:textId="3EF0C085" w:rsidR="000E6738" w:rsidRPr="005100F3" w:rsidRDefault="000E6738" w:rsidP="00821190">
            <w:pPr>
              <w:pStyle w:val="TableText"/>
            </w:pPr>
            <w:r w:rsidRPr="007B3976">
              <w:rPr>
                <w:i/>
                <w:iCs/>
              </w:rPr>
              <w:t>Acartia tonsa</w:t>
            </w:r>
          </w:p>
        </w:tc>
        <w:tc>
          <w:tcPr>
            <w:tcW w:w="529" w:type="pct"/>
            <w:shd w:val="clear" w:color="auto" w:fill="auto"/>
            <w:noWrap/>
          </w:tcPr>
          <w:p w14:paraId="6EF51B58" w14:textId="47B7AC6E" w:rsidR="000E6738" w:rsidRPr="005100F3" w:rsidRDefault="000E6738" w:rsidP="00821190">
            <w:pPr>
              <w:pStyle w:val="TableText"/>
            </w:pPr>
            <w:r>
              <w:t>–</w:t>
            </w:r>
          </w:p>
        </w:tc>
        <w:tc>
          <w:tcPr>
            <w:tcW w:w="527" w:type="pct"/>
            <w:shd w:val="clear" w:color="auto" w:fill="auto"/>
          </w:tcPr>
          <w:p w14:paraId="4C26F56E" w14:textId="1D259C89" w:rsidR="000E6738" w:rsidRPr="005100F3" w:rsidRDefault="000E6738" w:rsidP="00821190">
            <w:pPr>
              <w:pStyle w:val="TableText"/>
            </w:pPr>
            <w:r w:rsidRPr="007B3976">
              <w:t>96</w:t>
            </w:r>
            <w:r>
              <w:t> h</w:t>
            </w:r>
          </w:p>
        </w:tc>
        <w:tc>
          <w:tcPr>
            <w:tcW w:w="528" w:type="pct"/>
            <w:shd w:val="clear" w:color="auto" w:fill="auto"/>
          </w:tcPr>
          <w:p w14:paraId="28EB7C82" w14:textId="3F337ABA" w:rsidR="000E6738" w:rsidRPr="005100F3" w:rsidRDefault="000E6738" w:rsidP="00821190">
            <w:pPr>
              <w:pStyle w:val="TableText"/>
            </w:pPr>
            <w:r w:rsidRPr="007B3976">
              <w:t>Flow</w:t>
            </w:r>
            <w:r>
              <w:t>-</w:t>
            </w:r>
            <w:r w:rsidRPr="007B3976">
              <w:t>through</w:t>
            </w:r>
          </w:p>
        </w:tc>
        <w:tc>
          <w:tcPr>
            <w:tcW w:w="605" w:type="pct"/>
            <w:shd w:val="clear" w:color="auto" w:fill="auto"/>
          </w:tcPr>
          <w:p w14:paraId="6D1446FD" w14:textId="77777777" w:rsidR="000E6738" w:rsidRPr="005100F3" w:rsidRDefault="000E6738" w:rsidP="00821190">
            <w:pPr>
              <w:pStyle w:val="TableText"/>
            </w:pPr>
            <w:r w:rsidRPr="007B3976">
              <w:t>Mortality (LC50)</w:t>
            </w:r>
          </w:p>
        </w:tc>
        <w:tc>
          <w:tcPr>
            <w:tcW w:w="605" w:type="pct"/>
            <w:shd w:val="clear" w:color="auto" w:fill="auto"/>
          </w:tcPr>
          <w:p w14:paraId="5F755E6B" w14:textId="75E31FDD" w:rsidR="000E6738" w:rsidRPr="005100F3" w:rsidRDefault="000E6738" w:rsidP="00821190">
            <w:pPr>
              <w:pStyle w:val="TableText"/>
            </w:pPr>
            <w:r w:rsidRPr="007B3976">
              <w:t>Seawater</w:t>
            </w:r>
            <w:r>
              <w:t xml:space="preserve"> </w:t>
            </w:r>
            <w:r w:rsidRPr="007B3976">
              <w:t>(20‰)</w:t>
            </w:r>
          </w:p>
        </w:tc>
        <w:tc>
          <w:tcPr>
            <w:tcW w:w="698" w:type="pct"/>
            <w:shd w:val="clear" w:color="auto" w:fill="auto"/>
          </w:tcPr>
          <w:p w14:paraId="36A5FAB5" w14:textId="3E6AB9E5" w:rsidR="000E6738" w:rsidRPr="000542D9" w:rsidRDefault="000E6738" w:rsidP="00821190">
            <w:pPr>
              <w:pStyle w:val="TableText"/>
            </w:pPr>
            <w:r w:rsidRPr="000542D9">
              <w:t>29</w:t>
            </w:r>
          </w:p>
        </w:tc>
      </w:tr>
      <w:tr w:rsidR="00CA1024" w:rsidRPr="005100F3" w14:paraId="6ADEC6AB" w14:textId="77777777" w:rsidTr="00CA1024">
        <w:trPr>
          <w:cantSplit/>
          <w:trHeight w:val="584"/>
        </w:trPr>
        <w:tc>
          <w:tcPr>
            <w:tcW w:w="603" w:type="pct"/>
            <w:vMerge w:val="restart"/>
          </w:tcPr>
          <w:p w14:paraId="00FB0503" w14:textId="133F2747" w:rsidR="00C73759" w:rsidRPr="005100F3" w:rsidRDefault="00C73759" w:rsidP="00821190">
            <w:pPr>
              <w:pStyle w:val="TableText"/>
            </w:pPr>
            <w:r>
              <w:t>Crustacean</w:t>
            </w:r>
            <w:r>
              <w:br/>
              <w:t>(amphipod)</w:t>
            </w:r>
          </w:p>
        </w:tc>
        <w:tc>
          <w:tcPr>
            <w:tcW w:w="905" w:type="pct"/>
            <w:shd w:val="clear" w:color="auto" w:fill="auto"/>
          </w:tcPr>
          <w:p w14:paraId="5F6E5C18" w14:textId="546DBE65" w:rsidR="00C73759" w:rsidRPr="005100F3" w:rsidRDefault="00C73759" w:rsidP="00821190">
            <w:pPr>
              <w:pStyle w:val="TableText"/>
            </w:pPr>
            <w:r w:rsidRPr="005100F3">
              <w:rPr>
                <w:i/>
                <w:iCs/>
              </w:rPr>
              <w:t>Pontogeneia</w:t>
            </w:r>
            <w:r>
              <w:rPr>
                <w:i/>
                <w:iCs/>
              </w:rPr>
              <w:t> </w:t>
            </w:r>
            <w:r w:rsidRPr="005100F3">
              <w:t>sp</w:t>
            </w:r>
            <w:r>
              <w:t>.</w:t>
            </w:r>
          </w:p>
        </w:tc>
        <w:tc>
          <w:tcPr>
            <w:tcW w:w="529" w:type="pct"/>
            <w:shd w:val="clear" w:color="auto" w:fill="auto"/>
          </w:tcPr>
          <w:p w14:paraId="27D000E0" w14:textId="77777777" w:rsidR="00C73759" w:rsidRPr="005100F3" w:rsidRDefault="00C73759" w:rsidP="00821190">
            <w:pPr>
              <w:pStyle w:val="TableText"/>
            </w:pPr>
            <w:r w:rsidRPr="005100F3">
              <w:t>Adult</w:t>
            </w:r>
          </w:p>
        </w:tc>
        <w:tc>
          <w:tcPr>
            <w:tcW w:w="527" w:type="pct"/>
            <w:shd w:val="clear" w:color="auto" w:fill="auto"/>
          </w:tcPr>
          <w:p w14:paraId="71BE6A63" w14:textId="00330861" w:rsidR="00C73759" w:rsidRPr="005100F3" w:rsidRDefault="00C73759" w:rsidP="00821190">
            <w:pPr>
              <w:pStyle w:val="TableText"/>
            </w:pPr>
            <w:r w:rsidRPr="005100F3">
              <w:t>96</w:t>
            </w:r>
            <w:r>
              <w:t> h</w:t>
            </w:r>
          </w:p>
        </w:tc>
        <w:tc>
          <w:tcPr>
            <w:tcW w:w="528" w:type="pct"/>
            <w:shd w:val="clear" w:color="auto" w:fill="auto"/>
          </w:tcPr>
          <w:p w14:paraId="0D80C957" w14:textId="05CB57C5" w:rsidR="00C73759" w:rsidRPr="005100F3" w:rsidRDefault="00C73759" w:rsidP="00821190">
            <w:pPr>
              <w:pStyle w:val="TableText"/>
            </w:pPr>
            <w:r w:rsidRPr="005100F3">
              <w:t>Flow</w:t>
            </w:r>
            <w:r>
              <w:t>-</w:t>
            </w:r>
            <w:r w:rsidRPr="005100F3">
              <w:t>through</w:t>
            </w:r>
          </w:p>
        </w:tc>
        <w:tc>
          <w:tcPr>
            <w:tcW w:w="605" w:type="pct"/>
            <w:shd w:val="clear" w:color="auto" w:fill="auto"/>
          </w:tcPr>
          <w:p w14:paraId="20B8B951" w14:textId="77777777" w:rsidR="00C73759" w:rsidRPr="005100F3" w:rsidRDefault="00C73759" w:rsidP="00821190">
            <w:pPr>
              <w:pStyle w:val="TableText"/>
            </w:pPr>
            <w:r w:rsidRPr="005100F3">
              <w:t>Mortality (LC50)</w:t>
            </w:r>
          </w:p>
        </w:tc>
        <w:tc>
          <w:tcPr>
            <w:tcW w:w="605" w:type="pct"/>
            <w:shd w:val="clear" w:color="auto" w:fill="auto"/>
          </w:tcPr>
          <w:p w14:paraId="69AA206E" w14:textId="77777777" w:rsidR="00C73759" w:rsidRPr="005100F3" w:rsidRDefault="00C73759" w:rsidP="00821190">
            <w:pPr>
              <w:pStyle w:val="TableText"/>
            </w:pPr>
            <w:r w:rsidRPr="005100F3">
              <w:t>Seawater (28‰)</w:t>
            </w:r>
          </w:p>
        </w:tc>
        <w:tc>
          <w:tcPr>
            <w:tcW w:w="698" w:type="pct"/>
            <w:shd w:val="clear" w:color="auto" w:fill="auto"/>
          </w:tcPr>
          <w:p w14:paraId="42D7C649" w14:textId="77777777" w:rsidR="00C73759" w:rsidRPr="005100F3" w:rsidRDefault="00C73759" w:rsidP="00821190">
            <w:pPr>
              <w:pStyle w:val="TableText"/>
            </w:pPr>
            <w:r w:rsidRPr="005100F3">
              <w:t>687</w:t>
            </w:r>
          </w:p>
        </w:tc>
      </w:tr>
      <w:tr w:rsidR="00CA1024" w:rsidRPr="005100F3" w14:paraId="7EF0D7DE" w14:textId="77777777" w:rsidTr="00CA1024">
        <w:trPr>
          <w:cantSplit/>
          <w:trHeight w:val="241"/>
        </w:trPr>
        <w:tc>
          <w:tcPr>
            <w:tcW w:w="603" w:type="pct"/>
            <w:vMerge/>
            <w:tcBorders>
              <w:bottom w:val="nil"/>
            </w:tcBorders>
          </w:tcPr>
          <w:p w14:paraId="3612FED0" w14:textId="3AD637E0" w:rsidR="00C73759" w:rsidRPr="005100F3" w:rsidRDefault="00C73759" w:rsidP="00821190">
            <w:pPr>
              <w:pStyle w:val="TableText"/>
            </w:pPr>
          </w:p>
        </w:tc>
        <w:tc>
          <w:tcPr>
            <w:tcW w:w="905" w:type="pct"/>
            <w:shd w:val="clear" w:color="auto" w:fill="auto"/>
          </w:tcPr>
          <w:p w14:paraId="7F787A64" w14:textId="2FBECF13" w:rsidR="00C73759" w:rsidRPr="005100F3" w:rsidRDefault="00C73759" w:rsidP="00821190">
            <w:pPr>
              <w:pStyle w:val="TableText"/>
            </w:pPr>
            <w:r w:rsidRPr="005100F3">
              <w:rPr>
                <w:i/>
                <w:iCs/>
              </w:rPr>
              <w:t>Anonyx</w:t>
            </w:r>
            <w:r>
              <w:rPr>
                <w:i/>
                <w:iCs/>
              </w:rPr>
              <w:t> </w:t>
            </w:r>
            <w:r w:rsidRPr="005100F3">
              <w:t>sp</w:t>
            </w:r>
            <w:r>
              <w:t>.</w:t>
            </w:r>
          </w:p>
        </w:tc>
        <w:tc>
          <w:tcPr>
            <w:tcW w:w="529" w:type="pct"/>
            <w:shd w:val="clear" w:color="auto" w:fill="auto"/>
          </w:tcPr>
          <w:p w14:paraId="4BFC3A4D" w14:textId="77777777" w:rsidR="00C73759" w:rsidRPr="005100F3" w:rsidRDefault="00C73759" w:rsidP="00821190">
            <w:pPr>
              <w:pStyle w:val="TableText"/>
            </w:pPr>
            <w:r w:rsidRPr="005100F3">
              <w:t>Adult</w:t>
            </w:r>
          </w:p>
        </w:tc>
        <w:tc>
          <w:tcPr>
            <w:tcW w:w="527" w:type="pct"/>
            <w:shd w:val="clear" w:color="auto" w:fill="auto"/>
          </w:tcPr>
          <w:p w14:paraId="26556C13" w14:textId="64ACB123" w:rsidR="00C73759" w:rsidRPr="005100F3" w:rsidRDefault="00C73759" w:rsidP="00821190">
            <w:pPr>
              <w:pStyle w:val="TableText"/>
            </w:pPr>
            <w:r w:rsidRPr="005100F3">
              <w:t>96</w:t>
            </w:r>
            <w:r>
              <w:t> h</w:t>
            </w:r>
          </w:p>
        </w:tc>
        <w:tc>
          <w:tcPr>
            <w:tcW w:w="528" w:type="pct"/>
            <w:shd w:val="clear" w:color="auto" w:fill="auto"/>
          </w:tcPr>
          <w:p w14:paraId="7D56D766" w14:textId="5305586F" w:rsidR="00C73759" w:rsidRPr="005100F3" w:rsidRDefault="00C73759" w:rsidP="00821190">
            <w:pPr>
              <w:pStyle w:val="TableText"/>
            </w:pPr>
            <w:r w:rsidRPr="005100F3">
              <w:t>Flow</w:t>
            </w:r>
            <w:r>
              <w:t>-</w:t>
            </w:r>
            <w:r w:rsidRPr="005100F3">
              <w:t>through</w:t>
            </w:r>
          </w:p>
        </w:tc>
        <w:tc>
          <w:tcPr>
            <w:tcW w:w="605" w:type="pct"/>
            <w:shd w:val="clear" w:color="auto" w:fill="auto"/>
          </w:tcPr>
          <w:p w14:paraId="07924E4F" w14:textId="77777777" w:rsidR="00C73759" w:rsidRPr="005100F3" w:rsidRDefault="00C73759" w:rsidP="00821190">
            <w:pPr>
              <w:pStyle w:val="TableText"/>
            </w:pPr>
            <w:r w:rsidRPr="005100F3">
              <w:t>Mortality (LC50)</w:t>
            </w:r>
          </w:p>
        </w:tc>
        <w:tc>
          <w:tcPr>
            <w:tcW w:w="605" w:type="pct"/>
            <w:shd w:val="clear" w:color="auto" w:fill="auto"/>
          </w:tcPr>
          <w:p w14:paraId="12D2CFB2" w14:textId="77777777" w:rsidR="00C73759" w:rsidRPr="005100F3" w:rsidRDefault="00C73759" w:rsidP="00821190">
            <w:pPr>
              <w:pStyle w:val="TableText"/>
            </w:pPr>
            <w:r w:rsidRPr="005100F3">
              <w:t>Seawater (28‰)</w:t>
            </w:r>
          </w:p>
        </w:tc>
        <w:tc>
          <w:tcPr>
            <w:tcW w:w="698" w:type="pct"/>
            <w:shd w:val="clear" w:color="auto" w:fill="auto"/>
          </w:tcPr>
          <w:p w14:paraId="2AF7C943" w14:textId="77777777" w:rsidR="00C73759" w:rsidRPr="005100F3" w:rsidRDefault="00C73759" w:rsidP="00821190">
            <w:pPr>
              <w:pStyle w:val="TableText"/>
            </w:pPr>
            <w:r w:rsidRPr="005100F3">
              <w:t>145</w:t>
            </w:r>
          </w:p>
        </w:tc>
      </w:tr>
      <w:tr w:rsidR="00CA1024" w:rsidRPr="005100F3" w14:paraId="7651197E" w14:textId="7EC2C4B9" w:rsidTr="00CA1024">
        <w:trPr>
          <w:cantSplit/>
          <w:trHeight w:val="515"/>
        </w:trPr>
        <w:tc>
          <w:tcPr>
            <w:tcW w:w="603" w:type="pct"/>
          </w:tcPr>
          <w:p w14:paraId="6AD493F3" w14:textId="6A5451E1" w:rsidR="000E6738" w:rsidRPr="005100F3" w:rsidRDefault="000E6738" w:rsidP="00821190">
            <w:pPr>
              <w:pStyle w:val="TableText"/>
            </w:pPr>
            <w:r>
              <w:t>Crustacean</w:t>
            </w:r>
            <w:r w:rsidR="00C73759">
              <w:br/>
            </w:r>
            <w:r>
              <w:t>(lobster)</w:t>
            </w:r>
          </w:p>
        </w:tc>
        <w:tc>
          <w:tcPr>
            <w:tcW w:w="905" w:type="pct"/>
            <w:shd w:val="clear" w:color="auto" w:fill="auto"/>
          </w:tcPr>
          <w:p w14:paraId="3C46F1A5" w14:textId="114E374D" w:rsidR="000E6738" w:rsidRPr="005100F3" w:rsidRDefault="000E6738" w:rsidP="00821190">
            <w:pPr>
              <w:pStyle w:val="TableText"/>
            </w:pPr>
            <w:r w:rsidRPr="005100F3">
              <w:rPr>
                <w:i/>
                <w:iCs/>
              </w:rPr>
              <w:t>Homarus americanus</w:t>
            </w:r>
          </w:p>
        </w:tc>
        <w:tc>
          <w:tcPr>
            <w:tcW w:w="529" w:type="pct"/>
            <w:shd w:val="clear" w:color="auto" w:fill="auto"/>
          </w:tcPr>
          <w:p w14:paraId="08B10BA8" w14:textId="00AC4557" w:rsidR="000E6738" w:rsidRPr="005100F3" w:rsidRDefault="000E6738" w:rsidP="00821190">
            <w:pPr>
              <w:pStyle w:val="TableText"/>
            </w:pPr>
            <w:r w:rsidRPr="005100F3">
              <w:t>Larva</w:t>
            </w:r>
          </w:p>
        </w:tc>
        <w:tc>
          <w:tcPr>
            <w:tcW w:w="527" w:type="pct"/>
            <w:shd w:val="clear" w:color="auto" w:fill="auto"/>
          </w:tcPr>
          <w:p w14:paraId="0B18CECD" w14:textId="086611AC" w:rsidR="000E6738" w:rsidRPr="005100F3" w:rsidRDefault="000E6738" w:rsidP="00821190">
            <w:pPr>
              <w:pStyle w:val="TableText"/>
            </w:pPr>
            <w:r w:rsidRPr="005100F3">
              <w:t>1</w:t>
            </w:r>
            <w:r>
              <w:t> h</w:t>
            </w:r>
          </w:p>
        </w:tc>
        <w:tc>
          <w:tcPr>
            <w:tcW w:w="528" w:type="pct"/>
            <w:shd w:val="clear" w:color="auto" w:fill="auto"/>
          </w:tcPr>
          <w:p w14:paraId="6CF34BEB" w14:textId="2018CCE3" w:rsidR="000E6738" w:rsidRPr="005100F3" w:rsidRDefault="000E6738" w:rsidP="00821190">
            <w:pPr>
              <w:pStyle w:val="TableText"/>
            </w:pPr>
            <w:r w:rsidRPr="005100F3">
              <w:t>Flow</w:t>
            </w:r>
            <w:r>
              <w:t>-</w:t>
            </w:r>
            <w:r w:rsidRPr="005100F3">
              <w:t>through</w:t>
            </w:r>
          </w:p>
        </w:tc>
        <w:tc>
          <w:tcPr>
            <w:tcW w:w="605" w:type="pct"/>
            <w:shd w:val="clear" w:color="auto" w:fill="auto"/>
          </w:tcPr>
          <w:p w14:paraId="4CB47A8B" w14:textId="46ED4207" w:rsidR="000E6738" w:rsidRPr="005100F3" w:rsidRDefault="000E6738" w:rsidP="00821190">
            <w:pPr>
              <w:pStyle w:val="TableText"/>
            </w:pPr>
            <w:r w:rsidRPr="005100F3">
              <w:t>Mortality (LC50)</w:t>
            </w:r>
          </w:p>
        </w:tc>
        <w:tc>
          <w:tcPr>
            <w:tcW w:w="605" w:type="pct"/>
            <w:shd w:val="clear" w:color="auto" w:fill="auto"/>
          </w:tcPr>
          <w:p w14:paraId="42CE1038" w14:textId="23F963E0" w:rsidR="000E6738" w:rsidRPr="005100F3" w:rsidRDefault="000E6738" w:rsidP="00821190">
            <w:pPr>
              <w:pStyle w:val="TableText"/>
            </w:pPr>
            <w:r w:rsidRPr="005100F3">
              <w:t>Seawater</w:t>
            </w:r>
            <w:r>
              <w:t xml:space="preserve"> </w:t>
            </w:r>
            <w:r w:rsidRPr="005100F3">
              <w:t>(28‰)</w:t>
            </w:r>
          </w:p>
        </w:tc>
        <w:tc>
          <w:tcPr>
            <w:tcW w:w="698" w:type="pct"/>
            <w:shd w:val="clear" w:color="auto" w:fill="auto"/>
          </w:tcPr>
          <w:p w14:paraId="1101F5E2" w14:textId="12A2A664" w:rsidR="000E6738" w:rsidRPr="005100F3" w:rsidRDefault="000E6738" w:rsidP="00821190">
            <w:pPr>
              <w:pStyle w:val="TableText"/>
            </w:pPr>
            <w:r w:rsidRPr="005100F3">
              <w:t>2</w:t>
            </w:r>
            <w:r>
              <w:t> </w:t>
            </w:r>
            <w:r w:rsidRPr="005100F3">
              <w:t>890</w:t>
            </w:r>
          </w:p>
        </w:tc>
      </w:tr>
      <w:tr w:rsidR="00CA1024" w:rsidRPr="005100F3" w14:paraId="42B112BE" w14:textId="209DB262" w:rsidTr="00CA1024">
        <w:trPr>
          <w:cantSplit/>
          <w:trHeight w:val="515"/>
        </w:trPr>
        <w:tc>
          <w:tcPr>
            <w:tcW w:w="603" w:type="pct"/>
            <w:vMerge w:val="restart"/>
          </w:tcPr>
          <w:p w14:paraId="4CB0D64C" w14:textId="149C0B81" w:rsidR="00C73759" w:rsidRPr="005100F3" w:rsidRDefault="00C73759" w:rsidP="00821190">
            <w:pPr>
              <w:pStyle w:val="TableText"/>
            </w:pPr>
            <w:r>
              <w:t>Crustacean</w:t>
            </w:r>
            <w:r>
              <w:br/>
              <w:t>(mysid)</w:t>
            </w:r>
          </w:p>
        </w:tc>
        <w:tc>
          <w:tcPr>
            <w:tcW w:w="905" w:type="pct"/>
            <w:shd w:val="clear" w:color="auto" w:fill="auto"/>
          </w:tcPr>
          <w:p w14:paraId="204BFF38" w14:textId="76D5EB5C" w:rsidR="00C73759" w:rsidRPr="005100F3" w:rsidRDefault="00C73759" w:rsidP="00821190">
            <w:pPr>
              <w:pStyle w:val="TableText"/>
            </w:pPr>
            <w:r w:rsidRPr="005100F3">
              <w:rPr>
                <w:i/>
                <w:iCs/>
              </w:rPr>
              <w:t>Neomysis</w:t>
            </w:r>
            <w:r>
              <w:rPr>
                <w:i/>
                <w:iCs/>
              </w:rPr>
              <w:t> </w:t>
            </w:r>
            <w:r w:rsidRPr="005100F3">
              <w:t>sp</w:t>
            </w:r>
            <w:r>
              <w:t>.</w:t>
            </w:r>
          </w:p>
        </w:tc>
        <w:tc>
          <w:tcPr>
            <w:tcW w:w="529" w:type="pct"/>
            <w:shd w:val="clear" w:color="auto" w:fill="auto"/>
          </w:tcPr>
          <w:p w14:paraId="1E8AD858" w14:textId="770E9585" w:rsidR="00C73759" w:rsidRPr="005100F3" w:rsidRDefault="00C73759" w:rsidP="00821190">
            <w:pPr>
              <w:pStyle w:val="TableText"/>
            </w:pPr>
            <w:r w:rsidRPr="005100F3">
              <w:t>Adult</w:t>
            </w:r>
          </w:p>
        </w:tc>
        <w:tc>
          <w:tcPr>
            <w:tcW w:w="527" w:type="pct"/>
            <w:shd w:val="clear" w:color="auto" w:fill="auto"/>
          </w:tcPr>
          <w:p w14:paraId="4F9A6902" w14:textId="3B4CAA9D" w:rsidR="00C73759" w:rsidRPr="005100F3" w:rsidRDefault="00C73759" w:rsidP="00821190">
            <w:pPr>
              <w:pStyle w:val="TableText"/>
            </w:pPr>
            <w:r w:rsidRPr="005100F3">
              <w:t>96</w:t>
            </w:r>
            <w:r>
              <w:t> h</w:t>
            </w:r>
          </w:p>
        </w:tc>
        <w:tc>
          <w:tcPr>
            <w:tcW w:w="528" w:type="pct"/>
            <w:shd w:val="clear" w:color="auto" w:fill="auto"/>
          </w:tcPr>
          <w:p w14:paraId="078CC9AE" w14:textId="2258DFDA" w:rsidR="00C73759" w:rsidRPr="005100F3" w:rsidRDefault="00C73759" w:rsidP="00821190">
            <w:pPr>
              <w:pStyle w:val="TableText"/>
            </w:pPr>
            <w:r w:rsidRPr="005100F3">
              <w:t>Flow</w:t>
            </w:r>
            <w:r>
              <w:t>-</w:t>
            </w:r>
            <w:r w:rsidRPr="005100F3">
              <w:t>through</w:t>
            </w:r>
          </w:p>
        </w:tc>
        <w:tc>
          <w:tcPr>
            <w:tcW w:w="605" w:type="pct"/>
            <w:shd w:val="clear" w:color="auto" w:fill="auto"/>
          </w:tcPr>
          <w:p w14:paraId="3F21DA4C" w14:textId="1816B12F" w:rsidR="00C73759" w:rsidRPr="005100F3" w:rsidRDefault="00C73759" w:rsidP="00821190">
            <w:pPr>
              <w:pStyle w:val="TableText"/>
            </w:pPr>
            <w:r w:rsidRPr="005100F3">
              <w:t>Mortality (LC50)</w:t>
            </w:r>
          </w:p>
        </w:tc>
        <w:tc>
          <w:tcPr>
            <w:tcW w:w="605" w:type="pct"/>
            <w:shd w:val="clear" w:color="auto" w:fill="auto"/>
          </w:tcPr>
          <w:p w14:paraId="10C07765" w14:textId="39980734" w:rsidR="00C73759" w:rsidRPr="00F46904" w:rsidRDefault="00C73759" w:rsidP="00821190">
            <w:pPr>
              <w:pStyle w:val="TableText"/>
            </w:pPr>
            <w:r w:rsidRPr="00F46904">
              <w:t>Seawater (28‰)</w:t>
            </w:r>
          </w:p>
        </w:tc>
        <w:tc>
          <w:tcPr>
            <w:tcW w:w="698" w:type="pct"/>
            <w:shd w:val="clear" w:color="auto" w:fill="auto"/>
          </w:tcPr>
          <w:p w14:paraId="5CD11D8F" w14:textId="18593966" w:rsidR="00C73759" w:rsidRPr="005100F3" w:rsidRDefault="00C73759" w:rsidP="00821190">
            <w:pPr>
              <w:pStyle w:val="TableText"/>
            </w:pPr>
            <w:r w:rsidRPr="005100F3">
              <w:t>162</w:t>
            </w:r>
          </w:p>
        </w:tc>
      </w:tr>
      <w:tr w:rsidR="00CA1024" w:rsidRPr="005100F3" w14:paraId="01E604A9" w14:textId="31FBB9EC" w:rsidTr="00CA1024">
        <w:trPr>
          <w:cantSplit/>
          <w:trHeight w:val="515"/>
        </w:trPr>
        <w:tc>
          <w:tcPr>
            <w:tcW w:w="603" w:type="pct"/>
            <w:vMerge/>
            <w:tcBorders>
              <w:bottom w:val="single" w:sz="4" w:space="0" w:color="auto"/>
            </w:tcBorders>
          </w:tcPr>
          <w:p w14:paraId="7B7CB4B0" w14:textId="23196C6D" w:rsidR="00C73759" w:rsidRPr="007B3976" w:rsidRDefault="00C73759" w:rsidP="00821190">
            <w:pPr>
              <w:pStyle w:val="TableText"/>
            </w:pPr>
          </w:p>
        </w:tc>
        <w:tc>
          <w:tcPr>
            <w:tcW w:w="905" w:type="pct"/>
            <w:shd w:val="clear" w:color="auto" w:fill="auto"/>
          </w:tcPr>
          <w:p w14:paraId="1E28CD94" w14:textId="7D52E914" w:rsidR="00C73759" w:rsidRPr="005100F3" w:rsidRDefault="00C73759" w:rsidP="00821190">
            <w:pPr>
              <w:pStyle w:val="TableText"/>
            </w:pPr>
            <w:r w:rsidRPr="007B3976">
              <w:rPr>
                <w:i/>
              </w:rPr>
              <w:t>Mysidopsis bahia</w:t>
            </w:r>
          </w:p>
        </w:tc>
        <w:tc>
          <w:tcPr>
            <w:tcW w:w="529" w:type="pct"/>
            <w:shd w:val="clear" w:color="auto" w:fill="auto"/>
          </w:tcPr>
          <w:p w14:paraId="1E637658" w14:textId="4E9C300E" w:rsidR="00C73759" w:rsidRPr="005100F3" w:rsidRDefault="00C73759" w:rsidP="00821190">
            <w:pPr>
              <w:pStyle w:val="TableText"/>
            </w:pPr>
            <w:r w:rsidRPr="007B3976">
              <w:t>Juvenile</w:t>
            </w:r>
          </w:p>
        </w:tc>
        <w:tc>
          <w:tcPr>
            <w:tcW w:w="527" w:type="pct"/>
            <w:shd w:val="clear" w:color="auto" w:fill="auto"/>
          </w:tcPr>
          <w:p w14:paraId="68BFBDB2" w14:textId="56A75EDF" w:rsidR="00C73759" w:rsidRPr="005100F3" w:rsidRDefault="00C73759" w:rsidP="00821190">
            <w:pPr>
              <w:pStyle w:val="TableText"/>
            </w:pPr>
            <w:r w:rsidRPr="007B3976">
              <w:t>96</w:t>
            </w:r>
            <w:r>
              <w:t> h</w:t>
            </w:r>
          </w:p>
        </w:tc>
        <w:tc>
          <w:tcPr>
            <w:tcW w:w="528" w:type="pct"/>
            <w:shd w:val="clear" w:color="auto" w:fill="auto"/>
          </w:tcPr>
          <w:p w14:paraId="551B68B0" w14:textId="2E55BA42" w:rsidR="00C73759" w:rsidRPr="005100F3" w:rsidRDefault="00C73759" w:rsidP="00821190">
            <w:pPr>
              <w:pStyle w:val="TableText"/>
            </w:pPr>
            <w:r w:rsidRPr="007B3976">
              <w:t>Flow</w:t>
            </w:r>
            <w:r>
              <w:t>-</w:t>
            </w:r>
            <w:r w:rsidRPr="007B3976">
              <w:t>through</w:t>
            </w:r>
          </w:p>
        </w:tc>
        <w:tc>
          <w:tcPr>
            <w:tcW w:w="605" w:type="pct"/>
            <w:shd w:val="clear" w:color="auto" w:fill="auto"/>
          </w:tcPr>
          <w:p w14:paraId="178C0A52" w14:textId="140CB451" w:rsidR="00C73759" w:rsidRPr="005100F3" w:rsidRDefault="00C73759" w:rsidP="00821190">
            <w:pPr>
              <w:pStyle w:val="TableText"/>
            </w:pPr>
            <w:r w:rsidRPr="007B3976">
              <w:t>Mortality (LC50)</w:t>
            </w:r>
          </w:p>
        </w:tc>
        <w:tc>
          <w:tcPr>
            <w:tcW w:w="605" w:type="pct"/>
            <w:shd w:val="clear" w:color="auto" w:fill="auto"/>
          </w:tcPr>
          <w:p w14:paraId="7274B238" w14:textId="1D54142B" w:rsidR="00C73759" w:rsidRPr="005100F3" w:rsidRDefault="00C73759" w:rsidP="00821190">
            <w:pPr>
              <w:pStyle w:val="TableText"/>
            </w:pPr>
            <w:r w:rsidRPr="007B3976">
              <w:t>Seawater</w:t>
            </w:r>
            <w:r>
              <w:t xml:space="preserve"> </w:t>
            </w:r>
            <w:r w:rsidRPr="007B3976">
              <w:t>(</w:t>
            </w:r>
            <w:r>
              <w:t>20–</w:t>
            </w:r>
            <w:r w:rsidRPr="007B3976">
              <w:t>20.5‰)</w:t>
            </w:r>
          </w:p>
        </w:tc>
        <w:tc>
          <w:tcPr>
            <w:tcW w:w="698" w:type="pct"/>
            <w:shd w:val="clear" w:color="auto" w:fill="auto"/>
          </w:tcPr>
          <w:p w14:paraId="21187199" w14:textId="53E71007" w:rsidR="00C73759" w:rsidRPr="000542D9" w:rsidRDefault="00C73759" w:rsidP="00821190">
            <w:pPr>
              <w:pStyle w:val="TableText"/>
            </w:pPr>
            <w:r w:rsidRPr="000542D9">
              <w:t>68</w:t>
            </w:r>
          </w:p>
        </w:tc>
      </w:tr>
      <w:tr w:rsidR="00CA1024" w:rsidRPr="005100F3" w14:paraId="7D0EC05F" w14:textId="77777777" w:rsidTr="00CA1024">
        <w:trPr>
          <w:cantSplit/>
          <w:trHeight w:val="515"/>
        </w:trPr>
        <w:tc>
          <w:tcPr>
            <w:tcW w:w="603" w:type="pct"/>
            <w:vMerge w:val="restart"/>
            <w:tcBorders>
              <w:top w:val="single" w:sz="4" w:space="0" w:color="auto"/>
            </w:tcBorders>
          </w:tcPr>
          <w:p w14:paraId="1FCCC917" w14:textId="71A4625E" w:rsidR="00C73759" w:rsidRPr="005100F3" w:rsidRDefault="00C73759" w:rsidP="00821190">
            <w:pPr>
              <w:pStyle w:val="TableText"/>
            </w:pPr>
            <w:r>
              <w:t>Crustacean</w:t>
            </w:r>
            <w:r>
              <w:br/>
              <w:t>(shrimp)</w:t>
            </w:r>
          </w:p>
        </w:tc>
        <w:tc>
          <w:tcPr>
            <w:tcW w:w="905" w:type="pct"/>
            <w:shd w:val="clear" w:color="auto" w:fill="auto"/>
          </w:tcPr>
          <w:p w14:paraId="0841B4B3" w14:textId="2738F0D4" w:rsidR="00C73759" w:rsidRPr="005100F3" w:rsidRDefault="00C73759" w:rsidP="00821190">
            <w:pPr>
              <w:pStyle w:val="TableText"/>
            </w:pPr>
            <w:r w:rsidRPr="005100F3">
              <w:rPr>
                <w:i/>
                <w:iCs/>
              </w:rPr>
              <w:t>Pandalus danae</w:t>
            </w:r>
          </w:p>
        </w:tc>
        <w:tc>
          <w:tcPr>
            <w:tcW w:w="529" w:type="pct"/>
            <w:shd w:val="clear" w:color="auto" w:fill="auto"/>
          </w:tcPr>
          <w:p w14:paraId="5BBDEEFF" w14:textId="24B3F0F5" w:rsidR="00C73759" w:rsidRPr="005100F3" w:rsidRDefault="00C73759" w:rsidP="00821190">
            <w:pPr>
              <w:pStyle w:val="TableText"/>
            </w:pPr>
            <w:r w:rsidRPr="005100F3">
              <w:t>Juvenile and adult</w:t>
            </w:r>
          </w:p>
        </w:tc>
        <w:tc>
          <w:tcPr>
            <w:tcW w:w="527" w:type="pct"/>
            <w:shd w:val="clear" w:color="auto" w:fill="auto"/>
          </w:tcPr>
          <w:p w14:paraId="2086A0C7" w14:textId="30D8DB62" w:rsidR="00C73759" w:rsidRPr="005100F3" w:rsidRDefault="00C73759" w:rsidP="00821190">
            <w:pPr>
              <w:pStyle w:val="TableText"/>
            </w:pPr>
            <w:r w:rsidRPr="005100F3">
              <w:t>96</w:t>
            </w:r>
            <w:r>
              <w:t> h</w:t>
            </w:r>
          </w:p>
        </w:tc>
        <w:tc>
          <w:tcPr>
            <w:tcW w:w="528" w:type="pct"/>
            <w:shd w:val="clear" w:color="auto" w:fill="auto"/>
          </w:tcPr>
          <w:p w14:paraId="1A4D644A" w14:textId="4212AE23" w:rsidR="00C73759" w:rsidRPr="005100F3" w:rsidRDefault="00C73759" w:rsidP="00821190">
            <w:pPr>
              <w:pStyle w:val="TableText"/>
            </w:pPr>
            <w:r w:rsidRPr="005100F3">
              <w:t>Flow</w:t>
            </w:r>
            <w:r>
              <w:t>-</w:t>
            </w:r>
            <w:r w:rsidRPr="005100F3">
              <w:t>through</w:t>
            </w:r>
          </w:p>
        </w:tc>
        <w:tc>
          <w:tcPr>
            <w:tcW w:w="605" w:type="pct"/>
            <w:shd w:val="clear" w:color="auto" w:fill="auto"/>
          </w:tcPr>
          <w:p w14:paraId="260D2328" w14:textId="5B33677F" w:rsidR="00C73759" w:rsidRPr="005100F3" w:rsidRDefault="00C73759" w:rsidP="00821190">
            <w:pPr>
              <w:pStyle w:val="TableText"/>
            </w:pPr>
            <w:r w:rsidRPr="005100F3">
              <w:t>Mortality (LC50)</w:t>
            </w:r>
          </w:p>
        </w:tc>
        <w:tc>
          <w:tcPr>
            <w:tcW w:w="605" w:type="pct"/>
            <w:shd w:val="clear" w:color="auto" w:fill="auto"/>
          </w:tcPr>
          <w:p w14:paraId="610A78D1" w14:textId="5E16567D" w:rsidR="00C73759" w:rsidRPr="005100F3" w:rsidRDefault="00C73759" w:rsidP="00821190">
            <w:pPr>
              <w:pStyle w:val="TableText"/>
            </w:pPr>
            <w:r w:rsidRPr="005100F3">
              <w:t>Seawater (28‰)</w:t>
            </w:r>
          </w:p>
        </w:tc>
        <w:tc>
          <w:tcPr>
            <w:tcW w:w="698" w:type="pct"/>
            <w:shd w:val="clear" w:color="auto" w:fill="auto"/>
          </w:tcPr>
          <w:p w14:paraId="69C9C81C" w14:textId="1A00F412" w:rsidR="00C73759" w:rsidRPr="005100F3" w:rsidRDefault="00C73759" w:rsidP="00821190">
            <w:pPr>
              <w:pStyle w:val="TableText"/>
            </w:pPr>
            <w:r w:rsidRPr="005100F3">
              <w:t>178</w:t>
            </w:r>
          </w:p>
        </w:tc>
      </w:tr>
      <w:tr w:rsidR="00CA1024" w:rsidRPr="005100F3" w14:paraId="4A497982" w14:textId="77777777" w:rsidTr="00CA1024">
        <w:trPr>
          <w:cantSplit/>
          <w:trHeight w:val="515"/>
        </w:trPr>
        <w:tc>
          <w:tcPr>
            <w:tcW w:w="603" w:type="pct"/>
            <w:vMerge/>
          </w:tcPr>
          <w:p w14:paraId="767D2A9D" w14:textId="71D7A4CD" w:rsidR="00C73759" w:rsidRPr="005100F3" w:rsidRDefault="00C73759" w:rsidP="00821190">
            <w:pPr>
              <w:pStyle w:val="TableText"/>
            </w:pPr>
          </w:p>
        </w:tc>
        <w:tc>
          <w:tcPr>
            <w:tcW w:w="905" w:type="pct"/>
            <w:shd w:val="clear" w:color="auto" w:fill="auto"/>
          </w:tcPr>
          <w:p w14:paraId="39F6F36C" w14:textId="7C6E33BD" w:rsidR="00C73759" w:rsidRPr="005100F3" w:rsidRDefault="00C73759" w:rsidP="00821190">
            <w:pPr>
              <w:pStyle w:val="TableText"/>
            </w:pPr>
            <w:r w:rsidRPr="005100F3">
              <w:rPr>
                <w:i/>
                <w:iCs/>
              </w:rPr>
              <w:t>Pandalus goniurus</w:t>
            </w:r>
          </w:p>
        </w:tc>
        <w:tc>
          <w:tcPr>
            <w:tcW w:w="529" w:type="pct"/>
            <w:shd w:val="clear" w:color="auto" w:fill="auto"/>
          </w:tcPr>
          <w:p w14:paraId="51E55A43" w14:textId="65A9D63B" w:rsidR="00C73759" w:rsidRPr="005100F3" w:rsidRDefault="00C73759" w:rsidP="00821190">
            <w:pPr>
              <w:pStyle w:val="TableText"/>
            </w:pPr>
            <w:r w:rsidRPr="005100F3">
              <w:t>Adult</w:t>
            </w:r>
          </w:p>
        </w:tc>
        <w:tc>
          <w:tcPr>
            <w:tcW w:w="527" w:type="pct"/>
            <w:shd w:val="clear" w:color="auto" w:fill="auto"/>
          </w:tcPr>
          <w:p w14:paraId="66C4A8FC" w14:textId="067488BA" w:rsidR="00C73759" w:rsidRPr="005100F3" w:rsidRDefault="00C73759" w:rsidP="00821190">
            <w:pPr>
              <w:pStyle w:val="TableText"/>
            </w:pPr>
            <w:r w:rsidRPr="005100F3">
              <w:t>96</w:t>
            </w:r>
            <w:r>
              <w:t> h</w:t>
            </w:r>
          </w:p>
        </w:tc>
        <w:tc>
          <w:tcPr>
            <w:tcW w:w="528" w:type="pct"/>
            <w:shd w:val="clear" w:color="auto" w:fill="auto"/>
          </w:tcPr>
          <w:p w14:paraId="3A6A3F8C" w14:textId="1ABF0DC8" w:rsidR="00C73759" w:rsidRPr="005100F3" w:rsidRDefault="00C73759" w:rsidP="00821190">
            <w:pPr>
              <w:pStyle w:val="TableText"/>
            </w:pPr>
            <w:r w:rsidRPr="005100F3">
              <w:t>Flow</w:t>
            </w:r>
            <w:r>
              <w:t>-</w:t>
            </w:r>
            <w:r w:rsidRPr="005100F3">
              <w:t>through</w:t>
            </w:r>
          </w:p>
        </w:tc>
        <w:tc>
          <w:tcPr>
            <w:tcW w:w="605" w:type="pct"/>
            <w:shd w:val="clear" w:color="auto" w:fill="auto"/>
          </w:tcPr>
          <w:p w14:paraId="1914BD65" w14:textId="3FB90047" w:rsidR="00C73759" w:rsidRPr="005100F3" w:rsidRDefault="00C73759" w:rsidP="00821190">
            <w:pPr>
              <w:pStyle w:val="TableText"/>
            </w:pPr>
            <w:r w:rsidRPr="005100F3">
              <w:t>Mortality (LC50)</w:t>
            </w:r>
          </w:p>
        </w:tc>
        <w:tc>
          <w:tcPr>
            <w:tcW w:w="605" w:type="pct"/>
            <w:shd w:val="clear" w:color="auto" w:fill="auto"/>
          </w:tcPr>
          <w:p w14:paraId="4BB295DF" w14:textId="374C6D26" w:rsidR="00C73759" w:rsidRPr="005100F3" w:rsidRDefault="00C73759" w:rsidP="00821190">
            <w:pPr>
              <w:pStyle w:val="TableText"/>
            </w:pPr>
            <w:r w:rsidRPr="005100F3">
              <w:t>Seawater (28‰)</w:t>
            </w:r>
          </w:p>
        </w:tc>
        <w:tc>
          <w:tcPr>
            <w:tcW w:w="698" w:type="pct"/>
            <w:shd w:val="clear" w:color="auto" w:fill="auto"/>
          </w:tcPr>
          <w:p w14:paraId="1D2C5F1C" w14:textId="0A041DFB" w:rsidR="00C73759" w:rsidRPr="005100F3" w:rsidRDefault="00C73759" w:rsidP="00821190">
            <w:pPr>
              <w:pStyle w:val="TableText"/>
            </w:pPr>
            <w:r w:rsidRPr="005100F3">
              <w:t>90</w:t>
            </w:r>
          </w:p>
        </w:tc>
      </w:tr>
      <w:tr w:rsidR="00CA1024" w:rsidRPr="005100F3" w14:paraId="761614E0" w14:textId="77777777" w:rsidTr="00CA1024">
        <w:trPr>
          <w:cantSplit/>
          <w:trHeight w:val="515"/>
        </w:trPr>
        <w:tc>
          <w:tcPr>
            <w:tcW w:w="603" w:type="pct"/>
            <w:vMerge/>
          </w:tcPr>
          <w:p w14:paraId="29C3F9E0" w14:textId="6264270C" w:rsidR="00C73759" w:rsidRPr="005100F3" w:rsidRDefault="00C73759" w:rsidP="00821190">
            <w:pPr>
              <w:pStyle w:val="TableText"/>
            </w:pPr>
          </w:p>
        </w:tc>
        <w:tc>
          <w:tcPr>
            <w:tcW w:w="905" w:type="pct"/>
            <w:shd w:val="clear" w:color="auto" w:fill="auto"/>
          </w:tcPr>
          <w:p w14:paraId="7FC73CE0" w14:textId="36982450" w:rsidR="00C73759" w:rsidRPr="005100F3" w:rsidRDefault="00C73759" w:rsidP="00821190">
            <w:pPr>
              <w:pStyle w:val="TableText"/>
            </w:pPr>
            <w:r w:rsidRPr="005100F3">
              <w:rPr>
                <w:i/>
                <w:iCs/>
              </w:rPr>
              <w:t>Crangon nigricauda</w:t>
            </w:r>
          </w:p>
        </w:tc>
        <w:tc>
          <w:tcPr>
            <w:tcW w:w="529" w:type="pct"/>
            <w:shd w:val="clear" w:color="auto" w:fill="auto"/>
          </w:tcPr>
          <w:p w14:paraId="1977569D" w14:textId="7BC35327" w:rsidR="00C73759" w:rsidRPr="005100F3" w:rsidRDefault="00C73759" w:rsidP="00821190">
            <w:pPr>
              <w:pStyle w:val="TableText"/>
            </w:pPr>
            <w:r w:rsidRPr="005100F3">
              <w:t>Adult</w:t>
            </w:r>
          </w:p>
        </w:tc>
        <w:tc>
          <w:tcPr>
            <w:tcW w:w="527" w:type="pct"/>
            <w:shd w:val="clear" w:color="auto" w:fill="auto"/>
          </w:tcPr>
          <w:p w14:paraId="1242749E" w14:textId="62BF3666" w:rsidR="00C73759" w:rsidRPr="005100F3" w:rsidRDefault="00C73759" w:rsidP="00821190">
            <w:pPr>
              <w:pStyle w:val="TableText"/>
            </w:pPr>
            <w:r w:rsidRPr="005100F3">
              <w:t>96</w:t>
            </w:r>
            <w:r>
              <w:t> h</w:t>
            </w:r>
          </w:p>
        </w:tc>
        <w:tc>
          <w:tcPr>
            <w:tcW w:w="528" w:type="pct"/>
            <w:shd w:val="clear" w:color="auto" w:fill="auto"/>
          </w:tcPr>
          <w:p w14:paraId="516D606A" w14:textId="10A8C486" w:rsidR="00C73759" w:rsidRPr="005100F3" w:rsidRDefault="00C73759" w:rsidP="00821190">
            <w:pPr>
              <w:pStyle w:val="TableText"/>
            </w:pPr>
            <w:r w:rsidRPr="005100F3">
              <w:t>Flow</w:t>
            </w:r>
            <w:r>
              <w:t>-</w:t>
            </w:r>
            <w:r w:rsidRPr="005100F3">
              <w:t>through</w:t>
            </w:r>
          </w:p>
        </w:tc>
        <w:tc>
          <w:tcPr>
            <w:tcW w:w="605" w:type="pct"/>
            <w:shd w:val="clear" w:color="auto" w:fill="auto"/>
          </w:tcPr>
          <w:p w14:paraId="6C18A39D" w14:textId="4FB6AAF5" w:rsidR="00C73759" w:rsidRPr="005100F3" w:rsidRDefault="00C73759" w:rsidP="00821190">
            <w:pPr>
              <w:pStyle w:val="TableText"/>
            </w:pPr>
            <w:r w:rsidRPr="005100F3">
              <w:t>Mortality (LC50)</w:t>
            </w:r>
          </w:p>
        </w:tc>
        <w:tc>
          <w:tcPr>
            <w:tcW w:w="605" w:type="pct"/>
            <w:shd w:val="clear" w:color="auto" w:fill="auto"/>
          </w:tcPr>
          <w:p w14:paraId="0849A777" w14:textId="2DC94881" w:rsidR="00C73759" w:rsidRPr="005100F3" w:rsidRDefault="00C73759" w:rsidP="00821190">
            <w:pPr>
              <w:pStyle w:val="TableText"/>
            </w:pPr>
            <w:r w:rsidRPr="005100F3">
              <w:t>Seawater (28‰)</w:t>
            </w:r>
          </w:p>
        </w:tc>
        <w:tc>
          <w:tcPr>
            <w:tcW w:w="698" w:type="pct"/>
            <w:shd w:val="clear" w:color="auto" w:fill="auto"/>
          </w:tcPr>
          <w:p w14:paraId="0CAA233A" w14:textId="1DEF4BFD" w:rsidR="00C73759" w:rsidRPr="005100F3" w:rsidRDefault="00C73759" w:rsidP="00821190">
            <w:pPr>
              <w:pStyle w:val="TableText"/>
            </w:pPr>
            <w:r w:rsidRPr="005100F3">
              <w:t>134</w:t>
            </w:r>
          </w:p>
        </w:tc>
      </w:tr>
      <w:tr w:rsidR="00CA1024" w:rsidRPr="005100F3" w14:paraId="4EEE7EA5" w14:textId="77777777" w:rsidTr="00CA1024">
        <w:trPr>
          <w:cantSplit/>
          <w:trHeight w:val="515"/>
        </w:trPr>
        <w:tc>
          <w:tcPr>
            <w:tcW w:w="603" w:type="pct"/>
            <w:vMerge/>
            <w:tcBorders>
              <w:bottom w:val="single" w:sz="4" w:space="0" w:color="auto"/>
            </w:tcBorders>
          </w:tcPr>
          <w:p w14:paraId="1B90BD4F" w14:textId="35F9292D" w:rsidR="00C73759" w:rsidRPr="007B3976" w:rsidRDefault="00C73759" w:rsidP="00821190">
            <w:pPr>
              <w:pStyle w:val="TableText"/>
            </w:pPr>
          </w:p>
        </w:tc>
        <w:tc>
          <w:tcPr>
            <w:tcW w:w="905" w:type="pct"/>
            <w:shd w:val="clear" w:color="auto" w:fill="auto"/>
          </w:tcPr>
          <w:p w14:paraId="482BC70B" w14:textId="63EFF995" w:rsidR="00C73759" w:rsidRPr="005100F3" w:rsidRDefault="00C73759" w:rsidP="00821190">
            <w:pPr>
              <w:pStyle w:val="TableText"/>
            </w:pPr>
            <w:r w:rsidRPr="007B3976">
              <w:rPr>
                <w:i/>
              </w:rPr>
              <w:t>Palaemonetes pugio</w:t>
            </w:r>
          </w:p>
        </w:tc>
        <w:tc>
          <w:tcPr>
            <w:tcW w:w="529" w:type="pct"/>
            <w:shd w:val="clear" w:color="auto" w:fill="auto"/>
          </w:tcPr>
          <w:p w14:paraId="527FB99A" w14:textId="24B95DD7" w:rsidR="00C73759" w:rsidRPr="005100F3" w:rsidRDefault="00C73759" w:rsidP="00821190">
            <w:pPr>
              <w:pStyle w:val="TableText"/>
            </w:pPr>
            <w:r w:rsidRPr="007B3976">
              <w:t>Adult</w:t>
            </w:r>
          </w:p>
        </w:tc>
        <w:tc>
          <w:tcPr>
            <w:tcW w:w="527" w:type="pct"/>
            <w:shd w:val="clear" w:color="auto" w:fill="auto"/>
          </w:tcPr>
          <w:p w14:paraId="0900232A" w14:textId="53361B00" w:rsidR="00C73759" w:rsidRPr="005100F3" w:rsidRDefault="00C73759" w:rsidP="00821190">
            <w:pPr>
              <w:pStyle w:val="TableText"/>
            </w:pPr>
            <w:r w:rsidRPr="007B3976">
              <w:t>96</w:t>
            </w:r>
            <w:r>
              <w:t> h</w:t>
            </w:r>
          </w:p>
        </w:tc>
        <w:tc>
          <w:tcPr>
            <w:tcW w:w="528" w:type="pct"/>
            <w:shd w:val="clear" w:color="auto" w:fill="auto"/>
          </w:tcPr>
          <w:p w14:paraId="08F55326" w14:textId="3E96488C" w:rsidR="00C73759" w:rsidRPr="005100F3" w:rsidRDefault="00C73759" w:rsidP="00821190">
            <w:pPr>
              <w:pStyle w:val="TableText"/>
            </w:pPr>
            <w:r w:rsidRPr="007B3976">
              <w:t>Flow</w:t>
            </w:r>
            <w:r>
              <w:t>-</w:t>
            </w:r>
            <w:r w:rsidRPr="007B3976">
              <w:t>through</w:t>
            </w:r>
          </w:p>
        </w:tc>
        <w:tc>
          <w:tcPr>
            <w:tcW w:w="605" w:type="pct"/>
            <w:shd w:val="clear" w:color="auto" w:fill="auto"/>
          </w:tcPr>
          <w:p w14:paraId="4683828A" w14:textId="0AFBF132" w:rsidR="00C73759" w:rsidRPr="005100F3" w:rsidRDefault="00C73759" w:rsidP="00821190">
            <w:pPr>
              <w:pStyle w:val="TableText"/>
            </w:pPr>
            <w:r w:rsidRPr="007B3976">
              <w:t>Mortality (LC50)</w:t>
            </w:r>
          </w:p>
        </w:tc>
        <w:tc>
          <w:tcPr>
            <w:tcW w:w="605" w:type="pct"/>
            <w:shd w:val="clear" w:color="auto" w:fill="auto"/>
          </w:tcPr>
          <w:p w14:paraId="3E33C8A4" w14:textId="30502431" w:rsidR="00C73759" w:rsidRPr="005100F3" w:rsidRDefault="00C73759" w:rsidP="00821190">
            <w:pPr>
              <w:pStyle w:val="TableText"/>
            </w:pPr>
            <w:r w:rsidRPr="007B3976">
              <w:t>Seawater</w:t>
            </w:r>
            <w:r>
              <w:t xml:space="preserve"> </w:t>
            </w:r>
            <w:r w:rsidRPr="007B3976">
              <w:t>(20‰)</w:t>
            </w:r>
          </w:p>
        </w:tc>
        <w:tc>
          <w:tcPr>
            <w:tcW w:w="698" w:type="pct"/>
            <w:shd w:val="clear" w:color="auto" w:fill="auto"/>
          </w:tcPr>
          <w:p w14:paraId="63A5139E" w14:textId="00095577" w:rsidR="00C73759" w:rsidRPr="005100F3" w:rsidRDefault="00C73759" w:rsidP="00821190">
            <w:pPr>
              <w:pStyle w:val="TableText"/>
            </w:pPr>
            <w:r w:rsidRPr="007B3976">
              <w:t>220</w:t>
            </w:r>
          </w:p>
        </w:tc>
      </w:tr>
      <w:tr w:rsidR="00CA1024" w:rsidRPr="005100F3" w14:paraId="5EA79452" w14:textId="77777777" w:rsidTr="00CA1024">
        <w:trPr>
          <w:cantSplit/>
          <w:trHeight w:val="515"/>
        </w:trPr>
        <w:tc>
          <w:tcPr>
            <w:tcW w:w="603" w:type="pct"/>
            <w:tcBorders>
              <w:top w:val="single" w:sz="4" w:space="0" w:color="auto"/>
              <w:bottom w:val="single" w:sz="4" w:space="0" w:color="auto"/>
            </w:tcBorders>
          </w:tcPr>
          <w:p w14:paraId="17493152" w14:textId="19C02C42" w:rsidR="000E6738" w:rsidRDefault="000E6738" w:rsidP="00821190">
            <w:pPr>
              <w:pStyle w:val="TableText"/>
            </w:pPr>
            <w:r>
              <w:t>Crustacean</w:t>
            </w:r>
            <w:r w:rsidR="00C73759">
              <w:br/>
            </w:r>
            <w:r>
              <w:t>(crab)</w:t>
            </w:r>
          </w:p>
        </w:tc>
        <w:tc>
          <w:tcPr>
            <w:tcW w:w="905" w:type="pct"/>
            <w:shd w:val="clear" w:color="auto" w:fill="auto"/>
          </w:tcPr>
          <w:p w14:paraId="6DF5C8B0" w14:textId="0846C00B" w:rsidR="000E6738" w:rsidRPr="005100F3" w:rsidDel="00FD6F19" w:rsidRDefault="000E6738" w:rsidP="00821190">
            <w:pPr>
              <w:pStyle w:val="TableText"/>
            </w:pPr>
            <w:r w:rsidRPr="005100F3">
              <w:rPr>
                <w:i/>
                <w:iCs/>
              </w:rPr>
              <w:t>Hemigrapsus nudus</w:t>
            </w:r>
            <w:r w:rsidRPr="005100F3">
              <w:t xml:space="preserve"> and </w:t>
            </w:r>
            <w:r w:rsidRPr="005100F3">
              <w:rPr>
                <w:i/>
                <w:iCs/>
              </w:rPr>
              <w:t>H.</w:t>
            </w:r>
            <w:r>
              <w:rPr>
                <w:i/>
                <w:iCs/>
              </w:rPr>
              <w:t> </w:t>
            </w:r>
            <w:r w:rsidRPr="005100F3">
              <w:rPr>
                <w:i/>
                <w:iCs/>
              </w:rPr>
              <w:t>oregonensis</w:t>
            </w:r>
          </w:p>
        </w:tc>
        <w:tc>
          <w:tcPr>
            <w:tcW w:w="529" w:type="pct"/>
            <w:shd w:val="clear" w:color="auto" w:fill="auto"/>
          </w:tcPr>
          <w:p w14:paraId="09210718" w14:textId="06C43746" w:rsidR="000E6738" w:rsidRPr="005100F3" w:rsidRDefault="000E6738" w:rsidP="00821190">
            <w:pPr>
              <w:pStyle w:val="TableText"/>
            </w:pPr>
            <w:r w:rsidRPr="005100F3">
              <w:t>Juvenile and adult</w:t>
            </w:r>
          </w:p>
        </w:tc>
        <w:tc>
          <w:tcPr>
            <w:tcW w:w="527" w:type="pct"/>
            <w:shd w:val="clear" w:color="auto" w:fill="auto"/>
          </w:tcPr>
          <w:p w14:paraId="5319E0A2" w14:textId="30892982" w:rsidR="000E6738" w:rsidRPr="005100F3" w:rsidRDefault="000E6738" w:rsidP="00821190">
            <w:pPr>
              <w:pStyle w:val="TableText"/>
            </w:pPr>
            <w:r w:rsidRPr="005100F3">
              <w:t>96</w:t>
            </w:r>
            <w:r>
              <w:t> h</w:t>
            </w:r>
          </w:p>
        </w:tc>
        <w:tc>
          <w:tcPr>
            <w:tcW w:w="528" w:type="pct"/>
            <w:shd w:val="clear" w:color="auto" w:fill="auto"/>
          </w:tcPr>
          <w:p w14:paraId="22CB9A8B" w14:textId="491C0734" w:rsidR="000E6738" w:rsidRPr="005100F3" w:rsidRDefault="000E6738" w:rsidP="00821190">
            <w:pPr>
              <w:pStyle w:val="TableText"/>
            </w:pPr>
            <w:r w:rsidRPr="005100F3">
              <w:t>Flow</w:t>
            </w:r>
            <w:r>
              <w:t>-</w:t>
            </w:r>
            <w:r w:rsidRPr="005100F3">
              <w:t>through</w:t>
            </w:r>
          </w:p>
        </w:tc>
        <w:tc>
          <w:tcPr>
            <w:tcW w:w="605" w:type="pct"/>
            <w:shd w:val="clear" w:color="auto" w:fill="auto"/>
          </w:tcPr>
          <w:p w14:paraId="77F48B5A" w14:textId="383D1188" w:rsidR="000E6738" w:rsidRPr="005100F3" w:rsidRDefault="000E6738" w:rsidP="00821190">
            <w:pPr>
              <w:pStyle w:val="TableText"/>
            </w:pPr>
            <w:r w:rsidRPr="005100F3">
              <w:t>Mortality (LC50)</w:t>
            </w:r>
          </w:p>
        </w:tc>
        <w:tc>
          <w:tcPr>
            <w:tcW w:w="605" w:type="pct"/>
            <w:shd w:val="clear" w:color="auto" w:fill="auto"/>
          </w:tcPr>
          <w:p w14:paraId="7B92F91F" w14:textId="19D650A5" w:rsidR="000E6738" w:rsidRPr="005100F3" w:rsidRDefault="000E6738" w:rsidP="00821190">
            <w:pPr>
              <w:pStyle w:val="TableText"/>
            </w:pPr>
            <w:r w:rsidRPr="005100F3">
              <w:t>Seawater (28‰)</w:t>
            </w:r>
          </w:p>
        </w:tc>
        <w:tc>
          <w:tcPr>
            <w:tcW w:w="698" w:type="pct"/>
            <w:shd w:val="clear" w:color="auto" w:fill="auto"/>
          </w:tcPr>
          <w:p w14:paraId="506C1D29" w14:textId="416893FC" w:rsidR="000E6738" w:rsidRPr="005100F3" w:rsidRDefault="000E6738" w:rsidP="00821190">
            <w:pPr>
              <w:pStyle w:val="TableText"/>
            </w:pPr>
            <w:r w:rsidRPr="005100F3">
              <w:t>1</w:t>
            </w:r>
            <w:r>
              <w:t> </w:t>
            </w:r>
            <w:r w:rsidRPr="005100F3">
              <w:t>420</w:t>
            </w:r>
          </w:p>
        </w:tc>
      </w:tr>
      <w:tr w:rsidR="00CA1024" w:rsidRPr="005100F3" w14:paraId="7A650378" w14:textId="77777777" w:rsidTr="00CA1024">
        <w:trPr>
          <w:cantSplit/>
          <w:trHeight w:val="515"/>
        </w:trPr>
        <w:tc>
          <w:tcPr>
            <w:tcW w:w="603" w:type="pct"/>
            <w:vMerge w:val="restart"/>
            <w:tcBorders>
              <w:top w:val="single" w:sz="4" w:space="0" w:color="auto"/>
              <w:bottom w:val="single" w:sz="12" w:space="0" w:color="auto"/>
            </w:tcBorders>
          </w:tcPr>
          <w:p w14:paraId="4AE4A9F3" w14:textId="4BC185D4" w:rsidR="00821190" w:rsidRPr="005100F3" w:rsidRDefault="00821190" w:rsidP="00821190">
            <w:pPr>
              <w:pStyle w:val="TableText"/>
            </w:pPr>
            <w:r>
              <w:t>Fish</w:t>
            </w:r>
          </w:p>
        </w:tc>
        <w:tc>
          <w:tcPr>
            <w:tcW w:w="905" w:type="pct"/>
            <w:shd w:val="clear" w:color="auto" w:fill="auto"/>
          </w:tcPr>
          <w:p w14:paraId="160B0F59" w14:textId="4579C13A" w:rsidR="00821190" w:rsidRPr="005100F3" w:rsidRDefault="00821190" w:rsidP="00821190">
            <w:pPr>
              <w:pStyle w:val="TableText"/>
            </w:pPr>
            <w:r w:rsidRPr="005100F3">
              <w:rPr>
                <w:i/>
                <w:iCs/>
              </w:rPr>
              <w:t>Menidia peninsulae</w:t>
            </w:r>
          </w:p>
        </w:tc>
        <w:tc>
          <w:tcPr>
            <w:tcW w:w="529" w:type="pct"/>
            <w:shd w:val="clear" w:color="auto" w:fill="auto"/>
          </w:tcPr>
          <w:p w14:paraId="415887BF" w14:textId="5426575D" w:rsidR="00821190" w:rsidRPr="005100F3" w:rsidRDefault="00821190" w:rsidP="00821190">
            <w:pPr>
              <w:pStyle w:val="TableText"/>
            </w:pPr>
            <w:r w:rsidRPr="005100F3">
              <w:t>Fry</w:t>
            </w:r>
          </w:p>
        </w:tc>
        <w:tc>
          <w:tcPr>
            <w:tcW w:w="527" w:type="pct"/>
            <w:shd w:val="clear" w:color="auto" w:fill="auto"/>
          </w:tcPr>
          <w:p w14:paraId="7C5C8FFC" w14:textId="16DFA39E" w:rsidR="00821190" w:rsidRPr="005100F3" w:rsidRDefault="00821190" w:rsidP="00821190">
            <w:pPr>
              <w:pStyle w:val="TableText"/>
            </w:pPr>
            <w:r w:rsidRPr="005100F3">
              <w:t>96</w:t>
            </w:r>
            <w:r>
              <w:t> h</w:t>
            </w:r>
          </w:p>
        </w:tc>
        <w:tc>
          <w:tcPr>
            <w:tcW w:w="528" w:type="pct"/>
            <w:shd w:val="clear" w:color="auto" w:fill="auto"/>
          </w:tcPr>
          <w:p w14:paraId="328C2153" w14:textId="51557FD0" w:rsidR="00821190" w:rsidRPr="005100F3" w:rsidRDefault="00821190" w:rsidP="00821190">
            <w:pPr>
              <w:pStyle w:val="TableText"/>
            </w:pPr>
            <w:r w:rsidRPr="005100F3">
              <w:t>Flow</w:t>
            </w:r>
            <w:r>
              <w:t>-</w:t>
            </w:r>
            <w:r w:rsidRPr="005100F3">
              <w:t>through</w:t>
            </w:r>
          </w:p>
        </w:tc>
        <w:tc>
          <w:tcPr>
            <w:tcW w:w="605" w:type="pct"/>
            <w:shd w:val="clear" w:color="auto" w:fill="auto"/>
          </w:tcPr>
          <w:p w14:paraId="44E73070" w14:textId="55DA984F" w:rsidR="00821190" w:rsidRPr="005100F3" w:rsidRDefault="00821190" w:rsidP="00821190">
            <w:pPr>
              <w:pStyle w:val="TableText"/>
            </w:pPr>
            <w:r w:rsidRPr="005100F3">
              <w:t>Mortality (LC50)</w:t>
            </w:r>
          </w:p>
        </w:tc>
        <w:tc>
          <w:tcPr>
            <w:tcW w:w="605" w:type="pct"/>
            <w:shd w:val="clear" w:color="auto" w:fill="auto"/>
          </w:tcPr>
          <w:p w14:paraId="743A16DF" w14:textId="66B750F2" w:rsidR="00821190" w:rsidRPr="005100F3" w:rsidRDefault="00821190" w:rsidP="00821190">
            <w:pPr>
              <w:pStyle w:val="TableText"/>
            </w:pPr>
            <w:r w:rsidRPr="005100F3">
              <w:t>Seawater (22</w:t>
            </w:r>
            <w:r>
              <w:t>–</w:t>
            </w:r>
            <w:r w:rsidRPr="005100F3">
              <w:t>27‰)</w:t>
            </w:r>
          </w:p>
        </w:tc>
        <w:tc>
          <w:tcPr>
            <w:tcW w:w="698" w:type="pct"/>
            <w:shd w:val="clear" w:color="auto" w:fill="auto"/>
          </w:tcPr>
          <w:p w14:paraId="738C4F36" w14:textId="4FAB4C76" w:rsidR="00821190" w:rsidRPr="005100F3" w:rsidRDefault="00821190" w:rsidP="00821190">
            <w:pPr>
              <w:pStyle w:val="TableText"/>
            </w:pPr>
            <w:r w:rsidRPr="005100F3">
              <w:t>54</w:t>
            </w:r>
          </w:p>
        </w:tc>
      </w:tr>
      <w:tr w:rsidR="00CA1024" w:rsidRPr="005100F3" w14:paraId="4884E810" w14:textId="77777777" w:rsidTr="00CA1024">
        <w:trPr>
          <w:cantSplit/>
          <w:trHeight w:val="515"/>
        </w:trPr>
        <w:tc>
          <w:tcPr>
            <w:tcW w:w="603" w:type="pct"/>
            <w:vMerge/>
            <w:tcBorders>
              <w:bottom w:val="single" w:sz="12" w:space="0" w:color="auto"/>
            </w:tcBorders>
          </w:tcPr>
          <w:p w14:paraId="010F1911" w14:textId="7EB2F70A" w:rsidR="00821190" w:rsidRPr="005100F3" w:rsidRDefault="00821190" w:rsidP="00821190">
            <w:pPr>
              <w:pStyle w:val="TableText"/>
            </w:pPr>
          </w:p>
        </w:tc>
        <w:tc>
          <w:tcPr>
            <w:tcW w:w="905" w:type="pct"/>
            <w:shd w:val="clear" w:color="auto" w:fill="auto"/>
          </w:tcPr>
          <w:p w14:paraId="52583C12" w14:textId="10F0E5B6" w:rsidR="00821190" w:rsidRPr="005100F3" w:rsidRDefault="00821190" w:rsidP="00821190">
            <w:pPr>
              <w:pStyle w:val="TableText"/>
            </w:pPr>
            <w:r w:rsidRPr="005100F3">
              <w:rPr>
                <w:i/>
                <w:iCs/>
              </w:rPr>
              <w:t>Pleuronectes</w:t>
            </w:r>
            <w:r w:rsidRPr="005100F3">
              <w:t xml:space="preserve"> </w:t>
            </w:r>
            <w:r w:rsidRPr="005100F3">
              <w:rPr>
                <w:i/>
                <w:iCs/>
              </w:rPr>
              <w:t>platessa</w:t>
            </w:r>
          </w:p>
        </w:tc>
        <w:tc>
          <w:tcPr>
            <w:tcW w:w="529" w:type="pct"/>
            <w:shd w:val="clear" w:color="auto" w:fill="auto"/>
          </w:tcPr>
          <w:p w14:paraId="1E056B30" w14:textId="04A93397" w:rsidR="00821190" w:rsidRPr="005100F3" w:rsidRDefault="00821190" w:rsidP="00821190">
            <w:pPr>
              <w:pStyle w:val="TableText"/>
            </w:pPr>
            <w:r w:rsidRPr="005100F3">
              <w:t>Larva</w:t>
            </w:r>
          </w:p>
        </w:tc>
        <w:tc>
          <w:tcPr>
            <w:tcW w:w="527" w:type="pct"/>
            <w:shd w:val="clear" w:color="auto" w:fill="auto"/>
          </w:tcPr>
          <w:p w14:paraId="50EDD273" w14:textId="3E592EFF" w:rsidR="00821190" w:rsidRPr="005100F3" w:rsidRDefault="00821190" w:rsidP="00821190">
            <w:pPr>
              <w:pStyle w:val="TableText"/>
            </w:pPr>
            <w:r w:rsidRPr="005100F3">
              <w:t>96</w:t>
            </w:r>
            <w:r>
              <w:t> h</w:t>
            </w:r>
          </w:p>
        </w:tc>
        <w:tc>
          <w:tcPr>
            <w:tcW w:w="528" w:type="pct"/>
            <w:shd w:val="clear" w:color="auto" w:fill="auto"/>
          </w:tcPr>
          <w:p w14:paraId="39196064" w14:textId="4236E100" w:rsidR="00821190" w:rsidRPr="005100F3" w:rsidRDefault="00821190" w:rsidP="00821190">
            <w:pPr>
              <w:pStyle w:val="TableText"/>
            </w:pPr>
            <w:r w:rsidRPr="005100F3">
              <w:t>Flow</w:t>
            </w:r>
            <w:r>
              <w:t>-</w:t>
            </w:r>
            <w:r w:rsidRPr="005100F3">
              <w:t>through</w:t>
            </w:r>
          </w:p>
        </w:tc>
        <w:tc>
          <w:tcPr>
            <w:tcW w:w="605" w:type="pct"/>
            <w:shd w:val="clear" w:color="auto" w:fill="auto"/>
          </w:tcPr>
          <w:p w14:paraId="1D93A682" w14:textId="399A63EC" w:rsidR="00821190" w:rsidRPr="005100F3" w:rsidRDefault="00821190" w:rsidP="00821190">
            <w:pPr>
              <w:pStyle w:val="TableText"/>
            </w:pPr>
            <w:r w:rsidRPr="005100F3">
              <w:t>Mortality (LC50)</w:t>
            </w:r>
          </w:p>
        </w:tc>
        <w:tc>
          <w:tcPr>
            <w:tcW w:w="605" w:type="pct"/>
            <w:shd w:val="clear" w:color="auto" w:fill="auto"/>
          </w:tcPr>
          <w:p w14:paraId="44679C52" w14:textId="75A8901D" w:rsidR="00821190" w:rsidRPr="005100F3" w:rsidRDefault="00821190" w:rsidP="00821190">
            <w:pPr>
              <w:pStyle w:val="TableText"/>
            </w:pPr>
            <w:r w:rsidRPr="005100F3">
              <w:t>Seawater</w:t>
            </w:r>
            <w:r>
              <w:t xml:space="preserve"> </w:t>
            </w:r>
            <w:r w:rsidRPr="005100F3">
              <w:t>(35‰)</w:t>
            </w:r>
          </w:p>
        </w:tc>
        <w:tc>
          <w:tcPr>
            <w:tcW w:w="698" w:type="pct"/>
            <w:shd w:val="clear" w:color="auto" w:fill="auto"/>
          </w:tcPr>
          <w:p w14:paraId="55E4E07C" w14:textId="56DBF116" w:rsidR="00821190" w:rsidRPr="005100F3" w:rsidRDefault="00821190" w:rsidP="00821190">
            <w:pPr>
              <w:pStyle w:val="TableText"/>
            </w:pPr>
            <w:r w:rsidRPr="005100F3">
              <w:t>24</w:t>
            </w:r>
          </w:p>
        </w:tc>
      </w:tr>
      <w:tr w:rsidR="00CA1024" w:rsidRPr="005100F3" w14:paraId="21EC58A0" w14:textId="77777777" w:rsidTr="00CA1024">
        <w:trPr>
          <w:cantSplit/>
          <w:trHeight w:val="515"/>
        </w:trPr>
        <w:tc>
          <w:tcPr>
            <w:tcW w:w="603" w:type="pct"/>
            <w:vMerge/>
            <w:tcBorders>
              <w:bottom w:val="single" w:sz="12" w:space="0" w:color="auto"/>
            </w:tcBorders>
          </w:tcPr>
          <w:p w14:paraId="53B583B6" w14:textId="372F0E93" w:rsidR="00821190" w:rsidRPr="005100F3" w:rsidRDefault="00821190" w:rsidP="00821190">
            <w:pPr>
              <w:pStyle w:val="TableText"/>
            </w:pPr>
            <w:bookmarkStart w:id="27" w:name="_Hlk33021551"/>
          </w:p>
        </w:tc>
        <w:tc>
          <w:tcPr>
            <w:tcW w:w="905" w:type="pct"/>
            <w:shd w:val="clear" w:color="auto" w:fill="auto"/>
          </w:tcPr>
          <w:p w14:paraId="2DC780AF" w14:textId="7DD9AC97" w:rsidR="00821190" w:rsidRPr="005100F3" w:rsidRDefault="00821190" w:rsidP="00821190">
            <w:pPr>
              <w:pStyle w:val="TableText"/>
            </w:pPr>
            <w:r w:rsidRPr="005100F3">
              <w:rPr>
                <w:i/>
                <w:iCs/>
              </w:rPr>
              <w:t>Oncorhynchus kisutch</w:t>
            </w:r>
          </w:p>
        </w:tc>
        <w:tc>
          <w:tcPr>
            <w:tcW w:w="529" w:type="pct"/>
            <w:shd w:val="clear" w:color="auto" w:fill="auto"/>
          </w:tcPr>
          <w:p w14:paraId="59A08F5E" w14:textId="3B13A54C" w:rsidR="00821190" w:rsidRPr="005100F3" w:rsidRDefault="00821190" w:rsidP="00821190">
            <w:pPr>
              <w:pStyle w:val="TableText"/>
            </w:pPr>
            <w:r w:rsidRPr="005100F3">
              <w:t>Juvenile</w:t>
            </w:r>
          </w:p>
        </w:tc>
        <w:tc>
          <w:tcPr>
            <w:tcW w:w="527" w:type="pct"/>
            <w:shd w:val="clear" w:color="auto" w:fill="auto"/>
          </w:tcPr>
          <w:p w14:paraId="7FA8E229" w14:textId="51F38067" w:rsidR="00821190" w:rsidRPr="005100F3" w:rsidRDefault="00821190" w:rsidP="00821190">
            <w:pPr>
              <w:pStyle w:val="TableText"/>
            </w:pPr>
            <w:r w:rsidRPr="005100F3">
              <w:t>96</w:t>
            </w:r>
            <w:r>
              <w:t> h</w:t>
            </w:r>
          </w:p>
        </w:tc>
        <w:tc>
          <w:tcPr>
            <w:tcW w:w="528" w:type="pct"/>
            <w:shd w:val="clear" w:color="auto" w:fill="auto"/>
          </w:tcPr>
          <w:p w14:paraId="4FC001CC" w14:textId="35759C78" w:rsidR="00821190" w:rsidRPr="005100F3" w:rsidRDefault="00821190" w:rsidP="00821190">
            <w:pPr>
              <w:pStyle w:val="TableText"/>
            </w:pPr>
            <w:r w:rsidRPr="005100F3">
              <w:t>Flow</w:t>
            </w:r>
            <w:r>
              <w:t>-</w:t>
            </w:r>
            <w:r w:rsidRPr="005100F3">
              <w:t>through</w:t>
            </w:r>
          </w:p>
        </w:tc>
        <w:tc>
          <w:tcPr>
            <w:tcW w:w="605" w:type="pct"/>
            <w:shd w:val="clear" w:color="auto" w:fill="auto"/>
          </w:tcPr>
          <w:p w14:paraId="1411C02F" w14:textId="537194F9" w:rsidR="00821190" w:rsidRPr="005100F3" w:rsidRDefault="00821190" w:rsidP="00821190">
            <w:pPr>
              <w:pStyle w:val="TableText"/>
            </w:pPr>
            <w:r w:rsidRPr="005100F3">
              <w:t>Mortality (LC50)</w:t>
            </w:r>
          </w:p>
        </w:tc>
        <w:tc>
          <w:tcPr>
            <w:tcW w:w="605" w:type="pct"/>
            <w:shd w:val="clear" w:color="auto" w:fill="auto"/>
          </w:tcPr>
          <w:p w14:paraId="08069316" w14:textId="476D06A6" w:rsidR="00821190" w:rsidRPr="005100F3" w:rsidRDefault="00821190" w:rsidP="00821190">
            <w:pPr>
              <w:pStyle w:val="TableText"/>
            </w:pPr>
            <w:r w:rsidRPr="005100F3">
              <w:t>Seawater (28‰)</w:t>
            </w:r>
          </w:p>
        </w:tc>
        <w:tc>
          <w:tcPr>
            <w:tcW w:w="698" w:type="pct"/>
            <w:shd w:val="clear" w:color="auto" w:fill="auto"/>
          </w:tcPr>
          <w:p w14:paraId="7F455575" w14:textId="3CA4E140" w:rsidR="00821190" w:rsidRPr="005100F3" w:rsidRDefault="00821190" w:rsidP="00821190">
            <w:pPr>
              <w:pStyle w:val="TableText"/>
            </w:pPr>
            <w:r w:rsidRPr="005100F3">
              <w:t>32</w:t>
            </w:r>
          </w:p>
        </w:tc>
      </w:tr>
      <w:tr w:rsidR="00CA1024" w:rsidRPr="005100F3" w14:paraId="38156FBD" w14:textId="77777777" w:rsidTr="00CA1024">
        <w:trPr>
          <w:cantSplit/>
          <w:trHeight w:val="515"/>
        </w:trPr>
        <w:tc>
          <w:tcPr>
            <w:tcW w:w="603" w:type="pct"/>
            <w:vMerge/>
            <w:tcBorders>
              <w:bottom w:val="single" w:sz="12" w:space="0" w:color="auto"/>
            </w:tcBorders>
          </w:tcPr>
          <w:p w14:paraId="67F54B84" w14:textId="3DC697A7" w:rsidR="00821190" w:rsidRPr="005100F3" w:rsidRDefault="00821190" w:rsidP="00821190">
            <w:pPr>
              <w:pStyle w:val="TableText"/>
            </w:pPr>
          </w:p>
        </w:tc>
        <w:tc>
          <w:tcPr>
            <w:tcW w:w="905" w:type="pct"/>
            <w:shd w:val="clear" w:color="auto" w:fill="auto"/>
          </w:tcPr>
          <w:p w14:paraId="0310B3FE" w14:textId="1640F76D" w:rsidR="00821190" w:rsidRPr="005100F3" w:rsidRDefault="00821190" w:rsidP="00821190">
            <w:pPr>
              <w:pStyle w:val="TableText"/>
            </w:pPr>
            <w:r w:rsidRPr="005100F3">
              <w:rPr>
                <w:i/>
                <w:iCs/>
              </w:rPr>
              <w:t>Clupea harengus pailasi</w:t>
            </w:r>
          </w:p>
        </w:tc>
        <w:tc>
          <w:tcPr>
            <w:tcW w:w="529" w:type="pct"/>
            <w:shd w:val="clear" w:color="auto" w:fill="auto"/>
          </w:tcPr>
          <w:p w14:paraId="32D5BDCA" w14:textId="7DFF14FB" w:rsidR="00821190" w:rsidRPr="005100F3" w:rsidRDefault="00821190" w:rsidP="00821190">
            <w:pPr>
              <w:pStyle w:val="TableText"/>
            </w:pPr>
            <w:r w:rsidRPr="005100F3">
              <w:t>Juvenile</w:t>
            </w:r>
          </w:p>
        </w:tc>
        <w:tc>
          <w:tcPr>
            <w:tcW w:w="527" w:type="pct"/>
            <w:shd w:val="clear" w:color="auto" w:fill="auto"/>
          </w:tcPr>
          <w:p w14:paraId="4CDEAFCC" w14:textId="1746EFF8" w:rsidR="00821190" w:rsidRPr="005100F3" w:rsidRDefault="00821190" w:rsidP="00821190">
            <w:pPr>
              <w:pStyle w:val="TableText"/>
            </w:pPr>
            <w:r w:rsidRPr="005100F3">
              <w:t>96</w:t>
            </w:r>
            <w:r>
              <w:t> h</w:t>
            </w:r>
          </w:p>
        </w:tc>
        <w:tc>
          <w:tcPr>
            <w:tcW w:w="528" w:type="pct"/>
            <w:shd w:val="clear" w:color="auto" w:fill="auto"/>
          </w:tcPr>
          <w:p w14:paraId="3FE07692" w14:textId="3B75055B" w:rsidR="00821190" w:rsidRPr="005100F3" w:rsidRDefault="00821190" w:rsidP="00821190">
            <w:pPr>
              <w:pStyle w:val="TableText"/>
            </w:pPr>
            <w:r w:rsidRPr="005100F3">
              <w:t>Flow</w:t>
            </w:r>
            <w:r>
              <w:t>-</w:t>
            </w:r>
            <w:r w:rsidRPr="005100F3">
              <w:t>through</w:t>
            </w:r>
          </w:p>
        </w:tc>
        <w:tc>
          <w:tcPr>
            <w:tcW w:w="605" w:type="pct"/>
            <w:shd w:val="clear" w:color="auto" w:fill="auto"/>
          </w:tcPr>
          <w:p w14:paraId="2131870C" w14:textId="45E7FFDE" w:rsidR="00821190" w:rsidRPr="005100F3" w:rsidRDefault="00821190" w:rsidP="00821190">
            <w:pPr>
              <w:pStyle w:val="TableText"/>
            </w:pPr>
            <w:r w:rsidRPr="005100F3">
              <w:t>Mortality (LC50)</w:t>
            </w:r>
          </w:p>
        </w:tc>
        <w:tc>
          <w:tcPr>
            <w:tcW w:w="605" w:type="pct"/>
            <w:shd w:val="clear" w:color="auto" w:fill="auto"/>
          </w:tcPr>
          <w:p w14:paraId="0416A032" w14:textId="704FB5A5" w:rsidR="00821190" w:rsidRPr="005100F3" w:rsidRDefault="00821190" w:rsidP="00821190">
            <w:pPr>
              <w:pStyle w:val="TableText"/>
            </w:pPr>
            <w:r w:rsidRPr="005100F3">
              <w:t>Seawater (28‰)</w:t>
            </w:r>
          </w:p>
        </w:tc>
        <w:tc>
          <w:tcPr>
            <w:tcW w:w="698" w:type="pct"/>
            <w:shd w:val="clear" w:color="auto" w:fill="auto"/>
          </w:tcPr>
          <w:p w14:paraId="730C408E" w14:textId="3CF87E84" w:rsidR="00821190" w:rsidRPr="005100F3" w:rsidRDefault="00821190" w:rsidP="00821190">
            <w:pPr>
              <w:pStyle w:val="TableText"/>
            </w:pPr>
            <w:r w:rsidRPr="005100F3">
              <w:t>65</w:t>
            </w:r>
          </w:p>
        </w:tc>
      </w:tr>
      <w:tr w:rsidR="00CA1024" w:rsidRPr="005100F3" w14:paraId="171ACD15" w14:textId="77777777" w:rsidTr="00CA1024">
        <w:trPr>
          <w:cantSplit/>
          <w:trHeight w:val="515"/>
        </w:trPr>
        <w:tc>
          <w:tcPr>
            <w:tcW w:w="603" w:type="pct"/>
            <w:vMerge/>
            <w:tcBorders>
              <w:bottom w:val="single" w:sz="12" w:space="0" w:color="auto"/>
            </w:tcBorders>
          </w:tcPr>
          <w:p w14:paraId="7D5B00F6" w14:textId="02B37A17" w:rsidR="00821190" w:rsidRPr="005100F3" w:rsidRDefault="00821190" w:rsidP="00821190">
            <w:pPr>
              <w:pStyle w:val="TableText"/>
            </w:pPr>
          </w:p>
        </w:tc>
        <w:tc>
          <w:tcPr>
            <w:tcW w:w="905" w:type="pct"/>
            <w:shd w:val="clear" w:color="auto" w:fill="auto"/>
          </w:tcPr>
          <w:p w14:paraId="296C6BB8" w14:textId="52FFB943" w:rsidR="00821190" w:rsidRPr="005100F3" w:rsidRDefault="00821190" w:rsidP="00821190">
            <w:pPr>
              <w:pStyle w:val="TableText"/>
            </w:pPr>
            <w:r w:rsidRPr="005100F3">
              <w:rPr>
                <w:i/>
                <w:iCs/>
              </w:rPr>
              <w:t>Gasterosteus aculeatus</w:t>
            </w:r>
          </w:p>
        </w:tc>
        <w:tc>
          <w:tcPr>
            <w:tcW w:w="529" w:type="pct"/>
            <w:shd w:val="clear" w:color="auto" w:fill="auto"/>
          </w:tcPr>
          <w:p w14:paraId="3F6D4550" w14:textId="23D32B02" w:rsidR="00821190" w:rsidRPr="005100F3" w:rsidRDefault="00821190" w:rsidP="00821190">
            <w:pPr>
              <w:pStyle w:val="TableText"/>
            </w:pPr>
            <w:r w:rsidRPr="005100F3">
              <w:t>Juvenile and adult</w:t>
            </w:r>
          </w:p>
        </w:tc>
        <w:tc>
          <w:tcPr>
            <w:tcW w:w="527" w:type="pct"/>
            <w:shd w:val="clear" w:color="auto" w:fill="auto"/>
          </w:tcPr>
          <w:p w14:paraId="5E08F53D" w14:textId="412C0785" w:rsidR="00821190" w:rsidRPr="005100F3" w:rsidRDefault="00821190" w:rsidP="00821190">
            <w:pPr>
              <w:pStyle w:val="TableText"/>
            </w:pPr>
            <w:r w:rsidRPr="005100F3">
              <w:t>96</w:t>
            </w:r>
            <w:r>
              <w:t> h</w:t>
            </w:r>
          </w:p>
        </w:tc>
        <w:tc>
          <w:tcPr>
            <w:tcW w:w="528" w:type="pct"/>
            <w:shd w:val="clear" w:color="auto" w:fill="auto"/>
          </w:tcPr>
          <w:p w14:paraId="7356CCC8" w14:textId="329FAD05" w:rsidR="00821190" w:rsidRPr="005100F3" w:rsidRDefault="00821190" w:rsidP="00821190">
            <w:pPr>
              <w:pStyle w:val="TableText"/>
            </w:pPr>
            <w:r w:rsidRPr="005100F3">
              <w:t>Flow</w:t>
            </w:r>
            <w:r>
              <w:t>-</w:t>
            </w:r>
            <w:r w:rsidRPr="005100F3">
              <w:t>through</w:t>
            </w:r>
          </w:p>
        </w:tc>
        <w:tc>
          <w:tcPr>
            <w:tcW w:w="605" w:type="pct"/>
            <w:shd w:val="clear" w:color="auto" w:fill="auto"/>
          </w:tcPr>
          <w:p w14:paraId="63FAFF34" w14:textId="1BF4E50D" w:rsidR="00821190" w:rsidRPr="005100F3" w:rsidRDefault="00821190" w:rsidP="00821190">
            <w:pPr>
              <w:pStyle w:val="TableText"/>
            </w:pPr>
            <w:r w:rsidRPr="005100F3">
              <w:t>Mortality (LC50)</w:t>
            </w:r>
          </w:p>
        </w:tc>
        <w:tc>
          <w:tcPr>
            <w:tcW w:w="605" w:type="pct"/>
            <w:shd w:val="clear" w:color="auto" w:fill="auto"/>
          </w:tcPr>
          <w:p w14:paraId="2F1D531F" w14:textId="1D03E5E3" w:rsidR="00821190" w:rsidRPr="005100F3" w:rsidRDefault="00821190" w:rsidP="00821190">
            <w:pPr>
              <w:pStyle w:val="TableText"/>
            </w:pPr>
            <w:r w:rsidRPr="005100F3">
              <w:t>Seawater (28‰)</w:t>
            </w:r>
          </w:p>
        </w:tc>
        <w:tc>
          <w:tcPr>
            <w:tcW w:w="698" w:type="pct"/>
            <w:shd w:val="clear" w:color="auto" w:fill="auto"/>
          </w:tcPr>
          <w:p w14:paraId="130A8EF3" w14:textId="3996F7DA" w:rsidR="00821190" w:rsidRPr="005100F3" w:rsidRDefault="00821190" w:rsidP="00821190">
            <w:pPr>
              <w:pStyle w:val="TableText"/>
            </w:pPr>
            <w:r w:rsidRPr="005100F3">
              <w:t>167</w:t>
            </w:r>
          </w:p>
        </w:tc>
      </w:tr>
      <w:tr w:rsidR="00CA1024" w:rsidRPr="005100F3" w14:paraId="2A82BAF6" w14:textId="77777777" w:rsidTr="00CA1024">
        <w:trPr>
          <w:cantSplit/>
          <w:trHeight w:val="515"/>
        </w:trPr>
        <w:tc>
          <w:tcPr>
            <w:tcW w:w="603" w:type="pct"/>
            <w:vMerge/>
            <w:tcBorders>
              <w:bottom w:val="single" w:sz="12" w:space="0" w:color="auto"/>
            </w:tcBorders>
          </w:tcPr>
          <w:p w14:paraId="008C2441" w14:textId="2BB64924" w:rsidR="00821190" w:rsidRPr="005100F3" w:rsidRDefault="00821190" w:rsidP="00821190">
            <w:pPr>
              <w:pStyle w:val="TableText"/>
            </w:pPr>
          </w:p>
        </w:tc>
        <w:tc>
          <w:tcPr>
            <w:tcW w:w="905" w:type="pct"/>
            <w:shd w:val="clear" w:color="auto" w:fill="auto"/>
          </w:tcPr>
          <w:p w14:paraId="7A3A5912" w14:textId="5620E54E" w:rsidR="00821190" w:rsidRPr="005100F3" w:rsidRDefault="00821190" w:rsidP="00821190">
            <w:pPr>
              <w:pStyle w:val="TableText"/>
            </w:pPr>
            <w:r w:rsidRPr="005100F3">
              <w:rPr>
                <w:i/>
                <w:iCs/>
              </w:rPr>
              <w:t xml:space="preserve">Cymatogaster </w:t>
            </w:r>
            <w:r>
              <w:rPr>
                <w:i/>
                <w:iCs/>
              </w:rPr>
              <w:t>aggregata</w:t>
            </w:r>
          </w:p>
        </w:tc>
        <w:tc>
          <w:tcPr>
            <w:tcW w:w="529" w:type="pct"/>
            <w:shd w:val="clear" w:color="auto" w:fill="auto"/>
          </w:tcPr>
          <w:p w14:paraId="2B77FB74" w14:textId="65F6613B" w:rsidR="00821190" w:rsidRPr="005100F3" w:rsidRDefault="00821190" w:rsidP="00821190">
            <w:pPr>
              <w:pStyle w:val="TableText"/>
            </w:pPr>
            <w:r w:rsidRPr="005100F3">
              <w:t>Juvenile and adult</w:t>
            </w:r>
          </w:p>
        </w:tc>
        <w:tc>
          <w:tcPr>
            <w:tcW w:w="527" w:type="pct"/>
            <w:shd w:val="clear" w:color="auto" w:fill="auto"/>
          </w:tcPr>
          <w:p w14:paraId="34F66AFB" w14:textId="5A8046A2" w:rsidR="00821190" w:rsidRPr="005100F3" w:rsidRDefault="00821190" w:rsidP="00821190">
            <w:pPr>
              <w:pStyle w:val="TableText"/>
            </w:pPr>
            <w:r w:rsidRPr="005100F3">
              <w:t>96</w:t>
            </w:r>
            <w:r>
              <w:t> h</w:t>
            </w:r>
          </w:p>
        </w:tc>
        <w:tc>
          <w:tcPr>
            <w:tcW w:w="528" w:type="pct"/>
            <w:shd w:val="clear" w:color="auto" w:fill="auto"/>
          </w:tcPr>
          <w:p w14:paraId="108EDAF4" w14:textId="2546D259" w:rsidR="00821190" w:rsidRPr="005100F3" w:rsidRDefault="00821190" w:rsidP="00821190">
            <w:pPr>
              <w:pStyle w:val="TableText"/>
            </w:pPr>
            <w:r w:rsidRPr="005100F3">
              <w:t>Flow</w:t>
            </w:r>
            <w:r>
              <w:t>-</w:t>
            </w:r>
            <w:r w:rsidRPr="005100F3">
              <w:t>through</w:t>
            </w:r>
          </w:p>
        </w:tc>
        <w:tc>
          <w:tcPr>
            <w:tcW w:w="605" w:type="pct"/>
            <w:shd w:val="clear" w:color="auto" w:fill="auto"/>
          </w:tcPr>
          <w:p w14:paraId="53726A94" w14:textId="6E2B6BB7" w:rsidR="00821190" w:rsidRPr="005100F3" w:rsidRDefault="00821190" w:rsidP="00821190">
            <w:pPr>
              <w:pStyle w:val="TableText"/>
            </w:pPr>
            <w:r w:rsidRPr="005100F3">
              <w:t>Mortality (LC50)</w:t>
            </w:r>
          </w:p>
        </w:tc>
        <w:tc>
          <w:tcPr>
            <w:tcW w:w="605" w:type="pct"/>
            <w:shd w:val="clear" w:color="auto" w:fill="auto"/>
          </w:tcPr>
          <w:p w14:paraId="676F827C" w14:textId="12D0385B" w:rsidR="00821190" w:rsidRPr="005100F3" w:rsidRDefault="00821190" w:rsidP="00821190">
            <w:pPr>
              <w:pStyle w:val="TableText"/>
            </w:pPr>
            <w:r w:rsidRPr="005100F3">
              <w:t>Seawater (28‰)</w:t>
            </w:r>
          </w:p>
        </w:tc>
        <w:tc>
          <w:tcPr>
            <w:tcW w:w="698" w:type="pct"/>
            <w:shd w:val="clear" w:color="auto" w:fill="auto"/>
          </w:tcPr>
          <w:p w14:paraId="3BEDBD44" w14:textId="590EABB0" w:rsidR="00821190" w:rsidRPr="005100F3" w:rsidRDefault="00821190" w:rsidP="00821190">
            <w:pPr>
              <w:pStyle w:val="TableText"/>
            </w:pPr>
            <w:r w:rsidRPr="005100F3">
              <w:t>71</w:t>
            </w:r>
          </w:p>
        </w:tc>
      </w:tr>
      <w:tr w:rsidR="00CA1024" w:rsidRPr="005100F3" w14:paraId="3AC39A9D" w14:textId="77777777" w:rsidTr="00CA1024">
        <w:trPr>
          <w:cantSplit/>
          <w:trHeight w:val="515"/>
        </w:trPr>
        <w:tc>
          <w:tcPr>
            <w:tcW w:w="603" w:type="pct"/>
            <w:vMerge/>
            <w:tcBorders>
              <w:bottom w:val="single" w:sz="12" w:space="0" w:color="auto"/>
            </w:tcBorders>
          </w:tcPr>
          <w:p w14:paraId="05690E40" w14:textId="28DCAFC6" w:rsidR="00821190" w:rsidRPr="005100F3" w:rsidRDefault="00821190" w:rsidP="00821190">
            <w:pPr>
              <w:pStyle w:val="TableText"/>
            </w:pPr>
          </w:p>
        </w:tc>
        <w:tc>
          <w:tcPr>
            <w:tcW w:w="905" w:type="pct"/>
            <w:shd w:val="clear" w:color="auto" w:fill="auto"/>
          </w:tcPr>
          <w:p w14:paraId="744B405D" w14:textId="21B3B123" w:rsidR="00821190" w:rsidRPr="005100F3" w:rsidRDefault="00821190" w:rsidP="00821190">
            <w:pPr>
              <w:pStyle w:val="TableText"/>
            </w:pPr>
            <w:r w:rsidRPr="005100F3">
              <w:rPr>
                <w:i/>
                <w:iCs/>
              </w:rPr>
              <w:t>Ammodytes hexapterus</w:t>
            </w:r>
          </w:p>
        </w:tc>
        <w:tc>
          <w:tcPr>
            <w:tcW w:w="529" w:type="pct"/>
            <w:shd w:val="clear" w:color="auto" w:fill="auto"/>
          </w:tcPr>
          <w:p w14:paraId="05F11731" w14:textId="1FFA0399" w:rsidR="00821190" w:rsidRPr="005100F3" w:rsidRDefault="00821190" w:rsidP="00821190">
            <w:pPr>
              <w:pStyle w:val="TableText"/>
            </w:pPr>
            <w:r w:rsidRPr="005100F3">
              <w:t>Juvenile and adult</w:t>
            </w:r>
          </w:p>
        </w:tc>
        <w:tc>
          <w:tcPr>
            <w:tcW w:w="527" w:type="pct"/>
            <w:shd w:val="clear" w:color="auto" w:fill="auto"/>
          </w:tcPr>
          <w:p w14:paraId="0D135964" w14:textId="14BD0038" w:rsidR="00821190" w:rsidRPr="005100F3" w:rsidRDefault="00821190" w:rsidP="00821190">
            <w:pPr>
              <w:pStyle w:val="TableText"/>
            </w:pPr>
            <w:r w:rsidRPr="005100F3">
              <w:t>96</w:t>
            </w:r>
            <w:r>
              <w:t> h</w:t>
            </w:r>
          </w:p>
        </w:tc>
        <w:tc>
          <w:tcPr>
            <w:tcW w:w="528" w:type="pct"/>
            <w:shd w:val="clear" w:color="auto" w:fill="auto"/>
          </w:tcPr>
          <w:p w14:paraId="073C206E" w14:textId="0FEED798" w:rsidR="00821190" w:rsidRPr="005100F3" w:rsidRDefault="00821190" w:rsidP="00821190">
            <w:pPr>
              <w:pStyle w:val="TableText"/>
            </w:pPr>
            <w:r w:rsidRPr="005100F3">
              <w:t>Flow</w:t>
            </w:r>
            <w:r>
              <w:t>-</w:t>
            </w:r>
            <w:r w:rsidRPr="005100F3">
              <w:t>through</w:t>
            </w:r>
          </w:p>
        </w:tc>
        <w:tc>
          <w:tcPr>
            <w:tcW w:w="605" w:type="pct"/>
            <w:shd w:val="clear" w:color="auto" w:fill="auto"/>
          </w:tcPr>
          <w:p w14:paraId="28B4D01D" w14:textId="43103764" w:rsidR="00821190" w:rsidRPr="005100F3" w:rsidRDefault="00821190" w:rsidP="00821190">
            <w:pPr>
              <w:pStyle w:val="TableText"/>
            </w:pPr>
            <w:r w:rsidRPr="005100F3">
              <w:t>Mortality (LC50)</w:t>
            </w:r>
          </w:p>
        </w:tc>
        <w:tc>
          <w:tcPr>
            <w:tcW w:w="605" w:type="pct"/>
            <w:shd w:val="clear" w:color="auto" w:fill="auto"/>
          </w:tcPr>
          <w:p w14:paraId="3BA0AC32" w14:textId="6029DDC1" w:rsidR="00821190" w:rsidRPr="005100F3" w:rsidRDefault="00821190" w:rsidP="00821190">
            <w:pPr>
              <w:pStyle w:val="TableText"/>
            </w:pPr>
            <w:r w:rsidRPr="005100F3">
              <w:t>Seawater (28‰)</w:t>
            </w:r>
          </w:p>
        </w:tc>
        <w:tc>
          <w:tcPr>
            <w:tcW w:w="698" w:type="pct"/>
            <w:shd w:val="clear" w:color="auto" w:fill="auto"/>
          </w:tcPr>
          <w:p w14:paraId="1DFAD4D4" w14:textId="412D1A91" w:rsidR="00821190" w:rsidRPr="005100F3" w:rsidRDefault="00821190" w:rsidP="00821190">
            <w:pPr>
              <w:pStyle w:val="TableText"/>
            </w:pPr>
            <w:r w:rsidRPr="005100F3">
              <w:t>82</w:t>
            </w:r>
          </w:p>
        </w:tc>
      </w:tr>
      <w:tr w:rsidR="00CA1024" w:rsidRPr="005100F3" w14:paraId="57F25CCB" w14:textId="7C367DAC" w:rsidTr="00CA1024">
        <w:trPr>
          <w:cantSplit/>
          <w:trHeight w:val="515"/>
        </w:trPr>
        <w:tc>
          <w:tcPr>
            <w:tcW w:w="603" w:type="pct"/>
            <w:vMerge/>
            <w:tcBorders>
              <w:bottom w:val="single" w:sz="12" w:space="0" w:color="auto"/>
            </w:tcBorders>
            <w:shd w:val="clear" w:color="auto" w:fill="auto"/>
          </w:tcPr>
          <w:p w14:paraId="0FC60DD8" w14:textId="6D7E2A05" w:rsidR="00821190" w:rsidRDefault="00821190" w:rsidP="00821190">
            <w:pPr>
              <w:pStyle w:val="TableText"/>
            </w:pPr>
          </w:p>
        </w:tc>
        <w:tc>
          <w:tcPr>
            <w:tcW w:w="905" w:type="pct"/>
            <w:shd w:val="clear" w:color="auto" w:fill="auto"/>
          </w:tcPr>
          <w:p w14:paraId="3C0DDE80" w14:textId="4D27BFDB" w:rsidR="00821190" w:rsidRPr="007B3976" w:rsidRDefault="00821190" w:rsidP="00821190">
            <w:pPr>
              <w:pStyle w:val="TableText"/>
            </w:pPr>
            <w:r w:rsidRPr="004D46DB">
              <w:rPr>
                <w:rFonts w:cs="Calibri"/>
                <w:i/>
                <w:iCs/>
              </w:rPr>
              <w:t>Parophrys vetulus</w:t>
            </w:r>
          </w:p>
        </w:tc>
        <w:tc>
          <w:tcPr>
            <w:tcW w:w="529" w:type="pct"/>
            <w:shd w:val="clear" w:color="auto" w:fill="auto"/>
          </w:tcPr>
          <w:p w14:paraId="7B1DB5D4" w14:textId="7878E8A1" w:rsidR="00821190" w:rsidRPr="007B3976" w:rsidRDefault="00821190" w:rsidP="00821190">
            <w:pPr>
              <w:pStyle w:val="TableText"/>
            </w:pPr>
            <w:r w:rsidRPr="004D46DB">
              <w:rPr>
                <w:rFonts w:cs="Calibri"/>
              </w:rPr>
              <w:t>Juvenile</w:t>
            </w:r>
          </w:p>
        </w:tc>
        <w:tc>
          <w:tcPr>
            <w:tcW w:w="527" w:type="pct"/>
            <w:shd w:val="clear" w:color="auto" w:fill="auto"/>
          </w:tcPr>
          <w:p w14:paraId="3DD58458" w14:textId="60C06ADC" w:rsidR="00821190" w:rsidRPr="007B3976" w:rsidRDefault="00821190" w:rsidP="00821190">
            <w:pPr>
              <w:pStyle w:val="TableText"/>
            </w:pPr>
            <w:r w:rsidRPr="004D46DB">
              <w:rPr>
                <w:rFonts w:cs="Calibri"/>
              </w:rPr>
              <w:t>96</w:t>
            </w:r>
            <w:r>
              <w:rPr>
                <w:rFonts w:cs="Calibri"/>
              </w:rPr>
              <w:t> h</w:t>
            </w:r>
          </w:p>
        </w:tc>
        <w:tc>
          <w:tcPr>
            <w:tcW w:w="528" w:type="pct"/>
            <w:shd w:val="clear" w:color="auto" w:fill="auto"/>
          </w:tcPr>
          <w:p w14:paraId="43430766" w14:textId="7C8252A9" w:rsidR="00821190" w:rsidRPr="007B3976" w:rsidRDefault="00821190" w:rsidP="00821190">
            <w:pPr>
              <w:pStyle w:val="TableText"/>
            </w:pPr>
            <w:r w:rsidRPr="004D46DB">
              <w:rPr>
                <w:rFonts w:cs="Calibri"/>
              </w:rPr>
              <w:t>Flow</w:t>
            </w:r>
            <w:r>
              <w:rPr>
                <w:rFonts w:cs="Calibri"/>
              </w:rPr>
              <w:t>-</w:t>
            </w:r>
            <w:r w:rsidRPr="004D46DB">
              <w:rPr>
                <w:rFonts w:cs="Calibri"/>
              </w:rPr>
              <w:t>through</w:t>
            </w:r>
          </w:p>
        </w:tc>
        <w:tc>
          <w:tcPr>
            <w:tcW w:w="605" w:type="pct"/>
            <w:shd w:val="clear" w:color="auto" w:fill="auto"/>
          </w:tcPr>
          <w:p w14:paraId="7D7FAF50" w14:textId="374373B7" w:rsidR="00821190" w:rsidRPr="007B3976" w:rsidRDefault="00821190" w:rsidP="00821190">
            <w:pPr>
              <w:pStyle w:val="TableText"/>
            </w:pPr>
            <w:r w:rsidRPr="004D46DB">
              <w:rPr>
                <w:rFonts w:cs="Calibri"/>
              </w:rPr>
              <w:t>Mortality (LC50)</w:t>
            </w:r>
          </w:p>
        </w:tc>
        <w:tc>
          <w:tcPr>
            <w:tcW w:w="605" w:type="pct"/>
            <w:shd w:val="clear" w:color="auto" w:fill="auto"/>
          </w:tcPr>
          <w:p w14:paraId="26759968" w14:textId="31BB0BBF" w:rsidR="00821190" w:rsidRPr="007B3976" w:rsidRDefault="00821190" w:rsidP="00821190">
            <w:pPr>
              <w:pStyle w:val="TableText"/>
            </w:pPr>
            <w:r w:rsidRPr="004D46DB">
              <w:rPr>
                <w:rFonts w:cs="Calibri"/>
              </w:rPr>
              <w:t>Seawater (28‰)</w:t>
            </w:r>
          </w:p>
        </w:tc>
        <w:tc>
          <w:tcPr>
            <w:tcW w:w="698" w:type="pct"/>
            <w:shd w:val="clear" w:color="auto" w:fill="auto"/>
            <w:vAlign w:val="center"/>
          </w:tcPr>
          <w:p w14:paraId="088B02AD" w14:textId="7DF196E7" w:rsidR="00821190" w:rsidRPr="00BC5F0A" w:rsidRDefault="00821190" w:rsidP="00821190">
            <w:pPr>
              <w:pStyle w:val="TableText"/>
            </w:pPr>
            <w:r>
              <w:t>73</w:t>
            </w:r>
          </w:p>
        </w:tc>
      </w:tr>
      <w:tr w:rsidR="00CA1024" w:rsidRPr="005100F3" w14:paraId="0C2EFD2C" w14:textId="7F233E75" w:rsidTr="00CA1024">
        <w:trPr>
          <w:cantSplit/>
          <w:trHeight w:val="515"/>
        </w:trPr>
        <w:tc>
          <w:tcPr>
            <w:tcW w:w="603" w:type="pct"/>
            <w:vMerge/>
            <w:tcBorders>
              <w:bottom w:val="single" w:sz="12" w:space="0" w:color="auto"/>
            </w:tcBorders>
          </w:tcPr>
          <w:p w14:paraId="1AC60398" w14:textId="145EFD9A" w:rsidR="00821190" w:rsidRDefault="00821190" w:rsidP="00821190">
            <w:pPr>
              <w:pStyle w:val="TableText"/>
            </w:pPr>
          </w:p>
        </w:tc>
        <w:tc>
          <w:tcPr>
            <w:tcW w:w="905" w:type="pct"/>
            <w:shd w:val="clear" w:color="auto" w:fill="auto"/>
          </w:tcPr>
          <w:p w14:paraId="3984A21B" w14:textId="4F25DB01" w:rsidR="00821190" w:rsidRPr="000D58B8" w:rsidRDefault="00821190" w:rsidP="00821190">
            <w:pPr>
              <w:pStyle w:val="TableText"/>
              <w:rPr>
                <w:rFonts w:cs="Calibri"/>
              </w:rPr>
            </w:pPr>
            <w:r w:rsidRPr="00D122A7">
              <w:rPr>
                <w:rFonts w:cs="Calibri"/>
                <w:i/>
              </w:rPr>
              <w:t>Menidia menidia</w:t>
            </w:r>
          </w:p>
        </w:tc>
        <w:tc>
          <w:tcPr>
            <w:tcW w:w="529" w:type="pct"/>
            <w:shd w:val="clear" w:color="auto" w:fill="auto"/>
          </w:tcPr>
          <w:p w14:paraId="304BAF04" w14:textId="2D5DE32B" w:rsidR="00821190" w:rsidRPr="007B3976" w:rsidRDefault="00821190" w:rsidP="00821190">
            <w:pPr>
              <w:pStyle w:val="TableText"/>
            </w:pPr>
            <w:r>
              <w:rPr>
                <w:rFonts w:cs="Calibri"/>
              </w:rPr>
              <w:t>Juvenile</w:t>
            </w:r>
          </w:p>
        </w:tc>
        <w:tc>
          <w:tcPr>
            <w:tcW w:w="527" w:type="pct"/>
            <w:shd w:val="clear" w:color="auto" w:fill="auto"/>
          </w:tcPr>
          <w:p w14:paraId="6285F1AF" w14:textId="479737F2" w:rsidR="00821190" w:rsidRPr="007B3976" w:rsidRDefault="00821190" w:rsidP="00821190">
            <w:pPr>
              <w:pStyle w:val="TableText"/>
            </w:pPr>
            <w:r>
              <w:rPr>
                <w:rFonts w:cs="Calibri"/>
              </w:rPr>
              <w:t>96 h</w:t>
            </w:r>
          </w:p>
        </w:tc>
        <w:tc>
          <w:tcPr>
            <w:tcW w:w="528" w:type="pct"/>
            <w:shd w:val="clear" w:color="auto" w:fill="auto"/>
          </w:tcPr>
          <w:p w14:paraId="4795C07B" w14:textId="4C24EC06" w:rsidR="00821190" w:rsidRPr="007B3976" w:rsidRDefault="00821190" w:rsidP="00821190">
            <w:pPr>
              <w:pStyle w:val="TableText"/>
            </w:pPr>
            <w:r w:rsidRPr="004D46DB">
              <w:rPr>
                <w:rFonts w:cs="Calibri"/>
              </w:rPr>
              <w:t>Flow</w:t>
            </w:r>
            <w:r>
              <w:rPr>
                <w:rFonts w:cs="Calibri"/>
              </w:rPr>
              <w:t>-</w:t>
            </w:r>
            <w:r w:rsidRPr="004D46DB">
              <w:rPr>
                <w:rFonts w:cs="Calibri"/>
              </w:rPr>
              <w:t>through</w:t>
            </w:r>
          </w:p>
        </w:tc>
        <w:tc>
          <w:tcPr>
            <w:tcW w:w="605" w:type="pct"/>
            <w:shd w:val="clear" w:color="auto" w:fill="auto"/>
          </w:tcPr>
          <w:p w14:paraId="57061CD4" w14:textId="0DDD37D2" w:rsidR="00821190" w:rsidRPr="007B3976" w:rsidRDefault="00821190" w:rsidP="00821190">
            <w:pPr>
              <w:pStyle w:val="TableText"/>
            </w:pPr>
            <w:r w:rsidRPr="004D46DB">
              <w:rPr>
                <w:rFonts w:cs="Calibri"/>
              </w:rPr>
              <w:t>Mortality (LC50)</w:t>
            </w:r>
          </w:p>
        </w:tc>
        <w:tc>
          <w:tcPr>
            <w:tcW w:w="605" w:type="pct"/>
            <w:shd w:val="clear" w:color="auto" w:fill="auto"/>
          </w:tcPr>
          <w:p w14:paraId="208CCB4E" w14:textId="466E94FF" w:rsidR="00821190" w:rsidRPr="007B3976" w:rsidRDefault="00821190" w:rsidP="00821190">
            <w:pPr>
              <w:pStyle w:val="TableText"/>
            </w:pPr>
            <w:r w:rsidRPr="004D46DB">
              <w:rPr>
                <w:rFonts w:cs="Calibri"/>
              </w:rPr>
              <w:t>Seawater</w:t>
            </w:r>
            <w:r>
              <w:rPr>
                <w:rFonts w:cs="Calibri"/>
              </w:rPr>
              <w:t xml:space="preserve"> (20‰)</w:t>
            </w:r>
          </w:p>
        </w:tc>
        <w:tc>
          <w:tcPr>
            <w:tcW w:w="698" w:type="pct"/>
            <w:shd w:val="clear" w:color="auto" w:fill="auto"/>
            <w:vAlign w:val="center"/>
          </w:tcPr>
          <w:p w14:paraId="54604474" w14:textId="54988B46" w:rsidR="00821190" w:rsidRPr="00BC5F0A" w:rsidRDefault="00821190" w:rsidP="00821190">
            <w:pPr>
              <w:pStyle w:val="TableText"/>
            </w:pPr>
            <w:r>
              <w:t>37</w:t>
            </w:r>
          </w:p>
        </w:tc>
      </w:tr>
      <w:tr w:rsidR="00CA1024" w:rsidRPr="005100F3" w14:paraId="33A0EC3E" w14:textId="77777777" w:rsidTr="00CA1024">
        <w:trPr>
          <w:cantSplit/>
          <w:trHeight w:val="515"/>
        </w:trPr>
        <w:tc>
          <w:tcPr>
            <w:tcW w:w="603" w:type="pct"/>
            <w:vMerge/>
            <w:tcBorders>
              <w:bottom w:val="single" w:sz="12" w:space="0" w:color="auto"/>
            </w:tcBorders>
          </w:tcPr>
          <w:p w14:paraId="0369F1AA" w14:textId="32A216F7" w:rsidR="00821190" w:rsidRPr="007B3976" w:rsidRDefault="00821190" w:rsidP="00821190">
            <w:pPr>
              <w:pStyle w:val="TableText"/>
            </w:pPr>
          </w:p>
        </w:tc>
        <w:tc>
          <w:tcPr>
            <w:tcW w:w="905" w:type="pct"/>
            <w:shd w:val="clear" w:color="auto" w:fill="auto"/>
          </w:tcPr>
          <w:p w14:paraId="01694A99" w14:textId="5B23F951" w:rsidR="00821190" w:rsidRPr="005100F3" w:rsidRDefault="00821190" w:rsidP="00821190">
            <w:pPr>
              <w:pStyle w:val="TableText"/>
            </w:pPr>
            <w:r w:rsidRPr="007B3976">
              <w:rPr>
                <w:i/>
              </w:rPr>
              <w:t>Menidia beryllina</w:t>
            </w:r>
          </w:p>
        </w:tc>
        <w:tc>
          <w:tcPr>
            <w:tcW w:w="529" w:type="pct"/>
            <w:shd w:val="clear" w:color="auto" w:fill="auto"/>
          </w:tcPr>
          <w:p w14:paraId="3F5F71AD" w14:textId="0FD1B3FB" w:rsidR="00821190" w:rsidRPr="005100F3" w:rsidRDefault="00821190" w:rsidP="00821190">
            <w:pPr>
              <w:pStyle w:val="TableText"/>
            </w:pPr>
            <w:r w:rsidRPr="007B3976">
              <w:t>Juvenile</w:t>
            </w:r>
          </w:p>
        </w:tc>
        <w:tc>
          <w:tcPr>
            <w:tcW w:w="527" w:type="pct"/>
            <w:shd w:val="clear" w:color="auto" w:fill="auto"/>
          </w:tcPr>
          <w:p w14:paraId="4B98C620" w14:textId="71BA981A" w:rsidR="00821190" w:rsidRPr="005100F3" w:rsidRDefault="00821190" w:rsidP="00821190">
            <w:pPr>
              <w:pStyle w:val="TableText"/>
            </w:pPr>
            <w:r w:rsidRPr="007B3976">
              <w:t>96</w:t>
            </w:r>
            <w:r>
              <w:t> h</w:t>
            </w:r>
          </w:p>
        </w:tc>
        <w:tc>
          <w:tcPr>
            <w:tcW w:w="528" w:type="pct"/>
            <w:shd w:val="clear" w:color="auto" w:fill="auto"/>
          </w:tcPr>
          <w:p w14:paraId="6F5AA010" w14:textId="17BA4985" w:rsidR="00821190" w:rsidRPr="005100F3" w:rsidRDefault="00821190" w:rsidP="00821190">
            <w:pPr>
              <w:pStyle w:val="TableText"/>
            </w:pPr>
            <w:r w:rsidRPr="007B3976">
              <w:t>Flow</w:t>
            </w:r>
            <w:r>
              <w:t>-</w:t>
            </w:r>
            <w:r w:rsidRPr="007B3976">
              <w:t>through</w:t>
            </w:r>
          </w:p>
        </w:tc>
        <w:tc>
          <w:tcPr>
            <w:tcW w:w="605" w:type="pct"/>
            <w:shd w:val="clear" w:color="auto" w:fill="auto"/>
          </w:tcPr>
          <w:p w14:paraId="02BB729D" w14:textId="34962A8F" w:rsidR="00821190" w:rsidRPr="005100F3" w:rsidRDefault="00821190" w:rsidP="00821190">
            <w:pPr>
              <w:pStyle w:val="TableText"/>
            </w:pPr>
            <w:r w:rsidRPr="007B3976">
              <w:t>Mortality (LC50)</w:t>
            </w:r>
          </w:p>
        </w:tc>
        <w:tc>
          <w:tcPr>
            <w:tcW w:w="605" w:type="pct"/>
            <w:shd w:val="clear" w:color="auto" w:fill="auto"/>
          </w:tcPr>
          <w:p w14:paraId="6C289A9E" w14:textId="01E163DE" w:rsidR="00821190" w:rsidRPr="005100F3" w:rsidRDefault="00821190" w:rsidP="00821190">
            <w:pPr>
              <w:pStyle w:val="TableText"/>
            </w:pPr>
            <w:r w:rsidRPr="007B3976">
              <w:t>Seawater</w:t>
            </w:r>
            <w:r>
              <w:t xml:space="preserve"> </w:t>
            </w:r>
            <w:r w:rsidRPr="007B3976">
              <w:t>(20</w:t>
            </w:r>
            <w:r>
              <w:t>–20.5</w:t>
            </w:r>
            <w:r w:rsidRPr="007B3976">
              <w:t>‰)</w:t>
            </w:r>
          </w:p>
        </w:tc>
        <w:tc>
          <w:tcPr>
            <w:tcW w:w="698" w:type="pct"/>
            <w:shd w:val="clear" w:color="auto" w:fill="auto"/>
          </w:tcPr>
          <w:p w14:paraId="6CC09855" w14:textId="3D64E1E7" w:rsidR="00821190" w:rsidRPr="00BC5F0A" w:rsidRDefault="00821190" w:rsidP="00821190">
            <w:pPr>
              <w:pStyle w:val="TableText"/>
            </w:pPr>
            <w:r w:rsidRPr="00BC5F0A">
              <w:t>1</w:t>
            </w:r>
            <w:r>
              <w:t>35</w:t>
            </w:r>
          </w:p>
        </w:tc>
      </w:tr>
      <w:tr w:rsidR="00CA1024" w:rsidRPr="005100F3" w14:paraId="75D05F08" w14:textId="77777777" w:rsidTr="00CA1024">
        <w:trPr>
          <w:cantSplit/>
          <w:trHeight w:val="515"/>
        </w:trPr>
        <w:tc>
          <w:tcPr>
            <w:tcW w:w="603" w:type="pct"/>
            <w:vMerge/>
            <w:tcBorders>
              <w:bottom w:val="single" w:sz="12" w:space="0" w:color="auto"/>
            </w:tcBorders>
          </w:tcPr>
          <w:p w14:paraId="541E2FAA" w14:textId="75D1831A" w:rsidR="00821190" w:rsidRPr="007B3976" w:rsidRDefault="00821190" w:rsidP="00821190">
            <w:pPr>
              <w:pStyle w:val="TableText"/>
            </w:pPr>
          </w:p>
        </w:tc>
        <w:tc>
          <w:tcPr>
            <w:tcW w:w="905" w:type="pct"/>
            <w:shd w:val="clear" w:color="auto" w:fill="auto"/>
          </w:tcPr>
          <w:p w14:paraId="22277A1C" w14:textId="10C34A3C" w:rsidR="00821190" w:rsidRPr="005100F3" w:rsidRDefault="00821190" w:rsidP="00821190">
            <w:pPr>
              <w:pStyle w:val="TableText"/>
            </w:pPr>
            <w:r w:rsidRPr="007B3976">
              <w:rPr>
                <w:i/>
              </w:rPr>
              <w:t>Synnathus focus</w:t>
            </w:r>
          </w:p>
        </w:tc>
        <w:tc>
          <w:tcPr>
            <w:tcW w:w="529" w:type="pct"/>
            <w:shd w:val="clear" w:color="auto" w:fill="auto"/>
          </w:tcPr>
          <w:p w14:paraId="5F843F5D" w14:textId="3D84428C" w:rsidR="00821190" w:rsidRPr="005100F3" w:rsidRDefault="00821190" w:rsidP="00821190">
            <w:pPr>
              <w:pStyle w:val="TableText"/>
            </w:pPr>
            <w:r w:rsidRPr="007B3976">
              <w:t>Juvenile</w:t>
            </w:r>
          </w:p>
        </w:tc>
        <w:tc>
          <w:tcPr>
            <w:tcW w:w="527" w:type="pct"/>
            <w:shd w:val="clear" w:color="auto" w:fill="auto"/>
          </w:tcPr>
          <w:p w14:paraId="6F7FBFA7" w14:textId="2522CC0F" w:rsidR="00821190" w:rsidRPr="005100F3" w:rsidRDefault="00821190" w:rsidP="00821190">
            <w:pPr>
              <w:pStyle w:val="TableText"/>
            </w:pPr>
            <w:r w:rsidRPr="007B3976">
              <w:t>96</w:t>
            </w:r>
            <w:r>
              <w:t> h</w:t>
            </w:r>
          </w:p>
        </w:tc>
        <w:tc>
          <w:tcPr>
            <w:tcW w:w="528" w:type="pct"/>
            <w:shd w:val="clear" w:color="auto" w:fill="auto"/>
          </w:tcPr>
          <w:p w14:paraId="78C246B9" w14:textId="6DF46CD7" w:rsidR="00821190" w:rsidRPr="005100F3" w:rsidRDefault="00821190" w:rsidP="00821190">
            <w:pPr>
              <w:pStyle w:val="TableText"/>
            </w:pPr>
            <w:r w:rsidRPr="007B3976">
              <w:t>Flow</w:t>
            </w:r>
            <w:r>
              <w:t>-</w:t>
            </w:r>
            <w:r w:rsidRPr="007B3976">
              <w:t>through</w:t>
            </w:r>
          </w:p>
        </w:tc>
        <w:tc>
          <w:tcPr>
            <w:tcW w:w="605" w:type="pct"/>
            <w:shd w:val="clear" w:color="auto" w:fill="auto"/>
          </w:tcPr>
          <w:p w14:paraId="50202E3A" w14:textId="29C2BFA1" w:rsidR="00821190" w:rsidRPr="005100F3" w:rsidRDefault="00821190" w:rsidP="00821190">
            <w:pPr>
              <w:pStyle w:val="TableText"/>
            </w:pPr>
            <w:r w:rsidRPr="007B3976">
              <w:t>Mortality (LC50)</w:t>
            </w:r>
          </w:p>
        </w:tc>
        <w:tc>
          <w:tcPr>
            <w:tcW w:w="605" w:type="pct"/>
            <w:shd w:val="clear" w:color="auto" w:fill="auto"/>
          </w:tcPr>
          <w:p w14:paraId="7D9A4D32" w14:textId="46BE753F" w:rsidR="00821190" w:rsidRPr="005100F3" w:rsidRDefault="00821190" w:rsidP="00821190">
            <w:pPr>
              <w:pStyle w:val="TableText"/>
            </w:pPr>
            <w:r w:rsidRPr="007B3976">
              <w:t>Seawater</w:t>
            </w:r>
            <w:r>
              <w:t xml:space="preserve"> </w:t>
            </w:r>
            <w:r w:rsidRPr="007B3976">
              <w:t>(20‰)</w:t>
            </w:r>
          </w:p>
        </w:tc>
        <w:tc>
          <w:tcPr>
            <w:tcW w:w="698" w:type="pct"/>
            <w:shd w:val="clear" w:color="auto" w:fill="auto"/>
          </w:tcPr>
          <w:p w14:paraId="2390671C" w14:textId="3C9710DF" w:rsidR="00821190" w:rsidRPr="005100F3" w:rsidRDefault="00821190" w:rsidP="00821190">
            <w:pPr>
              <w:pStyle w:val="TableText"/>
            </w:pPr>
            <w:r w:rsidRPr="007B3976">
              <w:t>270</w:t>
            </w:r>
          </w:p>
        </w:tc>
      </w:tr>
      <w:tr w:rsidR="00CA1024" w:rsidRPr="005100F3" w14:paraId="4958BA99" w14:textId="77777777" w:rsidTr="00CA1024">
        <w:trPr>
          <w:cantSplit/>
          <w:trHeight w:val="515"/>
        </w:trPr>
        <w:tc>
          <w:tcPr>
            <w:tcW w:w="603" w:type="pct"/>
            <w:vMerge/>
            <w:tcBorders>
              <w:bottom w:val="single" w:sz="12" w:space="0" w:color="auto"/>
            </w:tcBorders>
          </w:tcPr>
          <w:p w14:paraId="11109764" w14:textId="747325E3" w:rsidR="00821190" w:rsidRPr="007B3976" w:rsidRDefault="00821190" w:rsidP="00821190">
            <w:pPr>
              <w:pStyle w:val="TableText"/>
            </w:pPr>
          </w:p>
        </w:tc>
        <w:tc>
          <w:tcPr>
            <w:tcW w:w="905" w:type="pct"/>
            <w:shd w:val="clear" w:color="auto" w:fill="auto"/>
          </w:tcPr>
          <w:p w14:paraId="55DAA925" w14:textId="3AD34C76" w:rsidR="00821190" w:rsidRPr="005100F3" w:rsidRDefault="00821190" w:rsidP="00821190">
            <w:pPr>
              <w:pStyle w:val="TableText"/>
            </w:pPr>
            <w:r w:rsidRPr="007B3976">
              <w:rPr>
                <w:i/>
              </w:rPr>
              <w:t>Gobiosoma bosci</w:t>
            </w:r>
          </w:p>
        </w:tc>
        <w:tc>
          <w:tcPr>
            <w:tcW w:w="529" w:type="pct"/>
            <w:shd w:val="clear" w:color="auto" w:fill="auto"/>
          </w:tcPr>
          <w:p w14:paraId="4097D85E" w14:textId="460C7473" w:rsidR="00821190" w:rsidRPr="005100F3" w:rsidRDefault="00821190" w:rsidP="00821190">
            <w:pPr>
              <w:pStyle w:val="TableText"/>
            </w:pPr>
            <w:r w:rsidRPr="007B3976">
              <w:t>Juvenile</w:t>
            </w:r>
          </w:p>
        </w:tc>
        <w:tc>
          <w:tcPr>
            <w:tcW w:w="527" w:type="pct"/>
            <w:shd w:val="clear" w:color="auto" w:fill="auto"/>
          </w:tcPr>
          <w:p w14:paraId="1C546584" w14:textId="33C298C1" w:rsidR="00821190" w:rsidRPr="005100F3" w:rsidRDefault="00821190" w:rsidP="00821190">
            <w:pPr>
              <w:pStyle w:val="TableText"/>
            </w:pPr>
            <w:r w:rsidRPr="007B3976">
              <w:t>96</w:t>
            </w:r>
            <w:r>
              <w:t> h</w:t>
            </w:r>
          </w:p>
        </w:tc>
        <w:tc>
          <w:tcPr>
            <w:tcW w:w="528" w:type="pct"/>
            <w:shd w:val="clear" w:color="auto" w:fill="auto"/>
          </w:tcPr>
          <w:p w14:paraId="348F5521" w14:textId="08B5237D" w:rsidR="00821190" w:rsidRPr="005100F3" w:rsidRDefault="00821190" w:rsidP="00821190">
            <w:pPr>
              <w:pStyle w:val="TableText"/>
            </w:pPr>
            <w:r w:rsidRPr="007B3976">
              <w:t>Flow</w:t>
            </w:r>
            <w:r>
              <w:t>-</w:t>
            </w:r>
            <w:r w:rsidRPr="007B3976">
              <w:t>through</w:t>
            </w:r>
          </w:p>
        </w:tc>
        <w:tc>
          <w:tcPr>
            <w:tcW w:w="605" w:type="pct"/>
            <w:shd w:val="clear" w:color="auto" w:fill="auto"/>
          </w:tcPr>
          <w:p w14:paraId="79C194D9" w14:textId="5DC2D1AD" w:rsidR="00821190" w:rsidRPr="005100F3" w:rsidRDefault="00821190" w:rsidP="00821190">
            <w:pPr>
              <w:pStyle w:val="TableText"/>
            </w:pPr>
            <w:r w:rsidRPr="007B3976">
              <w:t>Mortality (LC50)</w:t>
            </w:r>
          </w:p>
        </w:tc>
        <w:tc>
          <w:tcPr>
            <w:tcW w:w="605" w:type="pct"/>
            <w:shd w:val="clear" w:color="auto" w:fill="auto"/>
          </w:tcPr>
          <w:p w14:paraId="12783C13" w14:textId="33A71610" w:rsidR="00821190" w:rsidRPr="005100F3" w:rsidRDefault="00821190" w:rsidP="00821190">
            <w:pPr>
              <w:pStyle w:val="TableText"/>
            </w:pPr>
            <w:r w:rsidRPr="007B3976">
              <w:t>Seawater</w:t>
            </w:r>
            <w:r>
              <w:t xml:space="preserve"> </w:t>
            </w:r>
            <w:r w:rsidRPr="007B3976">
              <w:t>(20‰)</w:t>
            </w:r>
          </w:p>
        </w:tc>
        <w:tc>
          <w:tcPr>
            <w:tcW w:w="698" w:type="pct"/>
            <w:shd w:val="clear" w:color="auto" w:fill="auto"/>
          </w:tcPr>
          <w:p w14:paraId="29A56677" w14:textId="128D25C7" w:rsidR="00821190" w:rsidRPr="005100F3" w:rsidRDefault="00821190" w:rsidP="00821190">
            <w:pPr>
              <w:pStyle w:val="TableText"/>
            </w:pPr>
            <w:r w:rsidRPr="007B3976">
              <w:t>80</w:t>
            </w:r>
          </w:p>
        </w:tc>
      </w:tr>
      <w:tr w:rsidR="00CA1024" w:rsidRPr="005100F3" w14:paraId="7EA5FAEC" w14:textId="77777777" w:rsidTr="00CA1024">
        <w:trPr>
          <w:cantSplit/>
          <w:trHeight w:val="515"/>
        </w:trPr>
        <w:tc>
          <w:tcPr>
            <w:tcW w:w="603" w:type="pct"/>
            <w:vMerge/>
            <w:tcBorders>
              <w:bottom w:val="single" w:sz="12" w:space="0" w:color="auto"/>
            </w:tcBorders>
          </w:tcPr>
          <w:p w14:paraId="617332F3" w14:textId="44B093BA" w:rsidR="00821190" w:rsidRPr="007B3976" w:rsidRDefault="00821190" w:rsidP="00821190">
            <w:pPr>
              <w:pStyle w:val="TableText"/>
            </w:pPr>
          </w:p>
        </w:tc>
        <w:tc>
          <w:tcPr>
            <w:tcW w:w="905" w:type="pct"/>
            <w:shd w:val="clear" w:color="auto" w:fill="auto"/>
          </w:tcPr>
          <w:p w14:paraId="6BFB517A" w14:textId="5CFCAD42" w:rsidR="00821190" w:rsidRPr="005100F3" w:rsidRDefault="00821190" w:rsidP="00821190">
            <w:pPr>
              <w:pStyle w:val="TableText"/>
            </w:pPr>
            <w:r w:rsidRPr="007B3976">
              <w:rPr>
                <w:i/>
              </w:rPr>
              <w:t>Morone americana</w:t>
            </w:r>
          </w:p>
        </w:tc>
        <w:tc>
          <w:tcPr>
            <w:tcW w:w="529" w:type="pct"/>
            <w:shd w:val="clear" w:color="auto" w:fill="auto"/>
          </w:tcPr>
          <w:p w14:paraId="2371A39E" w14:textId="648F99A9" w:rsidR="00821190" w:rsidRPr="005100F3" w:rsidRDefault="00821190" w:rsidP="00821190">
            <w:pPr>
              <w:pStyle w:val="TableText"/>
            </w:pPr>
            <w:r w:rsidRPr="007B3976">
              <w:t>Egg</w:t>
            </w:r>
          </w:p>
        </w:tc>
        <w:tc>
          <w:tcPr>
            <w:tcW w:w="527" w:type="pct"/>
            <w:shd w:val="clear" w:color="auto" w:fill="auto"/>
          </w:tcPr>
          <w:p w14:paraId="599EA642" w14:textId="0D3D8DBD" w:rsidR="00821190" w:rsidRPr="005100F3" w:rsidRDefault="00821190" w:rsidP="00821190">
            <w:pPr>
              <w:pStyle w:val="TableText"/>
            </w:pPr>
            <w:r w:rsidRPr="007B3976">
              <w:t>76</w:t>
            </w:r>
            <w:r>
              <w:t> h</w:t>
            </w:r>
          </w:p>
        </w:tc>
        <w:tc>
          <w:tcPr>
            <w:tcW w:w="528" w:type="pct"/>
            <w:shd w:val="clear" w:color="auto" w:fill="auto"/>
          </w:tcPr>
          <w:p w14:paraId="2E6996C2" w14:textId="4E05E6C0" w:rsidR="00821190" w:rsidRPr="005100F3" w:rsidRDefault="00821190" w:rsidP="00821190">
            <w:pPr>
              <w:pStyle w:val="TableText"/>
            </w:pPr>
            <w:r w:rsidRPr="007B3976">
              <w:t>Flow</w:t>
            </w:r>
            <w:r>
              <w:t>-</w:t>
            </w:r>
            <w:r w:rsidRPr="007B3976">
              <w:t>through</w:t>
            </w:r>
          </w:p>
        </w:tc>
        <w:tc>
          <w:tcPr>
            <w:tcW w:w="605" w:type="pct"/>
            <w:shd w:val="clear" w:color="auto" w:fill="auto"/>
          </w:tcPr>
          <w:p w14:paraId="23C959E9" w14:textId="1608C4F8" w:rsidR="00821190" w:rsidRPr="005100F3" w:rsidRDefault="00821190" w:rsidP="00821190">
            <w:pPr>
              <w:pStyle w:val="TableText"/>
            </w:pPr>
            <w:r w:rsidRPr="007B3976">
              <w:t>Mortality (LC50)</w:t>
            </w:r>
          </w:p>
        </w:tc>
        <w:tc>
          <w:tcPr>
            <w:tcW w:w="605" w:type="pct"/>
            <w:shd w:val="clear" w:color="auto" w:fill="auto"/>
          </w:tcPr>
          <w:p w14:paraId="7E8AF36B" w14:textId="05726D1D" w:rsidR="00821190" w:rsidRPr="005100F3" w:rsidRDefault="00821190" w:rsidP="00821190">
            <w:pPr>
              <w:pStyle w:val="TableText"/>
            </w:pPr>
            <w:r w:rsidRPr="007B3976">
              <w:t>Seawater</w:t>
            </w:r>
            <w:r>
              <w:t xml:space="preserve"> </w:t>
            </w:r>
            <w:r w:rsidRPr="007B3976">
              <w:t>(15‰)</w:t>
            </w:r>
          </w:p>
        </w:tc>
        <w:tc>
          <w:tcPr>
            <w:tcW w:w="698" w:type="pct"/>
            <w:shd w:val="clear" w:color="auto" w:fill="auto"/>
          </w:tcPr>
          <w:p w14:paraId="33A93D6B" w14:textId="05E22732" w:rsidR="00821190" w:rsidRPr="005100F3" w:rsidRDefault="00821190" w:rsidP="00821190">
            <w:pPr>
              <w:pStyle w:val="TableText"/>
            </w:pPr>
            <w:r w:rsidRPr="007B3976">
              <w:t>270</w:t>
            </w:r>
          </w:p>
        </w:tc>
      </w:tr>
      <w:tr w:rsidR="00CA1024" w:rsidRPr="005100F3" w14:paraId="214A4BA4" w14:textId="77777777" w:rsidTr="00CA1024">
        <w:trPr>
          <w:cantSplit/>
          <w:trHeight w:val="515"/>
        </w:trPr>
        <w:tc>
          <w:tcPr>
            <w:tcW w:w="603" w:type="pct"/>
            <w:vMerge/>
            <w:tcBorders>
              <w:bottom w:val="single" w:sz="12" w:space="0" w:color="auto"/>
            </w:tcBorders>
          </w:tcPr>
          <w:p w14:paraId="2DE3531A" w14:textId="3729F89E" w:rsidR="00821190" w:rsidRPr="007B3976" w:rsidRDefault="00821190" w:rsidP="00821190">
            <w:pPr>
              <w:pStyle w:val="TableText"/>
            </w:pPr>
          </w:p>
        </w:tc>
        <w:tc>
          <w:tcPr>
            <w:tcW w:w="905" w:type="pct"/>
            <w:tcBorders>
              <w:bottom w:val="single" w:sz="4" w:space="0" w:color="auto"/>
            </w:tcBorders>
            <w:shd w:val="clear" w:color="auto" w:fill="auto"/>
          </w:tcPr>
          <w:p w14:paraId="409833C2" w14:textId="12655D77" w:rsidR="00821190" w:rsidRPr="005100F3" w:rsidRDefault="00821190" w:rsidP="00821190">
            <w:pPr>
              <w:pStyle w:val="TableText"/>
            </w:pPr>
            <w:r w:rsidRPr="007B3976">
              <w:rPr>
                <w:i/>
              </w:rPr>
              <w:t>Morone saxatilis</w:t>
            </w:r>
          </w:p>
        </w:tc>
        <w:tc>
          <w:tcPr>
            <w:tcW w:w="529" w:type="pct"/>
            <w:tcBorders>
              <w:bottom w:val="single" w:sz="4" w:space="0" w:color="auto"/>
            </w:tcBorders>
            <w:shd w:val="clear" w:color="auto" w:fill="auto"/>
          </w:tcPr>
          <w:p w14:paraId="2A06756A" w14:textId="55BF5E38" w:rsidR="00821190" w:rsidRPr="005100F3" w:rsidRDefault="00821190" w:rsidP="00821190">
            <w:pPr>
              <w:pStyle w:val="TableText"/>
            </w:pPr>
            <w:r w:rsidRPr="007B3976">
              <w:t>Egg</w:t>
            </w:r>
          </w:p>
        </w:tc>
        <w:tc>
          <w:tcPr>
            <w:tcW w:w="527" w:type="pct"/>
            <w:tcBorders>
              <w:bottom w:val="single" w:sz="4" w:space="0" w:color="auto"/>
            </w:tcBorders>
            <w:shd w:val="clear" w:color="auto" w:fill="auto"/>
          </w:tcPr>
          <w:p w14:paraId="54D3387A" w14:textId="1F037BE7" w:rsidR="00821190" w:rsidRPr="005100F3" w:rsidRDefault="00821190" w:rsidP="00821190">
            <w:pPr>
              <w:pStyle w:val="TableText"/>
            </w:pPr>
            <w:r w:rsidRPr="007B3976">
              <w:t>48</w:t>
            </w:r>
            <w:r>
              <w:t> h</w:t>
            </w:r>
          </w:p>
        </w:tc>
        <w:tc>
          <w:tcPr>
            <w:tcW w:w="528" w:type="pct"/>
            <w:tcBorders>
              <w:bottom w:val="single" w:sz="4" w:space="0" w:color="auto"/>
            </w:tcBorders>
            <w:shd w:val="clear" w:color="auto" w:fill="auto"/>
          </w:tcPr>
          <w:p w14:paraId="668089DC" w14:textId="5C6041A4" w:rsidR="00821190" w:rsidRPr="005100F3" w:rsidRDefault="00821190" w:rsidP="00821190">
            <w:pPr>
              <w:pStyle w:val="TableText"/>
            </w:pPr>
            <w:r w:rsidRPr="007B3976">
              <w:t>Flow</w:t>
            </w:r>
            <w:r>
              <w:t>-</w:t>
            </w:r>
            <w:r w:rsidRPr="007B3976">
              <w:t>through</w:t>
            </w:r>
          </w:p>
        </w:tc>
        <w:tc>
          <w:tcPr>
            <w:tcW w:w="605" w:type="pct"/>
            <w:tcBorders>
              <w:bottom w:val="single" w:sz="4" w:space="0" w:color="auto"/>
            </w:tcBorders>
            <w:shd w:val="clear" w:color="auto" w:fill="auto"/>
          </w:tcPr>
          <w:p w14:paraId="6C359928" w14:textId="0530514E" w:rsidR="00821190" w:rsidRPr="005100F3" w:rsidRDefault="00821190" w:rsidP="00821190">
            <w:pPr>
              <w:pStyle w:val="TableText"/>
            </w:pPr>
            <w:r w:rsidRPr="007B3976">
              <w:t>Mortality (LC50)</w:t>
            </w:r>
          </w:p>
        </w:tc>
        <w:tc>
          <w:tcPr>
            <w:tcW w:w="605" w:type="pct"/>
            <w:tcBorders>
              <w:bottom w:val="single" w:sz="4" w:space="0" w:color="auto"/>
            </w:tcBorders>
            <w:shd w:val="clear" w:color="auto" w:fill="auto"/>
          </w:tcPr>
          <w:p w14:paraId="5F41845F" w14:textId="0AFB656A" w:rsidR="00821190" w:rsidRPr="005100F3" w:rsidRDefault="00821190" w:rsidP="00821190">
            <w:pPr>
              <w:pStyle w:val="TableText"/>
            </w:pPr>
            <w:r w:rsidRPr="007B3976">
              <w:t>Seawater</w:t>
            </w:r>
            <w:r>
              <w:t xml:space="preserve"> </w:t>
            </w:r>
            <w:r w:rsidRPr="007B3976">
              <w:t>(15‰)</w:t>
            </w:r>
          </w:p>
        </w:tc>
        <w:tc>
          <w:tcPr>
            <w:tcW w:w="698" w:type="pct"/>
            <w:tcBorders>
              <w:bottom w:val="single" w:sz="4" w:space="0" w:color="auto"/>
            </w:tcBorders>
            <w:shd w:val="clear" w:color="auto" w:fill="auto"/>
          </w:tcPr>
          <w:p w14:paraId="6F801FA1" w14:textId="1464C103" w:rsidR="00821190" w:rsidRPr="005100F3" w:rsidRDefault="00821190" w:rsidP="00821190">
            <w:pPr>
              <w:pStyle w:val="TableText"/>
            </w:pPr>
            <w:r w:rsidRPr="007B3976">
              <w:t>200</w:t>
            </w:r>
          </w:p>
        </w:tc>
      </w:tr>
      <w:tr w:rsidR="00CA1024" w:rsidRPr="005100F3" w14:paraId="65E4209C" w14:textId="77777777" w:rsidTr="00CA1024">
        <w:trPr>
          <w:cantSplit/>
          <w:trHeight w:val="515"/>
        </w:trPr>
        <w:tc>
          <w:tcPr>
            <w:tcW w:w="603" w:type="pct"/>
            <w:vMerge/>
            <w:tcBorders>
              <w:bottom w:val="single" w:sz="12" w:space="0" w:color="auto"/>
            </w:tcBorders>
          </w:tcPr>
          <w:p w14:paraId="30E382E3" w14:textId="23D47909" w:rsidR="00821190" w:rsidRPr="007B3976" w:rsidRDefault="00821190" w:rsidP="00821190">
            <w:pPr>
              <w:pStyle w:val="TableText"/>
            </w:pPr>
          </w:p>
        </w:tc>
        <w:tc>
          <w:tcPr>
            <w:tcW w:w="905" w:type="pct"/>
            <w:tcBorders>
              <w:bottom w:val="single" w:sz="12" w:space="0" w:color="auto"/>
            </w:tcBorders>
            <w:shd w:val="clear" w:color="auto" w:fill="auto"/>
          </w:tcPr>
          <w:p w14:paraId="73704957" w14:textId="75B68DFF" w:rsidR="00821190" w:rsidRPr="005100F3" w:rsidRDefault="00821190" w:rsidP="00821190">
            <w:pPr>
              <w:pStyle w:val="TableText"/>
            </w:pPr>
            <w:r w:rsidRPr="007B3976">
              <w:rPr>
                <w:i/>
              </w:rPr>
              <w:t>Alosa aestivalis</w:t>
            </w:r>
          </w:p>
        </w:tc>
        <w:tc>
          <w:tcPr>
            <w:tcW w:w="529" w:type="pct"/>
            <w:tcBorders>
              <w:bottom w:val="single" w:sz="12" w:space="0" w:color="auto"/>
            </w:tcBorders>
            <w:shd w:val="clear" w:color="auto" w:fill="auto"/>
          </w:tcPr>
          <w:p w14:paraId="35BA801F" w14:textId="77725516" w:rsidR="00821190" w:rsidRPr="005100F3" w:rsidRDefault="00821190" w:rsidP="00821190">
            <w:pPr>
              <w:pStyle w:val="TableText"/>
            </w:pPr>
            <w:r w:rsidRPr="007B3976">
              <w:t>Egg</w:t>
            </w:r>
          </w:p>
        </w:tc>
        <w:tc>
          <w:tcPr>
            <w:tcW w:w="527" w:type="pct"/>
            <w:tcBorders>
              <w:bottom w:val="single" w:sz="12" w:space="0" w:color="auto"/>
            </w:tcBorders>
            <w:shd w:val="clear" w:color="auto" w:fill="auto"/>
          </w:tcPr>
          <w:p w14:paraId="4ED2064B" w14:textId="34FD354F" w:rsidR="00821190" w:rsidRPr="005100F3" w:rsidRDefault="00821190" w:rsidP="00821190">
            <w:pPr>
              <w:pStyle w:val="TableText"/>
            </w:pPr>
            <w:r w:rsidRPr="007B3976">
              <w:t>48</w:t>
            </w:r>
            <w:r>
              <w:t> h</w:t>
            </w:r>
          </w:p>
        </w:tc>
        <w:tc>
          <w:tcPr>
            <w:tcW w:w="528" w:type="pct"/>
            <w:tcBorders>
              <w:bottom w:val="single" w:sz="12" w:space="0" w:color="auto"/>
            </w:tcBorders>
            <w:shd w:val="clear" w:color="auto" w:fill="auto"/>
          </w:tcPr>
          <w:p w14:paraId="72D9BFCA" w14:textId="1E8184E1" w:rsidR="00821190" w:rsidRPr="005100F3" w:rsidRDefault="00821190" w:rsidP="00821190">
            <w:pPr>
              <w:pStyle w:val="TableText"/>
            </w:pPr>
            <w:r w:rsidRPr="007B3976">
              <w:t>Flow</w:t>
            </w:r>
            <w:r>
              <w:t>-</w:t>
            </w:r>
            <w:r w:rsidRPr="007B3976">
              <w:t>through</w:t>
            </w:r>
          </w:p>
        </w:tc>
        <w:tc>
          <w:tcPr>
            <w:tcW w:w="605" w:type="pct"/>
            <w:tcBorders>
              <w:bottom w:val="single" w:sz="12" w:space="0" w:color="auto"/>
            </w:tcBorders>
            <w:shd w:val="clear" w:color="auto" w:fill="auto"/>
          </w:tcPr>
          <w:p w14:paraId="269F9A93" w14:textId="19BA1C0F" w:rsidR="00821190" w:rsidRPr="005100F3" w:rsidRDefault="00821190" w:rsidP="00821190">
            <w:pPr>
              <w:pStyle w:val="TableText"/>
            </w:pPr>
            <w:r w:rsidRPr="007B3976">
              <w:t>Mortality (LC50)</w:t>
            </w:r>
          </w:p>
        </w:tc>
        <w:tc>
          <w:tcPr>
            <w:tcW w:w="605" w:type="pct"/>
            <w:tcBorders>
              <w:bottom w:val="single" w:sz="12" w:space="0" w:color="auto"/>
            </w:tcBorders>
            <w:shd w:val="clear" w:color="auto" w:fill="auto"/>
          </w:tcPr>
          <w:p w14:paraId="53F9CC59" w14:textId="4691E420" w:rsidR="00821190" w:rsidRPr="005100F3" w:rsidRDefault="00821190" w:rsidP="00821190">
            <w:pPr>
              <w:pStyle w:val="TableText"/>
            </w:pPr>
            <w:r w:rsidRPr="007B3976">
              <w:t>Seawater</w:t>
            </w:r>
            <w:r>
              <w:t xml:space="preserve"> </w:t>
            </w:r>
            <w:r w:rsidRPr="007B3976">
              <w:t>(15‰)</w:t>
            </w:r>
          </w:p>
        </w:tc>
        <w:tc>
          <w:tcPr>
            <w:tcW w:w="698" w:type="pct"/>
            <w:tcBorders>
              <w:bottom w:val="single" w:sz="12" w:space="0" w:color="auto"/>
            </w:tcBorders>
            <w:shd w:val="clear" w:color="auto" w:fill="auto"/>
          </w:tcPr>
          <w:p w14:paraId="31214F18" w14:textId="77769481" w:rsidR="00821190" w:rsidRPr="005100F3" w:rsidRDefault="00821190" w:rsidP="00821190">
            <w:pPr>
              <w:pStyle w:val="TableText"/>
            </w:pPr>
            <w:r w:rsidRPr="007B3976">
              <w:t>240</w:t>
            </w:r>
          </w:p>
        </w:tc>
      </w:tr>
    </w:tbl>
    <w:p w14:paraId="3DB2825C" w14:textId="105DFB4E" w:rsidR="001303C0" w:rsidRPr="002D1406" w:rsidRDefault="001303C0" w:rsidP="002D1406">
      <w:pPr>
        <w:pStyle w:val="Heading3"/>
      </w:pPr>
      <w:bookmarkStart w:id="28" w:name="_Toc178451652"/>
      <w:bookmarkStart w:id="29" w:name="_Toc189409341"/>
      <w:bookmarkEnd w:id="26"/>
      <w:bookmarkEnd w:id="27"/>
      <w:r w:rsidRPr="002D1406">
        <w:t>Species sensitivity distribution</w:t>
      </w:r>
      <w:bookmarkEnd w:id="28"/>
      <w:bookmarkEnd w:id="29"/>
    </w:p>
    <w:p w14:paraId="6C0124B6" w14:textId="4413673C" w:rsidR="00EB4A59" w:rsidRDefault="00877634" w:rsidP="008A5762">
      <w:r w:rsidRPr="002E3291">
        <w:t xml:space="preserve">The cumulative frequency (species sensitivity) distribution </w:t>
      </w:r>
      <w:r>
        <w:t>(SSD)</w:t>
      </w:r>
      <w:r w:rsidR="00EB4A59">
        <w:t xml:space="preserve"> </w:t>
      </w:r>
      <w:r w:rsidR="00EB4A59" w:rsidRPr="003B13DB">
        <w:t xml:space="preserve">of the </w:t>
      </w:r>
      <w:r>
        <w:t>acute</w:t>
      </w:r>
      <w:r w:rsidR="00BC74A9" w:rsidRPr="003B13DB">
        <w:t xml:space="preserve"> </w:t>
      </w:r>
      <w:r w:rsidR="00EB4A59">
        <w:t xml:space="preserve">marine toxicity </w:t>
      </w:r>
      <w:r w:rsidR="00604202">
        <w:t>data</w:t>
      </w:r>
      <w:r w:rsidR="00EB4A59">
        <w:t xml:space="preserve"> </w:t>
      </w:r>
      <w:r>
        <w:t xml:space="preserve">for chlorine (CPO) </w:t>
      </w:r>
      <w:r w:rsidR="00EB4A59">
        <w:t xml:space="preserve">in </w:t>
      </w:r>
      <w:r w:rsidR="00191804">
        <w:fldChar w:fldCharType="begin"/>
      </w:r>
      <w:r w:rsidR="00191804">
        <w:instrText xml:space="preserve"> REF _Ref178601693 \h </w:instrText>
      </w:r>
      <w:r w:rsidR="00191804">
        <w:fldChar w:fldCharType="separate"/>
      </w:r>
      <w:r w:rsidR="003E6080">
        <w:t>Table </w:t>
      </w:r>
      <w:r w:rsidR="003E6080">
        <w:rPr>
          <w:noProof/>
        </w:rPr>
        <w:t>1</w:t>
      </w:r>
      <w:r w:rsidR="00191804">
        <w:fldChar w:fldCharType="end"/>
      </w:r>
      <w:r w:rsidR="00EB4A59">
        <w:t xml:space="preserve"> </w:t>
      </w:r>
      <w:r w:rsidR="00EB4A59" w:rsidRPr="003B13DB">
        <w:t xml:space="preserve">is presented in </w:t>
      </w:r>
      <w:r w:rsidR="00DA22B2">
        <w:fldChar w:fldCharType="begin"/>
      </w:r>
      <w:r w:rsidR="00DA22B2">
        <w:instrText xml:space="preserve"> REF _Ref178602289 \h </w:instrText>
      </w:r>
      <w:r w:rsidR="00DA22B2">
        <w:fldChar w:fldCharType="separate"/>
      </w:r>
      <w:r w:rsidR="003E6080">
        <w:t>Figure </w:t>
      </w:r>
      <w:r w:rsidR="003E6080">
        <w:rPr>
          <w:noProof/>
        </w:rPr>
        <w:t>1</w:t>
      </w:r>
      <w:r w:rsidR="00DA22B2">
        <w:fldChar w:fldCharType="end"/>
      </w:r>
      <w:r w:rsidR="00A76E66">
        <w:t>.</w:t>
      </w:r>
      <w:r w:rsidR="00EB4A59">
        <w:t xml:space="preserve"> </w:t>
      </w:r>
      <w:r w:rsidR="00EB4A59" w:rsidRPr="00C726E4">
        <w:t>The SSD was plotted using the Burrlioz 2.0 software</w:t>
      </w:r>
      <w:r w:rsidR="00F234D5">
        <w:t xml:space="preserve"> and </w:t>
      </w:r>
      <w:r w:rsidR="00F234D5">
        <w:rPr>
          <w:bCs/>
        </w:rPr>
        <w:t>was based on acute EC50/LC50 data</w:t>
      </w:r>
      <w:r w:rsidR="00EB4A59" w:rsidRPr="00C726E4">
        <w:t>.</w:t>
      </w:r>
      <w:r w:rsidR="00EF4C33">
        <w:t xml:space="preserve"> </w:t>
      </w:r>
      <w:r w:rsidR="00EB4A59">
        <w:rPr>
          <w:bCs/>
        </w:rPr>
        <w:t>The model provide</w:t>
      </w:r>
      <w:r w:rsidR="00F234D5">
        <w:rPr>
          <w:bCs/>
        </w:rPr>
        <w:t>s</w:t>
      </w:r>
      <w:r w:rsidR="00EB4A59">
        <w:rPr>
          <w:bCs/>
        </w:rPr>
        <w:t xml:space="preserve"> a good fit to the data</w:t>
      </w:r>
      <w:r w:rsidR="00A76E66">
        <w:rPr>
          <w:bCs/>
        </w:rPr>
        <w:t xml:space="preserve"> (</w:t>
      </w:r>
      <w:r w:rsidR="00DA22B2">
        <w:rPr>
          <w:bCs/>
        </w:rPr>
        <w:fldChar w:fldCharType="begin"/>
      </w:r>
      <w:r w:rsidR="00DA22B2">
        <w:rPr>
          <w:bCs/>
        </w:rPr>
        <w:instrText xml:space="preserve"> REF _Ref178602289 \h </w:instrText>
      </w:r>
      <w:r w:rsidR="00DA22B2">
        <w:rPr>
          <w:bCs/>
        </w:rPr>
      </w:r>
      <w:r w:rsidR="00DA22B2">
        <w:rPr>
          <w:bCs/>
        </w:rPr>
        <w:fldChar w:fldCharType="separate"/>
      </w:r>
      <w:r w:rsidR="003E6080">
        <w:t>Figure </w:t>
      </w:r>
      <w:r w:rsidR="003E6080">
        <w:rPr>
          <w:noProof/>
        </w:rPr>
        <w:t>1</w:t>
      </w:r>
      <w:r w:rsidR="00DA22B2">
        <w:rPr>
          <w:bCs/>
        </w:rPr>
        <w:fldChar w:fldCharType="end"/>
      </w:r>
      <w:r w:rsidR="00A76E66">
        <w:rPr>
          <w:bCs/>
        </w:rPr>
        <w:t>).</w:t>
      </w:r>
      <w:r w:rsidR="00BD6F2C">
        <w:rPr>
          <w:bCs/>
        </w:rPr>
        <w:t xml:space="preserve"> </w:t>
      </w:r>
    </w:p>
    <w:p w14:paraId="1D2B94B8" w14:textId="7BAA2FE8" w:rsidR="008806DC" w:rsidRDefault="00FB3849" w:rsidP="00CA1024">
      <w:pPr>
        <w:keepLines/>
        <w:spacing w:after="120"/>
      </w:pPr>
      <w:r w:rsidRPr="00FB3849">
        <w:rPr>
          <w:noProof/>
        </w:rPr>
        <w:drawing>
          <wp:inline distT="0" distB="0" distL="0" distR="0" wp14:anchorId="4AFCC3DA" wp14:editId="1D63189E">
            <wp:extent cx="4351814" cy="3905655"/>
            <wp:effectExtent l="0" t="0" r="0" b="0"/>
            <wp:docPr id="1190323504" name="Picture 1" descr="Figure is a species sensitivity distribution (SSD) that shows 29 species that are affected by concentrations of chlorine (CPO) (microgram per litre). LC50 and EC50 toxicity data are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23504" name="Picture 1" descr="Figure is a species sensitivity distribution (SSD) that shows 29 species that are affected by concentrations of chlorine (CPO) (microgram per litre). LC50 and EC50 toxicity data are shown."/>
                    <pic:cNvPicPr/>
                  </pic:nvPicPr>
                  <pic:blipFill rotWithShape="1">
                    <a:blip r:embed="rId30"/>
                    <a:srcRect t="4283" r="1019" b="1360"/>
                    <a:stretch/>
                  </pic:blipFill>
                  <pic:spPr bwMode="auto">
                    <a:xfrm>
                      <a:off x="0" y="0"/>
                      <a:ext cx="4366642" cy="3918962"/>
                    </a:xfrm>
                    <a:prstGeom prst="rect">
                      <a:avLst/>
                    </a:prstGeom>
                    <a:ln>
                      <a:noFill/>
                    </a:ln>
                    <a:extLst>
                      <a:ext uri="{53640926-AAD7-44D8-BBD7-CCE9431645EC}">
                        <a14:shadowObscured xmlns:a14="http://schemas.microsoft.com/office/drawing/2010/main"/>
                      </a:ext>
                    </a:extLst>
                  </pic:spPr>
                </pic:pic>
              </a:graphicData>
            </a:graphic>
          </wp:inline>
        </w:drawing>
      </w:r>
    </w:p>
    <w:p w14:paraId="32955D3B" w14:textId="24376C74" w:rsidR="000E6738" w:rsidRDefault="000E6738" w:rsidP="00CA1024">
      <w:pPr>
        <w:pStyle w:val="FigureTableNoteSource"/>
        <w:keepLines/>
        <w:spacing w:after="120"/>
      </w:pPr>
      <w:r>
        <w:rPr>
          <w:lang w:eastAsia="en-AU"/>
        </w:rPr>
        <w:t xml:space="preserve">Note: dotted line </w:t>
      </w:r>
      <w:r w:rsidR="00A8532F">
        <w:rPr>
          <w:lang w:eastAsia="en-AU"/>
        </w:rPr>
        <w:t>shows</w:t>
      </w:r>
      <w:r>
        <w:rPr>
          <w:lang w:eastAsia="en-AU"/>
        </w:rPr>
        <w:t xml:space="preserve"> the concentration of CPO </w:t>
      </w:r>
      <w:r w:rsidR="00201EBF">
        <w:rPr>
          <w:lang w:eastAsia="en-AU"/>
        </w:rPr>
        <w:t>(</w:t>
      </w:r>
      <w:r>
        <w:rPr>
          <w:lang w:eastAsia="en-AU"/>
        </w:rPr>
        <w:t>17 </w:t>
      </w:r>
      <w:r>
        <w:rPr>
          <w:rFonts w:cstheme="minorHAnsi"/>
          <w:lang w:eastAsia="en-AU"/>
        </w:rPr>
        <w:t>µ</w:t>
      </w:r>
      <w:r>
        <w:rPr>
          <w:lang w:eastAsia="en-AU"/>
        </w:rPr>
        <w:t>g/L</w:t>
      </w:r>
      <w:r w:rsidR="00201EBF">
        <w:rPr>
          <w:lang w:eastAsia="en-AU"/>
        </w:rPr>
        <w:t>)</w:t>
      </w:r>
      <w:r>
        <w:rPr>
          <w:lang w:eastAsia="en-AU"/>
        </w:rPr>
        <w:t xml:space="preserve"> at which 5% of species are potentially affected.</w:t>
      </w:r>
    </w:p>
    <w:p w14:paraId="4C021C97" w14:textId="0DDCE50B" w:rsidR="008F0454" w:rsidRDefault="00F11CFA" w:rsidP="00CA1024">
      <w:pPr>
        <w:pStyle w:val="Caption"/>
        <w:keepNext w:val="0"/>
        <w:keepLines/>
        <w:rPr>
          <w:lang w:eastAsia="en-AU"/>
        </w:rPr>
      </w:pPr>
      <w:bookmarkStart w:id="30" w:name="_Ref178602289"/>
      <w:bookmarkStart w:id="31" w:name="_Toc178451661"/>
      <w:bookmarkStart w:id="32" w:name="_Toc185441656"/>
      <w:r>
        <w:t>Figure </w:t>
      </w:r>
      <w:r w:rsidR="00141D27">
        <w:fldChar w:fldCharType="begin"/>
      </w:r>
      <w:r w:rsidR="00141D27">
        <w:instrText xml:space="preserve"> SEQ Figure \* ARABIC </w:instrText>
      </w:r>
      <w:r w:rsidR="00141D27">
        <w:fldChar w:fldCharType="separate"/>
      </w:r>
      <w:r w:rsidR="003E6080">
        <w:rPr>
          <w:noProof/>
        </w:rPr>
        <w:t>1</w:t>
      </w:r>
      <w:r w:rsidR="00141D27">
        <w:rPr>
          <w:noProof/>
        </w:rPr>
        <w:fldChar w:fldCharType="end"/>
      </w:r>
      <w:bookmarkEnd w:id="30"/>
      <w:r w:rsidR="008F0454" w:rsidRPr="00292EDE">
        <w:rPr>
          <w:lang w:eastAsia="en-AU"/>
        </w:rPr>
        <w:t xml:space="preserve"> Species sensitivity distribution</w:t>
      </w:r>
      <w:r w:rsidR="00E155CD">
        <w:rPr>
          <w:lang w:eastAsia="en-AU"/>
        </w:rPr>
        <w:t>, chlorine</w:t>
      </w:r>
      <w:r w:rsidR="003B0800">
        <w:rPr>
          <w:lang w:eastAsia="en-AU"/>
        </w:rPr>
        <w:t xml:space="preserve"> (CPO)</w:t>
      </w:r>
      <w:r w:rsidR="00E155CD">
        <w:rPr>
          <w:lang w:eastAsia="en-AU"/>
        </w:rPr>
        <w:t xml:space="preserve"> in marine water</w:t>
      </w:r>
      <w:bookmarkEnd w:id="31"/>
      <w:bookmarkEnd w:id="32"/>
    </w:p>
    <w:p w14:paraId="25FE3B73" w14:textId="3BCED36E" w:rsidR="007B3976" w:rsidRPr="008A5762" w:rsidRDefault="007B3976" w:rsidP="008A5762">
      <w:pPr>
        <w:pStyle w:val="Heading3"/>
      </w:pPr>
      <w:bookmarkStart w:id="33" w:name="_Ref138343639"/>
      <w:bookmarkStart w:id="34" w:name="_Toc178451653"/>
      <w:bookmarkStart w:id="35" w:name="_Toc189409342"/>
      <w:r w:rsidRPr="008A5762">
        <w:lastRenderedPageBreak/>
        <w:t>Default guideline values</w:t>
      </w:r>
      <w:bookmarkEnd w:id="33"/>
      <w:bookmarkEnd w:id="34"/>
      <w:bookmarkEnd w:id="35"/>
    </w:p>
    <w:p w14:paraId="6E4CAC7C" w14:textId="4F4830F6" w:rsidR="001626F9" w:rsidRDefault="001626F9" w:rsidP="000E52A2">
      <w:r w:rsidRPr="008F09E8">
        <w:t>It is important tha</w:t>
      </w:r>
      <w:r>
        <w:t xml:space="preserve">t the DGVs </w:t>
      </w:r>
      <w:r w:rsidRPr="008F09E8">
        <w:t xml:space="preserve">and associated information in this technical brief are used in accordance with the detailed guidance provided in the Australian and New Zealand Guidelines for Fresh and Marine Water Quality </w:t>
      </w:r>
      <w:hyperlink r:id="rId31" w:history="1">
        <w:r w:rsidR="00F8067B" w:rsidRPr="00F8067B">
          <w:rPr>
            <w:rStyle w:val="Hyperlink"/>
          </w:rPr>
          <w:t>website</w:t>
        </w:r>
      </w:hyperlink>
      <w:r>
        <w:t xml:space="preserve"> (ANZG 2018)</w:t>
      </w:r>
      <w:r w:rsidRPr="008F09E8">
        <w:t>.</w:t>
      </w:r>
      <w:r w:rsidR="007D6BDF">
        <w:t xml:space="preserve"> </w:t>
      </w:r>
      <w:r w:rsidR="007D6BDF" w:rsidRPr="00A23629">
        <w:rPr>
          <w:bCs/>
        </w:rPr>
        <w:t>T</w:t>
      </w:r>
      <w:r w:rsidR="00F8067B">
        <w:rPr>
          <w:bCs/>
        </w:rPr>
        <w:t>he</w:t>
      </w:r>
      <w:r w:rsidR="007D6BDF" w:rsidRPr="00A23629">
        <w:rPr>
          <w:bCs/>
        </w:rPr>
        <w:t xml:space="preserve"> chlorine DGVs are expressed as the concentration of CPO.</w:t>
      </w:r>
      <w:r w:rsidR="00C4223D">
        <w:rPr>
          <w:bCs/>
        </w:rPr>
        <w:t xml:space="preserve"> </w:t>
      </w:r>
    </w:p>
    <w:p w14:paraId="0930B4D3" w14:textId="031B3096" w:rsidR="00D47696" w:rsidRDefault="00724527" w:rsidP="000E52A2">
      <w:pPr>
        <w:rPr>
          <w:rFonts w:cstheme="minorHAnsi"/>
        </w:rPr>
      </w:pPr>
      <w:r>
        <w:t xml:space="preserve">As the SSD in </w:t>
      </w:r>
      <w:r w:rsidR="00DA22B2">
        <w:fldChar w:fldCharType="begin"/>
      </w:r>
      <w:r w:rsidR="00DA22B2">
        <w:instrText xml:space="preserve"> REF _Ref178602289 \h </w:instrText>
      </w:r>
      <w:r w:rsidR="00DA22B2">
        <w:fldChar w:fldCharType="separate"/>
      </w:r>
      <w:r w:rsidR="003E6080">
        <w:t>Figure </w:t>
      </w:r>
      <w:r w:rsidR="003E6080">
        <w:rPr>
          <w:noProof/>
        </w:rPr>
        <w:t>1</w:t>
      </w:r>
      <w:r w:rsidR="00DA22B2">
        <w:fldChar w:fldCharType="end"/>
      </w:r>
      <w:r>
        <w:t xml:space="preserve"> </w:t>
      </w:r>
      <w:r w:rsidR="0079194B">
        <w:t>i</w:t>
      </w:r>
      <w:r>
        <w:t xml:space="preserve">s based on </w:t>
      </w:r>
      <w:r w:rsidR="00F8067B">
        <w:t>EC50/LC50</w:t>
      </w:r>
      <w:r>
        <w:t xml:space="preserve"> data, </w:t>
      </w:r>
      <w:r w:rsidR="0013446C">
        <w:t>PC</w:t>
      </w:r>
      <w:r w:rsidR="00F8067B">
        <w:t>s</w:t>
      </w:r>
      <w:r>
        <w:t xml:space="preserve"> derived from the SSD do not represent DGVs but </w:t>
      </w:r>
      <w:r w:rsidR="0079194B">
        <w:t xml:space="preserve">rather </w:t>
      </w:r>
      <w:r w:rsidR="00F8067B">
        <w:t xml:space="preserve">the </w:t>
      </w:r>
      <w:r>
        <w:t>concentrations predicted to protect x% of species from effect</w:t>
      </w:r>
      <w:r w:rsidR="00F8067B">
        <w:t>s</w:t>
      </w:r>
      <w:r>
        <w:t xml:space="preserve"> greater than 50%. </w:t>
      </w:r>
      <w:r w:rsidR="0079194B">
        <w:t xml:space="preserve">These </w:t>
      </w:r>
      <w:r w:rsidR="00F8067B">
        <w:t xml:space="preserve">PCs </w:t>
      </w:r>
      <w:r w:rsidR="0079194B">
        <w:t>for the 1</w:t>
      </w:r>
      <w:r w:rsidR="0079194B" w:rsidRPr="00C8632D">
        <w:rPr>
          <w:vertAlign w:val="superscript"/>
        </w:rPr>
        <w:t>st</w:t>
      </w:r>
      <w:r w:rsidR="0079194B">
        <w:t>, 5</w:t>
      </w:r>
      <w:r w:rsidR="0079194B" w:rsidRPr="00C8632D">
        <w:rPr>
          <w:vertAlign w:val="superscript"/>
        </w:rPr>
        <w:t>th</w:t>
      </w:r>
      <w:r w:rsidR="0079194B">
        <w:t>, 10</w:t>
      </w:r>
      <w:r w:rsidR="0079194B" w:rsidRPr="00C8632D">
        <w:rPr>
          <w:vertAlign w:val="superscript"/>
        </w:rPr>
        <w:t>th</w:t>
      </w:r>
      <w:r w:rsidR="0079194B">
        <w:t xml:space="preserve"> and 20</w:t>
      </w:r>
      <w:r w:rsidR="0079194B" w:rsidRPr="00C8632D">
        <w:rPr>
          <w:vertAlign w:val="superscript"/>
        </w:rPr>
        <w:t>th</w:t>
      </w:r>
      <w:r w:rsidR="0079194B">
        <w:t xml:space="preserve"> percentiles of the SSD were </w:t>
      </w:r>
      <w:r w:rsidR="002611D2">
        <w:t>7.</w:t>
      </w:r>
      <w:r w:rsidR="00BC74A9">
        <w:t>1</w:t>
      </w:r>
      <w:r w:rsidR="00F8067B">
        <w:t> </w:t>
      </w:r>
      <w:r w:rsidR="00F8067B">
        <w:rPr>
          <w:rFonts w:cstheme="minorHAnsi"/>
        </w:rPr>
        <w:t>µ</w:t>
      </w:r>
      <w:r w:rsidR="00F8067B">
        <w:t>g/L</w:t>
      </w:r>
      <w:r w:rsidR="0079194B">
        <w:t xml:space="preserve">, </w:t>
      </w:r>
      <w:r w:rsidR="00BC74A9">
        <w:t>17</w:t>
      </w:r>
      <w:r w:rsidR="00F8067B">
        <w:t> </w:t>
      </w:r>
      <w:r w:rsidR="00F8067B">
        <w:rPr>
          <w:rFonts w:cstheme="minorHAnsi"/>
        </w:rPr>
        <w:t>µ</w:t>
      </w:r>
      <w:r w:rsidR="00F8067B">
        <w:t>g/L</w:t>
      </w:r>
      <w:r w:rsidR="0079194B">
        <w:t xml:space="preserve">, </w:t>
      </w:r>
      <w:r w:rsidR="00BC74A9">
        <w:t>27</w:t>
      </w:r>
      <w:r w:rsidR="00F8067B">
        <w:t> </w:t>
      </w:r>
      <w:r w:rsidR="00F8067B">
        <w:rPr>
          <w:rFonts w:cstheme="minorHAnsi"/>
        </w:rPr>
        <w:t>µ</w:t>
      </w:r>
      <w:r w:rsidR="00F8067B">
        <w:t>g/L</w:t>
      </w:r>
      <w:r w:rsidR="00BC74A9">
        <w:t xml:space="preserve"> </w:t>
      </w:r>
      <w:r w:rsidR="0079194B">
        <w:t xml:space="preserve">and </w:t>
      </w:r>
      <w:r w:rsidR="00BC74A9">
        <w:t>43</w:t>
      </w:r>
      <w:r w:rsidR="00B10B58">
        <w:t> </w:t>
      </w:r>
      <w:r w:rsidR="0079194B">
        <w:rPr>
          <w:rFonts w:cstheme="minorHAnsi"/>
        </w:rPr>
        <w:t>µ</w:t>
      </w:r>
      <w:r w:rsidR="0079194B">
        <w:t>g/L</w:t>
      </w:r>
      <w:r w:rsidR="005126E4">
        <w:t xml:space="preserve"> (as CPO)</w:t>
      </w:r>
      <w:r w:rsidR="0079194B">
        <w:t>, respectively. The DGVs were calculated by multiplying the</w:t>
      </w:r>
      <w:r w:rsidR="00BE7BAE">
        <w:t>se PCs</w:t>
      </w:r>
      <w:r w:rsidR="0079194B">
        <w:t xml:space="preserve"> by the </w:t>
      </w:r>
      <w:r w:rsidR="00BE7BAE">
        <w:t>‘</w:t>
      </w:r>
      <w:r w:rsidR="0079194B">
        <w:rPr>
          <w:rFonts w:cstheme="minorHAnsi"/>
        </w:rPr>
        <w:t xml:space="preserve">median to </w:t>
      </w:r>
      <w:r w:rsidR="005B5C6A">
        <w:rPr>
          <w:rFonts w:cstheme="minorHAnsi"/>
        </w:rPr>
        <w:t xml:space="preserve">negligible </w:t>
      </w:r>
      <w:r w:rsidR="0079194B">
        <w:rPr>
          <w:rFonts w:cstheme="minorHAnsi"/>
        </w:rPr>
        <w:t>effect</w:t>
      </w:r>
      <w:r w:rsidR="00BE7BAE">
        <w:rPr>
          <w:rFonts w:cstheme="minorHAnsi"/>
        </w:rPr>
        <w:t>’</w:t>
      </w:r>
      <w:r w:rsidR="0079194B">
        <w:rPr>
          <w:rFonts w:cstheme="minorHAnsi"/>
        </w:rPr>
        <w:t xml:space="preserve"> conversion</w:t>
      </w:r>
      <w:r w:rsidR="0079194B" w:rsidRPr="00B13877">
        <w:rPr>
          <w:rFonts w:cstheme="minorHAnsi"/>
        </w:rPr>
        <w:t xml:space="preserve"> factor of 0.6 </w:t>
      </w:r>
      <w:r w:rsidR="00BE7BAE">
        <w:rPr>
          <w:rFonts w:cstheme="minorHAnsi"/>
        </w:rPr>
        <w:t>(</w:t>
      </w:r>
      <w:r w:rsidR="00E20C13">
        <w:rPr>
          <w:rFonts w:cstheme="minorHAnsi"/>
        </w:rPr>
        <w:t>Section</w:t>
      </w:r>
      <w:r w:rsidR="000300D2">
        <w:rPr>
          <w:rFonts w:cstheme="minorHAnsi"/>
        </w:rPr>
        <w:t> </w:t>
      </w:r>
      <w:r w:rsidR="000300D2">
        <w:rPr>
          <w:rFonts w:cstheme="minorHAnsi"/>
        </w:rPr>
        <w:fldChar w:fldCharType="begin"/>
      </w:r>
      <w:r w:rsidR="000300D2">
        <w:rPr>
          <w:rFonts w:cstheme="minorHAnsi"/>
        </w:rPr>
        <w:instrText xml:space="preserve"> REF _Ref178602612 \r \h </w:instrText>
      </w:r>
      <w:r w:rsidR="000300D2">
        <w:rPr>
          <w:rFonts w:cstheme="minorHAnsi"/>
        </w:rPr>
      </w:r>
      <w:r w:rsidR="000300D2">
        <w:rPr>
          <w:rFonts w:cstheme="minorHAnsi"/>
        </w:rPr>
        <w:fldChar w:fldCharType="separate"/>
      </w:r>
      <w:r w:rsidR="003E6080">
        <w:rPr>
          <w:rFonts w:cstheme="minorHAnsi"/>
        </w:rPr>
        <w:t>4.1</w:t>
      </w:r>
      <w:r w:rsidR="000300D2">
        <w:rPr>
          <w:rFonts w:cstheme="minorHAnsi"/>
        </w:rPr>
        <w:fldChar w:fldCharType="end"/>
      </w:r>
      <w:r w:rsidR="00BE7BAE">
        <w:rPr>
          <w:rFonts w:cstheme="minorHAnsi"/>
        </w:rPr>
        <w:t>)</w:t>
      </w:r>
      <w:r w:rsidR="0079194B">
        <w:rPr>
          <w:rFonts w:cstheme="minorHAnsi"/>
        </w:rPr>
        <w:t xml:space="preserve">. </w:t>
      </w:r>
      <w:r w:rsidR="005100F3">
        <w:t>T</w:t>
      </w:r>
      <w:r w:rsidR="001303C0">
        <w:t xml:space="preserve">he </w:t>
      </w:r>
      <w:r w:rsidR="0079194B">
        <w:t xml:space="preserve">resulting </w:t>
      </w:r>
      <w:r w:rsidR="001303C0">
        <w:t>DGVs for 99</w:t>
      </w:r>
      <w:r w:rsidR="00A8532F">
        <w:t>%</w:t>
      </w:r>
      <w:r w:rsidR="001303C0">
        <w:t>, 95</w:t>
      </w:r>
      <w:r w:rsidR="00A8532F">
        <w:t>%</w:t>
      </w:r>
      <w:r w:rsidR="001303C0">
        <w:t>, 90</w:t>
      </w:r>
      <w:r w:rsidR="00A8532F">
        <w:t>%</w:t>
      </w:r>
      <w:r w:rsidR="001303C0">
        <w:t xml:space="preserve"> and 80% species protection are shown in </w:t>
      </w:r>
      <w:r w:rsidR="00992439">
        <w:fldChar w:fldCharType="begin"/>
      </w:r>
      <w:r w:rsidR="00992439">
        <w:instrText xml:space="preserve"> REF _Ref6321833 \h </w:instrText>
      </w:r>
      <w:r w:rsidR="000E52A2">
        <w:instrText xml:space="preserve"> \* MERGEFORMAT </w:instrText>
      </w:r>
      <w:r w:rsidR="00992439">
        <w:fldChar w:fldCharType="separate"/>
      </w:r>
      <w:r w:rsidR="003E6080">
        <w:t>Table 2</w:t>
      </w:r>
      <w:r w:rsidR="00992439">
        <w:fldChar w:fldCharType="end"/>
      </w:r>
      <w:r w:rsidR="001303C0">
        <w:t xml:space="preserve">. </w:t>
      </w:r>
      <w:r w:rsidR="001626F9">
        <w:t xml:space="preserve">The 95% species protection DGV for </w:t>
      </w:r>
      <w:r w:rsidR="0079194B">
        <w:t xml:space="preserve">CPO </w:t>
      </w:r>
      <w:r w:rsidR="001626F9">
        <w:t xml:space="preserve">in </w:t>
      </w:r>
      <w:r w:rsidR="002E682E">
        <w:t xml:space="preserve">marine waters </w:t>
      </w:r>
      <w:r w:rsidR="001626F9">
        <w:t>is recommended for application to slightly-to-moderate</w:t>
      </w:r>
      <w:r w:rsidR="0079194B">
        <w:t>ly</w:t>
      </w:r>
      <w:r w:rsidR="001626F9">
        <w:t xml:space="preserve"> disturbed ecosystems.</w:t>
      </w:r>
      <w:r w:rsidR="002D1406">
        <w:t xml:space="preserve"> </w:t>
      </w:r>
    </w:p>
    <w:p w14:paraId="66A83C1C" w14:textId="133E241B" w:rsidR="001303C0" w:rsidRDefault="00C44FDA" w:rsidP="00C44FDA">
      <w:pPr>
        <w:pStyle w:val="Caption"/>
        <w:rPr>
          <w:noProof/>
        </w:rPr>
      </w:pPr>
      <w:bookmarkStart w:id="36" w:name="_Ref6321833"/>
      <w:bookmarkStart w:id="37" w:name="_Toc6322542"/>
      <w:bookmarkStart w:id="38" w:name="_Toc185441658"/>
      <w:r>
        <w:t>Table </w:t>
      </w:r>
      <w:r w:rsidR="00141D27">
        <w:fldChar w:fldCharType="begin"/>
      </w:r>
      <w:r w:rsidR="00141D27">
        <w:instrText xml:space="preserve"> SEQ Table \* ARABIC </w:instrText>
      </w:r>
      <w:r w:rsidR="00141D27">
        <w:fldChar w:fldCharType="separate"/>
      </w:r>
      <w:r w:rsidR="003E6080">
        <w:rPr>
          <w:noProof/>
        </w:rPr>
        <w:t>2</w:t>
      </w:r>
      <w:r w:rsidR="00141D27">
        <w:rPr>
          <w:noProof/>
        </w:rPr>
        <w:fldChar w:fldCharType="end"/>
      </w:r>
      <w:bookmarkEnd w:id="36"/>
      <w:r w:rsidR="009D54BA">
        <w:t xml:space="preserve"> </w:t>
      </w:r>
      <w:r w:rsidR="00BD7E1D">
        <w:rPr>
          <w:noProof/>
        </w:rPr>
        <w:t>D</w:t>
      </w:r>
      <w:r w:rsidR="001303C0" w:rsidRPr="00520F65">
        <w:rPr>
          <w:noProof/>
        </w:rPr>
        <w:t>efault guideline values</w:t>
      </w:r>
      <w:r w:rsidR="00BD7E1D">
        <w:rPr>
          <w:noProof/>
        </w:rPr>
        <w:t>,</w:t>
      </w:r>
      <w:r w:rsidR="00CA568C">
        <w:rPr>
          <w:noProof/>
        </w:rPr>
        <w:t xml:space="preserve"> </w:t>
      </w:r>
      <w:r w:rsidR="00C4223D">
        <w:rPr>
          <w:noProof/>
        </w:rPr>
        <w:t>chlorine (</w:t>
      </w:r>
      <w:r w:rsidR="001E71E0">
        <w:rPr>
          <w:noProof/>
        </w:rPr>
        <w:t>CPO</w:t>
      </w:r>
      <w:r w:rsidR="00C4223D">
        <w:rPr>
          <w:noProof/>
        </w:rPr>
        <w:t>)</w:t>
      </w:r>
      <w:r w:rsidR="001E71E0">
        <w:rPr>
          <w:noProof/>
        </w:rPr>
        <w:t xml:space="preserve"> </w:t>
      </w:r>
      <w:r w:rsidR="00FF6F31">
        <w:rPr>
          <w:noProof/>
        </w:rPr>
        <w:t>in marine water</w:t>
      </w:r>
      <w:bookmarkEnd w:id="37"/>
      <w:r w:rsidR="00137452">
        <w:rPr>
          <w:noProof/>
        </w:rPr>
        <w:t xml:space="preserve">, </w:t>
      </w:r>
      <w:r w:rsidR="00137452" w:rsidRPr="00137452">
        <w:rPr>
          <w:noProof/>
        </w:rPr>
        <w:t>very high reliability</w:t>
      </w:r>
      <w:bookmarkEnd w:id="38"/>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Default guideline values, chlorine (CPO) in marine water, very high reliability"/>
        <w:tblDescription w:val="Table shows the DGVs for a range of protection levels for chlorine (CPO) in marine water. The levels of species protection are 99%, 95%, 90% and 80%. The corresponding default guideline values are 4.3, 10, 16 and 26 (microgram per litre), respectively."/>
      </w:tblPr>
      <w:tblGrid>
        <w:gridCol w:w="4535"/>
        <w:gridCol w:w="4535"/>
      </w:tblGrid>
      <w:tr w:rsidR="001303C0" w:rsidRPr="00295D89" w14:paraId="5E297D9F" w14:textId="77777777" w:rsidTr="008A5762">
        <w:trPr>
          <w:tblHeader/>
        </w:trPr>
        <w:tc>
          <w:tcPr>
            <w:tcW w:w="2500" w:type="pct"/>
            <w:tcBorders>
              <w:top w:val="single" w:sz="12" w:space="0" w:color="auto"/>
              <w:bottom w:val="single" w:sz="12" w:space="0" w:color="auto"/>
            </w:tcBorders>
          </w:tcPr>
          <w:p w14:paraId="5F16DF47" w14:textId="77777777" w:rsidR="001303C0" w:rsidRPr="00295D89" w:rsidRDefault="001303C0" w:rsidP="008A5762">
            <w:pPr>
              <w:pStyle w:val="TableHeading"/>
            </w:pPr>
            <w:r>
              <w:t>Level of</w:t>
            </w:r>
            <w:r w:rsidRPr="00295D89">
              <w:t xml:space="preserve"> species protection (%)</w:t>
            </w:r>
          </w:p>
        </w:tc>
        <w:tc>
          <w:tcPr>
            <w:tcW w:w="2500" w:type="pct"/>
            <w:tcBorders>
              <w:top w:val="single" w:sz="12" w:space="0" w:color="auto"/>
              <w:bottom w:val="single" w:sz="12" w:space="0" w:color="auto"/>
            </w:tcBorders>
          </w:tcPr>
          <w:p w14:paraId="0B809038" w14:textId="3E24090E" w:rsidR="001303C0" w:rsidRPr="00295D89" w:rsidRDefault="001303C0" w:rsidP="008A5762">
            <w:pPr>
              <w:pStyle w:val="TableHeading"/>
            </w:pPr>
            <w:r w:rsidRPr="00295D89">
              <w:t>D</w:t>
            </w:r>
            <w:r>
              <w:t xml:space="preserve">GV for </w:t>
            </w:r>
            <w:r w:rsidR="007216A3">
              <w:t>chlorine (</w:t>
            </w:r>
            <w:r w:rsidR="001E71E0">
              <w:t>CPO</w:t>
            </w:r>
            <w:r w:rsidR="007216A3">
              <w:t>)</w:t>
            </w:r>
            <w:r w:rsidR="001E71E0">
              <w:t xml:space="preserve"> </w:t>
            </w:r>
            <w:r w:rsidR="00FF6F31">
              <w:t>in marine water</w:t>
            </w:r>
            <w:r w:rsidRPr="00CA568C">
              <w:t xml:space="preserve"> (</w:t>
            </w:r>
            <w:r w:rsidRPr="00CA568C">
              <w:rPr>
                <w:rFonts w:ascii="Symbol" w:hAnsi="Symbol"/>
              </w:rPr>
              <w:t></w:t>
            </w:r>
            <w:r w:rsidRPr="00295D89">
              <w:t>g/L)</w:t>
            </w:r>
            <w:r w:rsidR="008A5762">
              <w:t xml:space="preserve"> </w:t>
            </w:r>
            <w:r w:rsidRPr="008A5762">
              <w:rPr>
                <w:rStyle w:val="Strong"/>
                <w:vertAlign w:val="superscript"/>
              </w:rPr>
              <w:t>a</w:t>
            </w:r>
          </w:p>
        </w:tc>
      </w:tr>
      <w:tr w:rsidR="00CA568C" w:rsidRPr="00CA568C" w14:paraId="2FED7DB5" w14:textId="77777777" w:rsidTr="008A5762">
        <w:trPr>
          <w:trHeight w:val="284"/>
        </w:trPr>
        <w:tc>
          <w:tcPr>
            <w:tcW w:w="2500" w:type="pct"/>
            <w:tcBorders>
              <w:top w:val="single" w:sz="12" w:space="0" w:color="auto"/>
            </w:tcBorders>
          </w:tcPr>
          <w:p w14:paraId="78C52F53" w14:textId="77777777" w:rsidR="00CA568C" w:rsidRPr="008A5762" w:rsidRDefault="00CA568C" w:rsidP="008A5762">
            <w:pPr>
              <w:pStyle w:val="TableText"/>
            </w:pPr>
            <w:r w:rsidRPr="008A5762">
              <w:t>99</w:t>
            </w:r>
          </w:p>
        </w:tc>
        <w:tc>
          <w:tcPr>
            <w:tcW w:w="2500" w:type="pct"/>
            <w:tcBorders>
              <w:top w:val="single" w:sz="12" w:space="0" w:color="auto"/>
            </w:tcBorders>
          </w:tcPr>
          <w:p w14:paraId="3FB578F1" w14:textId="550C557B" w:rsidR="00CA568C" w:rsidRPr="008A5762" w:rsidRDefault="002611D2" w:rsidP="008A5762">
            <w:pPr>
              <w:pStyle w:val="TableText"/>
            </w:pPr>
            <w:r w:rsidRPr="008A5762">
              <w:t>4.3</w:t>
            </w:r>
          </w:p>
        </w:tc>
      </w:tr>
      <w:tr w:rsidR="00CA568C" w:rsidRPr="00CA568C" w14:paraId="32E938B4" w14:textId="77777777" w:rsidTr="008A5762">
        <w:trPr>
          <w:trHeight w:val="284"/>
        </w:trPr>
        <w:tc>
          <w:tcPr>
            <w:tcW w:w="2500" w:type="pct"/>
          </w:tcPr>
          <w:p w14:paraId="44FC5F85" w14:textId="77777777" w:rsidR="00CA568C" w:rsidRPr="008A5762" w:rsidRDefault="00CA568C" w:rsidP="008A5762">
            <w:pPr>
              <w:pStyle w:val="TableText"/>
            </w:pPr>
            <w:r w:rsidRPr="008A5762">
              <w:t>95</w:t>
            </w:r>
          </w:p>
        </w:tc>
        <w:tc>
          <w:tcPr>
            <w:tcW w:w="2500" w:type="pct"/>
          </w:tcPr>
          <w:p w14:paraId="20E95832" w14:textId="5E20FB45" w:rsidR="00CA568C" w:rsidRPr="008A5762" w:rsidRDefault="00BC74A9" w:rsidP="008A5762">
            <w:pPr>
              <w:pStyle w:val="TableText"/>
            </w:pPr>
            <w:r w:rsidRPr="008A5762">
              <w:t>10</w:t>
            </w:r>
          </w:p>
        </w:tc>
      </w:tr>
      <w:tr w:rsidR="00CA568C" w:rsidRPr="00CA568C" w14:paraId="165A2490" w14:textId="77777777" w:rsidTr="008A5762">
        <w:trPr>
          <w:trHeight w:val="284"/>
        </w:trPr>
        <w:tc>
          <w:tcPr>
            <w:tcW w:w="2500" w:type="pct"/>
            <w:tcBorders>
              <w:bottom w:val="single" w:sz="4" w:space="0" w:color="auto"/>
            </w:tcBorders>
          </w:tcPr>
          <w:p w14:paraId="38311042" w14:textId="77777777" w:rsidR="00CA568C" w:rsidRPr="008A5762" w:rsidRDefault="00CA568C" w:rsidP="008A5762">
            <w:pPr>
              <w:pStyle w:val="TableText"/>
            </w:pPr>
            <w:r w:rsidRPr="008A5762">
              <w:t>90</w:t>
            </w:r>
          </w:p>
        </w:tc>
        <w:tc>
          <w:tcPr>
            <w:tcW w:w="2500" w:type="pct"/>
            <w:tcBorders>
              <w:bottom w:val="single" w:sz="4" w:space="0" w:color="auto"/>
            </w:tcBorders>
          </w:tcPr>
          <w:p w14:paraId="4D4976AA" w14:textId="799EE55E" w:rsidR="00CA568C" w:rsidRPr="008A5762" w:rsidRDefault="00BC74A9" w:rsidP="008A5762">
            <w:pPr>
              <w:pStyle w:val="TableText"/>
            </w:pPr>
            <w:r w:rsidRPr="008A5762">
              <w:t>16</w:t>
            </w:r>
          </w:p>
        </w:tc>
      </w:tr>
      <w:tr w:rsidR="00CA568C" w:rsidRPr="00CA568C" w14:paraId="0BEC3850" w14:textId="77777777" w:rsidTr="008A5762">
        <w:trPr>
          <w:trHeight w:val="284"/>
        </w:trPr>
        <w:tc>
          <w:tcPr>
            <w:tcW w:w="2500" w:type="pct"/>
            <w:tcBorders>
              <w:bottom w:val="single" w:sz="12" w:space="0" w:color="auto"/>
            </w:tcBorders>
          </w:tcPr>
          <w:p w14:paraId="1B3962C2" w14:textId="77777777" w:rsidR="00CA568C" w:rsidRPr="008A5762" w:rsidRDefault="00CA568C" w:rsidP="008A5762">
            <w:pPr>
              <w:pStyle w:val="TableText"/>
            </w:pPr>
            <w:r w:rsidRPr="008A5762">
              <w:t>80</w:t>
            </w:r>
          </w:p>
        </w:tc>
        <w:tc>
          <w:tcPr>
            <w:tcW w:w="2500" w:type="pct"/>
            <w:tcBorders>
              <w:bottom w:val="single" w:sz="12" w:space="0" w:color="auto"/>
            </w:tcBorders>
          </w:tcPr>
          <w:p w14:paraId="038E7A08" w14:textId="23482D44" w:rsidR="00CA568C" w:rsidRPr="008A5762" w:rsidRDefault="00BC74A9" w:rsidP="008A5762">
            <w:pPr>
              <w:pStyle w:val="TableText"/>
            </w:pPr>
            <w:r w:rsidRPr="008A5762">
              <w:t>26</w:t>
            </w:r>
          </w:p>
        </w:tc>
      </w:tr>
    </w:tbl>
    <w:p w14:paraId="0038F968" w14:textId="0314E2B6" w:rsidR="001303C0" w:rsidRPr="007216A3" w:rsidRDefault="001303C0" w:rsidP="007216A3">
      <w:pPr>
        <w:pStyle w:val="FigureTableNoteSource"/>
      </w:pPr>
      <w:r w:rsidRPr="007216A3">
        <w:rPr>
          <w:rStyle w:val="Strong"/>
        </w:rPr>
        <w:t>a</w:t>
      </w:r>
      <w:r w:rsidRPr="007216A3">
        <w:t xml:space="preserve"> The DGVs were derived using </w:t>
      </w:r>
      <w:r w:rsidR="00911E54" w:rsidRPr="007216A3">
        <w:t>the Burrlioz 2.0 software</w:t>
      </w:r>
      <w:r w:rsidR="003C3E47" w:rsidRPr="007216A3">
        <w:t>.</w:t>
      </w:r>
      <w:r w:rsidR="00911E54" w:rsidRPr="007216A3">
        <w:t xml:space="preserve"> </w:t>
      </w:r>
      <w:r w:rsidR="0064344A" w:rsidRPr="007216A3">
        <w:t>They</w:t>
      </w:r>
      <w:r w:rsidR="006A1182" w:rsidRPr="007216A3">
        <w:t xml:space="preserve"> have been rounded to two significant figures.</w:t>
      </w:r>
    </w:p>
    <w:p w14:paraId="33BC063B" w14:textId="7D5D6022" w:rsidR="000A6C57" w:rsidRDefault="000A6C57" w:rsidP="000E52A2">
      <w:r w:rsidRPr="00B150FB">
        <w:rPr>
          <w:rFonts w:cstheme="minorHAnsi"/>
        </w:rPr>
        <w:t xml:space="preserve">These are the first marine </w:t>
      </w:r>
      <w:r>
        <w:rPr>
          <w:rFonts w:cstheme="minorHAnsi"/>
        </w:rPr>
        <w:t>D</w:t>
      </w:r>
      <w:r w:rsidRPr="00B150FB">
        <w:rPr>
          <w:rFonts w:cstheme="minorHAnsi"/>
        </w:rPr>
        <w:t>GVs for chlorine to be derived using SSDs</w:t>
      </w:r>
      <w:r>
        <w:rPr>
          <w:rFonts w:cstheme="minorHAnsi"/>
        </w:rPr>
        <w:t>;</w:t>
      </w:r>
      <w:r w:rsidRPr="00B150FB">
        <w:rPr>
          <w:rFonts w:cstheme="minorHAnsi"/>
        </w:rPr>
        <w:t xml:space="preserve"> all other </w:t>
      </w:r>
      <w:r>
        <w:rPr>
          <w:rFonts w:cstheme="minorHAnsi"/>
        </w:rPr>
        <w:t xml:space="preserve">formal </w:t>
      </w:r>
      <w:r w:rsidRPr="00B150FB">
        <w:rPr>
          <w:rFonts w:cstheme="minorHAnsi"/>
        </w:rPr>
        <w:t xml:space="preserve">international </w:t>
      </w:r>
      <w:r>
        <w:rPr>
          <w:rFonts w:cstheme="minorHAnsi"/>
        </w:rPr>
        <w:t>guideline values</w:t>
      </w:r>
      <w:r w:rsidRPr="00B150FB">
        <w:rPr>
          <w:rFonts w:cstheme="minorHAnsi"/>
        </w:rPr>
        <w:t xml:space="preserve"> </w:t>
      </w:r>
      <w:r>
        <w:rPr>
          <w:rFonts w:cstheme="minorHAnsi"/>
        </w:rPr>
        <w:t>are</w:t>
      </w:r>
      <w:r w:rsidRPr="00B150FB">
        <w:rPr>
          <w:rFonts w:cstheme="minorHAnsi"/>
        </w:rPr>
        <w:t xml:space="preserve"> based on us</w:t>
      </w:r>
      <w:r>
        <w:rPr>
          <w:rFonts w:cstheme="minorHAnsi"/>
        </w:rPr>
        <w:t>ing</w:t>
      </w:r>
      <w:r w:rsidRPr="00B150FB">
        <w:rPr>
          <w:rFonts w:cstheme="minorHAnsi"/>
        </w:rPr>
        <w:t xml:space="preserve"> assessment factors applied to data for the most sensitive species. </w:t>
      </w:r>
      <w:r w:rsidR="00B3719D">
        <w:t>Due</w:t>
      </w:r>
      <w:r w:rsidR="00420A0A" w:rsidRPr="00B13877">
        <w:t xml:space="preserve"> to the variation in bioassay durations, but limited overall toxicity data, it </w:t>
      </w:r>
      <w:r w:rsidR="00B86DBB">
        <w:t>was</w:t>
      </w:r>
      <w:r w:rsidR="00B86DBB" w:rsidRPr="00B13877">
        <w:t xml:space="preserve"> </w:t>
      </w:r>
      <w:r w:rsidR="00420A0A" w:rsidRPr="00B13877">
        <w:t xml:space="preserve">not feasible to develop </w:t>
      </w:r>
      <w:r w:rsidR="00B86DBB">
        <w:t>D</w:t>
      </w:r>
      <w:r w:rsidR="00420A0A" w:rsidRPr="00B13877">
        <w:t>GV</w:t>
      </w:r>
      <w:r w:rsidR="00420A0A">
        <w:t>s</w:t>
      </w:r>
      <w:r w:rsidR="00420A0A" w:rsidRPr="00B13877">
        <w:t xml:space="preserve"> for specific </w:t>
      </w:r>
      <w:r w:rsidR="00B3719D">
        <w:t xml:space="preserve">exposure </w:t>
      </w:r>
      <w:r w:rsidR="00420A0A" w:rsidRPr="00B13877">
        <w:t>durations.</w:t>
      </w:r>
    </w:p>
    <w:p w14:paraId="634A58AF" w14:textId="0901018C" w:rsidR="0005610C" w:rsidRDefault="009E1CE5" w:rsidP="000E52A2">
      <w:r>
        <w:t xml:space="preserve">Although </w:t>
      </w:r>
      <w:r w:rsidR="00C2189A">
        <w:t xml:space="preserve">marine </w:t>
      </w:r>
      <w:r>
        <w:t xml:space="preserve">algae were not used to derive the DGVs, </w:t>
      </w:r>
      <w:r w:rsidR="00E32DD6">
        <w:t xml:space="preserve">they </w:t>
      </w:r>
      <w:r w:rsidR="00CA276C">
        <w:t>do not appear to be</w:t>
      </w:r>
      <w:r w:rsidR="00E32DD6">
        <w:t xml:space="preserve"> among the most sensitive </w:t>
      </w:r>
      <w:r w:rsidR="003F48C2">
        <w:t xml:space="preserve">of </w:t>
      </w:r>
      <w:r w:rsidR="00E32DD6">
        <w:t>taxonomic groups</w:t>
      </w:r>
      <w:r>
        <w:t xml:space="preserve"> </w:t>
      </w:r>
      <w:r w:rsidR="00652C17">
        <w:t xml:space="preserve">to chlorine, and </w:t>
      </w:r>
      <w:r>
        <w:t xml:space="preserve">the available toxicity data </w:t>
      </w:r>
      <w:r w:rsidR="00652C17">
        <w:t>we</w:t>
      </w:r>
      <w:r>
        <w:t>re well above the DGVs</w:t>
      </w:r>
      <w:r w:rsidR="00AC2F02">
        <w:t>. T</w:t>
      </w:r>
      <w:r>
        <w:t xml:space="preserve">herefore, the DGVs should be protective of </w:t>
      </w:r>
      <w:r w:rsidR="009426EB">
        <w:t xml:space="preserve">marine </w:t>
      </w:r>
      <w:r>
        <w:t>algae</w:t>
      </w:r>
      <w:r w:rsidR="00E8050A">
        <w:t xml:space="preserve">. Although there are no data for marine plants, they are unlikely to be more sensitive than algae and, therefore, </w:t>
      </w:r>
      <w:r w:rsidR="00A32877">
        <w:t>are likely to</w:t>
      </w:r>
      <w:r w:rsidR="00E8050A">
        <w:t xml:space="preserve"> be protected by the DGVs</w:t>
      </w:r>
      <w:r w:rsidR="000A6C57">
        <w:t>.</w:t>
      </w:r>
    </w:p>
    <w:p w14:paraId="65B775E5" w14:textId="4A466975" w:rsidR="002D1406" w:rsidRDefault="00000113" w:rsidP="000E52A2">
      <w:r>
        <w:t>Although</w:t>
      </w:r>
      <w:r w:rsidR="002D1406" w:rsidRPr="00B13877">
        <w:t xml:space="preserve"> short-term </w:t>
      </w:r>
      <w:r w:rsidR="008976D7">
        <w:t>D</w:t>
      </w:r>
      <w:r w:rsidR="002D1406" w:rsidRPr="00B13877">
        <w:t>GV</w:t>
      </w:r>
      <w:r w:rsidR="008976D7">
        <w:t>s</w:t>
      </w:r>
      <w:r w:rsidR="002D1406" w:rsidRPr="00B13877">
        <w:t xml:space="preserve"> </w:t>
      </w:r>
      <w:r w:rsidR="008976D7">
        <w:t>are</w:t>
      </w:r>
      <w:r w:rsidR="008976D7" w:rsidRPr="00B13877">
        <w:t xml:space="preserve"> </w:t>
      </w:r>
      <w:r w:rsidR="002D1406" w:rsidRPr="00B13877">
        <w:t>the most appropriate way to manage the impacts of chlorine in marine water, consider</w:t>
      </w:r>
      <w:r w:rsidR="0005610C">
        <w:t>ation of</w:t>
      </w:r>
      <w:r w:rsidR="002D1406" w:rsidRPr="00B13877">
        <w:t xml:space="preserve"> the longer-term impacts on biota </w:t>
      </w:r>
      <w:r w:rsidR="0005610C">
        <w:t xml:space="preserve">is also </w:t>
      </w:r>
      <w:r w:rsidR="00907EB2">
        <w:t>relevant</w:t>
      </w:r>
      <w:r w:rsidR="002D1406" w:rsidRPr="00B13877">
        <w:t xml:space="preserve">. In terms of defining a chronic exposure </w:t>
      </w:r>
      <w:r w:rsidR="008976D7">
        <w:t>guideline value</w:t>
      </w:r>
      <w:r w:rsidR="002D1406" w:rsidRPr="00B13877">
        <w:t>, one option is to apply an acute</w:t>
      </w:r>
      <w:r w:rsidR="00E93D6E">
        <w:t>-</w:t>
      </w:r>
      <w:r w:rsidR="002D1406" w:rsidRPr="00B13877">
        <w:t>to</w:t>
      </w:r>
      <w:r w:rsidR="00E93D6E">
        <w:t>-</w:t>
      </w:r>
      <w:r w:rsidR="002D1406" w:rsidRPr="00B13877">
        <w:t xml:space="preserve">chronic ratio (ACR) to the </w:t>
      </w:r>
      <w:r w:rsidR="0013446C">
        <w:t>PC</w:t>
      </w:r>
      <w:r w:rsidR="00F8067B">
        <w:t>s</w:t>
      </w:r>
      <w:r w:rsidR="008976D7" w:rsidRPr="00B13877">
        <w:t xml:space="preserve"> </w:t>
      </w:r>
      <w:r w:rsidR="002D1406" w:rsidRPr="00B13877">
        <w:t xml:space="preserve">based on </w:t>
      </w:r>
      <w:r w:rsidR="008976D7">
        <w:t xml:space="preserve">the </w:t>
      </w:r>
      <w:r w:rsidR="002D1406" w:rsidRPr="00B13877">
        <w:t>LC50 values</w:t>
      </w:r>
      <w:r w:rsidR="004B44C2">
        <w:t xml:space="preserve"> (</w:t>
      </w:r>
      <w:r w:rsidR="009D22BA">
        <w:fldChar w:fldCharType="begin"/>
      </w:r>
      <w:r w:rsidR="009D22BA">
        <w:instrText xml:space="preserve"> REF _Ref178601797 \h </w:instrText>
      </w:r>
      <w:r w:rsidR="009D22BA">
        <w:fldChar w:fldCharType="separate"/>
      </w:r>
      <w:r w:rsidR="003E6080">
        <w:t>Table B </w:t>
      </w:r>
      <w:r w:rsidR="003E6080">
        <w:rPr>
          <w:noProof/>
        </w:rPr>
        <w:t>1</w:t>
      </w:r>
      <w:r w:rsidR="009D22BA">
        <w:fldChar w:fldCharType="end"/>
      </w:r>
      <w:r w:rsidR="004B44C2">
        <w:t>)</w:t>
      </w:r>
      <w:r w:rsidR="002D1406" w:rsidRPr="00B13877">
        <w:t xml:space="preserve">. Fisher et al. (1994) reported ACRs </w:t>
      </w:r>
      <w:r w:rsidR="005E1818">
        <w:t xml:space="preserve">for </w:t>
      </w:r>
      <w:r w:rsidR="001A1B67" w:rsidRPr="00B13877">
        <w:t>flow</w:t>
      </w:r>
      <w:r w:rsidR="001A1B67">
        <w:t>-through exposures</w:t>
      </w:r>
      <w:r w:rsidR="002D1406" w:rsidRPr="00B13877">
        <w:t xml:space="preserve"> of 3.7 for the mysid </w:t>
      </w:r>
      <w:r w:rsidR="002D1406" w:rsidRPr="00B13877">
        <w:rPr>
          <w:i/>
        </w:rPr>
        <w:t>Mysidopsis bahia</w:t>
      </w:r>
      <w:r w:rsidR="002D1406" w:rsidRPr="00B13877">
        <w:t xml:space="preserve"> and 1.5 for the silverside </w:t>
      </w:r>
      <w:r w:rsidR="002D1406" w:rsidRPr="00B13877">
        <w:rPr>
          <w:i/>
        </w:rPr>
        <w:t>Menidia beryllina</w:t>
      </w:r>
      <w:r w:rsidR="002D1406" w:rsidRPr="00B13877">
        <w:t>. Using the geometric mean of these values</w:t>
      </w:r>
      <w:r w:rsidR="00DB4809">
        <w:t xml:space="preserve"> (</w:t>
      </w:r>
      <w:r w:rsidR="002D1406" w:rsidRPr="00B13877">
        <w:t>2.4</w:t>
      </w:r>
      <w:r w:rsidR="00DB4809">
        <w:t>)</w:t>
      </w:r>
      <w:r w:rsidR="002D1406" w:rsidRPr="00B13877">
        <w:t xml:space="preserve">, chronic </w:t>
      </w:r>
      <w:r w:rsidR="00994811">
        <w:t>PC99 and PC95 values</w:t>
      </w:r>
      <w:r w:rsidR="002D1406" w:rsidRPr="00B13877">
        <w:t xml:space="preserve"> of 1.5</w:t>
      </w:r>
      <w:r w:rsidR="005E2D55">
        <w:t> </w:t>
      </w:r>
      <w:r w:rsidR="005E2D55" w:rsidRPr="00B13877">
        <w:t>µg/L</w:t>
      </w:r>
      <w:r w:rsidR="002D1406" w:rsidRPr="00B13877">
        <w:t xml:space="preserve"> and 5.0</w:t>
      </w:r>
      <w:r w:rsidR="00B10B58">
        <w:t> </w:t>
      </w:r>
      <w:r w:rsidR="002D1406" w:rsidRPr="00B13877">
        <w:t xml:space="preserve">µg/L </w:t>
      </w:r>
      <w:r w:rsidR="00E61EF0">
        <w:t>(as CPO)</w:t>
      </w:r>
      <w:r w:rsidR="00DB10A3">
        <w:t xml:space="preserve"> </w:t>
      </w:r>
      <w:r w:rsidR="002D1406" w:rsidRPr="00B13877">
        <w:t xml:space="preserve">were obtained. However, these are also conservative, as the most toxic CPO are </w:t>
      </w:r>
      <w:r w:rsidR="00A4394B">
        <w:t>depleted</w:t>
      </w:r>
      <w:r w:rsidR="002D1406" w:rsidRPr="00B13877">
        <w:t xml:space="preserve"> within 1</w:t>
      </w:r>
      <w:r w:rsidR="00B10B58">
        <w:t>–</w:t>
      </w:r>
      <w:r w:rsidR="002D1406" w:rsidRPr="00B13877">
        <w:t>2</w:t>
      </w:r>
      <w:r w:rsidR="00B10B58">
        <w:t> </w:t>
      </w:r>
      <w:r w:rsidR="002D1406" w:rsidRPr="00B13877">
        <w:t>d</w:t>
      </w:r>
      <w:r w:rsidR="00E93D6E">
        <w:t>,</w:t>
      </w:r>
      <w:r w:rsidR="002D1406" w:rsidRPr="00B13877">
        <w:t xml:space="preserve"> leaving products that are less toxic by at least an order of magnitude. The implication is that compliance with the conservative short-term </w:t>
      </w:r>
      <w:r w:rsidR="0013446C">
        <w:t>D</w:t>
      </w:r>
      <w:r w:rsidR="002D1406" w:rsidRPr="00B13877">
        <w:t xml:space="preserve">GVs is likely to also be protective against </w:t>
      </w:r>
      <w:r w:rsidR="00C14A0E">
        <w:t>long-term</w:t>
      </w:r>
      <w:r w:rsidR="002D1406" w:rsidRPr="00B13877">
        <w:t xml:space="preserve"> effects</w:t>
      </w:r>
      <w:r w:rsidR="00C14A0E">
        <w:t>.</w:t>
      </w:r>
      <w:r w:rsidR="002D1406" w:rsidRPr="00B13877">
        <w:t xml:space="preserve"> </w:t>
      </w:r>
    </w:p>
    <w:p w14:paraId="232AE675" w14:textId="4A04C8F9" w:rsidR="002D1406" w:rsidRPr="00C8632D" w:rsidRDefault="002D1406" w:rsidP="000E52A2">
      <w:r w:rsidRPr="00C8632D">
        <w:lastRenderedPageBreak/>
        <w:t xml:space="preserve">The </w:t>
      </w:r>
      <w:r w:rsidR="008976D7">
        <w:t>current D</w:t>
      </w:r>
      <w:r w:rsidRPr="00C8632D">
        <w:t>GV</w:t>
      </w:r>
      <w:r w:rsidR="008976D7">
        <w:t>s</w:t>
      </w:r>
      <w:r w:rsidRPr="00C8632D">
        <w:t xml:space="preserve"> </w:t>
      </w:r>
      <w:r w:rsidR="008976D7">
        <w:t>sh</w:t>
      </w:r>
      <w:r w:rsidR="008976D7" w:rsidRPr="00C8632D">
        <w:t xml:space="preserve">ould </w:t>
      </w:r>
      <w:r w:rsidRPr="00C8632D">
        <w:t xml:space="preserve">apply to all field situations, whether the discharges are continuous or </w:t>
      </w:r>
      <w:r w:rsidR="008976D7">
        <w:t>intermittent</w:t>
      </w:r>
      <w:r w:rsidRPr="00C8632D">
        <w:t xml:space="preserve">, as there is </w:t>
      </w:r>
      <w:r w:rsidR="008976D7">
        <w:t>unlikely to be any significant</w:t>
      </w:r>
      <w:r w:rsidR="008976D7" w:rsidRPr="00C8632D">
        <w:t xml:space="preserve"> </w:t>
      </w:r>
      <w:r w:rsidRPr="00C8632D">
        <w:t xml:space="preserve">build-up of CPO </w:t>
      </w:r>
      <w:r w:rsidR="000A5D98">
        <w:t>beyond a defined</w:t>
      </w:r>
      <w:r w:rsidR="00862A77" w:rsidRPr="00C8632D">
        <w:t xml:space="preserve"> </w:t>
      </w:r>
      <w:r w:rsidRPr="00C8632D">
        <w:t>mixing zone</w:t>
      </w:r>
      <w:r w:rsidR="00A05867">
        <w:t xml:space="preserve"> due to </w:t>
      </w:r>
      <w:r w:rsidRPr="00C8632D">
        <w:t>the decay processes and tidal mixing.</w:t>
      </w:r>
      <w:r w:rsidR="00763D0E">
        <w:t xml:space="preserve"> </w:t>
      </w:r>
    </w:p>
    <w:p w14:paraId="19D62889" w14:textId="3AD7AE5F" w:rsidR="001303C0" w:rsidRDefault="001303C0" w:rsidP="001303C0">
      <w:pPr>
        <w:pStyle w:val="Heading3"/>
      </w:pPr>
      <w:bookmarkStart w:id="39" w:name="_Toc178451654"/>
      <w:bookmarkStart w:id="40" w:name="_Toc189409343"/>
      <w:r>
        <w:t>Reliability classification</w:t>
      </w:r>
      <w:bookmarkEnd w:id="39"/>
      <w:bookmarkEnd w:id="40"/>
      <w:r>
        <w:t xml:space="preserve"> </w:t>
      </w:r>
    </w:p>
    <w:p w14:paraId="5F4B44B7" w14:textId="6E6FF08B" w:rsidR="001303C0" w:rsidRDefault="001303C0" w:rsidP="008A5762">
      <w:pPr>
        <w:rPr>
          <w:lang w:eastAsia="ja-JP"/>
        </w:rPr>
      </w:pPr>
      <w:r>
        <w:rPr>
          <w:lang w:eastAsia="ja-JP"/>
        </w:rPr>
        <w:t xml:space="preserve">The </w:t>
      </w:r>
      <w:r w:rsidR="00CA568C">
        <w:rPr>
          <w:lang w:eastAsia="ja-JP"/>
        </w:rPr>
        <w:t>chlorine</w:t>
      </w:r>
      <w:r w:rsidR="006A1BE3">
        <w:rPr>
          <w:lang w:eastAsia="ja-JP"/>
        </w:rPr>
        <w:t xml:space="preserve"> </w:t>
      </w:r>
      <w:r w:rsidR="00F704E8">
        <w:rPr>
          <w:lang w:eastAsia="ja-JP"/>
        </w:rPr>
        <w:t xml:space="preserve">(CPO) </w:t>
      </w:r>
      <w:r w:rsidR="006A1BE3">
        <w:rPr>
          <w:lang w:eastAsia="ja-JP"/>
        </w:rPr>
        <w:t>in marine water</w:t>
      </w:r>
      <w:r>
        <w:rPr>
          <w:lang w:eastAsia="ja-JP"/>
        </w:rPr>
        <w:t xml:space="preserve"> DGVs have a </w:t>
      </w:r>
      <w:r w:rsidR="002C1001">
        <w:rPr>
          <w:lang w:eastAsia="ja-JP"/>
        </w:rPr>
        <w:t>very high</w:t>
      </w:r>
      <w:r>
        <w:rPr>
          <w:lang w:eastAsia="ja-JP"/>
        </w:rPr>
        <w:t xml:space="preserve"> reliability classification (Warne et al. 2018) based on the outcomes for the following three criteria:</w:t>
      </w:r>
    </w:p>
    <w:p w14:paraId="6597F8E5" w14:textId="0BB1B676" w:rsidR="001303C0" w:rsidRPr="008A5762" w:rsidRDefault="00AE2808" w:rsidP="008A5762">
      <w:pPr>
        <w:pStyle w:val="ListBullet"/>
      </w:pPr>
      <w:r w:rsidRPr="008A5762">
        <w:t xml:space="preserve">sample </w:t>
      </w:r>
      <w:r w:rsidR="001303C0" w:rsidRPr="008A5762">
        <w:t>size—</w:t>
      </w:r>
      <w:r w:rsidR="00012506" w:rsidRPr="008A5762">
        <w:t xml:space="preserve">29 </w:t>
      </w:r>
      <w:r w:rsidR="001303C0" w:rsidRPr="008A5762">
        <w:t>(</w:t>
      </w:r>
      <w:r w:rsidR="007C1AA2" w:rsidRPr="008A5762">
        <w:t>preferred</w:t>
      </w:r>
      <w:r w:rsidR="001303C0" w:rsidRPr="008A5762">
        <w:t>)</w:t>
      </w:r>
    </w:p>
    <w:p w14:paraId="12344FEC" w14:textId="5C0C08A9" w:rsidR="001303C0" w:rsidRPr="008A5762" w:rsidRDefault="00AE2808" w:rsidP="008A5762">
      <w:pPr>
        <w:pStyle w:val="ListBullet"/>
      </w:pPr>
      <w:r w:rsidRPr="008A5762">
        <w:t xml:space="preserve">type </w:t>
      </w:r>
      <w:r w:rsidR="001303C0" w:rsidRPr="008A5762">
        <w:t>of toxicity data—</w:t>
      </w:r>
      <w:r w:rsidR="00477F6E" w:rsidRPr="008A5762">
        <w:t>a</w:t>
      </w:r>
      <w:r w:rsidR="001626F9" w:rsidRPr="008A5762">
        <w:t xml:space="preserve">cute </w:t>
      </w:r>
      <w:r w:rsidR="00CA568C" w:rsidRPr="008A5762">
        <w:t>LC50</w:t>
      </w:r>
      <w:r w:rsidR="001303C0" w:rsidRPr="008A5762">
        <w:t xml:space="preserve"> </w:t>
      </w:r>
      <w:r w:rsidR="00CA568C" w:rsidRPr="008A5762">
        <w:t xml:space="preserve">converted to </w:t>
      </w:r>
      <w:r w:rsidR="00477F6E" w:rsidRPr="008A5762">
        <w:t xml:space="preserve">acute </w:t>
      </w:r>
      <w:r w:rsidR="00CA568C" w:rsidRPr="008A5762">
        <w:t>LC10</w:t>
      </w:r>
      <w:r w:rsidR="004221E6">
        <w:t xml:space="preserve"> and </w:t>
      </w:r>
      <w:r w:rsidR="00DD7EF0">
        <w:t xml:space="preserve">acute </w:t>
      </w:r>
      <w:r w:rsidR="004221E6">
        <w:t>EC50</w:t>
      </w:r>
      <w:r w:rsidR="000D0D5E" w:rsidRPr="008A5762">
        <w:t xml:space="preserve"> </w:t>
      </w:r>
      <w:r w:rsidR="004221E6">
        <w:t>converted to EC10</w:t>
      </w:r>
    </w:p>
    <w:p w14:paraId="08B1DCF0" w14:textId="023B3BFE" w:rsidR="001303C0" w:rsidRPr="008A5762" w:rsidRDefault="001303C0" w:rsidP="008A5762">
      <w:pPr>
        <w:pStyle w:val="ListBullet"/>
      </w:pPr>
      <w:r w:rsidRPr="008A5762">
        <w:t>SSD model fit—</w:t>
      </w:r>
      <w:r w:rsidR="002C1001" w:rsidRPr="008A5762">
        <w:t>good</w:t>
      </w:r>
      <w:r w:rsidR="000812FA" w:rsidRPr="008A5762">
        <w:t xml:space="preserve"> (Burr Type III)</w:t>
      </w:r>
      <w:r w:rsidRPr="008A5762">
        <w:t>.</w:t>
      </w:r>
    </w:p>
    <w:p w14:paraId="4ACDA096" w14:textId="3CF19BE7" w:rsidR="000E52A2" w:rsidRDefault="000E52A2" w:rsidP="000E52A2">
      <w:pPr>
        <w:rPr>
          <w:lang w:eastAsia="ja-JP"/>
        </w:rPr>
      </w:pPr>
      <w:r>
        <w:rPr>
          <w:lang w:eastAsia="ja-JP"/>
        </w:rPr>
        <w:br w:type="page"/>
      </w:r>
    </w:p>
    <w:p w14:paraId="2A75AA25" w14:textId="668C3C2B" w:rsidR="000756BD" w:rsidRDefault="001303C0" w:rsidP="001303C0">
      <w:pPr>
        <w:pStyle w:val="Heading2"/>
        <w:numPr>
          <w:ilvl w:val="0"/>
          <w:numId w:val="0"/>
        </w:numPr>
      </w:pPr>
      <w:bookmarkStart w:id="41" w:name="_Toc178451655"/>
      <w:bookmarkStart w:id="42" w:name="_Toc189409344"/>
      <w:r>
        <w:lastRenderedPageBreak/>
        <w:t>Glossary</w:t>
      </w:r>
      <w:bookmarkEnd w:id="41"/>
      <w:bookmarkEnd w:id="42"/>
    </w:p>
    <w:tbl>
      <w:tblPr>
        <w:tblW w:w="5000" w:type="pct"/>
        <w:tblBorders>
          <w:top w:val="single" w:sz="4" w:space="0" w:color="auto"/>
          <w:bottom w:val="single" w:sz="4" w:space="0" w:color="auto"/>
        </w:tblBorders>
        <w:tblLook w:val="04A0" w:firstRow="1" w:lastRow="0" w:firstColumn="1" w:lastColumn="0" w:noHBand="0" w:noVBand="1"/>
      </w:tblPr>
      <w:tblGrid>
        <w:gridCol w:w="2694"/>
        <w:gridCol w:w="6376"/>
      </w:tblGrid>
      <w:tr w:rsidR="00D325A0" w:rsidRPr="00585FD8" w14:paraId="7B4234B7" w14:textId="77777777" w:rsidTr="00141D27">
        <w:trPr>
          <w:cantSplit/>
          <w:tblHeader/>
        </w:trPr>
        <w:tc>
          <w:tcPr>
            <w:tcW w:w="1485" w:type="pct"/>
            <w:tcBorders>
              <w:top w:val="single" w:sz="12" w:space="0" w:color="auto"/>
              <w:bottom w:val="single" w:sz="12" w:space="0" w:color="auto"/>
            </w:tcBorders>
          </w:tcPr>
          <w:p w14:paraId="538DCD28" w14:textId="77777777" w:rsidR="001303C0" w:rsidRPr="00585FD8" w:rsidRDefault="001303C0" w:rsidP="007336AC">
            <w:pPr>
              <w:pStyle w:val="TableHeading"/>
              <w:rPr>
                <w:lang w:eastAsia="ja-JP"/>
              </w:rPr>
            </w:pPr>
            <w:r w:rsidRPr="00585FD8">
              <w:rPr>
                <w:lang w:eastAsia="ja-JP"/>
              </w:rPr>
              <w:t>Term</w:t>
            </w:r>
          </w:p>
        </w:tc>
        <w:tc>
          <w:tcPr>
            <w:tcW w:w="3515" w:type="pct"/>
            <w:tcBorders>
              <w:top w:val="single" w:sz="12" w:space="0" w:color="auto"/>
              <w:bottom w:val="single" w:sz="12" w:space="0" w:color="auto"/>
            </w:tcBorders>
          </w:tcPr>
          <w:p w14:paraId="0204551F" w14:textId="77777777" w:rsidR="001303C0" w:rsidRPr="00585FD8" w:rsidRDefault="001303C0" w:rsidP="007336AC">
            <w:pPr>
              <w:pStyle w:val="TableHeading"/>
              <w:rPr>
                <w:lang w:eastAsia="ja-JP"/>
              </w:rPr>
            </w:pPr>
            <w:r w:rsidRPr="00585FD8">
              <w:rPr>
                <w:lang w:eastAsia="ja-JP"/>
              </w:rPr>
              <w:t>Definition</w:t>
            </w:r>
          </w:p>
        </w:tc>
      </w:tr>
      <w:tr w:rsidR="00CA1024" w:rsidRPr="00585FD8" w14:paraId="2D94D665" w14:textId="77777777" w:rsidTr="00141D27">
        <w:tc>
          <w:tcPr>
            <w:tcW w:w="1485" w:type="pct"/>
            <w:tcBorders>
              <w:top w:val="single" w:sz="12" w:space="0" w:color="auto"/>
              <w:bottom w:val="single" w:sz="4" w:space="0" w:color="auto"/>
            </w:tcBorders>
          </w:tcPr>
          <w:p w14:paraId="2B007CBC" w14:textId="77777777" w:rsidR="00CA1024" w:rsidRPr="00585FD8" w:rsidRDefault="00CA1024" w:rsidP="007336AC">
            <w:pPr>
              <w:pStyle w:val="TableText"/>
              <w:rPr>
                <w:lang w:eastAsia="ja-JP"/>
              </w:rPr>
            </w:pPr>
            <w:r w:rsidRPr="00585FD8">
              <w:rPr>
                <w:lang w:eastAsia="ja-JP"/>
              </w:rPr>
              <w:t>acute toxicity</w:t>
            </w:r>
          </w:p>
        </w:tc>
        <w:tc>
          <w:tcPr>
            <w:tcW w:w="3515" w:type="pct"/>
            <w:tcBorders>
              <w:top w:val="single" w:sz="12" w:space="0" w:color="auto"/>
              <w:bottom w:val="single" w:sz="4" w:space="0" w:color="auto"/>
            </w:tcBorders>
          </w:tcPr>
          <w:p w14:paraId="4CBDEF5E" w14:textId="77777777" w:rsidR="00CA1024" w:rsidRPr="00585FD8" w:rsidRDefault="00CA1024" w:rsidP="008978C9">
            <w:pPr>
              <w:pStyle w:val="TableText"/>
              <w:rPr>
                <w:lang w:eastAsia="ja-JP"/>
              </w:rPr>
            </w:pPr>
            <w:r>
              <w:rPr>
                <w:lang w:eastAsia="ja-JP"/>
              </w:rPr>
              <w:t>A</w:t>
            </w:r>
            <w:r w:rsidRPr="008978C9">
              <w:rPr>
                <w:lang w:eastAsia="ja-JP"/>
              </w:rPr>
              <w:t xml:space="preserve"> lethal or adverse sub-lethal effect that occurs as the result of a short exposure period to a chemical relative to the organism’s life span.</w:t>
            </w:r>
          </w:p>
        </w:tc>
      </w:tr>
      <w:tr w:rsidR="00CA1024" w:rsidRPr="00585FD8" w14:paraId="5B26D70F" w14:textId="77777777" w:rsidTr="00141D27">
        <w:tc>
          <w:tcPr>
            <w:tcW w:w="1485" w:type="pct"/>
            <w:tcBorders>
              <w:top w:val="single" w:sz="4" w:space="0" w:color="auto"/>
              <w:bottom w:val="single" w:sz="4" w:space="0" w:color="auto"/>
            </w:tcBorders>
          </w:tcPr>
          <w:p w14:paraId="41F1B416" w14:textId="77777777" w:rsidR="00CA1024" w:rsidRPr="00585FD8" w:rsidRDefault="00CA1024" w:rsidP="007336AC">
            <w:pPr>
              <w:pStyle w:val="TableText"/>
              <w:rPr>
                <w:lang w:eastAsia="ja-JP"/>
              </w:rPr>
            </w:pPr>
            <w:r w:rsidRPr="00585FD8">
              <w:rPr>
                <w:lang w:eastAsia="ja-JP"/>
              </w:rPr>
              <w:t>acute</w:t>
            </w:r>
            <w:r>
              <w:rPr>
                <w:lang w:eastAsia="ja-JP"/>
              </w:rPr>
              <w:t>-</w:t>
            </w:r>
            <w:r w:rsidRPr="00585FD8">
              <w:rPr>
                <w:lang w:eastAsia="ja-JP"/>
              </w:rPr>
              <w:t>to</w:t>
            </w:r>
            <w:r>
              <w:rPr>
                <w:lang w:eastAsia="ja-JP"/>
              </w:rPr>
              <w:t>-</w:t>
            </w:r>
            <w:r w:rsidRPr="00585FD8">
              <w:rPr>
                <w:lang w:eastAsia="ja-JP"/>
              </w:rPr>
              <w:t>chronic ratio</w:t>
            </w:r>
            <w:r>
              <w:rPr>
                <w:lang w:eastAsia="ja-JP"/>
              </w:rPr>
              <w:t xml:space="preserve"> (ACR)</w:t>
            </w:r>
          </w:p>
        </w:tc>
        <w:tc>
          <w:tcPr>
            <w:tcW w:w="3515" w:type="pct"/>
            <w:tcBorders>
              <w:top w:val="single" w:sz="4" w:space="0" w:color="auto"/>
              <w:bottom w:val="single" w:sz="4" w:space="0" w:color="auto"/>
            </w:tcBorders>
          </w:tcPr>
          <w:p w14:paraId="70969033" w14:textId="77777777" w:rsidR="00CA1024" w:rsidRPr="00585FD8" w:rsidRDefault="00CA1024" w:rsidP="00A03192">
            <w:pPr>
              <w:pStyle w:val="TableText"/>
              <w:rPr>
                <w:lang w:eastAsia="ja-JP"/>
              </w:rPr>
            </w:pPr>
            <w:r w:rsidRPr="00585FD8">
              <w:rPr>
                <w:lang w:eastAsia="ja-JP"/>
              </w:rPr>
              <w:t>The species mean acute value (LC/EC50) divided by the chronic value (</w:t>
            </w:r>
            <w:r>
              <w:rPr>
                <w:lang w:eastAsia="ja-JP"/>
              </w:rPr>
              <w:t xml:space="preserve">e.g. </w:t>
            </w:r>
            <w:r w:rsidRPr="00585FD8">
              <w:rPr>
                <w:lang w:eastAsia="ja-JP"/>
              </w:rPr>
              <w:t>NOEC</w:t>
            </w:r>
            <w:r>
              <w:rPr>
                <w:lang w:eastAsia="ja-JP"/>
              </w:rPr>
              <w:t xml:space="preserve"> or EC10</w:t>
            </w:r>
            <w:r w:rsidRPr="00585FD8">
              <w:rPr>
                <w:lang w:eastAsia="ja-JP"/>
              </w:rPr>
              <w:t>) for the same species.</w:t>
            </w:r>
          </w:p>
        </w:tc>
      </w:tr>
      <w:tr w:rsidR="00CA1024" w:rsidRPr="00585FD8" w14:paraId="5B7D74FF" w14:textId="77777777" w:rsidTr="00141D27">
        <w:tc>
          <w:tcPr>
            <w:tcW w:w="1485" w:type="pct"/>
            <w:tcBorders>
              <w:top w:val="single" w:sz="4" w:space="0" w:color="auto"/>
              <w:bottom w:val="single" w:sz="4" w:space="0" w:color="auto"/>
            </w:tcBorders>
          </w:tcPr>
          <w:p w14:paraId="7C152EE4" w14:textId="77777777" w:rsidR="00CA1024" w:rsidRPr="00585FD8" w:rsidRDefault="00CA1024" w:rsidP="007336AC">
            <w:pPr>
              <w:pStyle w:val="TableText"/>
              <w:rPr>
                <w:lang w:eastAsia="ja-JP"/>
              </w:rPr>
            </w:pPr>
            <w:r>
              <w:rPr>
                <w:lang w:eastAsia="ja-JP"/>
              </w:rPr>
              <w:t>assessment factor</w:t>
            </w:r>
          </w:p>
        </w:tc>
        <w:tc>
          <w:tcPr>
            <w:tcW w:w="3515" w:type="pct"/>
            <w:tcBorders>
              <w:top w:val="single" w:sz="4" w:space="0" w:color="auto"/>
              <w:bottom w:val="single" w:sz="4" w:space="0" w:color="auto"/>
            </w:tcBorders>
          </w:tcPr>
          <w:p w14:paraId="53B4D5DE" w14:textId="77777777" w:rsidR="00CA1024" w:rsidRPr="00620280" w:rsidRDefault="00CA1024" w:rsidP="00A03192">
            <w:pPr>
              <w:pStyle w:val="TableText"/>
            </w:pPr>
            <w:r w:rsidRPr="00620280">
              <w:t>A unitless number applied to the lowest toxicity figure for a chemical to derive a concentration that should not cause adverse environmental effects. The size of the a</w:t>
            </w:r>
            <w:r>
              <w:t xml:space="preserve">ssessment </w:t>
            </w:r>
            <w:r w:rsidRPr="00620280">
              <w:t>f</w:t>
            </w:r>
            <w:r>
              <w:t>actor</w:t>
            </w:r>
            <w:r w:rsidRPr="00620280">
              <w:t xml:space="preserve"> varies with the type of data. Also called ‘application factor’ or ‘safety factor’.</w:t>
            </w:r>
          </w:p>
        </w:tc>
      </w:tr>
      <w:tr w:rsidR="00CA1024" w:rsidRPr="00585FD8" w14:paraId="4D8584BB" w14:textId="77777777" w:rsidTr="00141D27">
        <w:tc>
          <w:tcPr>
            <w:tcW w:w="1485" w:type="pct"/>
            <w:tcBorders>
              <w:top w:val="single" w:sz="4" w:space="0" w:color="auto"/>
              <w:bottom w:val="single" w:sz="4" w:space="0" w:color="auto"/>
            </w:tcBorders>
          </w:tcPr>
          <w:p w14:paraId="76FE422F" w14:textId="77777777" w:rsidR="00CA1024" w:rsidRPr="00A23629" w:rsidRDefault="00CA1024" w:rsidP="007336AC">
            <w:pPr>
              <w:pStyle w:val="TableText"/>
              <w:rPr>
                <w:lang w:eastAsia="ja-JP"/>
              </w:rPr>
            </w:pPr>
            <w:r w:rsidRPr="00A23629">
              <w:rPr>
                <w:lang w:eastAsia="ja-JP"/>
              </w:rPr>
              <w:t>chlorine produced oxidants (CPO)</w:t>
            </w:r>
          </w:p>
        </w:tc>
        <w:tc>
          <w:tcPr>
            <w:tcW w:w="3515" w:type="pct"/>
            <w:tcBorders>
              <w:top w:val="single" w:sz="4" w:space="0" w:color="auto"/>
              <w:bottom w:val="single" w:sz="4" w:space="0" w:color="auto"/>
            </w:tcBorders>
          </w:tcPr>
          <w:p w14:paraId="133E0654" w14:textId="77777777" w:rsidR="00CA1024" w:rsidRPr="00585FD8" w:rsidRDefault="00CA1024" w:rsidP="007336AC">
            <w:pPr>
              <w:pStyle w:val="TableText"/>
              <w:rPr>
                <w:lang w:eastAsia="ja-JP"/>
              </w:rPr>
            </w:pPr>
            <w:r w:rsidRPr="00A23629">
              <w:rPr>
                <w:lang w:eastAsia="ja-JP"/>
              </w:rPr>
              <w:t>The sum of free and combined chlorine and bromine, largely involving</w:t>
            </w:r>
            <w:r w:rsidRPr="00A23629">
              <w:t xml:space="preserve"> oxidative products [hypobromous acid (HOBr), hypobromous ion (OBr-), and bromamines, but not chloroform or bromoform] in saltwater. </w:t>
            </w:r>
            <w:r w:rsidRPr="00A23629">
              <w:rPr>
                <w:lang w:eastAsia="ja-JP"/>
              </w:rPr>
              <w:t>It is generally analogous to total residual chlorine (TRC).</w:t>
            </w:r>
          </w:p>
        </w:tc>
      </w:tr>
      <w:tr w:rsidR="00CA1024" w:rsidRPr="00585FD8" w14:paraId="1E8E4609" w14:textId="77777777" w:rsidTr="00141D27">
        <w:tc>
          <w:tcPr>
            <w:tcW w:w="1485" w:type="pct"/>
            <w:tcBorders>
              <w:top w:val="single" w:sz="4" w:space="0" w:color="auto"/>
              <w:bottom w:val="single" w:sz="4" w:space="0" w:color="auto"/>
            </w:tcBorders>
          </w:tcPr>
          <w:p w14:paraId="1641C6F6" w14:textId="77777777" w:rsidR="00CA1024" w:rsidRPr="00585FD8" w:rsidRDefault="00CA1024" w:rsidP="007336AC">
            <w:pPr>
              <w:pStyle w:val="TableText"/>
              <w:rPr>
                <w:lang w:eastAsia="ja-JP"/>
              </w:rPr>
            </w:pPr>
            <w:r w:rsidRPr="00585FD8">
              <w:rPr>
                <w:lang w:eastAsia="ja-JP"/>
              </w:rPr>
              <w:t>chronic toxicity</w:t>
            </w:r>
          </w:p>
        </w:tc>
        <w:tc>
          <w:tcPr>
            <w:tcW w:w="3515" w:type="pct"/>
            <w:tcBorders>
              <w:top w:val="single" w:sz="4" w:space="0" w:color="auto"/>
              <w:bottom w:val="single" w:sz="4" w:space="0" w:color="auto"/>
            </w:tcBorders>
          </w:tcPr>
          <w:p w14:paraId="747A9AB7" w14:textId="77777777" w:rsidR="00CA1024" w:rsidRPr="00585FD8" w:rsidRDefault="00CA1024" w:rsidP="00A03192">
            <w:pPr>
              <w:pStyle w:val="TableText"/>
              <w:rPr>
                <w:lang w:eastAsia="ja-JP"/>
              </w:rPr>
            </w:pPr>
            <w:r>
              <w:rPr>
                <w:lang w:eastAsia="ja-JP"/>
              </w:rPr>
              <w:t>A</w:t>
            </w:r>
            <w:r w:rsidRPr="00A03192">
              <w:rPr>
                <w:lang w:eastAsia="ja-JP"/>
              </w:rPr>
              <w:t xml:space="preserve"> lethal or sublethal adverse effect that occurs after exposure to a chemical for a period of time that is a substantial portion of the organism’s life span or an adverse effect on a sensitive early life stage.</w:t>
            </w:r>
          </w:p>
        </w:tc>
      </w:tr>
      <w:tr w:rsidR="00CA1024" w:rsidRPr="00585FD8" w14:paraId="06A48E18" w14:textId="77777777" w:rsidTr="00141D27">
        <w:tc>
          <w:tcPr>
            <w:tcW w:w="1485" w:type="pct"/>
            <w:tcBorders>
              <w:top w:val="single" w:sz="4" w:space="0" w:color="auto"/>
              <w:bottom w:val="single" w:sz="4" w:space="0" w:color="auto"/>
            </w:tcBorders>
          </w:tcPr>
          <w:p w14:paraId="53217BF1" w14:textId="77777777" w:rsidR="00CA1024" w:rsidRPr="00585FD8" w:rsidRDefault="00CA1024" w:rsidP="007336AC">
            <w:pPr>
              <w:pStyle w:val="TableText"/>
              <w:rPr>
                <w:lang w:eastAsia="ja-JP"/>
              </w:rPr>
            </w:pPr>
            <w:r w:rsidRPr="00585FD8">
              <w:rPr>
                <w:lang w:eastAsia="ja-JP"/>
              </w:rPr>
              <w:t>default guideline value (DGV)</w:t>
            </w:r>
          </w:p>
        </w:tc>
        <w:tc>
          <w:tcPr>
            <w:tcW w:w="3515" w:type="pct"/>
            <w:tcBorders>
              <w:top w:val="single" w:sz="4" w:space="0" w:color="auto"/>
              <w:bottom w:val="single" w:sz="4" w:space="0" w:color="auto"/>
            </w:tcBorders>
          </w:tcPr>
          <w:p w14:paraId="469CC0FD" w14:textId="77777777" w:rsidR="00CA1024" w:rsidRPr="00585FD8" w:rsidRDefault="00CA1024" w:rsidP="001F0F7D">
            <w:pPr>
              <w:pStyle w:val="TableText"/>
              <w:rPr>
                <w:lang w:eastAsia="ja-JP"/>
              </w:rPr>
            </w:pPr>
            <w:r w:rsidRPr="00585FD8">
              <w:rPr>
                <w:lang w:eastAsia="ja-JP"/>
              </w:rPr>
              <w:t xml:space="preserve">A guideline value recommended for generic application in the absence of a more specific guideline value (e.g. site-specific), in the </w:t>
            </w:r>
            <w:r w:rsidRPr="00CA1026">
              <w:rPr>
                <w:i/>
                <w:lang w:eastAsia="ja-JP"/>
              </w:rPr>
              <w:t>Australian and New Zealand Guidelines for Fresh and Marine Water Quality</w:t>
            </w:r>
            <w:r w:rsidRPr="00585FD8">
              <w:rPr>
                <w:lang w:eastAsia="ja-JP"/>
              </w:rPr>
              <w:t>.</w:t>
            </w:r>
          </w:p>
        </w:tc>
      </w:tr>
      <w:tr w:rsidR="00CA1024" w:rsidRPr="00585FD8" w14:paraId="5CB50A68" w14:textId="77777777" w:rsidTr="00141D27">
        <w:tc>
          <w:tcPr>
            <w:tcW w:w="1485" w:type="pct"/>
            <w:tcBorders>
              <w:top w:val="single" w:sz="4" w:space="0" w:color="auto"/>
              <w:bottom w:val="single" w:sz="4" w:space="0" w:color="auto"/>
            </w:tcBorders>
          </w:tcPr>
          <w:p w14:paraId="71EBDC92" w14:textId="77777777" w:rsidR="00CA1024" w:rsidRPr="00585FD8" w:rsidRDefault="00CA1024" w:rsidP="007336AC">
            <w:pPr>
              <w:pStyle w:val="TableText"/>
              <w:rPr>
                <w:lang w:eastAsia="ja-JP"/>
              </w:rPr>
            </w:pPr>
            <w:r w:rsidRPr="00412CCC">
              <w:rPr>
                <w:lang w:eastAsia="ja-JP"/>
              </w:rPr>
              <w:t>DOM</w:t>
            </w:r>
          </w:p>
        </w:tc>
        <w:tc>
          <w:tcPr>
            <w:tcW w:w="3515" w:type="pct"/>
            <w:tcBorders>
              <w:top w:val="single" w:sz="4" w:space="0" w:color="auto"/>
              <w:bottom w:val="single" w:sz="4" w:space="0" w:color="auto"/>
            </w:tcBorders>
          </w:tcPr>
          <w:p w14:paraId="0079D38A" w14:textId="77777777" w:rsidR="00CA1024" w:rsidRPr="00585FD8" w:rsidRDefault="00CA1024" w:rsidP="001F0F7D">
            <w:pPr>
              <w:pStyle w:val="TableText"/>
              <w:rPr>
                <w:lang w:eastAsia="ja-JP"/>
              </w:rPr>
            </w:pPr>
            <w:r>
              <w:rPr>
                <w:lang w:eastAsia="ja-JP"/>
              </w:rPr>
              <w:t>D</w:t>
            </w:r>
            <w:r w:rsidRPr="00412CCC">
              <w:rPr>
                <w:lang w:eastAsia="ja-JP"/>
              </w:rPr>
              <w:t>issolved organic matter</w:t>
            </w:r>
            <w:r>
              <w:rPr>
                <w:lang w:eastAsia="ja-JP"/>
              </w:rPr>
              <w:t>.</w:t>
            </w:r>
            <w:r w:rsidRPr="00412CCC">
              <w:rPr>
                <w:lang w:eastAsia="ja-JP"/>
              </w:rPr>
              <w:t xml:space="preserve"> </w:t>
            </w:r>
          </w:p>
        </w:tc>
      </w:tr>
      <w:tr w:rsidR="00CA1024" w:rsidRPr="00585FD8" w14:paraId="4DE397BA" w14:textId="77777777" w:rsidTr="00141D27">
        <w:tc>
          <w:tcPr>
            <w:tcW w:w="1485" w:type="pct"/>
            <w:tcBorders>
              <w:top w:val="single" w:sz="4" w:space="0" w:color="auto"/>
              <w:bottom w:val="single" w:sz="4" w:space="0" w:color="auto"/>
            </w:tcBorders>
          </w:tcPr>
          <w:p w14:paraId="285D173E" w14:textId="77777777" w:rsidR="00CA1024" w:rsidRPr="00585FD8" w:rsidRDefault="00CA1024" w:rsidP="007336AC">
            <w:pPr>
              <w:pStyle w:val="TableText"/>
              <w:rPr>
                <w:lang w:eastAsia="ja-JP"/>
              </w:rPr>
            </w:pPr>
            <w:r w:rsidRPr="00585FD8">
              <w:rPr>
                <w:lang w:eastAsia="ja-JP"/>
              </w:rPr>
              <w:t>EC50 (median effective concentration)</w:t>
            </w:r>
          </w:p>
        </w:tc>
        <w:tc>
          <w:tcPr>
            <w:tcW w:w="3515" w:type="pct"/>
            <w:tcBorders>
              <w:top w:val="single" w:sz="4" w:space="0" w:color="auto"/>
              <w:bottom w:val="single" w:sz="4" w:space="0" w:color="auto"/>
            </w:tcBorders>
          </w:tcPr>
          <w:p w14:paraId="16517433" w14:textId="77777777" w:rsidR="00CA1024" w:rsidRPr="00585FD8" w:rsidRDefault="00CA1024" w:rsidP="00966AA7">
            <w:pPr>
              <w:pStyle w:val="TableText"/>
              <w:rPr>
                <w:lang w:eastAsia="ja-JP"/>
              </w:rPr>
            </w:pPr>
            <w:r>
              <w:rPr>
                <w:lang w:eastAsia="ja-JP"/>
              </w:rPr>
              <w:t>T</w:t>
            </w:r>
            <w:r w:rsidRPr="00966AA7">
              <w:rPr>
                <w:lang w:eastAsia="ja-JP"/>
              </w:rPr>
              <w:t>he concentration of a substance in water or sediment that is estimated to produce a 50% change in the response being measured or a certain effect in 50% of the test organisms relative to the control response, under specified conditions.</w:t>
            </w:r>
          </w:p>
        </w:tc>
      </w:tr>
      <w:tr w:rsidR="00CA1024" w:rsidRPr="00585FD8" w14:paraId="199E5AA5" w14:textId="77777777" w:rsidTr="00141D27">
        <w:tc>
          <w:tcPr>
            <w:tcW w:w="1485" w:type="pct"/>
            <w:tcBorders>
              <w:top w:val="single" w:sz="4" w:space="0" w:color="auto"/>
              <w:bottom w:val="single" w:sz="4" w:space="0" w:color="auto"/>
            </w:tcBorders>
          </w:tcPr>
          <w:p w14:paraId="2F409430" w14:textId="77777777" w:rsidR="00CA1024" w:rsidRPr="00585FD8" w:rsidRDefault="00CA1024" w:rsidP="007336AC">
            <w:pPr>
              <w:pStyle w:val="TableText"/>
              <w:rPr>
                <w:lang w:eastAsia="ja-JP"/>
              </w:rPr>
            </w:pPr>
            <w:r>
              <w:rPr>
                <w:lang w:eastAsia="ja-JP"/>
              </w:rPr>
              <w:t>ECx</w:t>
            </w:r>
          </w:p>
        </w:tc>
        <w:tc>
          <w:tcPr>
            <w:tcW w:w="3515" w:type="pct"/>
            <w:tcBorders>
              <w:top w:val="single" w:sz="4" w:space="0" w:color="auto"/>
              <w:bottom w:val="single" w:sz="4" w:space="0" w:color="auto"/>
            </w:tcBorders>
          </w:tcPr>
          <w:p w14:paraId="5B81B234" w14:textId="77777777" w:rsidR="00CA1024" w:rsidRDefault="00CA1024" w:rsidP="00966AA7">
            <w:pPr>
              <w:pStyle w:val="TableText"/>
              <w:rPr>
                <w:lang w:eastAsia="ja-JP"/>
              </w:rPr>
            </w:pPr>
            <w:r>
              <w:rPr>
                <w:lang w:eastAsia="ja-JP"/>
              </w:rPr>
              <w:t>T</w:t>
            </w:r>
            <w:r w:rsidRPr="006F59C6">
              <w:rPr>
                <w:lang w:eastAsia="ja-JP"/>
              </w:rPr>
              <w:t>he concentration of a substance in water or sediment that is estimated to produce an x% change in the response being measured or a certain effect in x% of the test organisms, under specified conditions.</w:t>
            </w:r>
          </w:p>
        </w:tc>
      </w:tr>
      <w:tr w:rsidR="00CA1024" w:rsidRPr="00585FD8" w14:paraId="384DAD7E" w14:textId="77777777" w:rsidTr="00141D27">
        <w:tc>
          <w:tcPr>
            <w:tcW w:w="1485" w:type="pct"/>
            <w:tcBorders>
              <w:top w:val="single" w:sz="4" w:space="0" w:color="auto"/>
              <w:bottom w:val="single" w:sz="4" w:space="0" w:color="auto"/>
            </w:tcBorders>
          </w:tcPr>
          <w:p w14:paraId="6B08390A" w14:textId="77777777" w:rsidR="00CA1024" w:rsidRPr="00585FD8" w:rsidRDefault="00CA1024" w:rsidP="007336AC">
            <w:pPr>
              <w:pStyle w:val="TableText"/>
              <w:rPr>
                <w:lang w:eastAsia="ja-JP"/>
              </w:rPr>
            </w:pPr>
            <w:r w:rsidRPr="00585FD8">
              <w:rPr>
                <w:lang w:eastAsia="ja-JP"/>
              </w:rPr>
              <w:t>endpoint</w:t>
            </w:r>
          </w:p>
        </w:tc>
        <w:tc>
          <w:tcPr>
            <w:tcW w:w="3515" w:type="pct"/>
            <w:tcBorders>
              <w:top w:val="single" w:sz="4" w:space="0" w:color="auto"/>
              <w:bottom w:val="single" w:sz="4" w:space="0" w:color="auto"/>
            </w:tcBorders>
          </w:tcPr>
          <w:p w14:paraId="35813150" w14:textId="77777777" w:rsidR="00CA1024" w:rsidRPr="00585FD8" w:rsidRDefault="00CA1024" w:rsidP="00C158FC">
            <w:pPr>
              <w:pStyle w:val="TableText"/>
              <w:rPr>
                <w:lang w:eastAsia="ja-JP"/>
              </w:rPr>
            </w:pPr>
            <w:r>
              <w:rPr>
                <w:lang w:eastAsia="ja-JP"/>
              </w:rPr>
              <w:t>T</w:t>
            </w:r>
            <w:r w:rsidRPr="00C158FC">
              <w:rPr>
                <w:lang w:eastAsia="ja-JP"/>
              </w:rPr>
              <w:t>he specific response of an organism that is measured in a toxicity test (e.g. mortality, growth, a particular biomarker).</w:t>
            </w:r>
          </w:p>
        </w:tc>
      </w:tr>
      <w:tr w:rsidR="00CA1024" w:rsidRPr="00585FD8" w14:paraId="294B0111" w14:textId="77777777" w:rsidTr="00141D27">
        <w:tc>
          <w:tcPr>
            <w:tcW w:w="1485" w:type="pct"/>
            <w:tcBorders>
              <w:top w:val="single" w:sz="4" w:space="0" w:color="auto"/>
              <w:bottom w:val="single" w:sz="4" w:space="0" w:color="auto"/>
            </w:tcBorders>
          </w:tcPr>
          <w:p w14:paraId="1705960A" w14:textId="77777777" w:rsidR="00CA1024" w:rsidRPr="00585FD8" w:rsidRDefault="00CA1024" w:rsidP="007336AC">
            <w:pPr>
              <w:pStyle w:val="TableText"/>
              <w:rPr>
                <w:lang w:eastAsia="ja-JP"/>
              </w:rPr>
            </w:pPr>
            <w:r w:rsidRPr="00585FD8">
              <w:rPr>
                <w:lang w:eastAsia="ja-JP"/>
              </w:rPr>
              <w:t xml:space="preserve">guideline value </w:t>
            </w:r>
          </w:p>
        </w:tc>
        <w:tc>
          <w:tcPr>
            <w:tcW w:w="3515" w:type="pct"/>
            <w:tcBorders>
              <w:top w:val="single" w:sz="4" w:space="0" w:color="auto"/>
              <w:bottom w:val="single" w:sz="4" w:space="0" w:color="auto"/>
            </w:tcBorders>
          </w:tcPr>
          <w:p w14:paraId="4C59BA40" w14:textId="77777777" w:rsidR="00CA1024" w:rsidRPr="00585FD8" w:rsidRDefault="00CA1024" w:rsidP="006D6C1D">
            <w:pPr>
              <w:pStyle w:val="TableText"/>
              <w:rPr>
                <w:lang w:eastAsia="ja-JP"/>
              </w:rPr>
            </w:pPr>
            <w:r w:rsidRPr="00585FD8">
              <w:rPr>
                <w:lang w:eastAsia="ja-JP"/>
              </w:rPr>
              <w:t xml:space="preserve">A measurable quantity (e.g. concentration) or condition of an indicator for a specific </w:t>
            </w:r>
            <w:r>
              <w:rPr>
                <w:lang w:eastAsia="ja-JP"/>
              </w:rPr>
              <w:t>community value</w:t>
            </w:r>
            <w:r w:rsidRPr="00585FD8">
              <w:rPr>
                <w:lang w:eastAsia="ja-JP"/>
              </w:rPr>
              <w:t xml:space="preserve"> below which (or above which, in the case of stressors such as pH, dissolved oxygen and many biodiversity responses) there is considered to be a low risk of unacceptable effects occurring to that </w:t>
            </w:r>
            <w:r>
              <w:rPr>
                <w:lang w:eastAsia="ja-JP"/>
              </w:rPr>
              <w:t>community</w:t>
            </w:r>
            <w:r w:rsidRPr="00585FD8">
              <w:rPr>
                <w:lang w:eastAsia="ja-JP"/>
              </w:rPr>
              <w:t xml:space="preserve"> value. Guideline values for more than one indicator should be used simultaneously in a multiple lines of evidence approach.</w:t>
            </w:r>
          </w:p>
        </w:tc>
      </w:tr>
      <w:tr w:rsidR="00CA1024" w:rsidRPr="00585FD8" w14:paraId="05F6CD94" w14:textId="77777777" w:rsidTr="00141D27">
        <w:tc>
          <w:tcPr>
            <w:tcW w:w="1485" w:type="pct"/>
            <w:tcBorders>
              <w:top w:val="single" w:sz="4" w:space="0" w:color="auto"/>
              <w:bottom w:val="single" w:sz="4" w:space="0" w:color="auto"/>
            </w:tcBorders>
          </w:tcPr>
          <w:p w14:paraId="3D74BE85" w14:textId="77777777" w:rsidR="00CA1024" w:rsidRPr="00585FD8" w:rsidRDefault="00CA1024" w:rsidP="007336AC">
            <w:pPr>
              <w:pStyle w:val="TableText"/>
              <w:rPr>
                <w:lang w:eastAsia="ja-JP"/>
              </w:rPr>
            </w:pPr>
            <w:r w:rsidRPr="00585FD8">
              <w:rPr>
                <w:lang w:eastAsia="ja-JP"/>
              </w:rPr>
              <w:t>LC50 (median lethal concentration)</w:t>
            </w:r>
          </w:p>
        </w:tc>
        <w:tc>
          <w:tcPr>
            <w:tcW w:w="3515" w:type="pct"/>
            <w:tcBorders>
              <w:top w:val="single" w:sz="4" w:space="0" w:color="auto"/>
              <w:bottom w:val="single" w:sz="4" w:space="0" w:color="auto"/>
            </w:tcBorders>
          </w:tcPr>
          <w:p w14:paraId="42BDC9E2" w14:textId="77777777" w:rsidR="00CA1024" w:rsidRPr="00585FD8" w:rsidRDefault="00CA1024" w:rsidP="006D6C1D">
            <w:pPr>
              <w:pStyle w:val="TableText"/>
              <w:rPr>
                <w:lang w:eastAsia="ja-JP"/>
              </w:rPr>
            </w:pPr>
            <w:r>
              <w:rPr>
                <w:lang w:eastAsia="ja-JP"/>
              </w:rPr>
              <w:t>T</w:t>
            </w:r>
            <w:r w:rsidRPr="006D6C1D">
              <w:rPr>
                <w:lang w:eastAsia="ja-JP"/>
              </w:rPr>
              <w:t>he concentration of a substance in water or sediment that is estimated to be lethal to 50% of a group of test organisms, relative to the control response, under specified conditions.</w:t>
            </w:r>
          </w:p>
        </w:tc>
      </w:tr>
      <w:tr w:rsidR="00CA1024" w:rsidRPr="00585FD8" w14:paraId="1A6BC153" w14:textId="77777777" w:rsidTr="00141D27">
        <w:tc>
          <w:tcPr>
            <w:tcW w:w="1485" w:type="pct"/>
            <w:tcBorders>
              <w:top w:val="single" w:sz="4" w:space="0" w:color="auto"/>
              <w:bottom w:val="single" w:sz="4" w:space="0" w:color="auto"/>
            </w:tcBorders>
            <w:shd w:val="clear" w:color="auto" w:fill="auto"/>
          </w:tcPr>
          <w:p w14:paraId="68395E83" w14:textId="77777777" w:rsidR="00CA1024" w:rsidDel="006D6C1D" w:rsidRDefault="00CA1024" w:rsidP="007336AC">
            <w:pPr>
              <w:pStyle w:val="TableText"/>
              <w:rPr>
                <w:lang w:eastAsia="ja-JP"/>
              </w:rPr>
            </w:pPr>
            <w:r w:rsidRPr="001C7225">
              <w:rPr>
                <w:lang w:eastAsia="ja-JP"/>
              </w:rPr>
              <w:t>LCx</w:t>
            </w:r>
          </w:p>
        </w:tc>
        <w:tc>
          <w:tcPr>
            <w:tcW w:w="3515" w:type="pct"/>
            <w:tcBorders>
              <w:top w:val="single" w:sz="4" w:space="0" w:color="auto"/>
              <w:bottom w:val="single" w:sz="4" w:space="0" w:color="auto"/>
            </w:tcBorders>
            <w:shd w:val="clear" w:color="auto" w:fill="auto"/>
          </w:tcPr>
          <w:p w14:paraId="7BEBA6D2" w14:textId="77777777" w:rsidR="00CA1024" w:rsidDel="006D6C1D" w:rsidRDefault="00CA1024" w:rsidP="00620280">
            <w:pPr>
              <w:pStyle w:val="TableText"/>
              <w:rPr>
                <w:shd w:val="clear" w:color="auto" w:fill="FFFFFF"/>
              </w:rPr>
            </w:pPr>
            <w:r w:rsidRPr="001C7225">
              <w:rPr>
                <w:shd w:val="clear" w:color="auto" w:fill="FFFFFF"/>
              </w:rPr>
              <w:t>The concentration of a substance in water or sediment that is estimated to be lethal to x% of a group of test organisms under specified conditions.</w:t>
            </w:r>
          </w:p>
        </w:tc>
      </w:tr>
      <w:tr w:rsidR="00CA1024" w:rsidRPr="00585FD8" w14:paraId="082FC1DB" w14:textId="77777777" w:rsidTr="00141D27">
        <w:tc>
          <w:tcPr>
            <w:tcW w:w="1485" w:type="pct"/>
            <w:tcBorders>
              <w:top w:val="single" w:sz="4" w:space="0" w:color="auto"/>
              <w:bottom w:val="single" w:sz="4" w:space="0" w:color="auto"/>
            </w:tcBorders>
          </w:tcPr>
          <w:p w14:paraId="32E44A85" w14:textId="77777777" w:rsidR="00CA1024" w:rsidRPr="00585FD8" w:rsidDel="006D6C1D" w:rsidRDefault="00CA1024" w:rsidP="007336AC">
            <w:pPr>
              <w:pStyle w:val="TableText"/>
              <w:rPr>
                <w:lang w:eastAsia="ja-JP"/>
              </w:rPr>
            </w:pPr>
            <w:r w:rsidRPr="00F8067B">
              <w:rPr>
                <w:lang w:eastAsia="ja-JP"/>
              </w:rPr>
              <w:t xml:space="preserve">PC </w:t>
            </w:r>
          </w:p>
        </w:tc>
        <w:tc>
          <w:tcPr>
            <w:tcW w:w="3515" w:type="pct"/>
            <w:tcBorders>
              <w:top w:val="single" w:sz="4" w:space="0" w:color="auto"/>
              <w:bottom w:val="single" w:sz="4" w:space="0" w:color="auto"/>
            </w:tcBorders>
          </w:tcPr>
          <w:p w14:paraId="7B0BA116" w14:textId="77777777" w:rsidR="00CA1024" w:rsidRPr="00585FD8" w:rsidDel="006D6C1D" w:rsidRDefault="00CA1024" w:rsidP="007336AC">
            <w:pPr>
              <w:pStyle w:val="TableText"/>
              <w:rPr>
                <w:lang w:eastAsia="ja-JP"/>
              </w:rPr>
            </w:pPr>
            <w:r>
              <w:rPr>
                <w:lang w:eastAsia="ja-JP"/>
              </w:rPr>
              <w:t>P</w:t>
            </w:r>
            <w:r w:rsidRPr="00F8067B">
              <w:rPr>
                <w:lang w:eastAsia="ja-JP"/>
              </w:rPr>
              <w:t>rotective concentration</w:t>
            </w:r>
            <w:r>
              <w:rPr>
                <w:lang w:eastAsia="ja-JP"/>
              </w:rPr>
              <w:t>.</w:t>
            </w:r>
          </w:p>
        </w:tc>
      </w:tr>
      <w:tr w:rsidR="00CA1024" w:rsidRPr="00585FD8" w14:paraId="2B90EF99" w14:textId="77777777" w:rsidTr="00141D27">
        <w:tc>
          <w:tcPr>
            <w:tcW w:w="1485" w:type="pct"/>
            <w:tcBorders>
              <w:top w:val="single" w:sz="4" w:space="0" w:color="auto"/>
              <w:bottom w:val="single" w:sz="4" w:space="0" w:color="auto"/>
            </w:tcBorders>
          </w:tcPr>
          <w:p w14:paraId="2B2CA196" w14:textId="77777777" w:rsidR="00CA1024" w:rsidRPr="00585FD8" w:rsidRDefault="00CA1024" w:rsidP="007336AC">
            <w:pPr>
              <w:pStyle w:val="TableText"/>
              <w:rPr>
                <w:lang w:eastAsia="ja-JP"/>
              </w:rPr>
            </w:pPr>
            <w:r w:rsidRPr="00585FD8">
              <w:rPr>
                <w:lang w:eastAsia="ja-JP"/>
              </w:rPr>
              <w:t>species</w:t>
            </w:r>
            <w:r>
              <w:rPr>
                <w:lang w:eastAsia="ja-JP"/>
              </w:rPr>
              <w:t xml:space="preserve"> (biological)</w:t>
            </w:r>
          </w:p>
        </w:tc>
        <w:tc>
          <w:tcPr>
            <w:tcW w:w="3515" w:type="pct"/>
            <w:tcBorders>
              <w:top w:val="single" w:sz="4" w:space="0" w:color="auto"/>
              <w:bottom w:val="single" w:sz="4" w:space="0" w:color="auto"/>
            </w:tcBorders>
          </w:tcPr>
          <w:p w14:paraId="6A3FC5B7" w14:textId="77777777" w:rsidR="00CA1024" w:rsidRPr="00585FD8" w:rsidRDefault="00CA1024" w:rsidP="006F59C6">
            <w:pPr>
              <w:pStyle w:val="TableText"/>
              <w:rPr>
                <w:lang w:eastAsia="ja-JP"/>
              </w:rPr>
            </w:pPr>
            <w:r w:rsidRPr="00585FD8">
              <w:rPr>
                <w:lang w:eastAsia="ja-JP"/>
              </w:rPr>
              <w:t>A group of organisms that resemble each other to a greater degree than members of other groups and that form a reproductively isolated group that will not produce viable offspring if bred with members of another group.</w:t>
            </w:r>
          </w:p>
        </w:tc>
      </w:tr>
      <w:tr w:rsidR="00CA1024" w:rsidRPr="00585FD8" w14:paraId="556501F9" w14:textId="77777777" w:rsidTr="00141D27">
        <w:tc>
          <w:tcPr>
            <w:tcW w:w="1485" w:type="pct"/>
            <w:tcBorders>
              <w:top w:val="single" w:sz="4" w:space="0" w:color="auto"/>
              <w:bottom w:val="single" w:sz="4" w:space="0" w:color="auto"/>
            </w:tcBorders>
          </w:tcPr>
          <w:p w14:paraId="72448C8E" w14:textId="77777777" w:rsidR="00CA1024" w:rsidRPr="00585FD8" w:rsidRDefault="00CA1024" w:rsidP="007336AC">
            <w:pPr>
              <w:pStyle w:val="TableText"/>
              <w:rPr>
                <w:lang w:eastAsia="ja-JP"/>
              </w:rPr>
            </w:pPr>
            <w:r>
              <w:rPr>
                <w:lang w:eastAsia="ja-JP"/>
              </w:rPr>
              <w:t>s</w:t>
            </w:r>
            <w:r w:rsidRPr="00585FD8">
              <w:rPr>
                <w:lang w:eastAsia="ja-JP"/>
              </w:rPr>
              <w:t xml:space="preserve">pecies sensitivity distribution </w:t>
            </w:r>
            <w:r>
              <w:rPr>
                <w:lang w:eastAsia="ja-JP"/>
              </w:rPr>
              <w:t>(</w:t>
            </w:r>
            <w:r w:rsidRPr="00585FD8">
              <w:rPr>
                <w:lang w:eastAsia="ja-JP"/>
              </w:rPr>
              <w:t>SSD</w:t>
            </w:r>
            <w:r>
              <w:rPr>
                <w:lang w:eastAsia="ja-JP"/>
              </w:rPr>
              <w:t>)</w:t>
            </w:r>
            <w:r w:rsidRPr="00585FD8">
              <w:rPr>
                <w:lang w:eastAsia="ja-JP"/>
              </w:rPr>
              <w:t xml:space="preserve"> </w:t>
            </w:r>
          </w:p>
        </w:tc>
        <w:tc>
          <w:tcPr>
            <w:tcW w:w="3515" w:type="pct"/>
            <w:tcBorders>
              <w:top w:val="single" w:sz="4" w:space="0" w:color="auto"/>
              <w:bottom w:val="single" w:sz="4" w:space="0" w:color="auto"/>
            </w:tcBorders>
          </w:tcPr>
          <w:p w14:paraId="4AD12AD5" w14:textId="77777777" w:rsidR="00CA1024" w:rsidRPr="00585FD8" w:rsidRDefault="00CA1024" w:rsidP="009C45CE">
            <w:pPr>
              <w:pStyle w:val="TableText"/>
              <w:rPr>
                <w:lang w:eastAsia="ja-JP"/>
              </w:rPr>
            </w:pPr>
            <w:r>
              <w:rPr>
                <w:lang w:eastAsia="ja-JP"/>
              </w:rPr>
              <w:t>A</w:t>
            </w:r>
            <w:r w:rsidRPr="009C45CE">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CA1024" w:rsidRPr="00585FD8" w14:paraId="1B143181" w14:textId="77777777" w:rsidTr="00141D27">
        <w:tc>
          <w:tcPr>
            <w:tcW w:w="1485" w:type="pct"/>
            <w:tcBorders>
              <w:top w:val="single" w:sz="4" w:space="0" w:color="auto"/>
              <w:bottom w:val="single" w:sz="4" w:space="0" w:color="auto"/>
            </w:tcBorders>
          </w:tcPr>
          <w:p w14:paraId="1F098A12" w14:textId="77777777" w:rsidR="00CA1024" w:rsidRPr="00A23629" w:rsidRDefault="00CA1024" w:rsidP="007336AC">
            <w:pPr>
              <w:pStyle w:val="TableText"/>
              <w:rPr>
                <w:lang w:eastAsia="ja-JP"/>
              </w:rPr>
            </w:pPr>
            <w:r w:rsidRPr="00A23629">
              <w:rPr>
                <w:lang w:eastAsia="ja-JP"/>
              </w:rPr>
              <w:lastRenderedPageBreak/>
              <w:t>total residual chlorine (TRC)</w:t>
            </w:r>
          </w:p>
        </w:tc>
        <w:tc>
          <w:tcPr>
            <w:tcW w:w="3515" w:type="pct"/>
            <w:tcBorders>
              <w:top w:val="single" w:sz="4" w:space="0" w:color="auto"/>
              <w:bottom w:val="single" w:sz="4" w:space="0" w:color="auto"/>
            </w:tcBorders>
          </w:tcPr>
          <w:p w14:paraId="4C029B7F" w14:textId="77777777" w:rsidR="00CA1024" w:rsidRPr="00585FD8" w:rsidRDefault="00CA1024" w:rsidP="007336AC">
            <w:pPr>
              <w:pStyle w:val="TableText"/>
              <w:rPr>
                <w:lang w:eastAsia="ja-JP"/>
              </w:rPr>
            </w:pPr>
            <w:r w:rsidRPr="00A23629">
              <w:rPr>
                <w:lang w:eastAsia="ja-JP"/>
              </w:rPr>
              <w:t xml:space="preserve">The total amount of chlorine present in a sample, equal to the sum of the free chlorine residual and the combined available chlorine residual. </w:t>
            </w:r>
            <w:r>
              <w:rPr>
                <w:lang w:eastAsia="ja-JP"/>
              </w:rPr>
              <w:t xml:space="preserve">The term is mostly used for freshwater and is </w:t>
            </w:r>
            <w:r w:rsidRPr="00A23629">
              <w:rPr>
                <w:lang w:eastAsia="ja-JP"/>
              </w:rPr>
              <w:t>generally analogous to chlorine produced oxidants (CPO).</w:t>
            </w:r>
          </w:p>
        </w:tc>
      </w:tr>
      <w:tr w:rsidR="00CA1024" w:rsidRPr="00585FD8" w14:paraId="50F9B1E7" w14:textId="77777777" w:rsidTr="00141D27">
        <w:tc>
          <w:tcPr>
            <w:tcW w:w="1485" w:type="pct"/>
            <w:tcBorders>
              <w:top w:val="single" w:sz="4" w:space="0" w:color="auto"/>
              <w:bottom w:val="single" w:sz="4" w:space="0" w:color="auto"/>
            </w:tcBorders>
          </w:tcPr>
          <w:p w14:paraId="70BBD796" w14:textId="77777777" w:rsidR="00CA1024" w:rsidRPr="00585FD8" w:rsidRDefault="00CA1024" w:rsidP="007336AC">
            <w:pPr>
              <w:pStyle w:val="TableText"/>
              <w:rPr>
                <w:lang w:eastAsia="ja-JP"/>
              </w:rPr>
            </w:pPr>
            <w:r w:rsidRPr="00585FD8">
              <w:rPr>
                <w:lang w:eastAsia="ja-JP"/>
              </w:rPr>
              <w:t>toxicity</w:t>
            </w:r>
          </w:p>
        </w:tc>
        <w:tc>
          <w:tcPr>
            <w:tcW w:w="3515" w:type="pct"/>
            <w:tcBorders>
              <w:top w:val="single" w:sz="4" w:space="0" w:color="auto"/>
              <w:bottom w:val="single" w:sz="4" w:space="0" w:color="auto"/>
            </w:tcBorders>
          </w:tcPr>
          <w:p w14:paraId="714A7865" w14:textId="77777777" w:rsidR="00CA1024" w:rsidRPr="00585FD8" w:rsidRDefault="00CA1024" w:rsidP="001E395E">
            <w:pPr>
              <w:pStyle w:val="TableText"/>
              <w:rPr>
                <w:lang w:eastAsia="ja-JP"/>
              </w:rPr>
            </w:pPr>
            <w:r w:rsidRPr="00585FD8">
              <w:rPr>
                <w:lang w:eastAsia="ja-JP"/>
              </w:rPr>
              <w:t>The inherent potential or capacity of a material to cause adverse effects in a living organism.</w:t>
            </w:r>
          </w:p>
        </w:tc>
      </w:tr>
      <w:tr w:rsidR="00CA1024" w:rsidRPr="00585FD8" w14:paraId="2E509BA2" w14:textId="77777777" w:rsidTr="00141D27">
        <w:tc>
          <w:tcPr>
            <w:tcW w:w="1485" w:type="pct"/>
            <w:tcBorders>
              <w:top w:val="single" w:sz="4" w:space="0" w:color="auto"/>
              <w:bottom w:val="single" w:sz="12" w:space="0" w:color="auto"/>
            </w:tcBorders>
          </w:tcPr>
          <w:p w14:paraId="162AC476" w14:textId="77777777" w:rsidR="00CA1024" w:rsidRPr="00585FD8" w:rsidRDefault="00CA1024" w:rsidP="007336AC">
            <w:pPr>
              <w:pStyle w:val="TableText"/>
              <w:rPr>
                <w:lang w:eastAsia="ja-JP"/>
              </w:rPr>
            </w:pPr>
            <w:r w:rsidRPr="00585FD8">
              <w:rPr>
                <w:lang w:eastAsia="ja-JP"/>
              </w:rPr>
              <w:t>toxicity test</w:t>
            </w:r>
          </w:p>
        </w:tc>
        <w:tc>
          <w:tcPr>
            <w:tcW w:w="3515" w:type="pct"/>
            <w:tcBorders>
              <w:top w:val="single" w:sz="4" w:space="0" w:color="auto"/>
              <w:bottom w:val="single" w:sz="12" w:space="0" w:color="auto"/>
            </w:tcBorders>
          </w:tcPr>
          <w:p w14:paraId="01BF98AB" w14:textId="77777777" w:rsidR="00CA1024" w:rsidRPr="00585FD8" w:rsidRDefault="00CA1024" w:rsidP="001E395E">
            <w:pPr>
              <w:pStyle w:val="TableText"/>
              <w:rPr>
                <w:lang w:eastAsia="ja-JP"/>
              </w:rPr>
            </w:pPr>
            <w:r w:rsidRPr="00585FD8">
              <w:rPr>
                <w:lang w:eastAsia="ja-JP"/>
              </w:rPr>
              <w:t xml:space="preserve">The means by which the toxicity of a chemical or other test material is determined. A toxicity test is used to measure the degree of response produced by exposure to </w:t>
            </w:r>
            <w:r w:rsidRPr="001E395E">
              <w:rPr>
                <w:lang w:eastAsia="ja-JP"/>
              </w:rPr>
              <w:t xml:space="preserve">a specific level of stimulus (or concentration of chemical) for a specified test period. </w:t>
            </w:r>
          </w:p>
        </w:tc>
      </w:tr>
    </w:tbl>
    <w:p w14:paraId="64529ADF" w14:textId="77777777" w:rsidR="001303C0" w:rsidRPr="00585FD8" w:rsidRDefault="001303C0" w:rsidP="001303C0">
      <w:pPr>
        <w:rPr>
          <w:lang w:eastAsia="ja-JP"/>
        </w:rPr>
      </w:pPr>
    </w:p>
    <w:p w14:paraId="437DA7D6" w14:textId="77777777" w:rsidR="00606A7B" w:rsidRDefault="00606A7B" w:rsidP="001303C0">
      <w:pPr>
        <w:rPr>
          <w:lang w:eastAsia="ja-JP"/>
        </w:rPr>
        <w:sectPr w:rsidR="00606A7B" w:rsidSect="00D971E6">
          <w:headerReference w:type="even" r:id="rId32"/>
          <w:headerReference w:type="default" r:id="rId33"/>
          <w:footerReference w:type="even" r:id="rId34"/>
          <w:footerReference w:type="default" r:id="rId35"/>
          <w:headerReference w:type="first" r:id="rId36"/>
          <w:footerReference w:type="first" r:id="rId37"/>
          <w:pgSz w:w="11906" w:h="16838"/>
          <w:pgMar w:top="1418" w:right="1418" w:bottom="1418" w:left="1418" w:header="567" w:footer="283" w:gutter="0"/>
          <w:pgNumType w:start="1"/>
          <w:cols w:space="708"/>
          <w:titlePg/>
          <w:docGrid w:linePitch="360"/>
        </w:sectPr>
      </w:pPr>
    </w:p>
    <w:p w14:paraId="2DC47700" w14:textId="6EC190FF" w:rsidR="00606A7B" w:rsidRPr="000C7ECF" w:rsidRDefault="00606A7B" w:rsidP="00606A7B">
      <w:pPr>
        <w:pStyle w:val="Heading2"/>
        <w:numPr>
          <w:ilvl w:val="0"/>
          <w:numId w:val="0"/>
        </w:numPr>
      </w:pPr>
      <w:bookmarkStart w:id="43" w:name="_Ref528068779"/>
      <w:bookmarkStart w:id="44" w:name="_Ref528068976"/>
      <w:bookmarkStart w:id="45" w:name="_Toc4498837"/>
      <w:bookmarkStart w:id="46" w:name="_Toc178451656"/>
      <w:bookmarkStart w:id="47" w:name="_Ref178602665"/>
      <w:bookmarkStart w:id="48" w:name="_Toc189409345"/>
      <w:r w:rsidRPr="000C7ECF">
        <w:lastRenderedPageBreak/>
        <w:t>Appendix</w:t>
      </w:r>
      <w:r w:rsidR="000300D2">
        <w:t> </w:t>
      </w:r>
      <w:r w:rsidR="00EE6427">
        <w:t>A</w:t>
      </w:r>
      <w:r w:rsidRPr="000C7ECF">
        <w:t xml:space="preserve">: </w:t>
      </w:r>
      <w:r>
        <w:t>T</w:t>
      </w:r>
      <w:r w:rsidRPr="000C7ECF">
        <w:t xml:space="preserve">oxicity data that passed the screening and quality </w:t>
      </w:r>
      <w:bookmarkEnd w:id="43"/>
      <w:bookmarkEnd w:id="44"/>
      <w:bookmarkEnd w:id="45"/>
      <w:r w:rsidR="007216A0">
        <w:t>assessment</w:t>
      </w:r>
      <w:bookmarkEnd w:id="46"/>
      <w:r w:rsidR="00F25C2D">
        <w:t xml:space="preserve"> </w:t>
      </w:r>
      <w:r w:rsidR="00D2581F" w:rsidRPr="00D2581F">
        <w:t>and were used to derive the default guideline values</w:t>
      </w:r>
      <w:bookmarkEnd w:id="47"/>
      <w:bookmarkEnd w:id="48"/>
    </w:p>
    <w:p w14:paraId="3F48345F" w14:textId="6E31213F" w:rsidR="005067F8" w:rsidRPr="004B5D58" w:rsidRDefault="004B5D58" w:rsidP="007D41E1">
      <w:r w:rsidRPr="004B5D58">
        <w:t xml:space="preserve">This appendix documents </w:t>
      </w:r>
      <w:r>
        <w:t xml:space="preserve">all toxicity data that passed the screening and quality assessment processes. </w:t>
      </w:r>
      <w:r w:rsidR="009D22BA">
        <w:fldChar w:fldCharType="begin"/>
      </w:r>
      <w:r w:rsidR="009D22BA">
        <w:instrText xml:space="preserve"> REF _Ref178601661 \h </w:instrText>
      </w:r>
      <w:r w:rsidR="009D22BA">
        <w:fldChar w:fldCharType="separate"/>
      </w:r>
      <w:r w:rsidR="003E6080">
        <w:t>Table A </w:t>
      </w:r>
      <w:r w:rsidR="003E6080">
        <w:rPr>
          <w:noProof/>
        </w:rPr>
        <w:t>1</w:t>
      </w:r>
      <w:r w:rsidR="009D22BA">
        <w:fldChar w:fldCharType="end"/>
      </w:r>
      <w:r>
        <w:t xml:space="preserve"> contain</w:t>
      </w:r>
      <w:r w:rsidR="005352E8">
        <w:t>s</w:t>
      </w:r>
      <w:r>
        <w:t xml:space="preserve"> the </w:t>
      </w:r>
      <w:r w:rsidRPr="004B5D58">
        <w:t xml:space="preserve">≥25‰ </w:t>
      </w:r>
      <w:r w:rsidR="005352E8">
        <w:t xml:space="preserve">salinity </w:t>
      </w:r>
      <w:r w:rsidR="00E17C0F">
        <w:t xml:space="preserve">data </w:t>
      </w:r>
      <w:r w:rsidR="005352E8">
        <w:t xml:space="preserve">that were used in the DGV derivation. </w:t>
      </w:r>
      <w:r w:rsidR="009D22BA">
        <w:fldChar w:fldCharType="begin"/>
      </w:r>
      <w:r w:rsidR="009D22BA">
        <w:instrText xml:space="preserve"> REF _Ref178601673 \h </w:instrText>
      </w:r>
      <w:r w:rsidR="009D22BA">
        <w:fldChar w:fldCharType="separate"/>
      </w:r>
      <w:r w:rsidR="003E6080">
        <w:t>Table A </w:t>
      </w:r>
      <w:r w:rsidR="003E6080">
        <w:rPr>
          <w:noProof/>
        </w:rPr>
        <w:t>2</w:t>
      </w:r>
      <w:r w:rsidR="009D22BA">
        <w:fldChar w:fldCharType="end"/>
      </w:r>
      <w:r w:rsidR="005352E8">
        <w:t xml:space="preserve"> contains the </w:t>
      </w:r>
      <w:r w:rsidRPr="004B5D58">
        <w:t>≥15</w:t>
      </w:r>
      <w:r w:rsidR="00F5533F">
        <w:t>–</w:t>
      </w:r>
      <w:r>
        <w:t xml:space="preserve">&lt;25‰ </w:t>
      </w:r>
      <w:r w:rsidR="005352E8">
        <w:t xml:space="preserve">salinity </w:t>
      </w:r>
      <w:r w:rsidR="00E17C0F">
        <w:t xml:space="preserve">data </w:t>
      </w:r>
      <w:r w:rsidR="005352E8">
        <w:t xml:space="preserve">that were </w:t>
      </w:r>
      <w:r>
        <w:t xml:space="preserve">used in the DGV derivation. </w:t>
      </w:r>
      <w:r w:rsidR="009D22BA">
        <w:fldChar w:fldCharType="begin"/>
      </w:r>
      <w:r w:rsidR="009D22BA">
        <w:instrText xml:space="preserve"> REF _Ref178601739 \h </w:instrText>
      </w:r>
      <w:r w:rsidR="009D22BA">
        <w:fldChar w:fldCharType="separate"/>
      </w:r>
      <w:r w:rsidR="003E6080">
        <w:t>Table A </w:t>
      </w:r>
      <w:r w:rsidR="003E6080">
        <w:rPr>
          <w:noProof/>
        </w:rPr>
        <w:t>3</w:t>
      </w:r>
      <w:r w:rsidR="009D22BA">
        <w:fldChar w:fldCharType="end"/>
      </w:r>
      <w:r>
        <w:t xml:space="preserve"> lists the </w:t>
      </w:r>
      <w:r w:rsidR="00E17C0F" w:rsidRPr="004B5D58">
        <w:t xml:space="preserve">≥25‰ </w:t>
      </w:r>
      <w:r w:rsidR="00E17C0F">
        <w:t xml:space="preserve">salinity and </w:t>
      </w:r>
      <w:r w:rsidR="00E17C0F" w:rsidRPr="004B5D58">
        <w:t>≥15</w:t>
      </w:r>
      <w:r w:rsidR="00E17C0F">
        <w:t xml:space="preserve">–&lt;25‰ salinity </w:t>
      </w:r>
      <w:r>
        <w:t xml:space="preserve">data </w:t>
      </w:r>
      <w:r w:rsidR="00E17C0F">
        <w:t>that were excluded from the DGV derivation.</w:t>
      </w:r>
    </w:p>
    <w:p w14:paraId="5E1AAEA4" w14:textId="276C8EA2" w:rsidR="00292EDE" w:rsidRDefault="0095541C" w:rsidP="0095541C">
      <w:pPr>
        <w:pStyle w:val="Caption"/>
        <w:rPr>
          <w:lang w:eastAsia="en-AU"/>
        </w:rPr>
      </w:pPr>
      <w:bookmarkStart w:id="49" w:name="_Ref178601661"/>
      <w:bookmarkStart w:id="50" w:name="_Toc185441664"/>
      <w:r>
        <w:t>Table A </w:t>
      </w:r>
      <w:r w:rsidR="00141D27">
        <w:fldChar w:fldCharType="begin"/>
      </w:r>
      <w:r w:rsidR="00141D27">
        <w:instrText xml:space="preserve"> SEQ Table_A \* ARABIC </w:instrText>
      </w:r>
      <w:r w:rsidR="00141D27">
        <w:fldChar w:fldCharType="separate"/>
      </w:r>
      <w:r w:rsidR="003E6080">
        <w:rPr>
          <w:noProof/>
        </w:rPr>
        <w:t>1</w:t>
      </w:r>
      <w:r w:rsidR="00141D27">
        <w:rPr>
          <w:noProof/>
        </w:rPr>
        <w:fldChar w:fldCharType="end"/>
      </w:r>
      <w:bookmarkEnd w:id="49"/>
      <w:r w:rsidR="00292EDE" w:rsidRPr="00292EDE">
        <w:t xml:space="preserve"> </w:t>
      </w:r>
      <w:r w:rsidR="00D2581F">
        <w:t>Summary, acute toxicity data that passed screening and quality asses</w:t>
      </w:r>
      <w:r w:rsidR="00CB5FB1">
        <w:t xml:space="preserve">sment processes, </w:t>
      </w:r>
      <w:r w:rsidR="006F4ECA">
        <w:t>chlorine (</w:t>
      </w:r>
      <w:r w:rsidR="00CB5FB1">
        <w:t>CPO</w:t>
      </w:r>
      <w:r w:rsidR="006F4ECA">
        <w:t>)</w:t>
      </w:r>
      <w:r w:rsidR="00CB5FB1">
        <w:t xml:space="preserve"> in marine water</w:t>
      </w:r>
      <w:r w:rsidR="006F4ECA">
        <w:t>,</w:t>
      </w:r>
      <w:r w:rsidR="00CB5FB1">
        <w:t xml:space="preserve"> salinity </w:t>
      </w:r>
      <w:r w:rsidR="00CB5FB1" w:rsidRPr="00292EDE">
        <w:t>≥25‰</w:t>
      </w:r>
      <w:r w:rsidR="00CB5FB1">
        <w:t xml:space="preserve"> </w:t>
      </w:r>
      <w:r w:rsidR="005D22E4">
        <w:rPr>
          <w:lang w:eastAsia="en-AU"/>
        </w:rPr>
        <w:t xml:space="preserve">– used </w:t>
      </w:r>
      <w:r w:rsidR="006F4ECA">
        <w:rPr>
          <w:lang w:eastAsia="en-AU"/>
        </w:rPr>
        <w:t>in</w:t>
      </w:r>
      <w:r w:rsidR="005D22E4">
        <w:rPr>
          <w:lang w:eastAsia="en-AU"/>
        </w:rPr>
        <w:t xml:space="preserve"> DGV derivation</w:t>
      </w:r>
      <w:bookmarkEnd w:id="50"/>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acute toxicity data that passed screening and quality assessment processes, chlorine (CPO) in marine water, salinity ≥25‰ – used in DGV derivation"/>
        <w:tblDescription w:val="Table lists 18 species with their taxonomic group. The different life stages for each species are provided with the following test information: exposure duration, test type, toxicity measure, test medium, temperature (degrees Celcius), concentration (microgram per litre) and reference."/>
      </w:tblPr>
      <w:tblGrid>
        <w:gridCol w:w="1328"/>
        <w:gridCol w:w="2070"/>
        <w:gridCol w:w="1000"/>
        <w:gridCol w:w="991"/>
        <w:gridCol w:w="1274"/>
        <w:gridCol w:w="1134"/>
        <w:gridCol w:w="1134"/>
        <w:gridCol w:w="851"/>
        <w:gridCol w:w="1417"/>
        <w:gridCol w:w="2803"/>
      </w:tblGrid>
      <w:tr w:rsidR="008F66CC" w:rsidRPr="005100F3" w14:paraId="150C40F8" w14:textId="77777777" w:rsidTr="002B4B5F">
        <w:trPr>
          <w:cantSplit/>
          <w:tblHeader/>
        </w:trPr>
        <w:tc>
          <w:tcPr>
            <w:tcW w:w="474" w:type="pct"/>
            <w:tcBorders>
              <w:top w:val="single" w:sz="12" w:space="0" w:color="auto"/>
              <w:bottom w:val="single" w:sz="12" w:space="0" w:color="auto"/>
            </w:tcBorders>
            <w:shd w:val="clear" w:color="auto" w:fill="auto"/>
          </w:tcPr>
          <w:p w14:paraId="5C838BF7" w14:textId="77777777" w:rsidR="008F66CC" w:rsidRPr="005100F3" w:rsidRDefault="008F66CC" w:rsidP="00603885">
            <w:pPr>
              <w:pStyle w:val="TableHeading"/>
              <w:spacing w:before="50" w:after="50"/>
            </w:pPr>
            <w:r>
              <w:t>Taxonomic group</w:t>
            </w:r>
          </w:p>
        </w:tc>
        <w:tc>
          <w:tcPr>
            <w:tcW w:w="739" w:type="pct"/>
            <w:tcBorders>
              <w:top w:val="single" w:sz="12" w:space="0" w:color="auto"/>
              <w:bottom w:val="single" w:sz="12" w:space="0" w:color="auto"/>
            </w:tcBorders>
            <w:shd w:val="clear" w:color="auto" w:fill="auto"/>
            <w:vAlign w:val="center"/>
            <w:hideMark/>
          </w:tcPr>
          <w:p w14:paraId="3D9D6AE2" w14:textId="77777777" w:rsidR="008F66CC" w:rsidRPr="005100F3" w:rsidRDefault="008F66CC" w:rsidP="00603885">
            <w:pPr>
              <w:pStyle w:val="TableHeading"/>
              <w:spacing w:before="50" w:after="50"/>
            </w:pPr>
            <w:r w:rsidRPr="005100F3">
              <w:t>Species</w:t>
            </w:r>
          </w:p>
        </w:tc>
        <w:tc>
          <w:tcPr>
            <w:tcW w:w="357" w:type="pct"/>
            <w:tcBorders>
              <w:top w:val="single" w:sz="12" w:space="0" w:color="auto"/>
              <w:bottom w:val="single" w:sz="12" w:space="0" w:color="auto"/>
            </w:tcBorders>
            <w:shd w:val="clear" w:color="auto" w:fill="auto"/>
            <w:vAlign w:val="center"/>
            <w:hideMark/>
          </w:tcPr>
          <w:p w14:paraId="5B1A2602" w14:textId="77777777" w:rsidR="008F66CC" w:rsidRPr="005100F3" w:rsidRDefault="008F66CC" w:rsidP="00603885">
            <w:pPr>
              <w:pStyle w:val="TableHeading"/>
              <w:spacing w:before="50" w:after="50"/>
            </w:pPr>
            <w:r w:rsidRPr="005100F3">
              <w:t>Life stage</w:t>
            </w:r>
          </w:p>
        </w:tc>
        <w:tc>
          <w:tcPr>
            <w:tcW w:w="354" w:type="pct"/>
            <w:tcBorders>
              <w:top w:val="single" w:sz="12" w:space="0" w:color="auto"/>
              <w:bottom w:val="single" w:sz="12" w:space="0" w:color="auto"/>
            </w:tcBorders>
            <w:shd w:val="clear" w:color="auto" w:fill="auto"/>
            <w:vAlign w:val="center"/>
            <w:hideMark/>
          </w:tcPr>
          <w:p w14:paraId="153106A0" w14:textId="77777777" w:rsidR="008F66CC" w:rsidRPr="005100F3" w:rsidRDefault="008F66CC" w:rsidP="00603885">
            <w:pPr>
              <w:pStyle w:val="TableHeading"/>
              <w:spacing w:before="50" w:after="50"/>
            </w:pPr>
            <w:r w:rsidRPr="005100F3">
              <w:t>Exposure duration</w:t>
            </w:r>
          </w:p>
        </w:tc>
        <w:tc>
          <w:tcPr>
            <w:tcW w:w="455" w:type="pct"/>
            <w:tcBorders>
              <w:top w:val="single" w:sz="12" w:space="0" w:color="auto"/>
              <w:bottom w:val="single" w:sz="12" w:space="0" w:color="auto"/>
            </w:tcBorders>
            <w:shd w:val="clear" w:color="auto" w:fill="auto"/>
            <w:vAlign w:val="center"/>
          </w:tcPr>
          <w:p w14:paraId="14D7F12F" w14:textId="77777777" w:rsidR="008F66CC" w:rsidRPr="005100F3" w:rsidRDefault="008F66CC" w:rsidP="00603885">
            <w:pPr>
              <w:pStyle w:val="TableHeading"/>
              <w:spacing w:before="50" w:after="50"/>
            </w:pPr>
            <w:r>
              <w:t>Test type</w:t>
            </w:r>
          </w:p>
        </w:tc>
        <w:tc>
          <w:tcPr>
            <w:tcW w:w="405" w:type="pct"/>
            <w:tcBorders>
              <w:top w:val="single" w:sz="12" w:space="0" w:color="auto"/>
              <w:bottom w:val="single" w:sz="12" w:space="0" w:color="auto"/>
            </w:tcBorders>
            <w:shd w:val="clear" w:color="auto" w:fill="auto"/>
            <w:vAlign w:val="center"/>
            <w:hideMark/>
          </w:tcPr>
          <w:p w14:paraId="3B4C4F5F" w14:textId="77777777" w:rsidR="008F66CC" w:rsidRPr="005100F3" w:rsidRDefault="008F66CC" w:rsidP="00603885">
            <w:pPr>
              <w:pStyle w:val="TableHeading"/>
              <w:spacing w:before="50" w:after="50"/>
            </w:pPr>
            <w:r w:rsidRPr="005100F3">
              <w:t>Toxicity measure</w:t>
            </w:r>
          </w:p>
        </w:tc>
        <w:tc>
          <w:tcPr>
            <w:tcW w:w="405" w:type="pct"/>
            <w:tcBorders>
              <w:top w:val="single" w:sz="12" w:space="0" w:color="auto"/>
              <w:bottom w:val="single" w:sz="12" w:space="0" w:color="auto"/>
            </w:tcBorders>
            <w:shd w:val="clear" w:color="auto" w:fill="auto"/>
            <w:vAlign w:val="center"/>
            <w:hideMark/>
          </w:tcPr>
          <w:p w14:paraId="798DCB4C" w14:textId="77777777" w:rsidR="008F66CC" w:rsidRPr="005100F3" w:rsidRDefault="008F66CC" w:rsidP="00603885">
            <w:pPr>
              <w:pStyle w:val="TableHeading"/>
              <w:spacing w:before="50" w:after="50"/>
            </w:pPr>
            <w:r w:rsidRPr="005100F3">
              <w:t>Test medium</w:t>
            </w:r>
          </w:p>
        </w:tc>
        <w:tc>
          <w:tcPr>
            <w:tcW w:w="304" w:type="pct"/>
            <w:tcBorders>
              <w:top w:val="single" w:sz="12" w:space="0" w:color="auto"/>
              <w:bottom w:val="single" w:sz="12" w:space="0" w:color="auto"/>
            </w:tcBorders>
            <w:shd w:val="clear" w:color="auto" w:fill="auto"/>
            <w:noWrap/>
            <w:vAlign w:val="center"/>
            <w:hideMark/>
          </w:tcPr>
          <w:p w14:paraId="4FBD1001" w14:textId="0F592982" w:rsidR="008F66CC" w:rsidRPr="005100F3" w:rsidRDefault="008F66CC" w:rsidP="00603885">
            <w:pPr>
              <w:pStyle w:val="TableHeading"/>
              <w:spacing w:before="50" w:after="50"/>
            </w:pPr>
            <w:r w:rsidRPr="005100F3">
              <w:t>Temp</w:t>
            </w:r>
            <w:r>
              <w:t>.</w:t>
            </w:r>
            <w:r w:rsidRPr="005100F3">
              <w:t xml:space="preserve"> (</w:t>
            </w:r>
            <w:r w:rsidR="00DE4071" w:rsidRPr="00DE4071">
              <w:t>°</w:t>
            </w:r>
            <w:r w:rsidRPr="005100F3">
              <w:t>C)</w:t>
            </w:r>
          </w:p>
        </w:tc>
        <w:tc>
          <w:tcPr>
            <w:tcW w:w="506" w:type="pct"/>
            <w:tcBorders>
              <w:top w:val="single" w:sz="12" w:space="0" w:color="auto"/>
              <w:bottom w:val="single" w:sz="12" w:space="0" w:color="auto"/>
            </w:tcBorders>
            <w:shd w:val="clear" w:color="auto" w:fill="auto"/>
            <w:vAlign w:val="center"/>
            <w:hideMark/>
          </w:tcPr>
          <w:p w14:paraId="231BD7B2" w14:textId="371A130D" w:rsidR="008F66CC" w:rsidRPr="005100F3" w:rsidRDefault="008F66CC" w:rsidP="00603885">
            <w:pPr>
              <w:pStyle w:val="TableHeading"/>
              <w:spacing w:before="50" w:after="50"/>
            </w:pPr>
            <w:r>
              <w:t>Concentration</w:t>
            </w:r>
            <w:r w:rsidRPr="005100F3">
              <w:t xml:space="preserve"> (µg/L)</w:t>
            </w:r>
          </w:p>
        </w:tc>
        <w:tc>
          <w:tcPr>
            <w:tcW w:w="1001" w:type="pct"/>
            <w:tcBorders>
              <w:top w:val="single" w:sz="12" w:space="0" w:color="auto"/>
              <w:bottom w:val="single" w:sz="12" w:space="0" w:color="auto"/>
            </w:tcBorders>
            <w:shd w:val="clear" w:color="auto" w:fill="auto"/>
            <w:vAlign w:val="center"/>
            <w:hideMark/>
          </w:tcPr>
          <w:p w14:paraId="7E2E9FA0" w14:textId="77777777" w:rsidR="008F66CC" w:rsidRPr="005100F3" w:rsidRDefault="008F66CC" w:rsidP="00603885">
            <w:pPr>
              <w:pStyle w:val="TableHeading"/>
              <w:spacing w:before="50" w:after="50"/>
            </w:pPr>
            <w:r w:rsidRPr="005100F3">
              <w:t>Reference</w:t>
            </w:r>
          </w:p>
        </w:tc>
      </w:tr>
      <w:tr w:rsidR="008F66CC" w:rsidRPr="005100F3" w14:paraId="68C9DA8A" w14:textId="77777777" w:rsidTr="00E961EE">
        <w:trPr>
          <w:cantSplit/>
          <w:trHeight w:val="115"/>
        </w:trPr>
        <w:tc>
          <w:tcPr>
            <w:tcW w:w="474" w:type="pct"/>
            <w:shd w:val="clear" w:color="auto" w:fill="auto"/>
          </w:tcPr>
          <w:p w14:paraId="122535ED" w14:textId="635A7FAA" w:rsidR="008F66CC" w:rsidRPr="005100F3" w:rsidRDefault="008F66CC" w:rsidP="00603885">
            <w:pPr>
              <w:pStyle w:val="TableText"/>
              <w:spacing w:before="50" w:after="50"/>
            </w:pPr>
            <w:r>
              <w:t>Rotifer</w:t>
            </w:r>
          </w:p>
        </w:tc>
        <w:tc>
          <w:tcPr>
            <w:tcW w:w="739" w:type="pct"/>
            <w:shd w:val="clear" w:color="auto" w:fill="auto"/>
            <w:hideMark/>
          </w:tcPr>
          <w:p w14:paraId="389271AE" w14:textId="77777777" w:rsidR="008F66CC" w:rsidRPr="005100F3" w:rsidRDefault="008F66CC" w:rsidP="00603885">
            <w:pPr>
              <w:pStyle w:val="TableText"/>
              <w:spacing w:before="50" w:after="50"/>
            </w:pPr>
            <w:r w:rsidRPr="003D02AA">
              <w:rPr>
                <w:i/>
                <w:iCs/>
              </w:rPr>
              <w:t>Brachionus plicatilis</w:t>
            </w:r>
          </w:p>
        </w:tc>
        <w:tc>
          <w:tcPr>
            <w:tcW w:w="357" w:type="pct"/>
            <w:shd w:val="clear" w:color="auto" w:fill="auto"/>
            <w:noWrap/>
            <w:hideMark/>
          </w:tcPr>
          <w:p w14:paraId="651FFCF8" w14:textId="77777777" w:rsidR="008F66CC" w:rsidRPr="005100F3" w:rsidRDefault="008F66CC" w:rsidP="00603885">
            <w:pPr>
              <w:pStyle w:val="TableText"/>
              <w:spacing w:before="50" w:after="50"/>
            </w:pPr>
            <w:r>
              <w:t>–</w:t>
            </w:r>
          </w:p>
        </w:tc>
        <w:tc>
          <w:tcPr>
            <w:tcW w:w="354" w:type="pct"/>
            <w:shd w:val="clear" w:color="auto" w:fill="auto"/>
            <w:hideMark/>
          </w:tcPr>
          <w:p w14:paraId="1738B15B" w14:textId="77777777" w:rsidR="008F66CC" w:rsidRPr="005100F3" w:rsidRDefault="008F66CC" w:rsidP="00603885">
            <w:pPr>
              <w:pStyle w:val="TableText"/>
              <w:spacing w:before="50" w:after="50"/>
            </w:pPr>
            <w:r>
              <w:t>30 min</w:t>
            </w:r>
          </w:p>
        </w:tc>
        <w:tc>
          <w:tcPr>
            <w:tcW w:w="455" w:type="pct"/>
            <w:shd w:val="clear" w:color="auto" w:fill="auto"/>
            <w:hideMark/>
          </w:tcPr>
          <w:p w14:paraId="74F89BD0" w14:textId="77777777" w:rsidR="008F66CC" w:rsidRPr="005100F3" w:rsidRDefault="008F66CC" w:rsidP="00603885">
            <w:pPr>
              <w:pStyle w:val="TableText"/>
              <w:spacing w:before="50" w:after="50"/>
            </w:pPr>
            <w:r w:rsidRPr="005100F3">
              <w:t>Flow</w:t>
            </w:r>
            <w:r>
              <w:t>-</w:t>
            </w:r>
            <w:r w:rsidRPr="005100F3">
              <w:t>through</w:t>
            </w:r>
          </w:p>
        </w:tc>
        <w:tc>
          <w:tcPr>
            <w:tcW w:w="405" w:type="pct"/>
            <w:shd w:val="clear" w:color="auto" w:fill="auto"/>
            <w:hideMark/>
          </w:tcPr>
          <w:p w14:paraId="007E7DC4" w14:textId="77777777" w:rsidR="008F66CC" w:rsidRPr="005100F3" w:rsidRDefault="008F66CC" w:rsidP="00603885">
            <w:pPr>
              <w:pStyle w:val="TableText"/>
              <w:spacing w:before="50" w:after="50"/>
            </w:pPr>
            <w:r w:rsidRPr="005100F3">
              <w:t>Mortality (LC50)</w:t>
            </w:r>
          </w:p>
        </w:tc>
        <w:tc>
          <w:tcPr>
            <w:tcW w:w="405" w:type="pct"/>
            <w:shd w:val="clear" w:color="auto" w:fill="auto"/>
            <w:hideMark/>
          </w:tcPr>
          <w:p w14:paraId="0FAB7DC8" w14:textId="77777777" w:rsidR="008F66CC" w:rsidRPr="005100F3" w:rsidRDefault="008F66CC" w:rsidP="00603885">
            <w:pPr>
              <w:pStyle w:val="TableText"/>
              <w:spacing w:before="50" w:after="50"/>
            </w:pPr>
            <w:r w:rsidRPr="005100F3">
              <w:t>Seawater</w:t>
            </w:r>
            <w:r>
              <w:t xml:space="preserve"> </w:t>
            </w:r>
            <w:r w:rsidRPr="005100F3">
              <w:t>(28‰)</w:t>
            </w:r>
          </w:p>
        </w:tc>
        <w:tc>
          <w:tcPr>
            <w:tcW w:w="304" w:type="pct"/>
            <w:shd w:val="clear" w:color="auto" w:fill="auto"/>
            <w:noWrap/>
            <w:hideMark/>
          </w:tcPr>
          <w:p w14:paraId="41051043" w14:textId="77777777" w:rsidR="008F66CC" w:rsidRPr="005100F3" w:rsidRDefault="008F66CC" w:rsidP="00603885">
            <w:pPr>
              <w:pStyle w:val="TableText"/>
              <w:spacing w:before="50" w:after="50"/>
            </w:pPr>
            <w:r w:rsidRPr="005100F3">
              <w:t>25</w:t>
            </w:r>
          </w:p>
        </w:tc>
        <w:tc>
          <w:tcPr>
            <w:tcW w:w="506" w:type="pct"/>
            <w:shd w:val="clear" w:color="auto" w:fill="auto"/>
            <w:hideMark/>
          </w:tcPr>
          <w:p w14:paraId="7A4DBEEE" w14:textId="77777777" w:rsidR="008F66CC" w:rsidRPr="00CC0E62" w:rsidRDefault="008F66CC" w:rsidP="00603885">
            <w:pPr>
              <w:pStyle w:val="TableText"/>
              <w:spacing w:before="50" w:after="50"/>
              <w:rPr>
                <w:b/>
                <w:bCs/>
              </w:rPr>
            </w:pPr>
            <w:r w:rsidRPr="00CC0E62">
              <w:rPr>
                <w:b/>
                <w:bCs/>
              </w:rPr>
              <w:t>90</w:t>
            </w:r>
          </w:p>
        </w:tc>
        <w:tc>
          <w:tcPr>
            <w:tcW w:w="1001" w:type="pct"/>
            <w:shd w:val="clear" w:color="auto" w:fill="auto"/>
            <w:hideMark/>
          </w:tcPr>
          <w:p w14:paraId="686D9FB6" w14:textId="77777777" w:rsidR="008F66CC" w:rsidRDefault="008F66CC" w:rsidP="00603885">
            <w:pPr>
              <w:pStyle w:val="TableText"/>
              <w:spacing w:before="50" w:after="50"/>
            </w:pPr>
            <w:r w:rsidRPr="005100F3">
              <w:t>Capuzzo 1979</w:t>
            </w:r>
          </w:p>
          <w:p w14:paraId="13A297DD" w14:textId="21885524" w:rsidR="008F66CC" w:rsidRPr="005100F3" w:rsidRDefault="008F66CC" w:rsidP="00603885">
            <w:pPr>
              <w:pStyle w:val="TableText"/>
              <w:spacing w:before="50" w:after="50"/>
            </w:pPr>
            <w:r w:rsidRPr="00CC0E62">
              <w:rPr>
                <w:b/>
                <w:bCs/>
              </w:rPr>
              <w:t>Value used in SSD</w:t>
            </w:r>
          </w:p>
        </w:tc>
      </w:tr>
      <w:tr w:rsidR="008F66CC" w:rsidRPr="005100F3" w14:paraId="5EB05954" w14:textId="77777777" w:rsidTr="002B4B5F">
        <w:trPr>
          <w:cantSplit/>
        </w:trPr>
        <w:tc>
          <w:tcPr>
            <w:tcW w:w="474" w:type="pct"/>
            <w:vMerge w:val="restart"/>
            <w:shd w:val="clear" w:color="auto" w:fill="auto"/>
          </w:tcPr>
          <w:p w14:paraId="22D1CBCF" w14:textId="77777777" w:rsidR="008F66CC" w:rsidRPr="005100F3" w:rsidRDefault="008F66CC" w:rsidP="00603885">
            <w:pPr>
              <w:pStyle w:val="TableText"/>
              <w:spacing w:before="50" w:after="50"/>
            </w:pPr>
            <w:r>
              <w:t xml:space="preserve">Crustacean </w:t>
            </w:r>
            <w:r>
              <w:br/>
              <w:t>(amphipod)</w:t>
            </w:r>
          </w:p>
        </w:tc>
        <w:tc>
          <w:tcPr>
            <w:tcW w:w="739" w:type="pct"/>
            <w:shd w:val="clear" w:color="auto" w:fill="auto"/>
          </w:tcPr>
          <w:p w14:paraId="65847859" w14:textId="77777777" w:rsidR="008F66CC" w:rsidRPr="005100F3" w:rsidRDefault="008F66CC" w:rsidP="00603885">
            <w:pPr>
              <w:pStyle w:val="TableText"/>
              <w:spacing w:before="50" w:after="50"/>
            </w:pPr>
            <w:r w:rsidRPr="003D02AA">
              <w:rPr>
                <w:i/>
                <w:iCs/>
              </w:rPr>
              <w:t>Pontogeneia</w:t>
            </w:r>
            <w:r>
              <w:rPr>
                <w:i/>
                <w:iCs/>
              </w:rPr>
              <w:t> </w:t>
            </w:r>
            <w:r w:rsidRPr="005100F3">
              <w:t>sp</w:t>
            </w:r>
            <w:r>
              <w:t>.</w:t>
            </w:r>
          </w:p>
        </w:tc>
        <w:tc>
          <w:tcPr>
            <w:tcW w:w="357" w:type="pct"/>
            <w:shd w:val="clear" w:color="auto" w:fill="auto"/>
          </w:tcPr>
          <w:p w14:paraId="2609D85C" w14:textId="77777777" w:rsidR="008F66CC" w:rsidRPr="005100F3" w:rsidRDefault="008F66CC" w:rsidP="00603885">
            <w:pPr>
              <w:pStyle w:val="TableText"/>
              <w:spacing w:before="50" w:after="50"/>
            </w:pPr>
            <w:r w:rsidRPr="005100F3">
              <w:t>Adult</w:t>
            </w:r>
          </w:p>
        </w:tc>
        <w:tc>
          <w:tcPr>
            <w:tcW w:w="354" w:type="pct"/>
            <w:shd w:val="clear" w:color="auto" w:fill="auto"/>
          </w:tcPr>
          <w:p w14:paraId="62BDF5B8" w14:textId="77777777" w:rsidR="008F66CC" w:rsidRPr="005100F3" w:rsidRDefault="008F66CC" w:rsidP="00603885">
            <w:pPr>
              <w:pStyle w:val="TableText"/>
              <w:spacing w:before="50" w:after="50"/>
            </w:pPr>
            <w:r w:rsidRPr="005100F3">
              <w:t>96</w:t>
            </w:r>
            <w:r>
              <w:t> h</w:t>
            </w:r>
          </w:p>
        </w:tc>
        <w:tc>
          <w:tcPr>
            <w:tcW w:w="455" w:type="pct"/>
            <w:shd w:val="clear" w:color="auto" w:fill="auto"/>
          </w:tcPr>
          <w:p w14:paraId="2C888BCE" w14:textId="77777777" w:rsidR="008F66CC" w:rsidRPr="005100F3" w:rsidRDefault="008F66CC" w:rsidP="00603885">
            <w:pPr>
              <w:pStyle w:val="TableText"/>
              <w:spacing w:before="50" w:after="50"/>
            </w:pPr>
            <w:r w:rsidRPr="005100F3">
              <w:t>Flow</w:t>
            </w:r>
            <w:r>
              <w:t>-</w:t>
            </w:r>
            <w:r w:rsidRPr="005100F3">
              <w:t>through</w:t>
            </w:r>
          </w:p>
        </w:tc>
        <w:tc>
          <w:tcPr>
            <w:tcW w:w="405" w:type="pct"/>
            <w:shd w:val="clear" w:color="auto" w:fill="auto"/>
          </w:tcPr>
          <w:p w14:paraId="0D683043" w14:textId="77777777" w:rsidR="008F66CC" w:rsidRPr="005100F3" w:rsidRDefault="008F66CC" w:rsidP="00603885">
            <w:pPr>
              <w:pStyle w:val="TableText"/>
              <w:spacing w:before="50" w:after="50"/>
            </w:pPr>
            <w:r w:rsidRPr="005100F3">
              <w:t>Mortality (LC50)</w:t>
            </w:r>
          </w:p>
        </w:tc>
        <w:tc>
          <w:tcPr>
            <w:tcW w:w="405" w:type="pct"/>
            <w:shd w:val="clear" w:color="auto" w:fill="auto"/>
          </w:tcPr>
          <w:p w14:paraId="71102652" w14:textId="77777777" w:rsidR="008F66CC" w:rsidRPr="005100F3" w:rsidRDefault="008F66CC" w:rsidP="00603885">
            <w:pPr>
              <w:pStyle w:val="TableText"/>
              <w:spacing w:before="50" w:after="50"/>
            </w:pPr>
            <w:r w:rsidRPr="005100F3">
              <w:t>Seawater (28‰)</w:t>
            </w:r>
          </w:p>
        </w:tc>
        <w:tc>
          <w:tcPr>
            <w:tcW w:w="304" w:type="pct"/>
            <w:shd w:val="clear" w:color="auto" w:fill="auto"/>
            <w:noWrap/>
          </w:tcPr>
          <w:p w14:paraId="139B0989" w14:textId="77777777" w:rsidR="008F66CC" w:rsidRPr="005100F3" w:rsidRDefault="008F66CC" w:rsidP="00603885">
            <w:pPr>
              <w:pStyle w:val="TableText"/>
              <w:spacing w:before="50" w:after="50"/>
            </w:pPr>
            <w:r w:rsidRPr="005100F3">
              <w:t>15</w:t>
            </w:r>
          </w:p>
        </w:tc>
        <w:tc>
          <w:tcPr>
            <w:tcW w:w="506" w:type="pct"/>
            <w:shd w:val="clear" w:color="auto" w:fill="auto"/>
          </w:tcPr>
          <w:p w14:paraId="3DC9760E" w14:textId="77777777" w:rsidR="008F66CC" w:rsidRPr="00CC0E62" w:rsidRDefault="008F66CC" w:rsidP="00603885">
            <w:pPr>
              <w:pStyle w:val="TableText"/>
              <w:spacing w:before="50" w:after="50"/>
              <w:rPr>
                <w:b/>
                <w:bCs/>
              </w:rPr>
            </w:pPr>
            <w:r w:rsidRPr="00CC0E62">
              <w:rPr>
                <w:b/>
                <w:bCs/>
              </w:rPr>
              <w:t>687</w:t>
            </w:r>
          </w:p>
        </w:tc>
        <w:tc>
          <w:tcPr>
            <w:tcW w:w="1001" w:type="pct"/>
            <w:shd w:val="clear" w:color="auto" w:fill="auto"/>
          </w:tcPr>
          <w:p w14:paraId="0995DCEA" w14:textId="77777777" w:rsidR="008F66CC" w:rsidRDefault="008F66CC" w:rsidP="00603885">
            <w:pPr>
              <w:pStyle w:val="TableText"/>
              <w:spacing w:before="50" w:after="50"/>
            </w:pPr>
            <w:r w:rsidRPr="005100F3">
              <w:t>Thatcher 1978</w:t>
            </w:r>
          </w:p>
          <w:p w14:paraId="74C2D425" w14:textId="06371BE0" w:rsidR="008F66CC" w:rsidRPr="005100F3" w:rsidRDefault="008F66CC" w:rsidP="00603885">
            <w:pPr>
              <w:pStyle w:val="TableText"/>
              <w:spacing w:before="50" w:after="50"/>
            </w:pPr>
            <w:r w:rsidRPr="00CC0E62">
              <w:rPr>
                <w:b/>
                <w:bCs/>
              </w:rPr>
              <w:t>Value used in SSD</w:t>
            </w:r>
          </w:p>
        </w:tc>
      </w:tr>
      <w:tr w:rsidR="008F66CC" w:rsidRPr="005100F3" w14:paraId="26469585" w14:textId="77777777" w:rsidTr="002B4B5F">
        <w:trPr>
          <w:cantSplit/>
        </w:trPr>
        <w:tc>
          <w:tcPr>
            <w:tcW w:w="474" w:type="pct"/>
            <w:vMerge/>
            <w:shd w:val="clear" w:color="auto" w:fill="auto"/>
          </w:tcPr>
          <w:p w14:paraId="2E5FD0E5" w14:textId="77777777" w:rsidR="008F66CC" w:rsidRPr="005100F3" w:rsidRDefault="008F66CC" w:rsidP="00603885">
            <w:pPr>
              <w:pStyle w:val="TableText"/>
              <w:spacing w:before="50" w:after="50"/>
            </w:pPr>
          </w:p>
        </w:tc>
        <w:tc>
          <w:tcPr>
            <w:tcW w:w="739" w:type="pct"/>
            <w:shd w:val="clear" w:color="auto" w:fill="auto"/>
          </w:tcPr>
          <w:p w14:paraId="2CDDB1D1" w14:textId="77777777" w:rsidR="008F66CC" w:rsidRPr="005100F3" w:rsidRDefault="008F66CC" w:rsidP="00603885">
            <w:pPr>
              <w:pStyle w:val="TableText"/>
              <w:spacing w:before="50" w:after="50"/>
            </w:pPr>
            <w:r w:rsidRPr="003D02AA">
              <w:rPr>
                <w:i/>
                <w:iCs/>
              </w:rPr>
              <w:t>Anonyx</w:t>
            </w:r>
            <w:r>
              <w:rPr>
                <w:i/>
                <w:iCs/>
              </w:rPr>
              <w:t> </w:t>
            </w:r>
            <w:r w:rsidRPr="005100F3">
              <w:t>sp</w:t>
            </w:r>
            <w:r>
              <w:t>.</w:t>
            </w:r>
          </w:p>
        </w:tc>
        <w:tc>
          <w:tcPr>
            <w:tcW w:w="357" w:type="pct"/>
            <w:shd w:val="clear" w:color="auto" w:fill="auto"/>
          </w:tcPr>
          <w:p w14:paraId="4FFB637C" w14:textId="77777777" w:rsidR="008F66CC" w:rsidRPr="005100F3" w:rsidRDefault="008F66CC" w:rsidP="00603885">
            <w:pPr>
              <w:pStyle w:val="TableText"/>
              <w:spacing w:before="50" w:after="50"/>
            </w:pPr>
            <w:r w:rsidRPr="005100F3">
              <w:t>Adult</w:t>
            </w:r>
          </w:p>
        </w:tc>
        <w:tc>
          <w:tcPr>
            <w:tcW w:w="354" w:type="pct"/>
            <w:shd w:val="clear" w:color="auto" w:fill="auto"/>
          </w:tcPr>
          <w:p w14:paraId="7A246D9A" w14:textId="77777777" w:rsidR="008F66CC" w:rsidRPr="005100F3" w:rsidRDefault="008F66CC" w:rsidP="00603885">
            <w:pPr>
              <w:pStyle w:val="TableText"/>
              <w:spacing w:before="50" w:after="50"/>
            </w:pPr>
            <w:r w:rsidRPr="005100F3">
              <w:t>96</w:t>
            </w:r>
            <w:r>
              <w:t> h</w:t>
            </w:r>
          </w:p>
        </w:tc>
        <w:tc>
          <w:tcPr>
            <w:tcW w:w="455" w:type="pct"/>
            <w:shd w:val="clear" w:color="auto" w:fill="auto"/>
          </w:tcPr>
          <w:p w14:paraId="628D99D0" w14:textId="77777777" w:rsidR="008F66CC" w:rsidRPr="005100F3" w:rsidRDefault="008F66CC" w:rsidP="00603885">
            <w:pPr>
              <w:pStyle w:val="TableText"/>
              <w:spacing w:before="50" w:after="50"/>
            </w:pPr>
            <w:r w:rsidRPr="005100F3">
              <w:t>Flow</w:t>
            </w:r>
            <w:r>
              <w:t>-</w:t>
            </w:r>
            <w:r w:rsidRPr="005100F3">
              <w:t>through</w:t>
            </w:r>
          </w:p>
        </w:tc>
        <w:tc>
          <w:tcPr>
            <w:tcW w:w="405" w:type="pct"/>
            <w:shd w:val="clear" w:color="auto" w:fill="auto"/>
          </w:tcPr>
          <w:p w14:paraId="6D52BDEA" w14:textId="77777777" w:rsidR="008F66CC" w:rsidRPr="005100F3" w:rsidRDefault="008F66CC" w:rsidP="00603885">
            <w:pPr>
              <w:pStyle w:val="TableText"/>
              <w:spacing w:before="50" w:after="50"/>
            </w:pPr>
            <w:r w:rsidRPr="005100F3">
              <w:t>Mortality (LC50)</w:t>
            </w:r>
          </w:p>
        </w:tc>
        <w:tc>
          <w:tcPr>
            <w:tcW w:w="405" w:type="pct"/>
            <w:shd w:val="clear" w:color="auto" w:fill="auto"/>
          </w:tcPr>
          <w:p w14:paraId="1A4CB5CB" w14:textId="77777777" w:rsidR="008F66CC" w:rsidRPr="005100F3" w:rsidRDefault="008F66CC" w:rsidP="00603885">
            <w:pPr>
              <w:pStyle w:val="TableText"/>
              <w:spacing w:before="50" w:after="50"/>
            </w:pPr>
            <w:r w:rsidRPr="005100F3">
              <w:t>Seawater (28‰)</w:t>
            </w:r>
          </w:p>
        </w:tc>
        <w:tc>
          <w:tcPr>
            <w:tcW w:w="304" w:type="pct"/>
            <w:shd w:val="clear" w:color="auto" w:fill="auto"/>
            <w:noWrap/>
          </w:tcPr>
          <w:p w14:paraId="0BE6E2EC" w14:textId="77777777" w:rsidR="008F66CC" w:rsidRPr="005100F3" w:rsidRDefault="008F66CC" w:rsidP="00603885">
            <w:pPr>
              <w:pStyle w:val="TableText"/>
              <w:spacing w:before="50" w:after="50"/>
            </w:pPr>
            <w:r w:rsidRPr="005100F3">
              <w:t>15</w:t>
            </w:r>
          </w:p>
        </w:tc>
        <w:tc>
          <w:tcPr>
            <w:tcW w:w="506" w:type="pct"/>
            <w:shd w:val="clear" w:color="auto" w:fill="auto"/>
          </w:tcPr>
          <w:p w14:paraId="339C37B9" w14:textId="77777777" w:rsidR="008F66CC" w:rsidRPr="00CC0E62" w:rsidRDefault="008F66CC" w:rsidP="00603885">
            <w:pPr>
              <w:pStyle w:val="TableText"/>
              <w:spacing w:before="50" w:after="50"/>
              <w:rPr>
                <w:b/>
                <w:bCs/>
              </w:rPr>
            </w:pPr>
            <w:r w:rsidRPr="00CC0E62">
              <w:rPr>
                <w:b/>
                <w:bCs/>
              </w:rPr>
              <w:t>145</w:t>
            </w:r>
          </w:p>
        </w:tc>
        <w:tc>
          <w:tcPr>
            <w:tcW w:w="1001" w:type="pct"/>
            <w:shd w:val="clear" w:color="auto" w:fill="auto"/>
          </w:tcPr>
          <w:p w14:paraId="5D22DA35" w14:textId="77777777" w:rsidR="008F66CC" w:rsidRDefault="008F66CC" w:rsidP="00603885">
            <w:pPr>
              <w:pStyle w:val="TableText"/>
              <w:spacing w:before="50" w:after="50"/>
            </w:pPr>
            <w:r w:rsidRPr="005100F3">
              <w:t>Thatcher 1978</w:t>
            </w:r>
          </w:p>
          <w:p w14:paraId="0B1292B2" w14:textId="0B351308" w:rsidR="008F66CC" w:rsidRPr="005100F3" w:rsidRDefault="008F66CC" w:rsidP="00603885">
            <w:pPr>
              <w:pStyle w:val="TableText"/>
              <w:spacing w:before="50" w:after="50"/>
            </w:pPr>
            <w:r w:rsidRPr="00CC0E62">
              <w:rPr>
                <w:b/>
                <w:bCs/>
              </w:rPr>
              <w:t>Value used in SSD</w:t>
            </w:r>
          </w:p>
        </w:tc>
      </w:tr>
      <w:tr w:rsidR="008F66CC" w:rsidRPr="005100F3" w14:paraId="60C6E4A5" w14:textId="77777777" w:rsidTr="002B4B5F">
        <w:trPr>
          <w:cantSplit/>
        </w:trPr>
        <w:tc>
          <w:tcPr>
            <w:tcW w:w="474" w:type="pct"/>
            <w:vMerge w:val="restart"/>
            <w:shd w:val="clear" w:color="auto" w:fill="auto"/>
          </w:tcPr>
          <w:p w14:paraId="7CE2CE67" w14:textId="77777777" w:rsidR="008F66CC" w:rsidRPr="005100F3" w:rsidRDefault="008F66CC" w:rsidP="00603885">
            <w:pPr>
              <w:pStyle w:val="TableText"/>
              <w:spacing w:before="50" w:after="50"/>
            </w:pPr>
            <w:r>
              <w:t>Crustacean</w:t>
            </w:r>
            <w:r>
              <w:br/>
              <w:t>(shrimp)</w:t>
            </w:r>
          </w:p>
        </w:tc>
        <w:tc>
          <w:tcPr>
            <w:tcW w:w="739" w:type="pct"/>
            <w:shd w:val="clear" w:color="auto" w:fill="auto"/>
          </w:tcPr>
          <w:p w14:paraId="24154360" w14:textId="77777777" w:rsidR="008F66CC" w:rsidRPr="005100F3" w:rsidDel="000D4D9A" w:rsidRDefault="008F66CC" w:rsidP="00603885">
            <w:pPr>
              <w:pStyle w:val="TableText"/>
              <w:spacing w:before="50" w:after="50"/>
            </w:pPr>
            <w:r w:rsidRPr="003D02AA">
              <w:rPr>
                <w:i/>
                <w:iCs/>
              </w:rPr>
              <w:t>Pandalus danae</w:t>
            </w:r>
          </w:p>
        </w:tc>
        <w:tc>
          <w:tcPr>
            <w:tcW w:w="357" w:type="pct"/>
            <w:shd w:val="clear" w:color="auto" w:fill="auto"/>
          </w:tcPr>
          <w:p w14:paraId="5EC67A63" w14:textId="77777777" w:rsidR="008F66CC" w:rsidRPr="005100F3" w:rsidRDefault="008F66CC" w:rsidP="00603885">
            <w:pPr>
              <w:pStyle w:val="TableText"/>
              <w:spacing w:before="50" w:after="50"/>
            </w:pPr>
            <w:r w:rsidRPr="005100F3">
              <w:t>Juvenile and adult</w:t>
            </w:r>
          </w:p>
        </w:tc>
        <w:tc>
          <w:tcPr>
            <w:tcW w:w="354" w:type="pct"/>
            <w:shd w:val="clear" w:color="auto" w:fill="auto"/>
          </w:tcPr>
          <w:p w14:paraId="7F5210DC" w14:textId="77777777" w:rsidR="008F66CC" w:rsidRPr="005100F3" w:rsidRDefault="008F66CC" w:rsidP="00603885">
            <w:pPr>
              <w:pStyle w:val="TableText"/>
              <w:spacing w:before="50" w:after="50"/>
            </w:pPr>
            <w:r w:rsidRPr="005100F3">
              <w:t>96</w:t>
            </w:r>
            <w:r>
              <w:t> h</w:t>
            </w:r>
          </w:p>
        </w:tc>
        <w:tc>
          <w:tcPr>
            <w:tcW w:w="455" w:type="pct"/>
            <w:shd w:val="clear" w:color="auto" w:fill="auto"/>
          </w:tcPr>
          <w:p w14:paraId="0A5DD384" w14:textId="77777777" w:rsidR="008F66CC" w:rsidRPr="005100F3" w:rsidRDefault="008F66CC" w:rsidP="00603885">
            <w:pPr>
              <w:pStyle w:val="TableText"/>
              <w:spacing w:before="50" w:after="50"/>
            </w:pPr>
            <w:r w:rsidRPr="005100F3">
              <w:t>Flow</w:t>
            </w:r>
            <w:r>
              <w:t>-</w:t>
            </w:r>
            <w:r w:rsidRPr="005100F3">
              <w:t>through</w:t>
            </w:r>
          </w:p>
        </w:tc>
        <w:tc>
          <w:tcPr>
            <w:tcW w:w="405" w:type="pct"/>
            <w:shd w:val="clear" w:color="auto" w:fill="auto"/>
          </w:tcPr>
          <w:p w14:paraId="4C8831B7" w14:textId="77777777" w:rsidR="008F66CC" w:rsidRPr="005100F3" w:rsidRDefault="008F66CC" w:rsidP="00603885">
            <w:pPr>
              <w:pStyle w:val="TableText"/>
              <w:spacing w:before="50" w:after="50"/>
            </w:pPr>
            <w:r w:rsidRPr="005100F3">
              <w:t>Mortality (LC50)</w:t>
            </w:r>
          </w:p>
        </w:tc>
        <w:tc>
          <w:tcPr>
            <w:tcW w:w="405" w:type="pct"/>
            <w:shd w:val="clear" w:color="auto" w:fill="auto"/>
          </w:tcPr>
          <w:p w14:paraId="1FE80D41" w14:textId="77777777" w:rsidR="008F66CC" w:rsidRPr="005100F3" w:rsidRDefault="008F66CC" w:rsidP="00603885">
            <w:pPr>
              <w:pStyle w:val="TableText"/>
              <w:spacing w:before="50" w:after="50"/>
            </w:pPr>
            <w:r w:rsidRPr="005100F3">
              <w:t>Seawater (28‰)</w:t>
            </w:r>
          </w:p>
        </w:tc>
        <w:tc>
          <w:tcPr>
            <w:tcW w:w="304" w:type="pct"/>
            <w:shd w:val="clear" w:color="auto" w:fill="auto"/>
            <w:noWrap/>
          </w:tcPr>
          <w:p w14:paraId="24512CF0" w14:textId="77777777" w:rsidR="008F66CC" w:rsidRPr="005100F3" w:rsidRDefault="008F66CC" w:rsidP="00603885">
            <w:pPr>
              <w:pStyle w:val="TableText"/>
              <w:spacing w:before="50" w:after="50"/>
            </w:pPr>
            <w:r w:rsidRPr="005100F3">
              <w:t>15</w:t>
            </w:r>
          </w:p>
        </w:tc>
        <w:tc>
          <w:tcPr>
            <w:tcW w:w="506" w:type="pct"/>
            <w:shd w:val="clear" w:color="auto" w:fill="auto"/>
          </w:tcPr>
          <w:p w14:paraId="5935C11D" w14:textId="77777777" w:rsidR="008F66CC" w:rsidRPr="00CC0E62" w:rsidRDefault="008F66CC" w:rsidP="00603885">
            <w:pPr>
              <w:pStyle w:val="TableText"/>
              <w:spacing w:before="50" w:after="50"/>
              <w:rPr>
                <w:b/>
                <w:bCs/>
              </w:rPr>
            </w:pPr>
            <w:r w:rsidRPr="00CC0E62">
              <w:rPr>
                <w:b/>
                <w:bCs/>
              </w:rPr>
              <w:t>178</w:t>
            </w:r>
          </w:p>
        </w:tc>
        <w:tc>
          <w:tcPr>
            <w:tcW w:w="1001" w:type="pct"/>
            <w:shd w:val="clear" w:color="auto" w:fill="auto"/>
          </w:tcPr>
          <w:p w14:paraId="0B6AF83C" w14:textId="77777777" w:rsidR="008F66CC" w:rsidRDefault="008F66CC" w:rsidP="00603885">
            <w:pPr>
              <w:pStyle w:val="TableText"/>
              <w:spacing w:before="50" w:after="50"/>
            </w:pPr>
            <w:r w:rsidRPr="005100F3">
              <w:t>Gibson et al. 1975</w:t>
            </w:r>
            <w:r>
              <w:t>;</w:t>
            </w:r>
            <w:r w:rsidRPr="005100F3">
              <w:t xml:space="preserve"> Thatcher 1978</w:t>
            </w:r>
          </w:p>
          <w:p w14:paraId="7E3E4BC6" w14:textId="0E27C54B" w:rsidR="008F66CC" w:rsidRPr="005100F3" w:rsidRDefault="008F66CC" w:rsidP="00603885">
            <w:pPr>
              <w:pStyle w:val="TableText"/>
              <w:spacing w:before="50" w:after="50"/>
            </w:pPr>
            <w:r w:rsidRPr="00CC0E62">
              <w:rPr>
                <w:b/>
                <w:bCs/>
              </w:rPr>
              <w:t>Value used in SSD</w:t>
            </w:r>
          </w:p>
        </w:tc>
      </w:tr>
      <w:tr w:rsidR="008F66CC" w:rsidRPr="005100F3" w14:paraId="543CEBBF" w14:textId="77777777" w:rsidTr="002B4B5F">
        <w:trPr>
          <w:cantSplit/>
        </w:trPr>
        <w:tc>
          <w:tcPr>
            <w:tcW w:w="474" w:type="pct"/>
            <w:vMerge/>
            <w:shd w:val="clear" w:color="auto" w:fill="auto"/>
          </w:tcPr>
          <w:p w14:paraId="493E7E7C" w14:textId="77777777" w:rsidR="008F66CC" w:rsidRPr="005100F3" w:rsidRDefault="008F66CC" w:rsidP="00603885">
            <w:pPr>
              <w:pStyle w:val="TableText"/>
              <w:spacing w:before="50" w:after="50"/>
            </w:pPr>
          </w:p>
        </w:tc>
        <w:tc>
          <w:tcPr>
            <w:tcW w:w="739" w:type="pct"/>
            <w:shd w:val="clear" w:color="auto" w:fill="auto"/>
          </w:tcPr>
          <w:p w14:paraId="7D872E24" w14:textId="77777777" w:rsidR="008F66CC" w:rsidRPr="007B47C9" w:rsidDel="000D4D9A" w:rsidRDefault="008F66CC" w:rsidP="00603885">
            <w:pPr>
              <w:pStyle w:val="TableText"/>
              <w:spacing w:before="50" w:after="50"/>
            </w:pPr>
            <w:r w:rsidRPr="003D02AA">
              <w:rPr>
                <w:i/>
                <w:iCs/>
              </w:rPr>
              <w:t>Pandalus goniurus</w:t>
            </w:r>
          </w:p>
        </w:tc>
        <w:tc>
          <w:tcPr>
            <w:tcW w:w="357" w:type="pct"/>
            <w:shd w:val="clear" w:color="auto" w:fill="auto"/>
          </w:tcPr>
          <w:p w14:paraId="460205C7" w14:textId="77777777" w:rsidR="008F66CC" w:rsidRPr="005100F3" w:rsidRDefault="008F66CC" w:rsidP="00603885">
            <w:pPr>
              <w:pStyle w:val="TableText"/>
              <w:spacing w:before="50" w:after="50"/>
            </w:pPr>
            <w:r w:rsidRPr="003D02AA">
              <w:t>Adult</w:t>
            </w:r>
          </w:p>
        </w:tc>
        <w:tc>
          <w:tcPr>
            <w:tcW w:w="354" w:type="pct"/>
            <w:shd w:val="clear" w:color="auto" w:fill="auto"/>
          </w:tcPr>
          <w:p w14:paraId="56A46FF2" w14:textId="5AE493CB" w:rsidR="008F66CC" w:rsidRPr="005100F3" w:rsidRDefault="008F66CC" w:rsidP="00603885">
            <w:pPr>
              <w:pStyle w:val="TableText"/>
              <w:spacing w:before="50" w:after="50"/>
            </w:pPr>
            <w:r w:rsidRPr="003D02AA">
              <w:t>96</w:t>
            </w:r>
            <w:r w:rsidR="00D5138A">
              <w:t> </w:t>
            </w:r>
            <w:r>
              <w:rPr>
                <w:vanish/>
              </w:rPr>
              <w:t>h</w:t>
            </w:r>
          </w:p>
        </w:tc>
        <w:tc>
          <w:tcPr>
            <w:tcW w:w="455" w:type="pct"/>
            <w:shd w:val="clear" w:color="auto" w:fill="auto"/>
          </w:tcPr>
          <w:p w14:paraId="7D6769C8" w14:textId="77777777" w:rsidR="008F66CC" w:rsidRPr="005100F3" w:rsidRDefault="008F66CC" w:rsidP="00603885">
            <w:pPr>
              <w:pStyle w:val="TableText"/>
              <w:spacing w:before="50" w:after="50"/>
            </w:pPr>
            <w:r w:rsidRPr="005100F3">
              <w:t>Flow</w:t>
            </w:r>
            <w:r>
              <w:t>-</w:t>
            </w:r>
            <w:r w:rsidRPr="005100F3">
              <w:t>through</w:t>
            </w:r>
          </w:p>
        </w:tc>
        <w:tc>
          <w:tcPr>
            <w:tcW w:w="405" w:type="pct"/>
            <w:shd w:val="clear" w:color="auto" w:fill="auto"/>
          </w:tcPr>
          <w:p w14:paraId="035219D1" w14:textId="77777777" w:rsidR="008F66CC" w:rsidRPr="005100F3" w:rsidRDefault="008F66CC" w:rsidP="00603885">
            <w:pPr>
              <w:pStyle w:val="TableText"/>
              <w:spacing w:before="50" w:after="50"/>
            </w:pPr>
            <w:r w:rsidRPr="003D02AA">
              <w:t>Mortality (LC50)</w:t>
            </w:r>
          </w:p>
        </w:tc>
        <w:tc>
          <w:tcPr>
            <w:tcW w:w="405" w:type="pct"/>
            <w:shd w:val="clear" w:color="auto" w:fill="auto"/>
          </w:tcPr>
          <w:p w14:paraId="7FB519A6" w14:textId="77777777" w:rsidR="008F66CC" w:rsidRPr="005100F3" w:rsidRDefault="008F66CC" w:rsidP="00603885">
            <w:pPr>
              <w:pStyle w:val="TableText"/>
              <w:spacing w:before="50" w:after="50"/>
            </w:pPr>
            <w:r w:rsidRPr="003D02AA">
              <w:t>Seawater (28‰)</w:t>
            </w:r>
          </w:p>
        </w:tc>
        <w:tc>
          <w:tcPr>
            <w:tcW w:w="304" w:type="pct"/>
            <w:shd w:val="clear" w:color="auto" w:fill="auto"/>
            <w:noWrap/>
          </w:tcPr>
          <w:p w14:paraId="61A5F462" w14:textId="77777777" w:rsidR="008F66CC" w:rsidRPr="005100F3" w:rsidRDefault="008F66CC" w:rsidP="00603885">
            <w:pPr>
              <w:pStyle w:val="TableText"/>
              <w:spacing w:before="50" w:after="50"/>
            </w:pPr>
            <w:r w:rsidRPr="003D02AA">
              <w:t>15</w:t>
            </w:r>
          </w:p>
        </w:tc>
        <w:tc>
          <w:tcPr>
            <w:tcW w:w="506" w:type="pct"/>
            <w:shd w:val="clear" w:color="auto" w:fill="auto"/>
          </w:tcPr>
          <w:p w14:paraId="369D46EB" w14:textId="77777777" w:rsidR="008F66CC" w:rsidRPr="00CC0E62" w:rsidRDefault="008F66CC" w:rsidP="00603885">
            <w:pPr>
              <w:pStyle w:val="TableText"/>
              <w:spacing w:before="50" w:after="50"/>
              <w:rPr>
                <w:b/>
                <w:bCs/>
              </w:rPr>
            </w:pPr>
            <w:r w:rsidRPr="009D4C70">
              <w:rPr>
                <w:b/>
                <w:bCs/>
              </w:rPr>
              <w:t>90</w:t>
            </w:r>
          </w:p>
        </w:tc>
        <w:tc>
          <w:tcPr>
            <w:tcW w:w="1001" w:type="pct"/>
            <w:shd w:val="clear" w:color="auto" w:fill="auto"/>
          </w:tcPr>
          <w:p w14:paraId="24CBB7A7" w14:textId="77777777" w:rsidR="008F66CC" w:rsidRDefault="008F66CC" w:rsidP="00603885">
            <w:pPr>
              <w:pStyle w:val="TableText"/>
              <w:spacing w:before="50" w:after="50"/>
            </w:pPr>
            <w:r w:rsidRPr="003D02AA">
              <w:t>Thatcher 1978</w:t>
            </w:r>
          </w:p>
          <w:p w14:paraId="4AB66DC0" w14:textId="26C8883E" w:rsidR="008F66CC" w:rsidRPr="005100F3" w:rsidRDefault="008F66CC" w:rsidP="00603885">
            <w:pPr>
              <w:pStyle w:val="TableText"/>
              <w:spacing w:before="50" w:after="50"/>
            </w:pPr>
            <w:r w:rsidRPr="00CC0E62">
              <w:rPr>
                <w:b/>
                <w:bCs/>
              </w:rPr>
              <w:t>Value used in SSD</w:t>
            </w:r>
          </w:p>
        </w:tc>
      </w:tr>
      <w:tr w:rsidR="008F66CC" w:rsidRPr="005100F3" w14:paraId="226635A2" w14:textId="77777777" w:rsidTr="002B4B5F">
        <w:trPr>
          <w:cantSplit/>
        </w:trPr>
        <w:tc>
          <w:tcPr>
            <w:tcW w:w="474" w:type="pct"/>
            <w:vMerge/>
            <w:shd w:val="clear" w:color="auto" w:fill="auto"/>
          </w:tcPr>
          <w:p w14:paraId="402CE869" w14:textId="77777777" w:rsidR="008F66CC" w:rsidRPr="005100F3" w:rsidRDefault="008F66CC" w:rsidP="00603885">
            <w:pPr>
              <w:pStyle w:val="TableText"/>
              <w:spacing w:before="50" w:after="50"/>
            </w:pPr>
          </w:p>
        </w:tc>
        <w:tc>
          <w:tcPr>
            <w:tcW w:w="739" w:type="pct"/>
            <w:shd w:val="clear" w:color="auto" w:fill="auto"/>
          </w:tcPr>
          <w:p w14:paraId="15DCDED0" w14:textId="77777777" w:rsidR="008F66CC" w:rsidRPr="007B47C9" w:rsidDel="000D4D9A" w:rsidRDefault="008F66CC" w:rsidP="00603885">
            <w:pPr>
              <w:pStyle w:val="TableText"/>
              <w:spacing w:before="50" w:after="50"/>
            </w:pPr>
            <w:r w:rsidRPr="003D02AA">
              <w:rPr>
                <w:i/>
                <w:iCs/>
              </w:rPr>
              <w:t>Crangon nigricauda</w:t>
            </w:r>
          </w:p>
        </w:tc>
        <w:tc>
          <w:tcPr>
            <w:tcW w:w="357" w:type="pct"/>
            <w:shd w:val="clear" w:color="auto" w:fill="auto"/>
          </w:tcPr>
          <w:p w14:paraId="555C7CCC" w14:textId="77777777" w:rsidR="008F66CC" w:rsidRPr="005100F3" w:rsidRDefault="008F66CC" w:rsidP="00603885">
            <w:pPr>
              <w:pStyle w:val="TableText"/>
              <w:spacing w:before="50" w:after="50"/>
            </w:pPr>
            <w:r w:rsidRPr="003D02AA">
              <w:t>Adult</w:t>
            </w:r>
          </w:p>
        </w:tc>
        <w:tc>
          <w:tcPr>
            <w:tcW w:w="354" w:type="pct"/>
            <w:shd w:val="clear" w:color="auto" w:fill="auto"/>
          </w:tcPr>
          <w:p w14:paraId="582C7088" w14:textId="77777777" w:rsidR="008F66CC" w:rsidRPr="005100F3" w:rsidRDefault="008F66CC" w:rsidP="00603885">
            <w:pPr>
              <w:pStyle w:val="TableText"/>
              <w:spacing w:before="50" w:after="50"/>
            </w:pPr>
            <w:r w:rsidRPr="003D02AA">
              <w:t>96</w:t>
            </w:r>
            <w:r>
              <w:t> h</w:t>
            </w:r>
          </w:p>
        </w:tc>
        <w:tc>
          <w:tcPr>
            <w:tcW w:w="455" w:type="pct"/>
            <w:shd w:val="clear" w:color="auto" w:fill="auto"/>
          </w:tcPr>
          <w:p w14:paraId="3BE5E3C1" w14:textId="77777777" w:rsidR="008F66CC" w:rsidRPr="005100F3" w:rsidRDefault="008F66CC" w:rsidP="00603885">
            <w:pPr>
              <w:pStyle w:val="TableText"/>
              <w:spacing w:before="50" w:after="50"/>
            </w:pPr>
            <w:r w:rsidRPr="005100F3">
              <w:t>Flow</w:t>
            </w:r>
            <w:r>
              <w:t>-</w:t>
            </w:r>
            <w:r w:rsidRPr="005100F3">
              <w:t>through</w:t>
            </w:r>
          </w:p>
        </w:tc>
        <w:tc>
          <w:tcPr>
            <w:tcW w:w="405" w:type="pct"/>
            <w:shd w:val="clear" w:color="auto" w:fill="auto"/>
          </w:tcPr>
          <w:p w14:paraId="7D5F2E7D" w14:textId="77777777" w:rsidR="008F66CC" w:rsidRPr="005100F3" w:rsidRDefault="008F66CC" w:rsidP="00603885">
            <w:pPr>
              <w:pStyle w:val="TableText"/>
              <w:spacing w:before="50" w:after="50"/>
            </w:pPr>
            <w:r w:rsidRPr="003D02AA">
              <w:t>Mortality (LC50)</w:t>
            </w:r>
          </w:p>
        </w:tc>
        <w:tc>
          <w:tcPr>
            <w:tcW w:w="405" w:type="pct"/>
            <w:shd w:val="clear" w:color="auto" w:fill="auto"/>
          </w:tcPr>
          <w:p w14:paraId="47876746" w14:textId="77777777" w:rsidR="008F66CC" w:rsidRPr="005100F3" w:rsidRDefault="008F66CC" w:rsidP="00603885">
            <w:pPr>
              <w:pStyle w:val="TableText"/>
              <w:spacing w:before="50" w:after="50"/>
            </w:pPr>
            <w:r w:rsidRPr="003D02AA">
              <w:t>Seawater (28‰)</w:t>
            </w:r>
          </w:p>
        </w:tc>
        <w:tc>
          <w:tcPr>
            <w:tcW w:w="304" w:type="pct"/>
            <w:shd w:val="clear" w:color="auto" w:fill="auto"/>
            <w:noWrap/>
          </w:tcPr>
          <w:p w14:paraId="3091B7A1" w14:textId="77777777" w:rsidR="008F66CC" w:rsidRPr="005100F3" w:rsidRDefault="008F66CC" w:rsidP="00603885">
            <w:pPr>
              <w:pStyle w:val="TableText"/>
              <w:spacing w:before="50" w:after="50"/>
            </w:pPr>
            <w:r w:rsidRPr="003D02AA">
              <w:t>15</w:t>
            </w:r>
          </w:p>
        </w:tc>
        <w:tc>
          <w:tcPr>
            <w:tcW w:w="506" w:type="pct"/>
            <w:shd w:val="clear" w:color="auto" w:fill="auto"/>
          </w:tcPr>
          <w:p w14:paraId="613E751A" w14:textId="77777777" w:rsidR="008F66CC" w:rsidRPr="00CC0E62" w:rsidRDefault="008F66CC" w:rsidP="00603885">
            <w:pPr>
              <w:pStyle w:val="TableText"/>
              <w:spacing w:before="50" w:after="50"/>
              <w:rPr>
                <w:b/>
                <w:bCs/>
              </w:rPr>
            </w:pPr>
            <w:r w:rsidRPr="009D4C70">
              <w:rPr>
                <w:b/>
                <w:bCs/>
              </w:rPr>
              <w:t>134</w:t>
            </w:r>
          </w:p>
        </w:tc>
        <w:tc>
          <w:tcPr>
            <w:tcW w:w="1001" w:type="pct"/>
            <w:shd w:val="clear" w:color="auto" w:fill="auto"/>
          </w:tcPr>
          <w:p w14:paraId="667BC693" w14:textId="77777777" w:rsidR="008F66CC" w:rsidRDefault="008F66CC" w:rsidP="00603885">
            <w:pPr>
              <w:pStyle w:val="TableText"/>
              <w:spacing w:before="50" w:after="50"/>
            </w:pPr>
            <w:r w:rsidRPr="003D02AA">
              <w:t>Thatcher 1978</w:t>
            </w:r>
          </w:p>
          <w:p w14:paraId="341F4994" w14:textId="761F7CA0" w:rsidR="008F66CC" w:rsidRPr="005100F3" w:rsidRDefault="008F66CC" w:rsidP="00603885">
            <w:pPr>
              <w:pStyle w:val="TableText"/>
              <w:spacing w:before="50" w:after="50"/>
            </w:pPr>
            <w:r w:rsidRPr="00CC0E62">
              <w:rPr>
                <w:b/>
                <w:bCs/>
              </w:rPr>
              <w:t>Value used in SSD</w:t>
            </w:r>
          </w:p>
        </w:tc>
      </w:tr>
      <w:tr w:rsidR="008F66CC" w:rsidRPr="005100F3" w14:paraId="76073CE4" w14:textId="77777777" w:rsidTr="002B4B5F">
        <w:trPr>
          <w:cantSplit/>
        </w:trPr>
        <w:tc>
          <w:tcPr>
            <w:tcW w:w="474" w:type="pct"/>
            <w:shd w:val="clear" w:color="auto" w:fill="auto"/>
          </w:tcPr>
          <w:p w14:paraId="46245E2B" w14:textId="77777777" w:rsidR="008F66CC" w:rsidRPr="005100F3" w:rsidRDefault="008F66CC" w:rsidP="00603885">
            <w:pPr>
              <w:pStyle w:val="TableText"/>
              <w:spacing w:before="50" w:after="50"/>
            </w:pPr>
            <w:r>
              <w:t>Crustacean</w:t>
            </w:r>
            <w:r>
              <w:br/>
              <w:t>(lobster)</w:t>
            </w:r>
          </w:p>
        </w:tc>
        <w:tc>
          <w:tcPr>
            <w:tcW w:w="739" w:type="pct"/>
            <w:shd w:val="clear" w:color="auto" w:fill="auto"/>
          </w:tcPr>
          <w:p w14:paraId="7C3D7B0C" w14:textId="77777777" w:rsidR="008F66CC" w:rsidRPr="007B47C9" w:rsidDel="000D4D9A" w:rsidRDefault="008F66CC" w:rsidP="00603885">
            <w:pPr>
              <w:pStyle w:val="TableText"/>
              <w:spacing w:before="50" w:after="50"/>
            </w:pPr>
            <w:r w:rsidRPr="003D02AA">
              <w:rPr>
                <w:i/>
                <w:iCs/>
              </w:rPr>
              <w:t>Homarus americanus</w:t>
            </w:r>
          </w:p>
        </w:tc>
        <w:tc>
          <w:tcPr>
            <w:tcW w:w="357" w:type="pct"/>
            <w:shd w:val="clear" w:color="auto" w:fill="auto"/>
          </w:tcPr>
          <w:p w14:paraId="5DA67CFC" w14:textId="77777777" w:rsidR="008F66CC" w:rsidRPr="005100F3" w:rsidRDefault="008F66CC" w:rsidP="00603885">
            <w:pPr>
              <w:pStyle w:val="TableText"/>
              <w:spacing w:before="50" w:after="50"/>
            </w:pPr>
            <w:r w:rsidRPr="003D02AA">
              <w:t>Larva</w:t>
            </w:r>
          </w:p>
        </w:tc>
        <w:tc>
          <w:tcPr>
            <w:tcW w:w="354" w:type="pct"/>
            <w:shd w:val="clear" w:color="auto" w:fill="auto"/>
          </w:tcPr>
          <w:p w14:paraId="5715B2AD" w14:textId="77777777" w:rsidR="008F66CC" w:rsidRPr="005100F3" w:rsidRDefault="008F66CC" w:rsidP="00603885">
            <w:pPr>
              <w:pStyle w:val="TableText"/>
              <w:spacing w:before="50" w:after="50"/>
            </w:pPr>
            <w:r w:rsidRPr="003D02AA">
              <w:t>1</w:t>
            </w:r>
            <w:r>
              <w:t> h</w:t>
            </w:r>
          </w:p>
        </w:tc>
        <w:tc>
          <w:tcPr>
            <w:tcW w:w="455" w:type="pct"/>
            <w:shd w:val="clear" w:color="auto" w:fill="auto"/>
          </w:tcPr>
          <w:p w14:paraId="76747C99" w14:textId="77777777" w:rsidR="008F66CC" w:rsidRPr="005100F3" w:rsidRDefault="008F66CC" w:rsidP="00603885">
            <w:pPr>
              <w:pStyle w:val="TableText"/>
              <w:spacing w:before="50" w:after="50"/>
            </w:pPr>
            <w:r w:rsidRPr="005100F3">
              <w:t>Flow</w:t>
            </w:r>
            <w:r>
              <w:t>-</w:t>
            </w:r>
            <w:r w:rsidRPr="005100F3">
              <w:t>through</w:t>
            </w:r>
          </w:p>
        </w:tc>
        <w:tc>
          <w:tcPr>
            <w:tcW w:w="405" w:type="pct"/>
            <w:shd w:val="clear" w:color="auto" w:fill="auto"/>
          </w:tcPr>
          <w:p w14:paraId="6DDCED0B" w14:textId="77777777" w:rsidR="008F66CC" w:rsidRPr="005100F3" w:rsidRDefault="008F66CC" w:rsidP="00603885">
            <w:pPr>
              <w:pStyle w:val="TableText"/>
              <w:spacing w:before="50" w:after="50"/>
            </w:pPr>
            <w:r w:rsidRPr="003D02AA">
              <w:t>Mortality (LC50)</w:t>
            </w:r>
          </w:p>
        </w:tc>
        <w:tc>
          <w:tcPr>
            <w:tcW w:w="405" w:type="pct"/>
            <w:shd w:val="clear" w:color="auto" w:fill="auto"/>
          </w:tcPr>
          <w:p w14:paraId="4F7EBBC0" w14:textId="77777777" w:rsidR="008F66CC" w:rsidRPr="005100F3" w:rsidRDefault="008F66CC" w:rsidP="00603885">
            <w:pPr>
              <w:pStyle w:val="TableText"/>
              <w:spacing w:before="50" w:after="50"/>
            </w:pPr>
            <w:r w:rsidRPr="003D02AA">
              <w:t>Seawater</w:t>
            </w:r>
            <w:r>
              <w:t xml:space="preserve"> </w:t>
            </w:r>
            <w:r w:rsidRPr="003D02AA">
              <w:t>(28‰)</w:t>
            </w:r>
          </w:p>
        </w:tc>
        <w:tc>
          <w:tcPr>
            <w:tcW w:w="304" w:type="pct"/>
            <w:shd w:val="clear" w:color="auto" w:fill="auto"/>
            <w:noWrap/>
          </w:tcPr>
          <w:p w14:paraId="4BF59F39" w14:textId="77777777" w:rsidR="008F66CC" w:rsidRPr="005100F3" w:rsidRDefault="008F66CC" w:rsidP="00603885">
            <w:pPr>
              <w:pStyle w:val="TableText"/>
              <w:spacing w:before="50" w:after="50"/>
            </w:pPr>
            <w:r w:rsidRPr="003D02AA">
              <w:t>20</w:t>
            </w:r>
            <w:r>
              <w:t>–</w:t>
            </w:r>
            <w:r w:rsidRPr="003D02AA">
              <w:t>22</w:t>
            </w:r>
          </w:p>
        </w:tc>
        <w:tc>
          <w:tcPr>
            <w:tcW w:w="506" w:type="pct"/>
            <w:shd w:val="clear" w:color="auto" w:fill="auto"/>
          </w:tcPr>
          <w:p w14:paraId="28EA2BD2" w14:textId="77777777" w:rsidR="008F66CC" w:rsidRPr="00CC0E62" w:rsidRDefault="008F66CC" w:rsidP="00603885">
            <w:pPr>
              <w:pStyle w:val="TableText"/>
              <w:spacing w:before="50" w:after="50"/>
              <w:rPr>
                <w:b/>
                <w:bCs/>
              </w:rPr>
            </w:pPr>
            <w:r w:rsidRPr="0076394B">
              <w:rPr>
                <w:b/>
                <w:bCs/>
              </w:rPr>
              <w:t>2</w:t>
            </w:r>
            <w:r>
              <w:rPr>
                <w:b/>
                <w:bCs/>
              </w:rPr>
              <w:t> </w:t>
            </w:r>
            <w:r w:rsidRPr="0076394B">
              <w:rPr>
                <w:b/>
                <w:bCs/>
              </w:rPr>
              <w:t>890</w:t>
            </w:r>
          </w:p>
        </w:tc>
        <w:tc>
          <w:tcPr>
            <w:tcW w:w="1001" w:type="pct"/>
            <w:shd w:val="clear" w:color="auto" w:fill="auto"/>
          </w:tcPr>
          <w:p w14:paraId="3908323A" w14:textId="77777777" w:rsidR="008F66CC" w:rsidRDefault="008F66CC" w:rsidP="00603885">
            <w:pPr>
              <w:pStyle w:val="TableText"/>
              <w:spacing w:before="50" w:after="50"/>
            </w:pPr>
            <w:r w:rsidRPr="003D02AA">
              <w:t>Capuzzo et al. 1976</w:t>
            </w:r>
          </w:p>
          <w:p w14:paraId="3A9FD029" w14:textId="30FCF89E" w:rsidR="008F66CC" w:rsidRPr="005100F3" w:rsidRDefault="008F66CC" w:rsidP="00603885">
            <w:pPr>
              <w:pStyle w:val="TableText"/>
              <w:spacing w:before="50" w:after="50"/>
            </w:pPr>
            <w:r w:rsidRPr="00CC0E62">
              <w:rPr>
                <w:b/>
                <w:bCs/>
              </w:rPr>
              <w:t>Value used in SSD</w:t>
            </w:r>
          </w:p>
        </w:tc>
      </w:tr>
      <w:tr w:rsidR="008F66CC" w:rsidRPr="005100F3" w14:paraId="28E10808" w14:textId="77777777" w:rsidTr="002B4B5F">
        <w:trPr>
          <w:cantSplit/>
        </w:trPr>
        <w:tc>
          <w:tcPr>
            <w:tcW w:w="474" w:type="pct"/>
            <w:shd w:val="clear" w:color="auto" w:fill="auto"/>
          </w:tcPr>
          <w:p w14:paraId="0EB7E008" w14:textId="77777777" w:rsidR="008F66CC" w:rsidRPr="005100F3" w:rsidRDefault="008F66CC" w:rsidP="00603885">
            <w:pPr>
              <w:pStyle w:val="TableText"/>
              <w:spacing w:before="50" w:after="50"/>
            </w:pPr>
            <w:r>
              <w:lastRenderedPageBreak/>
              <w:t>Crustacean</w:t>
            </w:r>
            <w:r>
              <w:br/>
              <w:t>(mysid)</w:t>
            </w:r>
          </w:p>
        </w:tc>
        <w:tc>
          <w:tcPr>
            <w:tcW w:w="739" w:type="pct"/>
            <w:shd w:val="clear" w:color="auto" w:fill="auto"/>
          </w:tcPr>
          <w:p w14:paraId="3F1A4748" w14:textId="77777777" w:rsidR="008F66CC" w:rsidRPr="003D02AA" w:rsidDel="00182B50" w:rsidRDefault="008F66CC" w:rsidP="00603885">
            <w:pPr>
              <w:pStyle w:val="TableText"/>
              <w:spacing w:before="50" w:after="50"/>
            </w:pPr>
            <w:r w:rsidRPr="003D02AA">
              <w:rPr>
                <w:i/>
                <w:iCs/>
              </w:rPr>
              <w:t>Neomysis</w:t>
            </w:r>
            <w:r>
              <w:rPr>
                <w:i/>
                <w:iCs/>
              </w:rPr>
              <w:t> </w:t>
            </w:r>
            <w:r w:rsidRPr="003D02AA">
              <w:t>sp.</w:t>
            </w:r>
          </w:p>
        </w:tc>
        <w:tc>
          <w:tcPr>
            <w:tcW w:w="357" w:type="pct"/>
            <w:shd w:val="clear" w:color="auto" w:fill="auto"/>
          </w:tcPr>
          <w:p w14:paraId="6E2D6DB8" w14:textId="77777777" w:rsidR="008F66CC" w:rsidRPr="003D02AA" w:rsidRDefault="008F66CC" w:rsidP="00603885">
            <w:pPr>
              <w:pStyle w:val="TableText"/>
              <w:spacing w:before="50" w:after="50"/>
            </w:pPr>
            <w:r w:rsidRPr="003D02AA">
              <w:t>Adult</w:t>
            </w:r>
          </w:p>
        </w:tc>
        <w:tc>
          <w:tcPr>
            <w:tcW w:w="354" w:type="pct"/>
            <w:shd w:val="clear" w:color="auto" w:fill="auto"/>
          </w:tcPr>
          <w:p w14:paraId="5FD72081" w14:textId="77777777" w:rsidR="008F66CC" w:rsidRPr="003D02AA" w:rsidRDefault="008F66CC" w:rsidP="00603885">
            <w:pPr>
              <w:pStyle w:val="TableText"/>
              <w:spacing w:before="50" w:after="50"/>
            </w:pPr>
            <w:r w:rsidRPr="003D02AA">
              <w:t>96</w:t>
            </w:r>
            <w:r>
              <w:t> h</w:t>
            </w:r>
          </w:p>
        </w:tc>
        <w:tc>
          <w:tcPr>
            <w:tcW w:w="455" w:type="pct"/>
            <w:shd w:val="clear" w:color="auto" w:fill="auto"/>
          </w:tcPr>
          <w:p w14:paraId="5B06EE05" w14:textId="77777777" w:rsidR="008F66CC" w:rsidRPr="005100F3" w:rsidRDefault="008F66CC" w:rsidP="00603885">
            <w:pPr>
              <w:pStyle w:val="TableText"/>
              <w:spacing w:before="50" w:after="50"/>
            </w:pPr>
            <w:r w:rsidRPr="005100F3">
              <w:t>Flow</w:t>
            </w:r>
            <w:r>
              <w:t>-</w:t>
            </w:r>
            <w:r w:rsidRPr="005100F3">
              <w:t>through</w:t>
            </w:r>
          </w:p>
        </w:tc>
        <w:tc>
          <w:tcPr>
            <w:tcW w:w="405" w:type="pct"/>
            <w:shd w:val="clear" w:color="auto" w:fill="auto"/>
          </w:tcPr>
          <w:p w14:paraId="33E62B01" w14:textId="77777777" w:rsidR="008F66CC" w:rsidRPr="003D02AA" w:rsidRDefault="008F66CC" w:rsidP="00603885">
            <w:pPr>
              <w:pStyle w:val="TableText"/>
              <w:spacing w:before="50" w:after="50"/>
            </w:pPr>
            <w:r w:rsidRPr="003D02AA">
              <w:t>Mortality (LC50)</w:t>
            </w:r>
          </w:p>
        </w:tc>
        <w:tc>
          <w:tcPr>
            <w:tcW w:w="405" w:type="pct"/>
            <w:shd w:val="clear" w:color="auto" w:fill="auto"/>
          </w:tcPr>
          <w:p w14:paraId="200CA280" w14:textId="77777777" w:rsidR="008F66CC" w:rsidRPr="003D02AA" w:rsidRDefault="008F66CC" w:rsidP="00603885">
            <w:pPr>
              <w:pStyle w:val="TableText"/>
              <w:spacing w:before="50" w:after="50"/>
            </w:pPr>
            <w:r w:rsidRPr="003D02AA">
              <w:t>Seawater (28‰)</w:t>
            </w:r>
          </w:p>
        </w:tc>
        <w:tc>
          <w:tcPr>
            <w:tcW w:w="304" w:type="pct"/>
            <w:shd w:val="clear" w:color="auto" w:fill="auto"/>
            <w:noWrap/>
          </w:tcPr>
          <w:p w14:paraId="1FC2D9E0" w14:textId="77777777" w:rsidR="008F66CC" w:rsidRPr="003D02AA" w:rsidRDefault="008F66CC" w:rsidP="00603885">
            <w:pPr>
              <w:pStyle w:val="TableText"/>
              <w:spacing w:before="50" w:after="50"/>
            </w:pPr>
            <w:r w:rsidRPr="003D02AA">
              <w:t>15</w:t>
            </w:r>
          </w:p>
        </w:tc>
        <w:tc>
          <w:tcPr>
            <w:tcW w:w="506" w:type="pct"/>
            <w:shd w:val="clear" w:color="auto" w:fill="auto"/>
          </w:tcPr>
          <w:p w14:paraId="112D23E5" w14:textId="77777777" w:rsidR="008F66CC" w:rsidRPr="0076394B" w:rsidRDefault="008F66CC" w:rsidP="00603885">
            <w:pPr>
              <w:pStyle w:val="TableText"/>
              <w:spacing w:before="50" w:after="50"/>
              <w:rPr>
                <w:b/>
                <w:bCs/>
              </w:rPr>
            </w:pPr>
            <w:r w:rsidRPr="009D4C70">
              <w:rPr>
                <w:b/>
                <w:bCs/>
              </w:rPr>
              <w:t>162</w:t>
            </w:r>
          </w:p>
        </w:tc>
        <w:tc>
          <w:tcPr>
            <w:tcW w:w="1001" w:type="pct"/>
            <w:shd w:val="clear" w:color="auto" w:fill="auto"/>
          </w:tcPr>
          <w:p w14:paraId="466AE53B" w14:textId="77777777" w:rsidR="008F66CC" w:rsidRDefault="008F66CC" w:rsidP="00603885">
            <w:pPr>
              <w:pStyle w:val="TableText"/>
              <w:spacing w:before="50" w:after="50"/>
            </w:pPr>
            <w:r w:rsidRPr="003D02AA">
              <w:t>Thatcher 1978</w:t>
            </w:r>
          </w:p>
          <w:p w14:paraId="0BC6C08A" w14:textId="73DA8DDA" w:rsidR="008F66CC" w:rsidRPr="003D02AA" w:rsidRDefault="008F66CC" w:rsidP="00603885">
            <w:pPr>
              <w:pStyle w:val="TableText"/>
              <w:spacing w:before="50" w:after="50"/>
            </w:pPr>
            <w:r w:rsidRPr="00CC0E62">
              <w:rPr>
                <w:b/>
                <w:bCs/>
              </w:rPr>
              <w:t>Value used in SSD</w:t>
            </w:r>
          </w:p>
        </w:tc>
      </w:tr>
      <w:tr w:rsidR="008F66CC" w:rsidRPr="005100F3" w14:paraId="70BA57BE" w14:textId="77777777" w:rsidTr="002B4B5F">
        <w:trPr>
          <w:cantSplit/>
        </w:trPr>
        <w:tc>
          <w:tcPr>
            <w:tcW w:w="474" w:type="pct"/>
            <w:shd w:val="clear" w:color="auto" w:fill="auto"/>
          </w:tcPr>
          <w:p w14:paraId="5BFDDB1E" w14:textId="77777777" w:rsidR="008F66CC" w:rsidRPr="005100F3" w:rsidRDefault="008F66CC" w:rsidP="00603885">
            <w:pPr>
              <w:pStyle w:val="TableText"/>
              <w:spacing w:before="50" w:after="50"/>
            </w:pPr>
            <w:r>
              <w:t>Crustacean</w:t>
            </w:r>
            <w:r>
              <w:br/>
              <w:t>(crab)</w:t>
            </w:r>
          </w:p>
        </w:tc>
        <w:tc>
          <w:tcPr>
            <w:tcW w:w="739" w:type="pct"/>
            <w:shd w:val="clear" w:color="auto" w:fill="auto"/>
          </w:tcPr>
          <w:p w14:paraId="34CC014A" w14:textId="77777777" w:rsidR="008F66CC" w:rsidRPr="003D02AA" w:rsidDel="00182B50" w:rsidRDefault="008F66CC" w:rsidP="00603885">
            <w:pPr>
              <w:pStyle w:val="TableText"/>
              <w:spacing w:before="50" w:after="50"/>
            </w:pPr>
            <w:r w:rsidRPr="003D02AA">
              <w:rPr>
                <w:i/>
                <w:iCs/>
              </w:rPr>
              <w:t>Hemigrapsus nudus</w:t>
            </w:r>
            <w:r w:rsidRPr="003D02AA">
              <w:t xml:space="preserve"> and </w:t>
            </w:r>
            <w:r w:rsidRPr="003D02AA">
              <w:rPr>
                <w:i/>
              </w:rPr>
              <w:t>H.</w:t>
            </w:r>
            <w:r>
              <w:rPr>
                <w:i/>
              </w:rPr>
              <w:t> </w:t>
            </w:r>
            <w:r w:rsidRPr="003D02AA">
              <w:rPr>
                <w:i/>
              </w:rPr>
              <w:t>oregonensis</w:t>
            </w:r>
          </w:p>
        </w:tc>
        <w:tc>
          <w:tcPr>
            <w:tcW w:w="357" w:type="pct"/>
            <w:shd w:val="clear" w:color="auto" w:fill="auto"/>
          </w:tcPr>
          <w:p w14:paraId="115A433C" w14:textId="77777777" w:rsidR="008F66CC" w:rsidRPr="003D02AA" w:rsidRDefault="008F66CC" w:rsidP="00603885">
            <w:pPr>
              <w:pStyle w:val="TableText"/>
              <w:spacing w:before="50" w:after="50"/>
            </w:pPr>
            <w:r w:rsidRPr="003D02AA">
              <w:t>Juvenile and adult</w:t>
            </w:r>
          </w:p>
        </w:tc>
        <w:tc>
          <w:tcPr>
            <w:tcW w:w="354" w:type="pct"/>
            <w:shd w:val="clear" w:color="auto" w:fill="auto"/>
          </w:tcPr>
          <w:p w14:paraId="4ED215FC" w14:textId="77777777" w:rsidR="008F66CC" w:rsidRPr="003D02AA" w:rsidRDefault="008F66CC" w:rsidP="00603885">
            <w:pPr>
              <w:pStyle w:val="TableText"/>
              <w:spacing w:before="50" w:after="50"/>
            </w:pPr>
            <w:r w:rsidRPr="003D02AA">
              <w:t>96</w:t>
            </w:r>
            <w:r>
              <w:t> h</w:t>
            </w:r>
          </w:p>
        </w:tc>
        <w:tc>
          <w:tcPr>
            <w:tcW w:w="455" w:type="pct"/>
            <w:shd w:val="clear" w:color="auto" w:fill="auto"/>
          </w:tcPr>
          <w:p w14:paraId="6CA23F6F" w14:textId="77777777" w:rsidR="008F66CC" w:rsidRPr="005100F3" w:rsidRDefault="008F66CC" w:rsidP="00603885">
            <w:pPr>
              <w:pStyle w:val="TableText"/>
              <w:spacing w:before="50" w:after="50"/>
            </w:pPr>
            <w:r w:rsidRPr="005100F3">
              <w:t>Flow</w:t>
            </w:r>
            <w:r>
              <w:t>-</w:t>
            </w:r>
            <w:r w:rsidRPr="005100F3">
              <w:t>through</w:t>
            </w:r>
          </w:p>
        </w:tc>
        <w:tc>
          <w:tcPr>
            <w:tcW w:w="405" w:type="pct"/>
            <w:shd w:val="clear" w:color="auto" w:fill="auto"/>
          </w:tcPr>
          <w:p w14:paraId="27686BD4" w14:textId="77777777" w:rsidR="008F66CC" w:rsidRPr="003D02AA" w:rsidRDefault="008F66CC" w:rsidP="00603885">
            <w:pPr>
              <w:pStyle w:val="TableText"/>
              <w:spacing w:before="50" w:after="50"/>
            </w:pPr>
            <w:r w:rsidRPr="003D02AA">
              <w:t>Mortality (LC50)</w:t>
            </w:r>
          </w:p>
        </w:tc>
        <w:tc>
          <w:tcPr>
            <w:tcW w:w="405" w:type="pct"/>
            <w:shd w:val="clear" w:color="auto" w:fill="auto"/>
          </w:tcPr>
          <w:p w14:paraId="6BFD6A12" w14:textId="77777777" w:rsidR="008F66CC" w:rsidRPr="003D02AA" w:rsidRDefault="008F66CC" w:rsidP="00603885">
            <w:pPr>
              <w:pStyle w:val="TableText"/>
              <w:spacing w:before="50" w:after="50"/>
            </w:pPr>
            <w:r w:rsidRPr="003D02AA">
              <w:t>Seawater (28‰)</w:t>
            </w:r>
          </w:p>
        </w:tc>
        <w:tc>
          <w:tcPr>
            <w:tcW w:w="304" w:type="pct"/>
            <w:shd w:val="clear" w:color="auto" w:fill="auto"/>
            <w:noWrap/>
          </w:tcPr>
          <w:p w14:paraId="73DB2E5F" w14:textId="77777777" w:rsidR="008F66CC" w:rsidRPr="003D02AA" w:rsidRDefault="008F66CC" w:rsidP="00603885">
            <w:pPr>
              <w:pStyle w:val="TableText"/>
              <w:spacing w:before="50" w:after="50"/>
            </w:pPr>
            <w:r w:rsidRPr="003D02AA">
              <w:t>15</w:t>
            </w:r>
          </w:p>
        </w:tc>
        <w:tc>
          <w:tcPr>
            <w:tcW w:w="506" w:type="pct"/>
            <w:shd w:val="clear" w:color="auto" w:fill="auto"/>
          </w:tcPr>
          <w:p w14:paraId="3A8ED9D7" w14:textId="77777777" w:rsidR="008F66CC" w:rsidRPr="0076394B" w:rsidRDefault="008F66CC" w:rsidP="00603885">
            <w:pPr>
              <w:pStyle w:val="TableText"/>
              <w:spacing w:before="50" w:after="50"/>
              <w:rPr>
                <w:b/>
                <w:bCs/>
              </w:rPr>
            </w:pPr>
            <w:r w:rsidRPr="009D4C70">
              <w:rPr>
                <w:b/>
                <w:bCs/>
              </w:rPr>
              <w:t>1 420</w:t>
            </w:r>
          </w:p>
        </w:tc>
        <w:tc>
          <w:tcPr>
            <w:tcW w:w="1001" w:type="pct"/>
            <w:shd w:val="clear" w:color="auto" w:fill="auto"/>
          </w:tcPr>
          <w:p w14:paraId="3AA4E472" w14:textId="77777777" w:rsidR="008F66CC" w:rsidRDefault="008F66CC" w:rsidP="00603885">
            <w:pPr>
              <w:pStyle w:val="TableText"/>
              <w:spacing w:before="50" w:after="50"/>
            </w:pPr>
            <w:r w:rsidRPr="003D02AA">
              <w:t>Thatcher 1978</w:t>
            </w:r>
          </w:p>
          <w:p w14:paraId="1547D32B" w14:textId="2280D6D6" w:rsidR="008F66CC" w:rsidRPr="003D02AA" w:rsidRDefault="008F66CC" w:rsidP="00603885">
            <w:pPr>
              <w:pStyle w:val="TableText"/>
              <w:spacing w:before="50" w:after="50"/>
            </w:pPr>
            <w:r w:rsidRPr="00CC0E62">
              <w:rPr>
                <w:b/>
                <w:bCs/>
              </w:rPr>
              <w:t>Value used in SSD</w:t>
            </w:r>
          </w:p>
        </w:tc>
      </w:tr>
      <w:tr w:rsidR="008F66CC" w:rsidRPr="005100F3" w14:paraId="293DAF1C" w14:textId="77777777" w:rsidTr="00141D27">
        <w:trPr>
          <w:cantSplit/>
        </w:trPr>
        <w:tc>
          <w:tcPr>
            <w:tcW w:w="474" w:type="pct"/>
            <w:tcBorders>
              <w:bottom w:val="single" w:sz="4" w:space="0" w:color="auto"/>
            </w:tcBorders>
            <w:shd w:val="clear" w:color="auto" w:fill="auto"/>
          </w:tcPr>
          <w:p w14:paraId="37C518DF" w14:textId="77777777" w:rsidR="008F66CC" w:rsidRPr="005100F3" w:rsidRDefault="008F66CC" w:rsidP="00603885">
            <w:pPr>
              <w:pStyle w:val="TableText"/>
              <w:spacing w:before="50" w:after="50"/>
            </w:pPr>
            <w:r>
              <w:t>Echinoderm</w:t>
            </w:r>
          </w:p>
        </w:tc>
        <w:tc>
          <w:tcPr>
            <w:tcW w:w="739" w:type="pct"/>
            <w:shd w:val="clear" w:color="auto" w:fill="auto"/>
            <w:hideMark/>
          </w:tcPr>
          <w:p w14:paraId="1F57FECD" w14:textId="77777777" w:rsidR="008F66CC" w:rsidRPr="005100F3" w:rsidRDefault="008F66CC" w:rsidP="00603885">
            <w:pPr>
              <w:pStyle w:val="TableText"/>
              <w:spacing w:before="50" w:after="50"/>
            </w:pPr>
            <w:r w:rsidRPr="003D02AA">
              <w:rPr>
                <w:i/>
                <w:iCs/>
              </w:rPr>
              <w:t>Dendrast</w:t>
            </w:r>
            <w:r>
              <w:rPr>
                <w:i/>
                <w:iCs/>
              </w:rPr>
              <w:t>e</w:t>
            </w:r>
            <w:r w:rsidRPr="003D02AA">
              <w:rPr>
                <w:i/>
                <w:iCs/>
              </w:rPr>
              <w:t>r excentricus</w:t>
            </w:r>
          </w:p>
        </w:tc>
        <w:tc>
          <w:tcPr>
            <w:tcW w:w="357" w:type="pct"/>
            <w:shd w:val="clear" w:color="auto" w:fill="auto"/>
            <w:noWrap/>
            <w:hideMark/>
          </w:tcPr>
          <w:p w14:paraId="0DD6C582" w14:textId="77777777" w:rsidR="008F66CC" w:rsidRPr="005100F3" w:rsidRDefault="008F66CC" w:rsidP="00603885">
            <w:pPr>
              <w:pStyle w:val="TableText"/>
              <w:spacing w:before="50" w:after="50"/>
            </w:pPr>
            <w:r w:rsidRPr="005100F3">
              <w:t>Sperm</w:t>
            </w:r>
          </w:p>
        </w:tc>
        <w:tc>
          <w:tcPr>
            <w:tcW w:w="354" w:type="pct"/>
            <w:shd w:val="clear" w:color="auto" w:fill="auto"/>
            <w:hideMark/>
          </w:tcPr>
          <w:p w14:paraId="0363C733" w14:textId="77777777" w:rsidR="008F66CC" w:rsidRPr="005100F3" w:rsidRDefault="008F66CC" w:rsidP="00603885">
            <w:pPr>
              <w:pStyle w:val="TableText"/>
              <w:spacing w:before="50" w:after="50"/>
            </w:pPr>
            <w:r>
              <w:t>5 </w:t>
            </w:r>
            <w:r w:rsidRPr="005100F3">
              <w:t>min</w:t>
            </w:r>
          </w:p>
        </w:tc>
        <w:tc>
          <w:tcPr>
            <w:tcW w:w="455" w:type="pct"/>
            <w:shd w:val="clear" w:color="auto" w:fill="auto"/>
            <w:noWrap/>
            <w:hideMark/>
          </w:tcPr>
          <w:p w14:paraId="25DDA122" w14:textId="77777777" w:rsidR="008F66CC" w:rsidRPr="005100F3" w:rsidRDefault="008F66CC" w:rsidP="00603885">
            <w:pPr>
              <w:pStyle w:val="TableText"/>
              <w:spacing w:before="50" w:after="50"/>
            </w:pPr>
            <w:r w:rsidRPr="005100F3">
              <w:t>Static</w:t>
            </w:r>
          </w:p>
        </w:tc>
        <w:tc>
          <w:tcPr>
            <w:tcW w:w="405" w:type="pct"/>
            <w:shd w:val="clear" w:color="auto" w:fill="auto"/>
            <w:hideMark/>
          </w:tcPr>
          <w:p w14:paraId="427B5245" w14:textId="77777777" w:rsidR="008F66CC" w:rsidRPr="005100F3" w:rsidRDefault="008F66CC" w:rsidP="00603885">
            <w:pPr>
              <w:pStyle w:val="TableText"/>
              <w:spacing w:before="50" w:after="50"/>
            </w:pPr>
            <w:r w:rsidRPr="005100F3">
              <w:t>Fertilisation (EC50)</w:t>
            </w:r>
          </w:p>
        </w:tc>
        <w:tc>
          <w:tcPr>
            <w:tcW w:w="405" w:type="pct"/>
            <w:shd w:val="clear" w:color="auto" w:fill="auto"/>
            <w:hideMark/>
          </w:tcPr>
          <w:p w14:paraId="100FEE65" w14:textId="77777777" w:rsidR="008F66CC" w:rsidRPr="005100F3" w:rsidRDefault="008F66CC" w:rsidP="00603885">
            <w:pPr>
              <w:pStyle w:val="TableText"/>
              <w:spacing w:before="50" w:after="50"/>
            </w:pPr>
            <w:r w:rsidRPr="005100F3">
              <w:t>Seawater</w:t>
            </w:r>
            <w:r>
              <w:t xml:space="preserve"> </w:t>
            </w:r>
            <w:r w:rsidRPr="005100F3">
              <w:t>(28‰)</w:t>
            </w:r>
          </w:p>
        </w:tc>
        <w:tc>
          <w:tcPr>
            <w:tcW w:w="304" w:type="pct"/>
            <w:shd w:val="clear" w:color="auto" w:fill="auto"/>
            <w:noWrap/>
            <w:hideMark/>
          </w:tcPr>
          <w:p w14:paraId="4E395D8D" w14:textId="77777777" w:rsidR="008F66CC" w:rsidRPr="005100F3" w:rsidRDefault="008F66CC" w:rsidP="00603885">
            <w:pPr>
              <w:pStyle w:val="TableText"/>
              <w:spacing w:before="50" w:after="50"/>
            </w:pPr>
            <w:r w:rsidRPr="005100F3">
              <w:t>14</w:t>
            </w:r>
          </w:p>
        </w:tc>
        <w:tc>
          <w:tcPr>
            <w:tcW w:w="506" w:type="pct"/>
            <w:shd w:val="clear" w:color="auto" w:fill="auto"/>
            <w:hideMark/>
          </w:tcPr>
          <w:p w14:paraId="09C6C14B" w14:textId="77777777" w:rsidR="008F66CC" w:rsidRPr="0076394B" w:rsidRDefault="008F66CC" w:rsidP="00603885">
            <w:pPr>
              <w:pStyle w:val="TableText"/>
              <w:spacing w:before="50" w:after="50"/>
              <w:rPr>
                <w:b/>
                <w:bCs/>
              </w:rPr>
            </w:pPr>
            <w:r w:rsidRPr="0076394B">
              <w:rPr>
                <w:b/>
                <w:bCs/>
              </w:rPr>
              <w:t>6.4</w:t>
            </w:r>
          </w:p>
        </w:tc>
        <w:tc>
          <w:tcPr>
            <w:tcW w:w="1001" w:type="pct"/>
            <w:shd w:val="clear" w:color="auto" w:fill="auto"/>
            <w:noWrap/>
            <w:hideMark/>
          </w:tcPr>
          <w:p w14:paraId="4AED9E44" w14:textId="77777777" w:rsidR="008F66CC" w:rsidRDefault="008F66CC" w:rsidP="00603885">
            <w:pPr>
              <w:pStyle w:val="TableText"/>
              <w:spacing w:before="50" w:after="50"/>
            </w:pPr>
            <w:r w:rsidRPr="005100F3">
              <w:t>Dinnel et al. 1981</w:t>
            </w:r>
          </w:p>
          <w:p w14:paraId="028CCA19" w14:textId="77777777" w:rsidR="008F66CC" w:rsidRDefault="008F66CC" w:rsidP="00603885">
            <w:pPr>
              <w:pStyle w:val="TableText"/>
              <w:spacing w:before="50" w:after="50"/>
            </w:pPr>
            <w:r w:rsidRPr="00CC0E62">
              <w:rPr>
                <w:b/>
                <w:bCs/>
              </w:rPr>
              <w:t>Value used in SSD</w:t>
            </w:r>
          </w:p>
          <w:p w14:paraId="28F21045" w14:textId="6E31D3A8" w:rsidR="008F66CC" w:rsidRPr="005100F3" w:rsidRDefault="008F66CC" w:rsidP="00603885">
            <w:pPr>
              <w:pStyle w:val="TableText"/>
              <w:spacing w:before="50" w:after="50"/>
            </w:pPr>
            <w:r w:rsidRPr="001E1354">
              <w:rPr>
                <w:i/>
                <w:iCs/>
              </w:rPr>
              <w:t>Geometric mean of 3 values</w:t>
            </w:r>
          </w:p>
        </w:tc>
      </w:tr>
      <w:tr w:rsidR="008F66CC" w:rsidRPr="003D02AA" w14:paraId="0B20D445" w14:textId="77777777" w:rsidTr="00141D27">
        <w:tblPrEx>
          <w:tblBorders>
            <w:top w:val="none" w:sz="0" w:space="0" w:color="auto"/>
            <w:bottom w:val="none" w:sz="0" w:space="0" w:color="auto"/>
            <w:insideH w:val="none" w:sz="0" w:space="0" w:color="auto"/>
          </w:tblBorders>
        </w:tblPrEx>
        <w:trPr>
          <w:cantSplit/>
        </w:trPr>
        <w:tc>
          <w:tcPr>
            <w:tcW w:w="474" w:type="pct"/>
            <w:vMerge w:val="restart"/>
            <w:tcBorders>
              <w:top w:val="single" w:sz="4" w:space="0" w:color="auto"/>
              <w:bottom w:val="single" w:sz="12" w:space="0" w:color="auto"/>
            </w:tcBorders>
            <w:shd w:val="clear" w:color="auto" w:fill="auto"/>
          </w:tcPr>
          <w:p w14:paraId="3E738C47" w14:textId="77777777" w:rsidR="008F66CC" w:rsidRPr="003D02AA" w:rsidRDefault="008F66CC" w:rsidP="00603885">
            <w:pPr>
              <w:pStyle w:val="TableText"/>
              <w:spacing w:before="50" w:after="50"/>
            </w:pPr>
            <w:r>
              <w:t>Fish</w:t>
            </w:r>
          </w:p>
        </w:tc>
        <w:tc>
          <w:tcPr>
            <w:tcW w:w="739" w:type="pct"/>
            <w:tcBorders>
              <w:bottom w:val="single" w:sz="4" w:space="0" w:color="auto"/>
            </w:tcBorders>
            <w:shd w:val="clear" w:color="auto" w:fill="auto"/>
            <w:hideMark/>
          </w:tcPr>
          <w:p w14:paraId="71D96817" w14:textId="77777777" w:rsidR="008F66CC" w:rsidRPr="003D02AA" w:rsidRDefault="008F66CC" w:rsidP="00603885">
            <w:pPr>
              <w:pStyle w:val="TableText"/>
              <w:spacing w:before="50" w:after="50"/>
            </w:pPr>
            <w:r w:rsidRPr="003D02AA">
              <w:rPr>
                <w:i/>
                <w:iCs/>
              </w:rPr>
              <w:t>Menidia peninsulae</w:t>
            </w:r>
          </w:p>
        </w:tc>
        <w:tc>
          <w:tcPr>
            <w:tcW w:w="357" w:type="pct"/>
            <w:tcBorders>
              <w:bottom w:val="single" w:sz="4" w:space="0" w:color="auto"/>
            </w:tcBorders>
            <w:shd w:val="clear" w:color="auto" w:fill="auto"/>
            <w:noWrap/>
            <w:hideMark/>
          </w:tcPr>
          <w:p w14:paraId="3C7B3490" w14:textId="77777777" w:rsidR="008F66CC" w:rsidRPr="003D02AA" w:rsidRDefault="008F66CC" w:rsidP="00603885">
            <w:pPr>
              <w:pStyle w:val="TableText"/>
              <w:spacing w:before="50" w:after="50"/>
            </w:pPr>
            <w:r w:rsidRPr="003D02AA">
              <w:t>Fry</w:t>
            </w:r>
          </w:p>
        </w:tc>
        <w:tc>
          <w:tcPr>
            <w:tcW w:w="354" w:type="pct"/>
            <w:tcBorders>
              <w:bottom w:val="single" w:sz="4" w:space="0" w:color="auto"/>
            </w:tcBorders>
            <w:shd w:val="clear" w:color="auto" w:fill="auto"/>
            <w:hideMark/>
          </w:tcPr>
          <w:p w14:paraId="5D9C5C0A" w14:textId="77777777" w:rsidR="008F66CC" w:rsidRPr="003D02AA" w:rsidRDefault="008F66CC" w:rsidP="00603885">
            <w:pPr>
              <w:pStyle w:val="TableText"/>
              <w:spacing w:before="50" w:after="50"/>
            </w:pPr>
            <w:r w:rsidRPr="003D02AA">
              <w:t>96</w:t>
            </w:r>
            <w:r>
              <w:t> h</w:t>
            </w:r>
          </w:p>
        </w:tc>
        <w:tc>
          <w:tcPr>
            <w:tcW w:w="455" w:type="pct"/>
            <w:tcBorders>
              <w:bottom w:val="single" w:sz="4" w:space="0" w:color="auto"/>
            </w:tcBorders>
            <w:shd w:val="clear" w:color="auto" w:fill="auto"/>
            <w:hideMark/>
          </w:tcPr>
          <w:p w14:paraId="5283E2C5" w14:textId="77777777" w:rsidR="008F66CC" w:rsidRPr="003D02AA" w:rsidRDefault="008F66CC" w:rsidP="00603885">
            <w:pPr>
              <w:pStyle w:val="TableText"/>
              <w:spacing w:before="50" w:after="50"/>
            </w:pPr>
            <w:r w:rsidRPr="005100F3">
              <w:t>Flow</w:t>
            </w:r>
            <w:r>
              <w:t>-</w:t>
            </w:r>
            <w:r w:rsidRPr="005100F3">
              <w:t>through</w:t>
            </w:r>
          </w:p>
        </w:tc>
        <w:tc>
          <w:tcPr>
            <w:tcW w:w="405" w:type="pct"/>
            <w:tcBorders>
              <w:bottom w:val="single" w:sz="4" w:space="0" w:color="auto"/>
            </w:tcBorders>
            <w:shd w:val="clear" w:color="auto" w:fill="auto"/>
            <w:hideMark/>
          </w:tcPr>
          <w:p w14:paraId="289F7210" w14:textId="77777777" w:rsidR="008F66CC" w:rsidRPr="003D02AA" w:rsidRDefault="008F66CC" w:rsidP="00603885">
            <w:pPr>
              <w:pStyle w:val="TableText"/>
              <w:spacing w:before="50" w:after="50"/>
            </w:pPr>
            <w:r w:rsidRPr="003D02AA">
              <w:t>Mortality (LC50)</w:t>
            </w:r>
          </w:p>
        </w:tc>
        <w:tc>
          <w:tcPr>
            <w:tcW w:w="405" w:type="pct"/>
            <w:tcBorders>
              <w:bottom w:val="single" w:sz="4" w:space="0" w:color="auto"/>
            </w:tcBorders>
            <w:shd w:val="clear" w:color="auto" w:fill="auto"/>
            <w:hideMark/>
          </w:tcPr>
          <w:p w14:paraId="07E7A921" w14:textId="77777777" w:rsidR="008F66CC" w:rsidRPr="003D02AA" w:rsidRDefault="008F66CC" w:rsidP="00603885">
            <w:pPr>
              <w:pStyle w:val="TableText"/>
              <w:spacing w:before="50" w:after="50"/>
            </w:pPr>
            <w:r w:rsidRPr="003D02AA">
              <w:t>Seawater (22</w:t>
            </w:r>
            <w:r>
              <w:t>–</w:t>
            </w:r>
            <w:r w:rsidRPr="003D02AA">
              <w:t>27‰)</w:t>
            </w:r>
          </w:p>
        </w:tc>
        <w:tc>
          <w:tcPr>
            <w:tcW w:w="304" w:type="pct"/>
            <w:tcBorders>
              <w:bottom w:val="single" w:sz="4" w:space="0" w:color="auto"/>
            </w:tcBorders>
            <w:shd w:val="clear" w:color="auto" w:fill="auto"/>
            <w:noWrap/>
            <w:hideMark/>
          </w:tcPr>
          <w:p w14:paraId="5D501E3E" w14:textId="77777777" w:rsidR="008F66CC" w:rsidRPr="003D02AA" w:rsidRDefault="008F66CC" w:rsidP="00603885">
            <w:pPr>
              <w:pStyle w:val="TableText"/>
              <w:spacing w:before="50" w:after="50"/>
            </w:pPr>
            <w:r w:rsidRPr="003D02AA">
              <w:t>25</w:t>
            </w:r>
          </w:p>
        </w:tc>
        <w:tc>
          <w:tcPr>
            <w:tcW w:w="506" w:type="pct"/>
            <w:tcBorders>
              <w:bottom w:val="single" w:sz="4" w:space="0" w:color="auto"/>
            </w:tcBorders>
            <w:shd w:val="clear" w:color="auto" w:fill="auto"/>
            <w:hideMark/>
          </w:tcPr>
          <w:p w14:paraId="65A526C2" w14:textId="77777777" w:rsidR="008F66CC" w:rsidRPr="009D4C70" w:rsidRDefault="008F66CC" w:rsidP="00603885">
            <w:pPr>
              <w:pStyle w:val="TableText"/>
              <w:spacing w:before="50" w:after="50"/>
              <w:rPr>
                <w:b/>
                <w:bCs/>
              </w:rPr>
            </w:pPr>
            <w:r w:rsidRPr="009D4C70">
              <w:rPr>
                <w:b/>
                <w:bCs/>
              </w:rPr>
              <w:t>54</w:t>
            </w:r>
          </w:p>
        </w:tc>
        <w:tc>
          <w:tcPr>
            <w:tcW w:w="1001" w:type="pct"/>
            <w:tcBorders>
              <w:bottom w:val="single" w:sz="4" w:space="0" w:color="auto"/>
            </w:tcBorders>
            <w:shd w:val="clear" w:color="auto" w:fill="auto"/>
            <w:hideMark/>
          </w:tcPr>
          <w:p w14:paraId="04164072" w14:textId="77777777" w:rsidR="008F66CC" w:rsidRDefault="008F66CC" w:rsidP="00603885">
            <w:pPr>
              <w:pStyle w:val="TableText"/>
              <w:spacing w:before="50" w:after="50"/>
            </w:pPr>
            <w:r w:rsidRPr="003D02AA">
              <w:t>Goodman et al. 1983</w:t>
            </w:r>
          </w:p>
          <w:p w14:paraId="0BCCD272" w14:textId="43BEA649" w:rsidR="008F66CC" w:rsidRPr="003D02AA" w:rsidRDefault="008F66CC" w:rsidP="00603885">
            <w:pPr>
              <w:pStyle w:val="TableText"/>
              <w:spacing w:before="50" w:after="50"/>
            </w:pPr>
            <w:r w:rsidRPr="00CC0E62">
              <w:rPr>
                <w:b/>
                <w:bCs/>
              </w:rPr>
              <w:t>Value used in SSD</w:t>
            </w:r>
          </w:p>
        </w:tc>
      </w:tr>
      <w:tr w:rsidR="008F66CC" w:rsidRPr="003D02AA" w14:paraId="5EEBF335" w14:textId="77777777" w:rsidTr="00141D27">
        <w:tblPrEx>
          <w:tblBorders>
            <w:top w:val="none" w:sz="0" w:space="0" w:color="auto"/>
            <w:bottom w:val="none" w:sz="0" w:space="0" w:color="auto"/>
            <w:insideH w:val="none" w:sz="0" w:space="0" w:color="auto"/>
          </w:tblBorders>
        </w:tblPrEx>
        <w:trPr>
          <w:cantSplit/>
        </w:trPr>
        <w:tc>
          <w:tcPr>
            <w:tcW w:w="474" w:type="pct"/>
            <w:vMerge/>
            <w:tcBorders>
              <w:bottom w:val="single" w:sz="12" w:space="0" w:color="auto"/>
            </w:tcBorders>
            <w:shd w:val="clear" w:color="auto" w:fill="auto"/>
          </w:tcPr>
          <w:p w14:paraId="057C087A" w14:textId="77777777" w:rsidR="008F66CC" w:rsidRPr="003D02AA" w:rsidRDefault="008F66CC" w:rsidP="00603885">
            <w:pPr>
              <w:pStyle w:val="TableText"/>
              <w:spacing w:before="50" w:after="50"/>
            </w:pPr>
          </w:p>
        </w:tc>
        <w:tc>
          <w:tcPr>
            <w:tcW w:w="739" w:type="pct"/>
            <w:tcBorders>
              <w:top w:val="single" w:sz="4" w:space="0" w:color="auto"/>
              <w:bottom w:val="single" w:sz="4" w:space="0" w:color="auto"/>
            </w:tcBorders>
            <w:shd w:val="clear" w:color="auto" w:fill="auto"/>
            <w:hideMark/>
          </w:tcPr>
          <w:p w14:paraId="025DE6A6" w14:textId="77777777" w:rsidR="008F66CC" w:rsidRPr="003D02AA" w:rsidRDefault="008F66CC" w:rsidP="00603885">
            <w:pPr>
              <w:pStyle w:val="TableText"/>
              <w:spacing w:before="50" w:after="50"/>
            </w:pPr>
            <w:r w:rsidRPr="003D02AA">
              <w:rPr>
                <w:i/>
                <w:iCs/>
              </w:rPr>
              <w:t>Pleuronectes platessa</w:t>
            </w:r>
          </w:p>
        </w:tc>
        <w:tc>
          <w:tcPr>
            <w:tcW w:w="357" w:type="pct"/>
            <w:tcBorders>
              <w:top w:val="single" w:sz="4" w:space="0" w:color="auto"/>
              <w:bottom w:val="single" w:sz="4" w:space="0" w:color="auto"/>
            </w:tcBorders>
            <w:shd w:val="clear" w:color="auto" w:fill="auto"/>
            <w:noWrap/>
            <w:hideMark/>
          </w:tcPr>
          <w:p w14:paraId="676615DD" w14:textId="77777777" w:rsidR="008F66CC" w:rsidRPr="003D02AA" w:rsidRDefault="008F66CC" w:rsidP="00603885">
            <w:pPr>
              <w:pStyle w:val="TableText"/>
              <w:spacing w:before="50" w:after="50"/>
            </w:pPr>
            <w:r w:rsidRPr="003D02AA">
              <w:t>Larva</w:t>
            </w:r>
          </w:p>
        </w:tc>
        <w:tc>
          <w:tcPr>
            <w:tcW w:w="354" w:type="pct"/>
            <w:tcBorders>
              <w:top w:val="single" w:sz="4" w:space="0" w:color="auto"/>
              <w:bottom w:val="single" w:sz="4" w:space="0" w:color="auto"/>
            </w:tcBorders>
            <w:shd w:val="clear" w:color="auto" w:fill="auto"/>
            <w:noWrap/>
            <w:hideMark/>
          </w:tcPr>
          <w:p w14:paraId="5261BBE4" w14:textId="77777777" w:rsidR="008F66CC" w:rsidRPr="003D02AA" w:rsidRDefault="008F66CC" w:rsidP="00603885">
            <w:pPr>
              <w:pStyle w:val="TableText"/>
              <w:spacing w:before="50" w:after="50"/>
            </w:pPr>
            <w:r w:rsidRPr="003D02AA">
              <w:t>96</w:t>
            </w:r>
            <w:r>
              <w:t> h</w:t>
            </w:r>
          </w:p>
        </w:tc>
        <w:tc>
          <w:tcPr>
            <w:tcW w:w="455" w:type="pct"/>
            <w:tcBorders>
              <w:top w:val="single" w:sz="4" w:space="0" w:color="auto"/>
              <w:bottom w:val="single" w:sz="4" w:space="0" w:color="auto"/>
            </w:tcBorders>
            <w:shd w:val="clear" w:color="auto" w:fill="auto"/>
            <w:hideMark/>
          </w:tcPr>
          <w:p w14:paraId="0A720D4C" w14:textId="77777777" w:rsidR="008F66CC" w:rsidRPr="003D02AA" w:rsidRDefault="008F66CC" w:rsidP="00603885">
            <w:pPr>
              <w:pStyle w:val="TableText"/>
              <w:spacing w:before="50" w:after="50"/>
            </w:pPr>
            <w:r w:rsidRPr="005100F3">
              <w:t>Flow</w:t>
            </w:r>
            <w:r>
              <w:t>-</w:t>
            </w:r>
            <w:r w:rsidRPr="005100F3">
              <w:t>through</w:t>
            </w:r>
          </w:p>
        </w:tc>
        <w:tc>
          <w:tcPr>
            <w:tcW w:w="405" w:type="pct"/>
            <w:tcBorders>
              <w:top w:val="single" w:sz="4" w:space="0" w:color="auto"/>
              <w:bottom w:val="single" w:sz="4" w:space="0" w:color="auto"/>
            </w:tcBorders>
            <w:shd w:val="clear" w:color="auto" w:fill="auto"/>
            <w:hideMark/>
          </w:tcPr>
          <w:p w14:paraId="5474CC90" w14:textId="77777777" w:rsidR="008F66CC" w:rsidRPr="003D02AA" w:rsidRDefault="008F66CC" w:rsidP="00603885">
            <w:pPr>
              <w:pStyle w:val="TableText"/>
              <w:spacing w:before="50" w:after="50"/>
            </w:pPr>
            <w:r w:rsidRPr="003D02AA">
              <w:t>Mortality (LC50)</w:t>
            </w:r>
          </w:p>
        </w:tc>
        <w:tc>
          <w:tcPr>
            <w:tcW w:w="405" w:type="pct"/>
            <w:tcBorders>
              <w:top w:val="single" w:sz="4" w:space="0" w:color="auto"/>
              <w:bottom w:val="single" w:sz="4" w:space="0" w:color="auto"/>
            </w:tcBorders>
            <w:shd w:val="clear" w:color="auto" w:fill="auto"/>
            <w:noWrap/>
            <w:hideMark/>
          </w:tcPr>
          <w:p w14:paraId="1FD893BF" w14:textId="77777777" w:rsidR="008F66CC" w:rsidRPr="003D02AA" w:rsidRDefault="008F66CC" w:rsidP="00603885">
            <w:pPr>
              <w:pStyle w:val="TableText"/>
              <w:spacing w:before="50" w:after="50"/>
            </w:pPr>
            <w:r w:rsidRPr="003D02AA">
              <w:t>Seawater</w:t>
            </w:r>
            <w:r>
              <w:t xml:space="preserve"> </w:t>
            </w:r>
            <w:r w:rsidRPr="003D02AA">
              <w:t>(35‰)</w:t>
            </w:r>
          </w:p>
        </w:tc>
        <w:tc>
          <w:tcPr>
            <w:tcW w:w="304" w:type="pct"/>
            <w:tcBorders>
              <w:top w:val="single" w:sz="4" w:space="0" w:color="auto"/>
              <w:bottom w:val="single" w:sz="4" w:space="0" w:color="auto"/>
            </w:tcBorders>
            <w:shd w:val="clear" w:color="auto" w:fill="auto"/>
            <w:noWrap/>
            <w:hideMark/>
          </w:tcPr>
          <w:p w14:paraId="52A8BB49" w14:textId="77777777" w:rsidR="008F66CC" w:rsidRPr="003D02AA" w:rsidRDefault="008F66CC" w:rsidP="00603885">
            <w:pPr>
              <w:pStyle w:val="TableText"/>
              <w:spacing w:before="50" w:after="50"/>
            </w:pPr>
            <w:r w:rsidRPr="003D02AA">
              <w:t>8</w:t>
            </w:r>
          </w:p>
        </w:tc>
        <w:tc>
          <w:tcPr>
            <w:tcW w:w="506" w:type="pct"/>
            <w:tcBorders>
              <w:top w:val="single" w:sz="4" w:space="0" w:color="auto"/>
              <w:bottom w:val="single" w:sz="4" w:space="0" w:color="auto"/>
            </w:tcBorders>
            <w:shd w:val="clear" w:color="auto" w:fill="auto"/>
            <w:noWrap/>
            <w:hideMark/>
          </w:tcPr>
          <w:p w14:paraId="2E25C280" w14:textId="77777777" w:rsidR="008F66CC" w:rsidRPr="009D4C70" w:rsidRDefault="008F66CC" w:rsidP="00603885">
            <w:pPr>
              <w:pStyle w:val="TableText"/>
              <w:spacing w:before="50" w:after="50"/>
              <w:rPr>
                <w:b/>
                <w:bCs/>
              </w:rPr>
            </w:pPr>
            <w:r w:rsidRPr="009D4C70">
              <w:rPr>
                <w:b/>
                <w:bCs/>
              </w:rPr>
              <w:t>24</w:t>
            </w:r>
          </w:p>
        </w:tc>
        <w:tc>
          <w:tcPr>
            <w:tcW w:w="1001" w:type="pct"/>
            <w:tcBorders>
              <w:top w:val="single" w:sz="4" w:space="0" w:color="auto"/>
              <w:bottom w:val="single" w:sz="4" w:space="0" w:color="auto"/>
            </w:tcBorders>
            <w:shd w:val="clear" w:color="auto" w:fill="auto"/>
            <w:hideMark/>
          </w:tcPr>
          <w:p w14:paraId="4312A861" w14:textId="77777777" w:rsidR="008F66CC" w:rsidRDefault="008F66CC" w:rsidP="00603885">
            <w:pPr>
              <w:pStyle w:val="TableText"/>
              <w:spacing w:before="50" w:after="50"/>
            </w:pPr>
            <w:r w:rsidRPr="003D02AA">
              <w:t>Alderson 1972</w:t>
            </w:r>
          </w:p>
          <w:p w14:paraId="79A38050" w14:textId="03FE107F" w:rsidR="008F66CC" w:rsidRPr="003D02AA" w:rsidRDefault="008F66CC" w:rsidP="00603885">
            <w:pPr>
              <w:pStyle w:val="TableText"/>
              <w:spacing w:before="50" w:after="50"/>
            </w:pPr>
            <w:r w:rsidRPr="00CC0E62">
              <w:rPr>
                <w:b/>
                <w:bCs/>
              </w:rPr>
              <w:t>Value used in SSD</w:t>
            </w:r>
          </w:p>
        </w:tc>
      </w:tr>
      <w:tr w:rsidR="008F66CC" w:rsidRPr="003D02AA" w14:paraId="25450838" w14:textId="77777777" w:rsidTr="00141D27">
        <w:tblPrEx>
          <w:tblBorders>
            <w:top w:val="none" w:sz="0" w:space="0" w:color="auto"/>
            <w:bottom w:val="none" w:sz="0" w:space="0" w:color="auto"/>
            <w:insideH w:val="none" w:sz="0" w:space="0" w:color="auto"/>
          </w:tblBorders>
        </w:tblPrEx>
        <w:trPr>
          <w:cantSplit/>
        </w:trPr>
        <w:tc>
          <w:tcPr>
            <w:tcW w:w="474" w:type="pct"/>
            <w:vMerge/>
            <w:tcBorders>
              <w:bottom w:val="single" w:sz="12" w:space="0" w:color="auto"/>
            </w:tcBorders>
            <w:shd w:val="clear" w:color="auto" w:fill="auto"/>
          </w:tcPr>
          <w:p w14:paraId="1CDE29B3" w14:textId="77777777" w:rsidR="008F66CC" w:rsidRPr="003D02AA" w:rsidRDefault="008F66CC" w:rsidP="00603885">
            <w:pPr>
              <w:pStyle w:val="TableText"/>
              <w:spacing w:before="50" w:after="50"/>
            </w:pPr>
          </w:p>
        </w:tc>
        <w:tc>
          <w:tcPr>
            <w:tcW w:w="739" w:type="pct"/>
            <w:tcBorders>
              <w:top w:val="single" w:sz="4" w:space="0" w:color="auto"/>
              <w:bottom w:val="single" w:sz="4" w:space="0" w:color="auto"/>
            </w:tcBorders>
            <w:shd w:val="clear" w:color="auto" w:fill="auto"/>
            <w:hideMark/>
          </w:tcPr>
          <w:p w14:paraId="11F26BA8" w14:textId="77777777" w:rsidR="008F66CC" w:rsidRPr="003D02AA" w:rsidRDefault="008F66CC" w:rsidP="00603885">
            <w:pPr>
              <w:pStyle w:val="TableText"/>
              <w:spacing w:before="50" w:after="50"/>
            </w:pPr>
            <w:r w:rsidRPr="003D02AA">
              <w:rPr>
                <w:i/>
                <w:iCs/>
              </w:rPr>
              <w:t>Oncorhynchus kisutch</w:t>
            </w:r>
          </w:p>
        </w:tc>
        <w:tc>
          <w:tcPr>
            <w:tcW w:w="357" w:type="pct"/>
            <w:tcBorders>
              <w:top w:val="single" w:sz="4" w:space="0" w:color="auto"/>
              <w:bottom w:val="single" w:sz="4" w:space="0" w:color="auto"/>
            </w:tcBorders>
            <w:shd w:val="clear" w:color="auto" w:fill="auto"/>
            <w:noWrap/>
            <w:hideMark/>
          </w:tcPr>
          <w:p w14:paraId="1C18C547" w14:textId="77777777" w:rsidR="008F66CC" w:rsidRPr="003D02AA" w:rsidRDefault="008F66CC" w:rsidP="00603885">
            <w:pPr>
              <w:pStyle w:val="TableText"/>
              <w:spacing w:before="50" w:after="50"/>
            </w:pPr>
            <w:r w:rsidRPr="003D02AA">
              <w:t>Juvenile</w:t>
            </w:r>
          </w:p>
        </w:tc>
        <w:tc>
          <w:tcPr>
            <w:tcW w:w="354" w:type="pct"/>
            <w:tcBorders>
              <w:top w:val="single" w:sz="4" w:space="0" w:color="auto"/>
              <w:bottom w:val="single" w:sz="4" w:space="0" w:color="auto"/>
            </w:tcBorders>
            <w:shd w:val="clear" w:color="auto" w:fill="auto"/>
            <w:hideMark/>
          </w:tcPr>
          <w:p w14:paraId="7D5505F0" w14:textId="77777777" w:rsidR="008F66CC" w:rsidRPr="003D02AA" w:rsidRDefault="008F66CC" w:rsidP="00603885">
            <w:pPr>
              <w:pStyle w:val="TableText"/>
              <w:spacing w:before="50" w:after="50"/>
            </w:pPr>
            <w:r w:rsidRPr="003D02AA">
              <w:t>96</w:t>
            </w:r>
            <w:r>
              <w:t> h</w:t>
            </w:r>
          </w:p>
        </w:tc>
        <w:tc>
          <w:tcPr>
            <w:tcW w:w="455" w:type="pct"/>
            <w:tcBorders>
              <w:top w:val="single" w:sz="4" w:space="0" w:color="auto"/>
              <w:bottom w:val="single" w:sz="4" w:space="0" w:color="auto"/>
            </w:tcBorders>
            <w:shd w:val="clear" w:color="auto" w:fill="auto"/>
            <w:hideMark/>
          </w:tcPr>
          <w:p w14:paraId="41D1BD87" w14:textId="77777777" w:rsidR="008F66CC" w:rsidRPr="003D02AA" w:rsidRDefault="008F66CC" w:rsidP="00603885">
            <w:pPr>
              <w:pStyle w:val="TableText"/>
              <w:spacing w:before="50" w:after="50"/>
            </w:pPr>
            <w:r w:rsidRPr="005100F3">
              <w:t>Flow</w:t>
            </w:r>
            <w:r>
              <w:t>-</w:t>
            </w:r>
            <w:r w:rsidRPr="005100F3">
              <w:t>through</w:t>
            </w:r>
          </w:p>
        </w:tc>
        <w:tc>
          <w:tcPr>
            <w:tcW w:w="405" w:type="pct"/>
            <w:tcBorders>
              <w:top w:val="single" w:sz="4" w:space="0" w:color="auto"/>
              <w:bottom w:val="single" w:sz="4" w:space="0" w:color="auto"/>
            </w:tcBorders>
            <w:shd w:val="clear" w:color="auto" w:fill="auto"/>
            <w:hideMark/>
          </w:tcPr>
          <w:p w14:paraId="2660A8E7" w14:textId="77777777" w:rsidR="008F66CC" w:rsidRPr="003D02AA" w:rsidRDefault="008F66CC" w:rsidP="00603885">
            <w:pPr>
              <w:pStyle w:val="TableText"/>
              <w:spacing w:before="50" w:after="50"/>
            </w:pPr>
            <w:r w:rsidRPr="003D02AA">
              <w:t>Mortality (LC50)</w:t>
            </w:r>
          </w:p>
        </w:tc>
        <w:tc>
          <w:tcPr>
            <w:tcW w:w="405" w:type="pct"/>
            <w:tcBorders>
              <w:top w:val="single" w:sz="4" w:space="0" w:color="auto"/>
              <w:bottom w:val="single" w:sz="4" w:space="0" w:color="auto"/>
            </w:tcBorders>
            <w:shd w:val="clear" w:color="auto" w:fill="auto"/>
            <w:hideMark/>
          </w:tcPr>
          <w:p w14:paraId="653C7CFC" w14:textId="77777777" w:rsidR="008F66CC" w:rsidRPr="003D02AA" w:rsidRDefault="008F66CC" w:rsidP="00603885">
            <w:pPr>
              <w:pStyle w:val="TableText"/>
              <w:spacing w:before="50" w:after="50"/>
            </w:pPr>
            <w:r w:rsidRPr="003D02AA">
              <w:t>Seawater (28‰)</w:t>
            </w:r>
          </w:p>
        </w:tc>
        <w:tc>
          <w:tcPr>
            <w:tcW w:w="304" w:type="pct"/>
            <w:tcBorders>
              <w:top w:val="single" w:sz="4" w:space="0" w:color="auto"/>
              <w:bottom w:val="single" w:sz="4" w:space="0" w:color="auto"/>
            </w:tcBorders>
            <w:shd w:val="clear" w:color="auto" w:fill="auto"/>
            <w:noWrap/>
            <w:hideMark/>
          </w:tcPr>
          <w:p w14:paraId="5C93ABEF" w14:textId="77777777" w:rsidR="008F66CC" w:rsidRPr="003D02AA" w:rsidRDefault="008F66CC" w:rsidP="00603885">
            <w:pPr>
              <w:pStyle w:val="TableText"/>
              <w:spacing w:before="50" w:after="50"/>
            </w:pPr>
            <w:r w:rsidRPr="003D02AA">
              <w:t>15</w:t>
            </w:r>
          </w:p>
        </w:tc>
        <w:tc>
          <w:tcPr>
            <w:tcW w:w="506" w:type="pct"/>
            <w:tcBorders>
              <w:top w:val="single" w:sz="4" w:space="0" w:color="auto"/>
              <w:bottom w:val="single" w:sz="4" w:space="0" w:color="auto"/>
            </w:tcBorders>
            <w:shd w:val="clear" w:color="auto" w:fill="auto"/>
            <w:noWrap/>
            <w:hideMark/>
          </w:tcPr>
          <w:p w14:paraId="2837C83E" w14:textId="77777777" w:rsidR="008F66CC" w:rsidRPr="009D4C70" w:rsidRDefault="008F66CC" w:rsidP="00603885">
            <w:pPr>
              <w:pStyle w:val="TableText"/>
              <w:spacing w:before="50" w:after="50"/>
              <w:rPr>
                <w:b/>
                <w:bCs/>
              </w:rPr>
            </w:pPr>
            <w:r w:rsidRPr="009D4C70">
              <w:rPr>
                <w:b/>
                <w:bCs/>
              </w:rPr>
              <w:t>32</w:t>
            </w:r>
          </w:p>
        </w:tc>
        <w:tc>
          <w:tcPr>
            <w:tcW w:w="1001" w:type="pct"/>
            <w:tcBorders>
              <w:top w:val="single" w:sz="4" w:space="0" w:color="auto"/>
              <w:bottom w:val="single" w:sz="4" w:space="0" w:color="auto"/>
            </w:tcBorders>
            <w:shd w:val="clear" w:color="auto" w:fill="auto"/>
            <w:hideMark/>
          </w:tcPr>
          <w:p w14:paraId="4D9921F8" w14:textId="77777777" w:rsidR="008F66CC" w:rsidRDefault="008F66CC" w:rsidP="00603885">
            <w:pPr>
              <w:pStyle w:val="TableText"/>
              <w:spacing w:before="50" w:after="50"/>
            </w:pPr>
            <w:r w:rsidRPr="003D02AA">
              <w:t>Thatcher 1978</w:t>
            </w:r>
          </w:p>
          <w:p w14:paraId="7F09B2E2" w14:textId="44CB80AC" w:rsidR="008F66CC" w:rsidRPr="003D02AA" w:rsidRDefault="008F66CC" w:rsidP="00603885">
            <w:pPr>
              <w:pStyle w:val="TableText"/>
              <w:spacing w:before="50" w:after="50"/>
            </w:pPr>
            <w:r w:rsidRPr="00CC0E62">
              <w:rPr>
                <w:b/>
                <w:bCs/>
              </w:rPr>
              <w:t>Value used in SSD</w:t>
            </w:r>
          </w:p>
        </w:tc>
      </w:tr>
      <w:tr w:rsidR="008F66CC" w:rsidRPr="003D02AA" w14:paraId="07E59433" w14:textId="77777777" w:rsidTr="00141D27">
        <w:tblPrEx>
          <w:tblBorders>
            <w:top w:val="none" w:sz="0" w:space="0" w:color="auto"/>
            <w:bottom w:val="none" w:sz="0" w:space="0" w:color="auto"/>
            <w:insideH w:val="none" w:sz="0" w:space="0" w:color="auto"/>
          </w:tblBorders>
        </w:tblPrEx>
        <w:trPr>
          <w:cantSplit/>
        </w:trPr>
        <w:tc>
          <w:tcPr>
            <w:tcW w:w="474" w:type="pct"/>
            <w:vMerge/>
            <w:tcBorders>
              <w:bottom w:val="single" w:sz="12" w:space="0" w:color="auto"/>
            </w:tcBorders>
            <w:shd w:val="clear" w:color="auto" w:fill="auto"/>
          </w:tcPr>
          <w:p w14:paraId="64591C37" w14:textId="77777777" w:rsidR="008F66CC" w:rsidRPr="003D02AA" w:rsidRDefault="008F66CC" w:rsidP="00603885">
            <w:pPr>
              <w:pStyle w:val="TableText"/>
              <w:spacing w:before="50" w:after="50"/>
            </w:pPr>
          </w:p>
        </w:tc>
        <w:tc>
          <w:tcPr>
            <w:tcW w:w="739" w:type="pct"/>
            <w:tcBorders>
              <w:top w:val="single" w:sz="4" w:space="0" w:color="auto"/>
              <w:bottom w:val="single" w:sz="4" w:space="0" w:color="auto"/>
            </w:tcBorders>
            <w:shd w:val="clear" w:color="auto" w:fill="auto"/>
            <w:hideMark/>
          </w:tcPr>
          <w:p w14:paraId="499C5BF2" w14:textId="77777777" w:rsidR="008F66CC" w:rsidRPr="003D02AA" w:rsidRDefault="008F66CC" w:rsidP="00603885">
            <w:pPr>
              <w:pStyle w:val="TableText"/>
              <w:spacing w:before="50" w:after="50"/>
            </w:pPr>
            <w:r w:rsidRPr="003D02AA">
              <w:rPr>
                <w:i/>
                <w:iCs/>
              </w:rPr>
              <w:t>Clupea harengus pailasi</w:t>
            </w:r>
          </w:p>
        </w:tc>
        <w:tc>
          <w:tcPr>
            <w:tcW w:w="357" w:type="pct"/>
            <w:tcBorders>
              <w:top w:val="single" w:sz="4" w:space="0" w:color="auto"/>
              <w:bottom w:val="single" w:sz="4" w:space="0" w:color="auto"/>
            </w:tcBorders>
            <w:shd w:val="clear" w:color="auto" w:fill="auto"/>
            <w:noWrap/>
            <w:hideMark/>
          </w:tcPr>
          <w:p w14:paraId="0E803752" w14:textId="77777777" w:rsidR="008F66CC" w:rsidRPr="003D02AA" w:rsidRDefault="008F66CC" w:rsidP="00603885">
            <w:pPr>
              <w:pStyle w:val="TableText"/>
              <w:spacing w:before="50" w:after="50"/>
            </w:pPr>
            <w:r w:rsidRPr="003D02AA">
              <w:t>Juvenile</w:t>
            </w:r>
          </w:p>
        </w:tc>
        <w:tc>
          <w:tcPr>
            <w:tcW w:w="354" w:type="pct"/>
            <w:tcBorders>
              <w:top w:val="single" w:sz="4" w:space="0" w:color="auto"/>
              <w:bottom w:val="single" w:sz="4" w:space="0" w:color="auto"/>
            </w:tcBorders>
            <w:shd w:val="clear" w:color="auto" w:fill="auto"/>
            <w:hideMark/>
          </w:tcPr>
          <w:p w14:paraId="67D7078C" w14:textId="77777777" w:rsidR="008F66CC" w:rsidRPr="003D02AA" w:rsidRDefault="008F66CC" w:rsidP="00603885">
            <w:pPr>
              <w:pStyle w:val="TableText"/>
              <w:spacing w:before="50" w:after="50"/>
            </w:pPr>
            <w:r w:rsidRPr="003D02AA">
              <w:t>96</w:t>
            </w:r>
            <w:r>
              <w:t> h</w:t>
            </w:r>
          </w:p>
        </w:tc>
        <w:tc>
          <w:tcPr>
            <w:tcW w:w="455" w:type="pct"/>
            <w:tcBorders>
              <w:top w:val="single" w:sz="4" w:space="0" w:color="auto"/>
              <w:bottom w:val="single" w:sz="4" w:space="0" w:color="auto"/>
            </w:tcBorders>
            <w:shd w:val="clear" w:color="auto" w:fill="auto"/>
            <w:hideMark/>
          </w:tcPr>
          <w:p w14:paraId="3F497FFE" w14:textId="77777777" w:rsidR="008F66CC" w:rsidRPr="003D02AA" w:rsidRDefault="008F66CC" w:rsidP="00603885">
            <w:pPr>
              <w:pStyle w:val="TableText"/>
              <w:spacing w:before="50" w:after="50"/>
            </w:pPr>
            <w:r w:rsidRPr="005100F3">
              <w:t>Flow</w:t>
            </w:r>
            <w:r>
              <w:t>-</w:t>
            </w:r>
            <w:r w:rsidRPr="005100F3">
              <w:t>through</w:t>
            </w:r>
          </w:p>
        </w:tc>
        <w:tc>
          <w:tcPr>
            <w:tcW w:w="405" w:type="pct"/>
            <w:tcBorders>
              <w:top w:val="single" w:sz="4" w:space="0" w:color="auto"/>
              <w:bottom w:val="single" w:sz="4" w:space="0" w:color="auto"/>
            </w:tcBorders>
            <w:shd w:val="clear" w:color="auto" w:fill="auto"/>
            <w:hideMark/>
          </w:tcPr>
          <w:p w14:paraId="01C00FF7" w14:textId="77777777" w:rsidR="008F66CC" w:rsidRPr="003D02AA" w:rsidRDefault="008F66CC" w:rsidP="00603885">
            <w:pPr>
              <w:pStyle w:val="TableText"/>
              <w:spacing w:before="50" w:after="50"/>
            </w:pPr>
            <w:r w:rsidRPr="003D02AA">
              <w:t>Mortality (LC50)</w:t>
            </w:r>
          </w:p>
        </w:tc>
        <w:tc>
          <w:tcPr>
            <w:tcW w:w="405" w:type="pct"/>
            <w:tcBorders>
              <w:top w:val="single" w:sz="4" w:space="0" w:color="auto"/>
              <w:bottom w:val="single" w:sz="4" w:space="0" w:color="auto"/>
            </w:tcBorders>
            <w:shd w:val="clear" w:color="auto" w:fill="auto"/>
            <w:hideMark/>
          </w:tcPr>
          <w:p w14:paraId="40311E4B" w14:textId="77777777" w:rsidR="008F66CC" w:rsidRPr="003D02AA" w:rsidRDefault="008F66CC" w:rsidP="00603885">
            <w:pPr>
              <w:pStyle w:val="TableText"/>
              <w:spacing w:before="50" w:after="50"/>
            </w:pPr>
            <w:r w:rsidRPr="003D02AA">
              <w:t>Seawater (28‰)</w:t>
            </w:r>
          </w:p>
        </w:tc>
        <w:tc>
          <w:tcPr>
            <w:tcW w:w="304" w:type="pct"/>
            <w:tcBorders>
              <w:top w:val="single" w:sz="4" w:space="0" w:color="auto"/>
              <w:bottom w:val="single" w:sz="4" w:space="0" w:color="auto"/>
            </w:tcBorders>
            <w:shd w:val="clear" w:color="auto" w:fill="auto"/>
            <w:noWrap/>
            <w:hideMark/>
          </w:tcPr>
          <w:p w14:paraId="3763F97E" w14:textId="77777777" w:rsidR="008F66CC" w:rsidRPr="003D02AA" w:rsidRDefault="008F66CC" w:rsidP="00603885">
            <w:pPr>
              <w:pStyle w:val="TableText"/>
              <w:spacing w:before="50" w:after="50"/>
            </w:pPr>
            <w:r w:rsidRPr="003D02AA">
              <w:t>15</w:t>
            </w:r>
          </w:p>
        </w:tc>
        <w:tc>
          <w:tcPr>
            <w:tcW w:w="506" w:type="pct"/>
            <w:tcBorders>
              <w:top w:val="single" w:sz="4" w:space="0" w:color="auto"/>
              <w:bottom w:val="single" w:sz="4" w:space="0" w:color="auto"/>
            </w:tcBorders>
            <w:shd w:val="clear" w:color="auto" w:fill="auto"/>
            <w:hideMark/>
          </w:tcPr>
          <w:p w14:paraId="116723E1" w14:textId="77777777" w:rsidR="008F66CC" w:rsidRPr="009D4C70" w:rsidRDefault="008F66CC" w:rsidP="00603885">
            <w:pPr>
              <w:pStyle w:val="TableText"/>
              <w:spacing w:before="50" w:after="50"/>
              <w:rPr>
                <w:b/>
                <w:bCs/>
              </w:rPr>
            </w:pPr>
            <w:r w:rsidRPr="009D4C70">
              <w:rPr>
                <w:b/>
                <w:bCs/>
              </w:rPr>
              <w:t>65</w:t>
            </w:r>
          </w:p>
        </w:tc>
        <w:tc>
          <w:tcPr>
            <w:tcW w:w="1001" w:type="pct"/>
            <w:tcBorders>
              <w:top w:val="single" w:sz="4" w:space="0" w:color="auto"/>
              <w:bottom w:val="single" w:sz="4" w:space="0" w:color="auto"/>
            </w:tcBorders>
            <w:shd w:val="clear" w:color="auto" w:fill="auto"/>
            <w:hideMark/>
          </w:tcPr>
          <w:p w14:paraId="049EC8E5" w14:textId="77777777" w:rsidR="008F66CC" w:rsidRDefault="008F66CC" w:rsidP="00603885">
            <w:pPr>
              <w:pStyle w:val="TableText"/>
              <w:spacing w:before="50" w:after="50"/>
            </w:pPr>
            <w:r w:rsidRPr="003D02AA">
              <w:t>Thatcher 1978</w:t>
            </w:r>
          </w:p>
          <w:p w14:paraId="3CD81EB1" w14:textId="4E142A97" w:rsidR="008F66CC" w:rsidRPr="003D02AA" w:rsidRDefault="008F66CC" w:rsidP="00603885">
            <w:pPr>
              <w:pStyle w:val="TableText"/>
              <w:spacing w:before="50" w:after="50"/>
            </w:pPr>
            <w:r w:rsidRPr="00CC0E62">
              <w:rPr>
                <w:b/>
                <w:bCs/>
              </w:rPr>
              <w:t>Value used in SSD</w:t>
            </w:r>
          </w:p>
        </w:tc>
      </w:tr>
      <w:tr w:rsidR="008F66CC" w:rsidRPr="003D02AA" w14:paraId="292EFF82" w14:textId="77777777" w:rsidTr="00141D27">
        <w:tblPrEx>
          <w:tblBorders>
            <w:top w:val="none" w:sz="0" w:space="0" w:color="auto"/>
            <w:bottom w:val="none" w:sz="0" w:space="0" w:color="auto"/>
            <w:insideH w:val="none" w:sz="0" w:space="0" w:color="auto"/>
          </w:tblBorders>
        </w:tblPrEx>
        <w:trPr>
          <w:cantSplit/>
        </w:trPr>
        <w:tc>
          <w:tcPr>
            <w:tcW w:w="474" w:type="pct"/>
            <w:vMerge/>
            <w:tcBorders>
              <w:bottom w:val="single" w:sz="12" w:space="0" w:color="auto"/>
            </w:tcBorders>
            <w:shd w:val="clear" w:color="auto" w:fill="auto"/>
          </w:tcPr>
          <w:p w14:paraId="0D732526" w14:textId="77777777" w:rsidR="008F66CC" w:rsidRPr="003D02AA" w:rsidRDefault="008F66CC" w:rsidP="00603885">
            <w:pPr>
              <w:pStyle w:val="TableText"/>
              <w:spacing w:before="50" w:after="50"/>
            </w:pPr>
          </w:p>
        </w:tc>
        <w:tc>
          <w:tcPr>
            <w:tcW w:w="739" w:type="pct"/>
            <w:tcBorders>
              <w:top w:val="single" w:sz="4" w:space="0" w:color="auto"/>
              <w:bottom w:val="single" w:sz="4" w:space="0" w:color="auto"/>
            </w:tcBorders>
            <w:shd w:val="clear" w:color="auto" w:fill="auto"/>
            <w:hideMark/>
          </w:tcPr>
          <w:p w14:paraId="1564D443" w14:textId="77777777" w:rsidR="008F66CC" w:rsidRPr="003D02AA" w:rsidRDefault="008F66CC" w:rsidP="00603885">
            <w:pPr>
              <w:pStyle w:val="TableText"/>
              <w:spacing w:before="50" w:after="50"/>
            </w:pPr>
            <w:r w:rsidRPr="003D02AA">
              <w:rPr>
                <w:i/>
                <w:iCs/>
              </w:rPr>
              <w:t>Gasterosteus aculeatus</w:t>
            </w:r>
          </w:p>
        </w:tc>
        <w:tc>
          <w:tcPr>
            <w:tcW w:w="357" w:type="pct"/>
            <w:tcBorders>
              <w:top w:val="single" w:sz="4" w:space="0" w:color="auto"/>
              <w:bottom w:val="single" w:sz="4" w:space="0" w:color="auto"/>
            </w:tcBorders>
            <w:shd w:val="clear" w:color="auto" w:fill="auto"/>
            <w:hideMark/>
          </w:tcPr>
          <w:p w14:paraId="582FBD52" w14:textId="77777777" w:rsidR="008F66CC" w:rsidRPr="003D02AA" w:rsidRDefault="008F66CC" w:rsidP="00603885">
            <w:pPr>
              <w:pStyle w:val="TableText"/>
              <w:spacing w:before="50" w:after="50"/>
            </w:pPr>
            <w:r w:rsidRPr="003D02AA">
              <w:t>Juvenile and adult</w:t>
            </w:r>
          </w:p>
        </w:tc>
        <w:tc>
          <w:tcPr>
            <w:tcW w:w="354" w:type="pct"/>
            <w:tcBorders>
              <w:top w:val="single" w:sz="4" w:space="0" w:color="auto"/>
              <w:bottom w:val="single" w:sz="4" w:space="0" w:color="auto"/>
            </w:tcBorders>
            <w:shd w:val="clear" w:color="auto" w:fill="auto"/>
            <w:hideMark/>
          </w:tcPr>
          <w:p w14:paraId="3A7EC85C" w14:textId="77777777" w:rsidR="008F66CC" w:rsidRPr="003D02AA" w:rsidRDefault="008F66CC" w:rsidP="00603885">
            <w:pPr>
              <w:pStyle w:val="TableText"/>
              <w:spacing w:before="50" w:after="50"/>
            </w:pPr>
            <w:r w:rsidRPr="003D02AA">
              <w:t>96</w:t>
            </w:r>
            <w:r>
              <w:t> h</w:t>
            </w:r>
          </w:p>
        </w:tc>
        <w:tc>
          <w:tcPr>
            <w:tcW w:w="455" w:type="pct"/>
            <w:tcBorders>
              <w:top w:val="single" w:sz="4" w:space="0" w:color="auto"/>
              <w:bottom w:val="single" w:sz="4" w:space="0" w:color="auto"/>
            </w:tcBorders>
            <w:shd w:val="clear" w:color="auto" w:fill="auto"/>
            <w:hideMark/>
          </w:tcPr>
          <w:p w14:paraId="2CD93588" w14:textId="77777777" w:rsidR="008F66CC" w:rsidRPr="003D02AA" w:rsidRDefault="008F66CC" w:rsidP="00603885">
            <w:pPr>
              <w:pStyle w:val="TableText"/>
              <w:spacing w:before="50" w:after="50"/>
            </w:pPr>
            <w:r w:rsidRPr="005100F3">
              <w:t>Flow</w:t>
            </w:r>
            <w:r>
              <w:t>-</w:t>
            </w:r>
            <w:r w:rsidRPr="005100F3">
              <w:t>through</w:t>
            </w:r>
          </w:p>
        </w:tc>
        <w:tc>
          <w:tcPr>
            <w:tcW w:w="405" w:type="pct"/>
            <w:tcBorders>
              <w:top w:val="single" w:sz="4" w:space="0" w:color="auto"/>
              <w:bottom w:val="single" w:sz="4" w:space="0" w:color="auto"/>
            </w:tcBorders>
            <w:shd w:val="clear" w:color="auto" w:fill="auto"/>
            <w:hideMark/>
          </w:tcPr>
          <w:p w14:paraId="23E78085" w14:textId="77777777" w:rsidR="008F66CC" w:rsidRPr="003D02AA" w:rsidRDefault="008F66CC" w:rsidP="00603885">
            <w:pPr>
              <w:pStyle w:val="TableText"/>
              <w:spacing w:before="50" w:after="50"/>
            </w:pPr>
            <w:r w:rsidRPr="003D02AA">
              <w:t>Mortality (LC50)</w:t>
            </w:r>
          </w:p>
        </w:tc>
        <w:tc>
          <w:tcPr>
            <w:tcW w:w="405" w:type="pct"/>
            <w:tcBorders>
              <w:top w:val="single" w:sz="4" w:space="0" w:color="auto"/>
              <w:bottom w:val="single" w:sz="4" w:space="0" w:color="auto"/>
            </w:tcBorders>
            <w:shd w:val="clear" w:color="auto" w:fill="auto"/>
            <w:hideMark/>
          </w:tcPr>
          <w:p w14:paraId="033A2731" w14:textId="77777777" w:rsidR="008F66CC" w:rsidRPr="003D02AA" w:rsidRDefault="008F66CC" w:rsidP="00603885">
            <w:pPr>
              <w:pStyle w:val="TableText"/>
              <w:spacing w:before="50" w:after="50"/>
            </w:pPr>
            <w:r w:rsidRPr="003D02AA">
              <w:t>Seawater (28‰)</w:t>
            </w:r>
          </w:p>
        </w:tc>
        <w:tc>
          <w:tcPr>
            <w:tcW w:w="304" w:type="pct"/>
            <w:tcBorders>
              <w:top w:val="single" w:sz="4" w:space="0" w:color="auto"/>
              <w:bottom w:val="single" w:sz="4" w:space="0" w:color="auto"/>
            </w:tcBorders>
            <w:shd w:val="clear" w:color="auto" w:fill="auto"/>
            <w:noWrap/>
            <w:hideMark/>
          </w:tcPr>
          <w:p w14:paraId="68FE311B" w14:textId="77777777" w:rsidR="008F66CC" w:rsidRPr="003D02AA" w:rsidRDefault="008F66CC" w:rsidP="00603885">
            <w:pPr>
              <w:pStyle w:val="TableText"/>
              <w:spacing w:before="50" w:after="50"/>
            </w:pPr>
            <w:r w:rsidRPr="003D02AA">
              <w:t>15</w:t>
            </w:r>
          </w:p>
        </w:tc>
        <w:tc>
          <w:tcPr>
            <w:tcW w:w="506" w:type="pct"/>
            <w:tcBorders>
              <w:top w:val="single" w:sz="4" w:space="0" w:color="auto"/>
              <w:bottom w:val="single" w:sz="4" w:space="0" w:color="auto"/>
            </w:tcBorders>
            <w:shd w:val="clear" w:color="auto" w:fill="auto"/>
            <w:hideMark/>
          </w:tcPr>
          <w:p w14:paraId="7AAEBC63" w14:textId="77777777" w:rsidR="008F66CC" w:rsidRPr="009D4C70" w:rsidRDefault="008F66CC" w:rsidP="00603885">
            <w:pPr>
              <w:pStyle w:val="TableText"/>
              <w:spacing w:before="50" w:after="50"/>
              <w:rPr>
                <w:b/>
                <w:bCs/>
              </w:rPr>
            </w:pPr>
            <w:r w:rsidRPr="009D4C70">
              <w:rPr>
                <w:b/>
                <w:bCs/>
              </w:rPr>
              <w:t>167</w:t>
            </w:r>
          </w:p>
        </w:tc>
        <w:tc>
          <w:tcPr>
            <w:tcW w:w="1001" w:type="pct"/>
            <w:tcBorders>
              <w:top w:val="single" w:sz="4" w:space="0" w:color="auto"/>
              <w:bottom w:val="single" w:sz="4" w:space="0" w:color="auto"/>
            </w:tcBorders>
            <w:shd w:val="clear" w:color="auto" w:fill="auto"/>
            <w:hideMark/>
          </w:tcPr>
          <w:p w14:paraId="0688006B" w14:textId="77777777" w:rsidR="008F66CC" w:rsidRDefault="008F66CC" w:rsidP="00603885">
            <w:pPr>
              <w:pStyle w:val="TableText"/>
              <w:spacing w:before="50" w:after="50"/>
            </w:pPr>
            <w:r w:rsidRPr="003D02AA">
              <w:t>Thatcher 1978</w:t>
            </w:r>
          </w:p>
          <w:p w14:paraId="1C7E222B" w14:textId="76B2B01B" w:rsidR="008F66CC" w:rsidRPr="003D02AA" w:rsidRDefault="008F66CC" w:rsidP="00603885">
            <w:pPr>
              <w:pStyle w:val="TableText"/>
              <w:spacing w:before="50" w:after="50"/>
            </w:pPr>
            <w:r w:rsidRPr="00CC0E62">
              <w:rPr>
                <w:b/>
                <w:bCs/>
              </w:rPr>
              <w:t>Value used in SSD</w:t>
            </w:r>
          </w:p>
        </w:tc>
      </w:tr>
      <w:tr w:rsidR="008F66CC" w:rsidRPr="003D02AA" w14:paraId="419A1612" w14:textId="77777777" w:rsidTr="00141D27">
        <w:tblPrEx>
          <w:tblBorders>
            <w:top w:val="none" w:sz="0" w:space="0" w:color="auto"/>
            <w:bottom w:val="none" w:sz="0" w:space="0" w:color="auto"/>
            <w:insideH w:val="none" w:sz="0" w:space="0" w:color="auto"/>
          </w:tblBorders>
        </w:tblPrEx>
        <w:trPr>
          <w:cantSplit/>
        </w:trPr>
        <w:tc>
          <w:tcPr>
            <w:tcW w:w="474" w:type="pct"/>
            <w:vMerge/>
            <w:tcBorders>
              <w:bottom w:val="single" w:sz="12" w:space="0" w:color="auto"/>
            </w:tcBorders>
            <w:shd w:val="clear" w:color="auto" w:fill="auto"/>
          </w:tcPr>
          <w:p w14:paraId="0B0CE856" w14:textId="77777777" w:rsidR="008F66CC" w:rsidRPr="003D02AA" w:rsidRDefault="008F66CC" w:rsidP="00603885">
            <w:pPr>
              <w:pStyle w:val="TableText"/>
              <w:spacing w:before="50" w:after="50"/>
            </w:pPr>
          </w:p>
        </w:tc>
        <w:tc>
          <w:tcPr>
            <w:tcW w:w="739" w:type="pct"/>
            <w:tcBorders>
              <w:top w:val="single" w:sz="4" w:space="0" w:color="auto"/>
              <w:bottom w:val="single" w:sz="4" w:space="0" w:color="auto"/>
            </w:tcBorders>
            <w:shd w:val="clear" w:color="auto" w:fill="auto"/>
            <w:hideMark/>
          </w:tcPr>
          <w:p w14:paraId="0939D102" w14:textId="77777777" w:rsidR="008F66CC" w:rsidRPr="003D02AA" w:rsidRDefault="008F66CC" w:rsidP="00603885">
            <w:pPr>
              <w:pStyle w:val="TableText"/>
              <w:spacing w:before="50" w:after="50"/>
            </w:pPr>
            <w:r w:rsidRPr="003D02AA">
              <w:rPr>
                <w:i/>
                <w:iCs/>
              </w:rPr>
              <w:t>Cymatogaster aggregata</w:t>
            </w:r>
          </w:p>
        </w:tc>
        <w:tc>
          <w:tcPr>
            <w:tcW w:w="357" w:type="pct"/>
            <w:tcBorders>
              <w:top w:val="single" w:sz="4" w:space="0" w:color="auto"/>
              <w:bottom w:val="single" w:sz="4" w:space="0" w:color="auto"/>
            </w:tcBorders>
            <w:shd w:val="clear" w:color="auto" w:fill="auto"/>
            <w:hideMark/>
          </w:tcPr>
          <w:p w14:paraId="0A140230" w14:textId="77777777" w:rsidR="008F66CC" w:rsidRPr="003D02AA" w:rsidRDefault="008F66CC" w:rsidP="00603885">
            <w:pPr>
              <w:pStyle w:val="TableText"/>
              <w:spacing w:before="50" w:after="50"/>
            </w:pPr>
            <w:r w:rsidRPr="003D02AA">
              <w:t>Juvenile and adult</w:t>
            </w:r>
          </w:p>
        </w:tc>
        <w:tc>
          <w:tcPr>
            <w:tcW w:w="354" w:type="pct"/>
            <w:tcBorders>
              <w:top w:val="single" w:sz="4" w:space="0" w:color="auto"/>
              <w:bottom w:val="single" w:sz="4" w:space="0" w:color="auto"/>
            </w:tcBorders>
            <w:shd w:val="clear" w:color="auto" w:fill="auto"/>
            <w:hideMark/>
          </w:tcPr>
          <w:p w14:paraId="3CA4915A" w14:textId="77777777" w:rsidR="008F66CC" w:rsidRPr="003D02AA" w:rsidRDefault="008F66CC" w:rsidP="00603885">
            <w:pPr>
              <w:pStyle w:val="TableText"/>
              <w:spacing w:before="50" w:after="50"/>
            </w:pPr>
            <w:r w:rsidRPr="003D02AA">
              <w:t>96</w:t>
            </w:r>
            <w:r>
              <w:t> h</w:t>
            </w:r>
          </w:p>
        </w:tc>
        <w:tc>
          <w:tcPr>
            <w:tcW w:w="455" w:type="pct"/>
            <w:tcBorders>
              <w:top w:val="single" w:sz="4" w:space="0" w:color="auto"/>
              <w:bottom w:val="single" w:sz="4" w:space="0" w:color="auto"/>
            </w:tcBorders>
            <w:shd w:val="clear" w:color="auto" w:fill="auto"/>
            <w:hideMark/>
          </w:tcPr>
          <w:p w14:paraId="10690017" w14:textId="77777777" w:rsidR="008F66CC" w:rsidRPr="003D02AA" w:rsidRDefault="008F66CC" w:rsidP="00603885">
            <w:pPr>
              <w:pStyle w:val="TableText"/>
              <w:spacing w:before="50" w:after="50"/>
            </w:pPr>
            <w:r w:rsidRPr="005100F3">
              <w:t>Flow</w:t>
            </w:r>
            <w:r>
              <w:t>-</w:t>
            </w:r>
            <w:r w:rsidRPr="005100F3">
              <w:t>through</w:t>
            </w:r>
          </w:p>
        </w:tc>
        <w:tc>
          <w:tcPr>
            <w:tcW w:w="405" w:type="pct"/>
            <w:tcBorders>
              <w:top w:val="single" w:sz="4" w:space="0" w:color="auto"/>
              <w:bottom w:val="single" w:sz="4" w:space="0" w:color="auto"/>
            </w:tcBorders>
            <w:shd w:val="clear" w:color="auto" w:fill="auto"/>
            <w:hideMark/>
          </w:tcPr>
          <w:p w14:paraId="27353664" w14:textId="77777777" w:rsidR="008F66CC" w:rsidRPr="003D02AA" w:rsidRDefault="008F66CC" w:rsidP="00603885">
            <w:pPr>
              <w:pStyle w:val="TableText"/>
              <w:spacing w:before="50" w:after="50"/>
            </w:pPr>
            <w:r w:rsidRPr="003D02AA">
              <w:t>Mortality (LC50)</w:t>
            </w:r>
          </w:p>
        </w:tc>
        <w:tc>
          <w:tcPr>
            <w:tcW w:w="405" w:type="pct"/>
            <w:tcBorders>
              <w:top w:val="single" w:sz="4" w:space="0" w:color="auto"/>
              <w:bottom w:val="single" w:sz="4" w:space="0" w:color="auto"/>
            </w:tcBorders>
            <w:shd w:val="clear" w:color="auto" w:fill="auto"/>
            <w:hideMark/>
          </w:tcPr>
          <w:p w14:paraId="3F747178" w14:textId="77777777" w:rsidR="008F66CC" w:rsidRPr="003D02AA" w:rsidRDefault="008F66CC" w:rsidP="00603885">
            <w:pPr>
              <w:pStyle w:val="TableText"/>
              <w:spacing w:before="50" w:after="50"/>
            </w:pPr>
            <w:r w:rsidRPr="003D02AA">
              <w:t>Seawater (28‰)</w:t>
            </w:r>
          </w:p>
        </w:tc>
        <w:tc>
          <w:tcPr>
            <w:tcW w:w="304" w:type="pct"/>
            <w:tcBorders>
              <w:top w:val="single" w:sz="4" w:space="0" w:color="auto"/>
              <w:bottom w:val="single" w:sz="4" w:space="0" w:color="auto"/>
            </w:tcBorders>
            <w:shd w:val="clear" w:color="auto" w:fill="auto"/>
            <w:noWrap/>
            <w:hideMark/>
          </w:tcPr>
          <w:p w14:paraId="7131EBF2" w14:textId="77777777" w:rsidR="008F66CC" w:rsidRPr="003D02AA" w:rsidRDefault="008F66CC" w:rsidP="00603885">
            <w:pPr>
              <w:pStyle w:val="TableText"/>
              <w:spacing w:before="50" w:after="50"/>
            </w:pPr>
            <w:r w:rsidRPr="003D02AA">
              <w:t>15</w:t>
            </w:r>
          </w:p>
        </w:tc>
        <w:tc>
          <w:tcPr>
            <w:tcW w:w="506" w:type="pct"/>
            <w:tcBorders>
              <w:top w:val="single" w:sz="4" w:space="0" w:color="auto"/>
              <w:bottom w:val="single" w:sz="4" w:space="0" w:color="auto"/>
            </w:tcBorders>
            <w:shd w:val="clear" w:color="auto" w:fill="auto"/>
            <w:hideMark/>
          </w:tcPr>
          <w:p w14:paraId="23359D93" w14:textId="77777777" w:rsidR="008F66CC" w:rsidRPr="009D4C70" w:rsidRDefault="008F66CC" w:rsidP="00603885">
            <w:pPr>
              <w:pStyle w:val="TableText"/>
              <w:spacing w:before="50" w:after="50"/>
              <w:rPr>
                <w:b/>
                <w:bCs/>
              </w:rPr>
            </w:pPr>
            <w:r w:rsidRPr="009D4C70">
              <w:rPr>
                <w:b/>
                <w:bCs/>
              </w:rPr>
              <w:t>71</w:t>
            </w:r>
          </w:p>
        </w:tc>
        <w:tc>
          <w:tcPr>
            <w:tcW w:w="1001" w:type="pct"/>
            <w:tcBorders>
              <w:top w:val="single" w:sz="4" w:space="0" w:color="auto"/>
              <w:bottom w:val="single" w:sz="4" w:space="0" w:color="auto"/>
            </w:tcBorders>
            <w:shd w:val="clear" w:color="auto" w:fill="auto"/>
            <w:hideMark/>
          </w:tcPr>
          <w:p w14:paraId="43DB15BE" w14:textId="77777777" w:rsidR="008F66CC" w:rsidRDefault="008F66CC" w:rsidP="00603885">
            <w:pPr>
              <w:pStyle w:val="TableText"/>
              <w:spacing w:before="50" w:after="50"/>
            </w:pPr>
            <w:r w:rsidRPr="003D02AA">
              <w:t>Thatcher 1978</w:t>
            </w:r>
          </w:p>
          <w:p w14:paraId="5AEAD137" w14:textId="401AE010" w:rsidR="008F66CC" w:rsidRPr="003D02AA" w:rsidRDefault="008F66CC" w:rsidP="00603885">
            <w:pPr>
              <w:pStyle w:val="TableText"/>
              <w:spacing w:before="50" w:after="50"/>
            </w:pPr>
            <w:r w:rsidRPr="00CC0E62">
              <w:rPr>
                <w:b/>
                <w:bCs/>
              </w:rPr>
              <w:t>Value used in SSD</w:t>
            </w:r>
          </w:p>
        </w:tc>
      </w:tr>
      <w:tr w:rsidR="008F66CC" w:rsidRPr="003D02AA" w14:paraId="2487B34C" w14:textId="77777777" w:rsidTr="00141D27">
        <w:tblPrEx>
          <w:tblBorders>
            <w:top w:val="none" w:sz="0" w:space="0" w:color="auto"/>
            <w:bottom w:val="none" w:sz="0" w:space="0" w:color="auto"/>
            <w:insideH w:val="none" w:sz="0" w:space="0" w:color="auto"/>
          </w:tblBorders>
        </w:tblPrEx>
        <w:trPr>
          <w:cantSplit/>
        </w:trPr>
        <w:tc>
          <w:tcPr>
            <w:tcW w:w="474" w:type="pct"/>
            <w:vMerge/>
            <w:tcBorders>
              <w:bottom w:val="single" w:sz="12" w:space="0" w:color="auto"/>
            </w:tcBorders>
            <w:shd w:val="clear" w:color="auto" w:fill="auto"/>
          </w:tcPr>
          <w:p w14:paraId="4F4D9B29" w14:textId="77777777" w:rsidR="008F66CC" w:rsidRPr="003D02AA" w:rsidRDefault="008F66CC" w:rsidP="00603885">
            <w:pPr>
              <w:pStyle w:val="TableText"/>
              <w:spacing w:before="50" w:after="50"/>
            </w:pPr>
          </w:p>
        </w:tc>
        <w:tc>
          <w:tcPr>
            <w:tcW w:w="739" w:type="pct"/>
            <w:tcBorders>
              <w:top w:val="single" w:sz="4" w:space="0" w:color="auto"/>
              <w:bottom w:val="single" w:sz="4" w:space="0" w:color="auto"/>
            </w:tcBorders>
            <w:shd w:val="clear" w:color="auto" w:fill="auto"/>
            <w:hideMark/>
          </w:tcPr>
          <w:p w14:paraId="6F465FF0" w14:textId="77777777" w:rsidR="008F66CC" w:rsidRPr="003D02AA" w:rsidRDefault="008F66CC" w:rsidP="00603885">
            <w:pPr>
              <w:pStyle w:val="TableText"/>
              <w:spacing w:before="50" w:after="50"/>
            </w:pPr>
            <w:r w:rsidRPr="003D02AA">
              <w:rPr>
                <w:i/>
                <w:iCs/>
              </w:rPr>
              <w:t>Ammodytes hexapterus</w:t>
            </w:r>
          </w:p>
        </w:tc>
        <w:tc>
          <w:tcPr>
            <w:tcW w:w="357" w:type="pct"/>
            <w:tcBorders>
              <w:top w:val="single" w:sz="4" w:space="0" w:color="auto"/>
              <w:bottom w:val="single" w:sz="4" w:space="0" w:color="auto"/>
            </w:tcBorders>
            <w:shd w:val="clear" w:color="auto" w:fill="auto"/>
            <w:hideMark/>
          </w:tcPr>
          <w:p w14:paraId="79DB778A" w14:textId="77777777" w:rsidR="008F66CC" w:rsidRPr="003D02AA" w:rsidRDefault="008F66CC" w:rsidP="00603885">
            <w:pPr>
              <w:pStyle w:val="TableText"/>
              <w:spacing w:before="50" w:after="50"/>
            </w:pPr>
            <w:r w:rsidRPr="003D02AA">
              <w:t>Juvenile and adult</w:t>
            </w:r>
          </w:p>
        </w:tc>
        <w:tc>
          <w:tcPr>
            <w:tcW w:w="354" w:type="pct"/>
            <w:tcBorders>
              <w:top w:val="single" w:sz="4" w:space="0" w:color="auto"/>
              <w:bottom w:val="single" w:sz="4" w:space="0" w:color="auto"/>
            </w:tcBorders>
            <w:shd w:val="clear" w:color="auto" w:fill="auto"/>
            <w:hideMark/>
          </w:tcPr>
          <w:p w14:paraId="7385E4FD" w14:textId="77777777" w:rsidR="008F66CC" w:rsidRPr="003D02AA" w:rsidRDefault="008F66CC" w:rsidP="00603885">
            <w:pPr>
              <w:pStyle w:val="TableText"/>
              <w:spacing w:before="50" w:after="50"/>
            </w:pPr>
            <w:r w:rsidRPr="003D02AA">
              <w:t>96</w:t>
            </w:r>
            <w:r>
              <w:t> h</w:t>
            </w:r>
          </w:p>
        </w:tc>
        <w:tc>
          <w:tcPr>
            <w:tcW w:w="455" w:type="pct"/>
            <w:tcBorders>
              <w:top w:val="single" w:sz="4" w:space="0" w:color="auto"/>
              <w:bottom w:val="single" w:sz="4" w:space="0" w:color="auto"/>
            </w:tcBorders>
            <w:shd w:val="clear" w:color="auto" w:fill="auto"/>
            <w:hideMark/>
          </w:tcPr>
          <w:p w14:paraId="72AEA17D" w14:textId="77777777" w:rsidR="008F66CC" w:rsidRPr="003D02AA" w:rsidRDefault="008F66CC" w:rsidP="00603885">
            <w:pPr>
              <w:pStyle w:val="TableText"/>
              <w:spacing w:before="50" w:after="50"/>
            </w:pPr>
            <w:r w:rsidRPr="005100F3">
              <w:t>Flow</w:t>
            </w:r>
            <w:r>
              <w:t>-</w:t>
            </w:r>
            <w:r w:rsidRPr="005100F3">
              <w:t>through</w:t>
            </w:r>
          </w:p>
        </w:tc>
        <w:tc>
          <w:tcPr>
            <w:tcW w:w="405" w:type="pct"/>
            <w:tcBorders>
              <w:top w:val="single" w:sz="4" w:space="0" w:color="auto"/>
              <w:bottom w:val="single" w:sz="4" w:space="0" w:color="auto"/>
            </w:tcBorders>
            <w:shd w:val="clear" w:color="auto" w:fill="auto"/>
            <w:hideMark/>
          </w:tcPr>
          <w:p w14:paraId="307621B0" w14:textId="77777777" w:rsidR="008F66CC" w:rsidRPr="003D02AA" w:rsidRDefault="008F66CC" w:rsidP="00603885">
            <w:pPr>
              <w:pStyle w:val="TableText"/>
              <w:spacing w:before="50" w:after="50"/>
            </w:pPr>
            <w:r w:rsidRPr="003D02AA">
              <w:t>Mortality (LC50)</w:t>
            </w:r>
          </w:p>
        </w:tc>
        <w:tc>
          <w:tcPr>
            <w:tcW w:w="405" w:type="pct"/>
            <w:tcBorders>
              <w:top w:val="single" w:sz="4" w:space="0" w:color="auto"/>
              <w:bottom w:val="single" w:sz="4" w:space="0" w:color="auto"/>
            </w:tcBorders>
            <w:shd w:val="clear" w:color="auto" w:fill="auto"/>
            <w:hideMark/>
          </w:tcPr>
          <w:p w14:paraId="3EF7185B" w14:textId="77777777" w:rsidR="008F66CC" w:rsidRPr="003D02AA" w:rsidRDefault="008F66CC" w:rsidP="00603885">
            <w:pPr>
              <w:pStyle w:val="TableText"/>
              <w:spacing w:before="50" w:after="50"/>
            </w:pPr>
            <w:r w:rsidRPr="003D02AA">
              <w:t>Seawater (28‰)</w:t>
            </w:r>
          </w:p>
        </w:tc>
        <w:tc>
          <w:tcPr>
            <w:tcW w:w="304" w:type="pct"/>
            <w:tcBorders>
              <w:top w:val="single" w:sz="4" w:space="0" w:color="auto"/>
              <w:bottom w:val="single" w:sz="4" w:space="0" w:color="auto"/>
            </w:tcBorders>
            <w:shd w:val="clear" w:color="auto" w:fill="auto"/>
            <w:noWrap/>
            <w:hideMark/>
          </w:tcPr>
          <w:p w14:paraId="286E3679" w14:textId="77777777" w:rsidR="008F66CC" w:rsidRPr="003D02AA" w:rsidRDefault="008F66CC" w:rsidP="00603885">
            <w:pPr>
              <w:pStyle w:val="TableText"/>
              <w:spacing w:before="50" w:after="50"/>
            </w:pPr>
            <w:r w:rsidRPr="003D02AA">
              <w:t>15</w:t>
            </w:r>
          </w:p>
        </w:tc>
        <w:tc>
          <w:tcPr>
            <w:tcW w:w="506" w:type="pct"/>
            <w:tcBorders>
              <w:top w:val="single" w:sz="4" w:space="0" w:color="auto"/>
              <w:bottom w:val="single" w:sz="4" w:space="0" w:color="auto"/>
            </w:tcBorders>
            <w:shd w:val="clear" w:color="auto" w:fill="auto"/>
            <w:hideMark/>
          </w:tcPr>
          <w:p w14:paraId="272C8A83" w14:textId="77777777" w:rsidR="008F66CC" w:rsidRPr="009D4C70" w:rsidRDefault="008F66CC" w:rsidP="00603885">
            <w:pPr>
              <w:pStyle w:val="TableText"/>
              <w:spacing w:before="50" w:after="50"/>
              <w:rPr>
                <w:b/>
                <w:bCs/>
              </w:rPr>
            </w:pPr>
            <w:r w:rsidRPr="009D4C70">
              <w:rPr>
                <w:b/>
                <w:bCs/>
              </w:rPr>
              <w:t>82</w:t>
            </w:r>
          </w:p>
        </w:tc>
        <w:tc>
          <w:tcPr>
            <w:tcW w:w="1001" w:type="pct"/>
            <w:tcBorders>
              <w:top w:val="single" w:sz="4" w:space="0" w:color="auto"/>
              <w:bottom w:val="single" w:sz="4" w:space="0" w:color="auto"/>
            </w:tcBorders>
            <w:shd w:val="clear" w:color="auto" w:fill="auto"/>
            <w:hideMark/>
          </w:tcPr>
          <w:p w14:paraId="7F86D781" w14:textId="77777777" w:rsidR="008F66CC" w:rsidRDefault="008F66CC" w:rsidP="00603885">
            <w:pPr>
              <w:pStyle w:val="TableText"/>
              <w:spacing w:before="50" w:after="50"/>
            </w:pPr>
            <w:r w:rsidRPr="003D02AA">
              <w:t>Thatcher 1978</w:t>
            </w:r>
          </w:p>
          <w:p w14:paraId="72CA9329" w14:textId="6212A126" w:rsidR="008F66CC" w:rsidRPr="003D02AA" w:rsidRDefault="008F66CC" w:rsidP="00603885">
            <w:pPr>
              <w:pStyle w:val="TableText"/>
              <w:spacing w:before="50" w:after="50"/>
            </w:pPr>
            <w:r w:rsidRPr="00CC0E62">
              <w:rPr>
                <w:b/>
                <w:bCs/>
              </w:rPr>
              <w:t>Value used in SSD</w:t>
            </w:r>
          </w:p>
        </w:tc>
      </w:tr>
      <w:tr w:rsidR="008F66CC" w:rsidRPr="003D02AA" w14:paraId="7877C736" w14:textId="77777777" w:rsidTr="00141D27">
        <w:tblPrEx>
          <w:tblBorders>
            <w:top w:val="none" w:sz="0" w:space="0" w:color="auto"/>
            <w:bottom w:val="none" w:sz="0" w:space="0" w:color="auto"/>
            <w:insideH w:val="none" w:sz="0" w:space="0" w:color="auto"/>
          </w:tblBorders>
        </w:tblPrEx>
        <w:trPr>
          <w:cantSplit/>
        </w:trPr>
        <w:tc>
          <w:tcPr>
            <w:tcW w:w="474" w:type="pct"/>
            <w:vMerge/>
            <w:tcBorders>
              <w:bottom w:val="single" w:sz="12" w:space="0" w:color="auto"/>
            </w:tcBorders>
            <w:shd w:val="clear" w:color="auto" w:fill="auto"/>
          </w:tcPr>
          <w:p w14:paraId="04F632D8" w14:textId="77777777" w:rsidR="008F66CC" w:rsidRPr="003D02AA" w:rsidRDefault="008F66CC" w:rsidP="00603885">
            <w:pPr>
              <w:pStyle w:val="TableText"/>
              <w:spacing w:before="50" w:after="50"/>
            </w:pPr>
          </w:p>
        </w:tc>
        <w:tc>
          <w:tcPr>
            <w:tcW w:w="739" w:type="pct"/>
            <w:tcBorders>
              <w:top w:val="single" w:sz="4" w:space="0" w:color="auto"/>
              <w:bottom w:val="single" w:sz="12" w:space="0" w:color="auto"/>
            </w:tcBorders>
            <w:shd w:val="clear" w:color="auto" w:fill="auto"/>
            <w:hideMark/>
          </w:tcPr>
          <w:p w14:paraId="74093FD7" w14:textId="77777777" w:rsidR="008F66CC" w:rsidRPr="003D02AA" w:rsidRDefault="008F66CC" w:rsidP="00603885">
            <w:pPr>
              <w:pStyle w:val="TableText"/>
              <w:spacing w:before="50" w:after="50"/>
            </w:pPr>
            <w:r w:rsidRPr="003D02AA">
              <w:rPr>
                <w:i/>
                <w:iCs/>
              </w:rPr>
              <w:t>Parophrys vetulus</w:t>
            </w:r>
          </w:p>
        </w:tc>
        <w:tc>
          <w:tcPr>
            <w:tcW w:w="357" w:type="pct"/>
            <w:tcBorders>
              <w:top w:val="single" w:sz="4" w:space="0" w:color="auto"/>
              <w:bottom w:val="single" w:sz="12" w:space="0" w:color="auto"/>
            </w:tcBorders>
            <w:shd w:val="clear" w:color="auto" w:fill="auto"/>
            <w:noWrap/>
            <w:hideMark/>
          </w:tcPr>
          <w:p w14:paraId="21E2FDDD" w14:textId="77777777" w:rsidR="008F66CC" w:rsidRPr="003D02AA" w:rsidRDefault="008F66CC" w:rsidP="00603885">
            <w:pPr>
              <w:pStyle w:val="TableText"/>
              <w:spacing w:before="50" w:after="50"/>
            </w:pPr>
            <w:r w:rsidRPr="003D02AA">
              <w:t>Juvenile</w:t>
            </w:r>
          </w:p>
        </w:tc>
        <w:tc>
          <w:tcPr>
            <w:tcW w:w="354" w:type="pct"/>
            <w:tcBorders>
              <w:top w:val="single" w:sz="4" w:space="0" w:color="auto"/>
              <w:bottom w:val="single" w:sz="12" w:space="0" w:color="auto"/>
            </w:tcBorders>
            <w:shd w:val="clear" w:color="auto" w:fill="auto"/>
            <w:hideMark/>
          </w:tcPr>
          <w:p w14:paraId="1C31CA59" w14:textId="77777777" w:rsidR="008F66CC" w:rsidRPr="00A66B62" w:rsidRDefault="008F66CC" w:rsidP="00603885">
            <w:pPr>
              <w:pStyle w:val="TableText"/>
              <w:spacing w:before="50" w:after="50"/>
              <w:rPr>
                <w:vanish/>
              </w:rPr>
            </w:pPr>
            <w:r w:rsidRPr="003D02AA">
              <w:t>96</w:t>
            </w:r>
            <w:r>
              <w:rPr>
                <w:vanish/>
              </w:rPr>
              <w:t> h</w:t>
            </w:r>
          </w:p>
        </w:tc>
        <w:tc>
          <w:tcPr>
            <w:tcW w:w="455" w:type="pct"/>
            <w:tcBorders>
              <w:top w:val="single" w:sz="4" w:space="0" w:color="auto"/>
              <w:bottom w:val="single" w:sz="12" w:space="0" w:color="auto"/>
            </w:tcBorders>
            <w:shd w:val="clear" w:color="auto" w:fill="auto"/>
            <w:hideMark/>
          </w:tcPr>
          <w:p w14:paraId="3D2C819D" w14:textId="77777777" w:rsidR="008F66CC" w:rsidRPr="003D02AA" w:rsidRDefault="008F66CC" w:rsidP="00603885">
            <w:pPr>
              <w:pStyle w:val="TableText"/>
              <w:spacing w:before="50" w:after="50"/>
            </w:pPr>
            <w:r w:rsidRPr="005100F3">
              <w:t>Flow</w:t>
            </w:r>
            <w:r>
              <w:t>-</w:t>
            </w:r>
            <w:r w:rsidRPr="005100F3">
              <w:t>through</w:t>
            </w:r>
          </w:p>
        </w:tc>
        <w:tc>
          <w:tcPr>
            <w:tcW w:w="405" w:type="pct"/>
            <w:tcBorders>
              <w:top w:val="single" w:sz="4" w:space="0" w:color="auto"/>
              <w:bottom w:val="single" w:sz="12" w:space="0" w:color="auto"/>
            </w:tcBorders>
            <w:shd w:val="clear" w:color="auto" w:fill="auto"/>
            <w:hideMark/>
          </w:tcPr>
          <w:p w14:paraId="6F75303C" w14:textId="77777777" w:rsidR="008F66CC" w:rsidRPr="003D02AA" w:rsidRDefault="008F66CC" w:rsidP="00603885">
            <w:pPr>
              <w:pStyle w:val="TableText"/>
              <w:spacing w:before="50" w:after="50"/>
            </w:pPr>
            <w:r w:rsidRPr="003D02AA">
              <w:t>Mortality (LC50)</w:t>
            </w:r>
          </w:p>
        </w:tc>
        <w:tc>
          <w:tcPr>
            <w:tcW w:w="405" w:type="pct"/>
            <w:tcBorders>
              <w:top w:val="single" w:sz="4" w:space="0" w:color="auto"/>
              <w:bottom w:val="single" w:sz="12" w:space="0" w:color="auto"/>
            </w:tcBorders>
            <w:shd w:val="clear" w:color="auto" w:fill="auto"/>
            <w:hideMark/>
          </w:tcPr>
          <w:p w14:paraId="7DC86395" w14:textId="77777777" w:rsidR="008F66CC" w:rsidRPr="003D02AA" w:rsidRDefault="008F66CC" w:rsidP="00603885">
            <w:pPr>
              <w:pStyle w:val="TableText"/>
              <w:spacing w:before="50" w:after="50"/>
            </w:pPr>
            <w:r w:rsidRPr="003D02AA">
              <w:t>Seawater (28‰)</w:t>
            </w:r>
          </w:p>
        </w:tc>
        <w:tc>
          <w:tcPr>
            <w:tcW w:w="304" w:type="pct"/>
            <w:tcBorders>
              <w:top w:val="single" w:sz="4" w:space="0" w:color="auto"/>
              <w:bottom w:val="single" w:sz="12" w:space="0" w:color="auto"/>
            </w:tcBorders>
            <w:shd w:val="clear" w:color="auto" w:fill="auto"/>
            <w:noWrap/>
            <w:hideMark/>
          </w:tcPr>
          <w:p w14:paraId="0BA139A7" w14:textId="77777777" w:rsidR="008F66CC" w:rsidRPr="003D02AA" w:rsidRDefault="008F66CC" w:rsidP="00603885">
            <w:pPr>
              <w:pStyle w:val="TableText"/>
              <w:spacing w:before="50" w:after="50"/>
            </w:pPr>
            <w:r w:rsidRPr="003D02AA">
              <w:t>15</w:t>
            </w:r>
          </w:p>
        </w:tc>
        <w:tc>
          <w:tcPr>
            <w:tcW w:w="506" w:type="pct"/>
            <w:tcBorders>
              <w:top w:val="single" w:sz="4" w:space="0" w:color="auto"/>
              <w:bottom w:val="single" w:sz="12" w:space="0" w:color="auto"/>
            </w:tcBorders>
            <w:shd w:val="clear" w:color="auto" w:fill="auto"/>
            <w:hideMark/>
          </w:tcPr>
          <w:p w14:paraId="432D6C26" w14:textId="77777777" w:rsidR="008F66CC" w:rsidRPr="009D4C70" w:rsidRDefault="008F66CC" w:rsidP="00603885">
            <w:pPr>
              <w:pStyle w:val="TableText"/>
              <w:spacing w:before="50" w:after="50"/>
              <w:rPr>
                <w:b/>
                <w:bCs/>
              </w:rPr>
            </w:pPr>
            <w:r w:rsidRPr="009D4C70">
              <w:rPr>
                <w:b/>
                <w:bCs/>
              </w:rPr>
              <w:t>73</w:t>
            </w:r>
          </w:p>
        </w:tc>
        <w:tc>
          <w:tcPr>
            <w:tcW w:w="1001" w:type="pct"/>
            <w:tcBorders>
              <w:top w:val="single" w:sz="4" w:space="0" w:color="auto"/>
              <w:bottom w:val="single" w:sz="12" w:space="0" w:color="auto"/>
            </w:tcBorders>
            <w:shd w:val="clear" w:color="auto" w:fill="auto"/>
            <w:hideMark/>
          </w:tcPr>
          <w:p w14:paraId="56C727C9" w14:textId="77777777" w:rsidR="008F66CC" w:rsidRDefault="008F66CC" w:rsidP="00603885">
            <w:pPr>
              <w:pStyle w:val="TableText"/>
              <w:spacing w:before="50" w:after="50"/>
            </w:pPr>
            <w:r w:rsidRPr="003D02AA">
              <w:t>Thatcher 1978</w:t>
            </w:r>
          </w:p>
          <w:p w14:paraId="409AB549" w14:textId="7FBD18C0" w:rsidR="008F66CC" w:rsidRPr="003D02AA" w:rsidRDefault="008F66CC" w:rsidP="00603885">
            <w:pPr>
              <w:pStyle w:val="TableText"/>
              <w:spacing w:before="50" w:after="50"/>
            </w:pPr>
            <w:r w:rsidRPr="00CC0E62">
              <w:rPr>
                <w:b/>
                <w:bCs/>
              </w:rPr>
              <w:t>Value used in SSD</w:t>
            </w:r>
          </w:p>
        </w:tc>
      </w:tr>
    </w:tbl>
    <w:p w14:paraId="4A79E5DA" w14:textId="13DE2C05" w:rsidR="0090280C" w:rsidRDefault="00A0330B" w:rsidP="00141D27">
      <w:pPr>
        <w:pStyle w:val="FigureTableNoteSource"/>
        <w:spacing w:after="0"/>
      </w:pPr>
      <w:r w:rsidRPr="000C6763">
        <w:t xml:space="preserve">–: No data available/not stated. </w:t>
      </w:r>
      <w:r w:rsidR="0090280C">
        <w:br w:type="page"/>
      </w:r>
    </w:p>
    <w:p w14:paraId="79F8B166" w14:textId="3043C72A" w:rsidR="00137452" w:rsidRDefault="00136489" w:rsidP="00603885">
      <w:pPr>
        <w:pStyle w:val="Caption"/>
        <w:spacing w:after="40"/>
        <w:rPr>
          <w:lang w:eastAsia="en-AU"/>
        </w:rPr>
      </w:pPr>
      <w:bookmarkStart w:id="51" w:name="_Ref178601673"/>
      <w:bookmarkStart w:id="52" w:name="_Toc185441665"/>
      <w:r>
        <w:lastRenderedPageBreak/>
        <w:t>Table A </w:t>
      </w:r>
      <w:r w:rsidR="00141D27">
        <w:fldChar w:fldCharType="begin"/>
      </w:r>
      <w:r w:rsidR="00141D27">
        <w:instrText xml:space="preserve"> SEQ Table_A \* ARABIC </w:instrText>
      </w:r>
      <w:r w:rsidR="00141D27">
        <w:fldChar w:fldCharType="separate"/>
      </w:r>
      <w:r w:rsidR="003E6080">
        <w:rPr>
          <w:noProof/>
        </w:rPr>
        <w:t>2</w:t>
      </w:r>
      <w:r w:rsidR="00141D27">
        <w:rPr>
          <w:noProof/>
        </w:rPr>
        <w:fldChar w:fldCharType="end"/>
      </w:r>
      <w:bookmarkEnd w:id="51"/>
      <w:r w:rsidR="00B343BA" w:rsidRPr="00B343BA">
        <w:rPr>
          <w:lang w:eastAsia="en-AU"/>
        </w:rPr>
        <w:t xml:space="preserve"> </w:t>
      </w:r>
      <w:r w:rsidR="00C524A4">
        <w:t xml:space="preserve">Summary, flow-through acute toxicity data that passed screening and quality assessment processes, </w:t>
      </w:r>
      <w:r w:rsidR="0008558A">
        <w:t>chlorine (</w:t>
      </w:r>
      <w:r w:rsidR="00C524A4">
        <w:t>CPO</w:t>
      </w:r>
      <w:r w:rsidR="0008558A">
        <w:t>)</w:t>
      </w:r>
      <w:r w:rsidR="00C524A4">
        <w:t xml:space="preserve"> in marine water</w:t>
      </w:r>
      <w:r w:rsidR="0008558A">
        <w:t>,</w:t>
      </w:r>
      <w:r w:rsidR="00C524A4">
        <w:t xml:space="preserve"> salinity </w:t>
      </w:r>
      <w:r w:rsidR="00C524A4" w:rsidRPr="00B343BA">
        <w:rPr>
          <w:lang w:eastAsia="en-AU"/>
        </w:rPr>
        <w:t>≥15‰</w:t>
      </w:r>
      <w:r w:rsidR="0042255B">
        <w:rPr>
          <w:lang w:eastAsia="en-AU"/>
        </w:rPr>
        <w:t>–</w:t>
      </w:r>
      <w:r w:rsidR="00C524A4" w:rsidRPr="00B343BA">
        <w:rPr>
          <w:lang w:eastAsia="en-AU"/>
        </w:rPr>
        <w:t>&lt;25‰</w:t>
      </w:r>
      <w:r w:rsidR="005D22E4">
        <w:rPr>
          <w:lang w:eastAsia="en-AU"/>
        </w:rPr>
        <w:t xml:space="preserve"> – used </w:t>
      </w:r>
      <w:r w:rsidR="0008558A">
        <w:rPr>
          <w:lang w:eastAsia="en-AU"/>
        </w:rPr>
        <w:t>in</w:t>
      </w:r>
      <w:r w:rsidR="005D22E4">
        <w:rPr>
          <w:lang w:eastAsia="en-AU"/>
        </w:rPr>
        <w:t xml:space="preserve"> DGV derivation</w:t>
      </w:r>
      <w:bookmarkEnd w:id="52"/>
      <w:r w:rsidR="005D22E4">
        <w:rPr>
          <w:lang w:eastAsia="en-AU"/>
        </w:rPr>
        <w:t xml:space="preserve"> </w:t>
      </w:r>
    </w:p>
    <w:tbl>
      <w:tblPr>
        <w:tblW w:w="5000" w:type="pct"/>
        <w:tblBorders>
          <w:top w:val="single" w:sz="12" w:space="0" w:color="auto"/>
          <w:bottom w:val="single" w:sz="12" w:space="0" w:color="auto"/>
          <w:insideH w:val="single" w:sz="4" w:space="0" w:color="auto"/>
        </w:tblBorders>
        <w:tblLayout w:type="fixed"/>
        <w:tblLook w:val="04A0" w:firstRow="1" w:lastRow="0" w:firstColumn="1" w:lastColumn="0" w:noHBand="0" w:noVBand="1"/>
        <w:tblCaption w:val="Summary, flow-through acute toxicity data that passed screening and quality assessment processes, chlorine (CPO) in marine water, salinity ≥15‰–&lt;25‰ – used in DGV derivation"/>
        <w:tblDescription w:val="Table lists 11 species with their taxonomic group. The different life stages for each species are provided with the following test information: exposure duration, test type, toxicity measure, test medium, temperature (degrees Celcius), concentration (microgram per litre) and reference."/>
      </w:tblPr>
      <w:tblGrid>
        <w:gridCol w:w="1277"/>
        <w:gridCol w:w="1843"/>
        <w:gridCol w:w="994"/>
        <w:gridCol w:w="991"/>
        <w:gridCol w:w="1274"/>
        <w:gridCol w:w="1560"/>
        <w:gridCol w:w="1560"/>
        <w:gridCol w:w="851"/>
        <w:gridCol w:w="1451"/>
        <w:gridCol w:w="2201"/>
      </w:tblGrid>
      <w:tr w:rsidR="00BF25EB" w:rsidRPr="007B3976" w14:paraId="371CA40C" w14:textId="77777777" w:rsidTr="00141D27">
        <w:trPr>
          <w:cantSplit/>
          <w:tblHeader/>
        </w:trPr>
        <w:tc>
          <w:tcPr>
            <w:tcW w:w="456" w:type="pct"/>
            <w:tcBorders>
              <w:top w:val="single" w:sz="12" w:space="0" w:color="auto"/>
              <w:bottom w:val="single" w:sz="12" w:space="0" w:color="auto"/>
            </w:tcBorders>
            <w:shd w:val="clear" w:color="auto" w:fill="auto"/>
            <w:vAlign w:val="center"/>
          </w:tcPr>
          <w:p w14:paraId="33D16BF9" w14:textId="77777777" w:rsidR="003D6146" w:rsidRPr="007B3976" w:rsidRDefault="003D6146" w:rsidP="00603885">
            <w:pPr>
              <w:pStyle w:val="TableHeading"/>
              <w:spacing w:before="40" w:after="40"/>
            </w:pPr>
            <w:r>
              <w:t>Taxonomic group</w:t>
            </w:r>
          </w:p>
        </w:tc>
        <w:tc>
          <w:tcPr>
            <w:tcW w:w="658" w:type="pct"/>
            <w:tcBorders>
              <w:top w:val="single" w:sz="12" w:space="0" w:color="auto"/>
              <w:bottom w:val="single" w:sz="12" w:space="0" w:color="auto"/>
            </w:tcBorders>
            <w:shd w:val="clear" w:color="auto" w:fill="auto"/>
            <w:vAlign w:val="center"/>
            <w:hideMark/>
          </w:tcPr>
          <w:p w14:paraId="0427F90A" w14:textId="77777777" w:rsidR="003D6146" w:rsidRPr="007B3976" w:rsidRDefault="003D6146" w:rsidP="00603885">
            <w:pPr>
              <w:pStyle w:val="TableHeading"/>
              <w:spacing w:before="40" w:after="40"/>
            </w:pPr>
            <w:r w:rsidRPr="007B3976">
              <w:t>Species</w:t>
            </w:r>
          </w:p>
        </w:tc>
        <w:tc>
          <w:tcPr>
            <w:tcW w:w="355" w:type="pct"/>
            <w:tcBorders>
              <w:top w:val="single" w:sz="12" w:space="0" w:color="auto"/>
              <w:bottom w:val="single" w:sz="12" w:space="0" w:color="auto"/>
            </w:tcBorders>
            <w:shd w:val="clear" w:color="auto" w:fill="auto"/>
            <w:vAlign w:val="center"/>
            <w:hideMark/>
          </w:tcPr>
          <w:p w14:paraId="0C89B659" w14:textId="77777777" w:rsidR="003D6146" w:rsidRPr="007B3976" w:rsidRDefault="003D6146" w:rsidP="00603885">
            <w:pPr>
              <w:pStyle w:val="TableHeading"/>
              <w:spacing w:before="40" w:after="40"/>
            </w:pPr>
            <w:r w:rsidRPr="007B3976">
              <w:t>Life stage</w:t>
            </w:r>
          </w:p>
        </w:tc>
        <w:tc>
          <w:tcPr>
            <w:tcW w:w="354" w:type="pct"/>
            <w:tcBorders>
              <w:top w:val="single" w:sz="12" w:space="0" w:color="auto"/>
              <w:bottom w:val="single" w:sz="12" w:space="0" w:color="auto"/>
            </w:tcBorders>
            <w:shd w:val="clear" w:color="auto" w:fill="auto"/>
            <w:vAlign w:val="center"/>
            <w:hideMark/>
          </w:tcPr>
          <w:p w14:paraId="1A253346" w14:textId="77777777" w:rsidR="003D6146" w:rsidRPr="007B3976" w:rsidRDefault="003D6146" w:rsidP="00603885">
            <w:pPr>
              <w:pStyle w:val="TableHeading"/>
              <w:spacing w:before="40" w:after="40"/>
            </w:pPr>
            <w:r w:rsidRPr="007B3976">
              <w:t>Exposure duration</w:t>
            </w:r>
          </w:p>
        </w:tc>
        <w:tc>
          <w:tcPr>
            <w:tcW w:w="455" w:type="pct"/>
            <w:tcBorders>
              <w:top w:val="single" w:sz="12" w:space="0" w:color="auto"/>
              <w:bottom w:val="single" w:sz="12" w:space="0" w:color="auto"/>
            </w:tcBorders>
            <w:shd w:val="clear" w:color="auto" w:fill="auto"/>
            <w:vAlign w:val="center"/>
          </w:tcPr>
          <w:p w14:paraId="202CCE16" w14:textId="77777777" w:rsidR="003D6146" w:rsidRPr="007B3976" w:rsidRDefault="003D6146" w:rsidP="00603885">
            <w:pPr>
              <w:pStyle w:val="TableHeading"/>
              <w:spacing w:before="40" w:after="40"/>
            </w:pPr>
            <w:r w:rsidRPr="007B3976">
              <w:t>Test type</w:t>
            </w:r>
          </w:p>
        </w:tc>
        <w:tc>
          <w:tcPr>
            <w:tcW w:w="557" w:type="pct"/>
            <w:tcBorders>
              <w:top w:val="single" w:sz="12" w:space="0" w:color="auto"/>
              <w:bottom w:val="single" w:sz="12" w:space="0" w:color="auto"/>
            </w:tcBorders>
            <w:shd w:val="clear" w:color="auto" w:fill="auto"/>
            <w:vAlign w:val="center"/>
            <w:hideMark/>
          </w:tcPr>
          <w:p w14:paraId="71EAEAAB" w14:textId="77777777" w:rsidR="003D6146" w:rsidRPr="007B3976" w:rsidRDefault="003D6146" w:rsidP="00603885">
            <w:pPr>
              <w:pStyle w:val="TableHeading"/>
              <w:spacing w:before="40" w:after="40"/>
            </w:pPr>
            <w:r w:rsidRPr="007B3976">
              <w:t>Toxicity measure</w:t>
            </w:r>
          </w:p>
        </w:tc>
        <w:tc>
          <w:tcPr>
            <w:tcW w:w="557" w:type="pct"/>
            <w:tcBorders>
              <w:top w:val="single" w:sz="12" w:space="0" w:color="auto"/>
              <w:bottom w:val="single" w:sz="12" w:space="0" w:color="auto"/>
            </w:tcBorders>
            <w:shd w:val="clear" w:color="auto" w:fill="auto"/>
            <w:vAlign w:val="center"/>
            <w:hideMark/>
          </w:tcPr>
          <w:p w14:paraId="5C39A9AA" w14:textId="77777777" w:rsidR="003D6146" w:rsidRPr="007B3976" w:rsidRDefault="003D6146" w:rsidP="00603885">
            <w:pPr>
              <w:pStyle w:val="TableHeading"/>
              <w:spacing w:before="40" w:after="40"/>
            </w:pPr>
            <w:r w:rsidRPr="007B3976">
              <w:t>Test medium</w:t>
            </w:r>
          </w:p>
        </w:tc>
        <w:tc>
          <w:tcPr>
            <w:tcW w:w="304" w:type="pct"/>
            <w:tcBorders>
              <w:top w:val="single" w:sz="12" w:space="0" w:color="auto"/>
              <w:bottom w:val="single" w:sz="12" w:space="0" w:color="auto"/>
            </w:tcBorders>
            <w:shd w:val="clear" w:color="auto" w:fill="auto"/>
            <w:noWrap/>
            <w:vAlign w:val="center"/>
            <w:hideMark/>
          </w:tcPr>
          <w:p w14:paraId="2B2ECF3A" w14:textId="32B6804A" w:rsidR="003D6146" w:rsidRPr="007B3976" w:rsidRDefault="003D6146" w:rsidP="00603885">
            <w:pPr>
              <w:pStyle w:val="TableHeading"/>
              <w:spacing w:before="40" w:after="40"/>
            </w:pPr>
            <w:r w:rsidRPr="007B3976">
              <w:t>Temp</w:t>
            </w:r>
            <w:r>
              <w:t>.</w:t>
            </w:r>
            <w:r w:rsidRPr="007B3976">
              <w:t xml:space="preserve"> </w:t>
            </w:r>
            <w:r w:rsidRPr="00DE4071">
              <w:t>(</w:t>
            </w:r>
            <w:r w:rsidR="00DE4071" w:rsidRPr="00DE4071">
              <w:t>°</w:t>
            </w:r>
            <w:r w:rsidRPr="007B3976">
              <w:t>C)</w:t>
            </w:r>
          </w:p>
        </w:tc>
        <w:tc>
          <w:tcPr>
            <w:tcW w:w="518" w:type="pct"/>
            <w:tcBorders>
              <w:top w:val="single" w:sz="12" w:space="0" w:color="auto"/>
              <w:bottom w:val="single" w:sz="12" w:space="0" w:color="auto"/>
            </w:tcBorders>
            <w:shd w:val="clear" w:color="auto" w:fill="auto"/>
            <w:vAlign w:val="center"/>
            <w:hideMark/>
          </w:tcPr>
          <w:p w14:paraId="3DD0B033" w14:textId="77777777" w:rsidR="003D6146" w:rsidRPr="00DF44C3" w:rsidRDefault="003D6146" w:rsidP="00603885">
            <w:pPr>
              <w:pStyle w:val="TableHeading"/>
              <w:spacing w:before="40" w:after="40"/>
            </w:pPr>
            <w:r w:rsidRPr="007B3976">
              <w:t>Conc</w:t>
            </w:r>
            <w:r>
              <w:t xml:space="preserve">entration </w:t>
            </w:r>
            <w:r w:rsidRPr="00174364">
              <w:t>(µg/L)</w:t>
            </w:r>
          </w:p>
        </w:tc>
        <w:tc>
          <w:tcPr>
            <w:tcW w:w="786" w:type="pct"/>
            <w:tcBorders>
              <w:top w:val="single" w:sz="12" w:space="0" w:color="auto"/>
              <w:bottom w:val="single" w:sz="12" w:space="0" w:color="auto"/>
            </w:tcBorders>
            <w:shd w:val="clear" w:color="auto" w:fill="auto"/>
            <w:vAlign w:val="center"/>
            <w:hideMark/>
          </w:tcPr>
          <w:p w14:paraId="0A045CFD" w14:textId="77777777" w:rsidR="003D6146" w:rsidRPr="007B3976" w:rsidRDefault="003D6146" w:rsidP="00603885">
            <w:pPr>
              <w:pStyle w:val="TableHeading"/>
              <w:spacing w:before="40" w:after="40"/>
            </w:pPr>
            <w:r w:rsidRPr="007B3976">
              <w:t>Reference</w:t>
            </w:r>
          </w:p>
        </w:tc>
      </w:tr>
      <w:tr w:rsidR="00BF25EB" w:rsidRPr="007B3976" w14:paraId="2191A666" w14:textId="77777777" w:rsidTr="00141D27">
        <w:trPr>
          <w:cantSplit/>
          <w:trHeight w:val="300"/>
        </w:trPr>
        <w:tc>
          <w:tcPr>
            <w:tcW w:w="456" w:type="pct"/>
            <w:tcBorders>
              <w:top w:val="single" w:sz="12" w:space="0" w:color="auto"/>
            </w:tcBorders>
            <w:shd w:val="clear" w:color="auto" w:fill="auto"/>
          </w:tcPr>
          <w:p w14:paraId="60CE2465" w14:textId="77777777" w:rsidR="003D6146" w:rsidRPr="007B3976" w:rsidRDefault="003D6146" w:rsidP="00603885">
            <w:pPr>
              <w:pStyle w:val="TableText"/>
              <w:spacing w:before="44" w:after="44"/>
            </w:pPr>
            <w:r>
              <w:t>Mollusc</w:t>
            </w:r>
            <w:r>
              <w:br/>
              <w:t>(bivalve)</w:t>
            </w:r>
          </w:p>
        </w:tc>
        <w:tc>
          <w:tcPr>
            <w:tcW w:w="658" w:type="pct"/>
            <w:tcBorders>
              <w:top w:val="single" w:sz="12" w:space="0" w:color="auto"/>
            </w:tcBorders>
            <w:shd w:val="clear" w:color="auto" w:fill="auto"/>
          </w:tcPr>
          <w:p w14:paraId="5F570DD5" w14:textId="77777777" w:rsidR="003D6146" w:rsidRPr="007B3976" w:rsidRDefault="003D6146" w:rsidP="00603885">
            <w:pPr>
              <w:pStyle w:val="TableText"/>
              <w:spacing w:before="44" w:after="44"/>
            </w:pPr>
            <w:r w:rsidRPr="007B3976">
              <w:rPr>
                <w:i/>
                <w:iCs/>
              </w:rPr>
              <w:t>Crassostrea virginica</w:t>
            </w:r>
          </w:p>
        </w:tc>
        <w:tc>
          <w:tcPr>
            <w:tcW w:w="355" w:type="pct"/>
            <w:tcBorders>
              <w:top w:val="single" w:sz="12" w:space="0" w:color="auto"/>
            </w:tcBorders>
            <w:shd w:val="clear" w:color="auto" w:fill="auto"/>
            <w:noWrap/>
          </w:tcPr>
          <w:p w14:paraId="29BA87BC" w14:textId="77777777" w:rsidR="003D6146" w:rsidRPr="007B3976" w:rsidRDefault="003D6146" w:rsidP="00603885">
            <w:pPr>
              <w:pStyle w:val="TableText"/>
              <w:spacing w:before="44" w:after="44"/>
            </w:pPr>
            <w:r w:rsidRPr="007B3976">
              <w:t>Larva</w:t>
            </w:r>
          </w:p>
        </w:tc>
        <w:tc>
          <w:tcPr>
            <w:tcW w:w="354" w:type="pct"/>
            <w:tcBorders>
              <w:top w:val="single" w:sz="12" w:space="0" w:color="auto"/>
            </w:tcBorders>
            <w:shd w:val="clear" w:color="auto" w:fill="auto"/>
          </w:tcPr>
          <w:p w14:paraId="73F60B97" w14:textId="77777777" w:rsidR="003D6146" w:rsidRPr="007B3976" w:rsidRDefault="003D6146" w:rsidP="00603885">
            <w:pPr>
              <w:pStyle w:val="TableText"/>
              <w:spacing w:before="44" w:after="44"/>
            </w:pPr>
            <w:r w:rsidRPr="007B3976">
              <w:t>96</w:t>
            </w:r>
            <w:r>
              <w:t> h</w:t>
            </w:r>
          </w:p>
        </w:tc>
        <w:tc>
          <w:tcPr>
            <w:tcW w:w="455" w:type="pct"/>
            <w:tcBorders>
              <w:top w:val="single" w:sz="12" w:space="0" w:color="auto"/>
            </w:tcBorders>
            <w:shd w:val="clear" w:color="auto" w:fill="auto"/>
            <w:noWrap/>
          </w:tcPr>
          <w:p w14:paraId="412786F5" w14:textId="77777777" w:rsidR="003D6146" w:rsidRPr="007B3976" w:rsidRDefault="003D6146" w:rsidP="00603885">
            <w:pPr>
              <w:pStyle w:val="TableText"/>
              <w:spacing w:before="44" w:after="44"/>
            </w:pPr>
            <w:r w:rsidRPr="007B3976">
              <w:t>Flow</w:t>
            </w:r>
            <w:r>
              <w:t>-</w:t>
            </w:r>
            <w:r w:rsidRPr="007B3976">
              <w:t>through</w:t>
            </w:r>
          </w:p>
        </w:tc>
        <w:tc>
          <w:tcPr>
            <w:tcW w:w="557" w:type="pct"/>
            <w:tcBorders>
              <w:top w:val="single" w:sz="12" w:space="0" w:color="auto"/>
            </w:tcBorders>
            <w:shd w:val="clear" w:color="auto" w:fill="auto"/>
          </w:tcPr>
          <w:p w14:paraId="24713C72" w14:textId="77777777" w:rsidR="003D6146" w:rsidRPr="007B3976" w:rsidRDefault="003D6146" w:rsidP="00603885">
            <w:pPr>
              <w:pStyle w:val="TableText"/>
              <w:spacing w:before="44" w:after="44"/>
            </w:pPr>
            <w:r w:rsidRPr="007B3976">
              <w:t>Mortality (LC50)</w:t>
            </w:r>
          </w:p>
        </w:tc>
        <w:tc>
          <w:tcPr>
            <w:tcW w:w="557" w:type="pct"/>
            <w:tcBorders>
              <w:top w:val="single" w:sz="12" w:space="0" w:color="auto"/>
            </w:tcBorders>
            <w:shd w:val="clear" w:color="auto" w:fill="auto"/>
          </w:tcPr>
          <w:p w14:paraId="2728BA48" w14:textId="77777777" w:rsidR="003D6146" w:rsidRPr="007B3976" w:rsidRDefault="003D6146" w:rsidP="00603885">
            <w:pPr>
              <w:pStyle w:val="TableText"/>
              <w:spacing w:before="44" w:after="44"/>
            </w:pPr>
            <w:r w:rsidRPr="007B3976">
              <w:t>Seawater</w:t>
            </w:r>
            <w:r>
              <w:t xml:space="preserve"> </w:t>
            </w:r>
            <w:r w:rsidRPr="007B3976">
              <w:t>(20‰)</w:t>
            </w:r>
          </w:p>
        </w:tc>
        <w:tc>
          <w:tcPr>
            <w:tcW w:w="304" w:type="pct"/>
            <w:tcBorders>
              <w:top w:val="single" w:sz="12" w:space="0" w:color="auto"/>
            </w:tcBorders>
            <w:shd w:val="clear" w:color="auto" w:fill="auto"/>
            <w:noWrap/>
          </w:tcPr>
          <w:p w14:paraId="607F1FF7" w14:textId="77777777" w:rsidR="003D6146" w:rsidRPr="007B3976" w:rsidRDefault="003D6146" w:rsidP="00603885">
            <w:pPr>
              <w:pStyle w:val="TableText"/>
              <w:spacing w:before="44" w:after="44"/>
            </w:pPr>
            <w:r w:rsidRPr="007B3976">
              <w:t>19</w:t>
            </w:r>
            <w:r>
              <w:t>–</w:t>
            </w:r>
            <w:r w:rsidRPr="007B3976">
              <w:t>28</w:t>
            </w:r>
          </w:p>
        </w:tc>
        <w:tc>
          <w:tcPr>
            <w:tcW w:w="518" w:type="pct"/>
            <w:tcBorders>
              <w:top w:val="single" w:sz="12" w:space="0" w:color="auto"/>
            </w:tcBorders>
            <w:shd w:val="clear" w:color="auto" w:fill="auto"/>
          </w:tcPr>
          <w:p w14:paraId="07FA2F56" w14:textId="77777777" w:rsidR="003D6146" w:rsidRPr="00ED3D20" w:rsidRDefault="003D6146" w:rsidP="00603885">
            <w:pPr>
              <w:spacing w:before="44" w:after="44" w:line="240" w:lineRule="auto"/>
              <w:rPr>
                <w:rFonts w:eastAsia="Times New Roman" w:cstheme="minorHAnsi"/>
                <w:b/>
                <w:bCs/>
                <w:sz w:val="18"/>
                <w:szCs w:val="18"/>
              </w:rPr>
            </w:pPr>
            <w:r w:rsidRPr="00ED3D20">
              <w:rPr>
                <w:rFonts w:eastAsia="Times New Roman" w:cstheme="minorHAnsi"/>
                <w:b/>
                <w:bCs/>
                <w:sz w:val="18"/>
                <w:szCs w:val="18"/>
              </w:rPr>
              <w:t>23</w:t>
            </w:r>
          </w:p>
        </w:tc>
        <w:tc>
          <w:tcPr>
            <w:tcW w:w="786" w:type="pct"/>
            <w:tcBorders>
              <w:top w:val="single" w:sz="12" w:space="0" w:color="auto"/>
            </w:tcBorders>
            <w:shd w:val="clear" w:color="auto" w:fill="auto"/>
          </w:tcPr>
          <w:p w14:paraId="2C74ADD5" w14:textId="77777777" w:rsidR="003D6146" w:rsidRDefault="003D6146" w:rsidP="00603885">
            <w:pPr>
              <w:pStyle w:val="TableText"/>
              <w:spacing w:before="44" w:after="44"/>
            </w:pPr>
            <w:r w:rsidRPr="007B3976">
              <w:t>Roberts et al. 1975</w:t>
            </w:r>
          </w:p>
          <w:p w14:paraId="23F6993C" w14:textId="12251B9C" w:rsidR="003D6146" w:rsidRPr="007B3976" w:rsidRDefault="003D6146" w:rsidP="00603885">
            <w:pPr>
              <w:pStyle w:val="TableText"/>
              <w:spacing w:before="44" w:after="44"/>
            </w:pPr>
            <w:r w:rsidRPr="00CC0E62">
              <w:rPr>
                <w:b/>
                <w:bCs/>
              </w:rPr>
              <w:t>Value used in SSD</w:t>
            </w:r>
          </w:p>
        </w:tc>
      </w:tr>
      <w:tr w:rsidR="00BF25EB" w:rsidRPr="007B3976" w14:paraId="270B200B" w14:textId="77777777" w:rsidTr="002B4B5F">
        <w:trPr>
          <w:cantSplit/>
        </w:trPr>
        <w:tc>
          <w:tcPr>
            <w:tcW w:w="456" w:type="pct"/>
            <w:shd w:val="clear" w:color="auto" w:fill="auto"/>
          </w:tcPr>
          <w:p w14:paraId="6BA95F95" w14:textId="77777777" w:rsidR="003D6146" w:rsidRPr="007B3976" w:rsidRDefault="003D6146" w:rsidP="00603885">
            <w:pPr>
              <w:pStyle w:val="TableText"/>
              <w:spacing w:before="44" w:after="44"/>
            </w:pPr>
            <w:r>
              <w:t>Crustacean</w:t>
            </w:r>
            <w:r>
              <w:br/>
              <w:t>(copepod)</w:t>
            </w:r>
          </w:p>
        </w:tc>
        <w:tc>
          <w:tcPr>
            <w:tcW w:w="658" w:type="pct"/>
            <w:shd w:val="clear" w:color="auto" w:fill="auto"/>
            <w:hideMark/>
          </w:tcPr>
          <w:p w14:paraId="5BC4D0BC" w14:textId="77777777" w:rsidR="003D6146" w:rsidRPr="007B3976" w:rsidRDefault="003D6146" w:rsidP="00603885">
            <w:pPr>
              <w:pStyle w:val="TableText"/>
              <w:spacing w:before="44" w:after="44"/>
            </w:pPr>
            <w:r w:rsidRPr="007B3976">
              <w:rPr>
                <w:i/>
                <w:iCs/>
              </w:rPr>
              <w:t>Acartia tonsa</w:t>
            </w:r>
          </w:p>
        </w:tc>
        <w:tc>
          <w:tcPr>
            <w:tcW w:w="355" w:type="pct"/>
            <w:shd w:val="clear" w:color="auto" w:fill="auto"/>
            <w:noWrap/>
            <w:hideMark/>
          </w:tcPr>
          <w:p w14:paraId="2888B502" w14:textId="77777777" w:rsidR="003D6146" w:rsidRPr="007B3976" w:rsidRDefault="003D6146" w:rsidP="00603885">
            <w:pPr>
              <w:pStyle w:val="TableText"/>
              <w:spacing w:before="44" w:after="44"/>
            </w:pPr>
            <w:r>
              <w:t>–</w:t>
            </w:r>
          </w:p>
        </w:tc>
        <w:tc>
          <w:tcPr>
            <w:tcW w:w="354" w:type="pct"/>
            <w:shd w:val="clear" w:color="auto" w:fill="auto"/>
            <w:hideMark/>
          </w:tcPr>
          <w:p w14:paraId="1F94D91B" w14:textId="18C08CBB" w:rsidR="003D6146" w:rsidRPr="002E682E" w:rsidRDefault="003D6146" w:rsidP="00603885">
            <w:pPr>
              <w:pStyle w:val="TableText"/>
              <w:spacing w:before="44" w:after="44"/>
            </w:pPr>
            <w:r w:rsidRPr="002E682E">
              <w:t>96</w:t>
            </w:r>
            <w:r>
              <w:t> h</w:t>
            </w:r>
          </w:p>
        </w:tc>
        <w:tc>
          <w:tcPr>
            <w:tcW w:w="455" w:type="pct"/>
            <w:shd w:val="clear" w:color="auto" w:fill="auto"/>
            <w:noWrap/>
          </w:tcPr>
          <w:p w14:paraId="2C59B04F" w14:textId="77777777" w:rsidR="003D6146" w:rsidRPr="002E682E" w:rsidRDefault="003D6146" w:rsidP="00603885">
            <w:pPr>
              <w:pStyle w:val="TableText"/>
              <w:spacing w:before="44" w:after="44"/>
            </w:pPr>
            <w:r w:rsidRPr="007B3976">
              <w:t>Flow</w:t>
            </w:r>
            <w:r>
              <w:t>-</w:t>
            </w:r>
            <w:r w:rsidRPr="007B3976">
              <w:t>through</w:t>
            </w:r>
          </w:p>
        </w:tc>
        <w:tc>
          <w:tcPr>
            <w:tcW w:w="557" w:type="pct"/>
            <w:shd w:val="clear" w:color="auto" w:fill="auto"/>
            <w:hideMark/>
          </w:tcPr>
          <w:p w14:paraId="07CD95D4" w14:textId="77777777" w:rsidR="003D6146" w:rsidRPr="002E682E" w:rsidRDefault="003D6146" w:rsidP="00603885">
            <w:pPr>
              <w:pStyle w:val="TableText"/>
              <w:spacing w:before="44" w:after="44"/>
            </w:pPr>
            <w:r w:rsidRPr="002E682E">
              <w:t>Mortality (LC50)</w:t>
            </w:r>
          </w:p>
        </w:tc>
        <w:tc>
          <w:tcPr>
            <w:tcW w:w="557" w:type="pct"/>
            <w:shd w:val="clear" w:color="auto" w:fill="auto"/>
            <w:hideMark/>
          </w:tcPr>
          <w:p w14:paraId="74F9924C" w14:textId="77777777" w:rsidR="003D6146" w:rsidRPr="002E682E" w:rsidRDefault="003D6146" w:rsidP="00603885">
            <w:pPr>
              <w:pStyle w:val="TableText"/>
              <w:spacing w:before="44" w:after="44"/>
            </w:pPr>
            <w:r w:rsidRPr="002E682E">
              <w:t>Seawater</w:t>
            </w:r>
            <w:r>
              <w:t xml:space="preserve"> </w:t>
            </w:r>
            <w:r w:rsidRPr="002E682E">
              <w:t>(20‰)</w:t>
            </w:r>
          </w:p>
        </w:tc>
        <w:tc>
          <w:tcPr>
            <w:tcW w:w="304" w:type="pct"/>
            <w:shd w:val="clear" w:color="auto" w:fill="auto"/>
            <w:noWrap/>
            <w:hideMark/>
          </w:tcPr>
          <w:p w14:paraId="256E54DD" w14:textId="77777777" w:rsidR="003D6146" w:rsidRPr="002E682E" w:rsidRDefault="003D6146" w:rsidP="00603885">
            <w:pPr>
              <w:pStyle w:val="TableText"/>
              <w:spacing w:before="44" w:after="44"/>
            </w:pPr>
            <w:r w:rsidRPr="002E682E">
              <w:t>20</w:t>
            </w:r>
          </w:p>
        </w:tc>
        <w:tc>
          <w:tcPr>
            <w:tcW w:w="518" w:type="pct"/>
            <w:shd w:val="clear" w:color="auto" w:fill="auto"/>
            <w:hideMark/>
          </w:tcPr>
          <w:p w14:paraId="14BA6174" w14:textId="77777777" w:rsidR="003D6146" w:rsidRPr="00ED3D20" w:rsidRDefault="003D6146" w:rsidP="00603885">
            <w:pPr>
              <w:spacing w:before="44" w:after="44" w:line="240" w:lineRule="auto"/>
              <w:rPr>
                <w:rFonts w:eastAsia="Times New Roman" w:cstheme="minorHAnsi"/>
                <w:b/>
                <w:sz w:val="18"/>
                <w:szCs w:val="18"/>
              </w:rPr>
            </w:pPr>
            <w:r w:rsidRPr="00ED3D20">
              <w:rPr>
                <w:rFonts w:eastAsia="Times New Roman" w:cstheme="minorHAnsi"/>
                <w:b/>
                <w:sz w:val="18"/>
                <w:szCs w:val="18"/>
              </w:rPr>
              <w:t>29</w:t>
            </w:r>
          </w:p>
        </w:tc>
        <w:tc>
          <w:tcPr>
            <w:tcW w:w="786" w:type="pct"/>
            <w:shd w:val="clear" w:color="auto" w:fill="auto"/>
            <w:hideMark/>
          </w:tcPr>
          <w:p w14:paraId="3DAC5EDC" w14:textId="77777777" w:rsidR="003D6146" w:rsidRDefault="003D6146" w:rsidP="00603885">
            <w:pPr>
              <w:pStyle w:val="TableText"/>
              <w:spacing w:before="44" w:after="44"/>
            </w:pPr>
            <w:r w:rsidRPr="002E682E">
              <w:t>Roberts and Gleeson 1978</w:t>
            </w:r>
          </w:p>
          <w:p w14:paraId="4D395756" w14:textId="2BADB1DA" w:rsidR="003D6146" w:rsidRPr="002E682E" w:rsidRDefault="003D6146" w:rsidP="00603885">
            <w:pPr>
              <w:pStyle w:val="TableText"/>
              <w:spacing w:before="44" w:after="44"/>
            </w:pPr>
            <w:r w:rsidRPr="00CC0E62">
              <w:rPr>
                <w:b/>
                <w:bCs/>
              </w:rPr>
              <w:t>Value used in SSD</w:t>
            </w:r>
          </w:p>
        </w:tc>
      </w:tr>
      <w:tr w:rsidR="00BF25EB" w:rsidRPr="007B3976" w14:paraId="5EB058F5" w14:textId="77777777" w:rsidTr="002B4B5F">
        <w:trPr>
          <w:cantSplit/>
        </w:trPr>
        <w:tc>
          <w:tcPr>
            <w:tcW w:w="456" w:type="pct"/>
            <w:shd w:val="clear" w:color="auto" w:fill="auto"/>
          </w:tcPr>
          <w:p w14:paraId="70D90575" w14:textId="77777777" w:rsidR="003D6146" w:rsidRPr="007B3976" w:rsidRDefault="003D6146" w:rsidP="00603885">
            <w:pPr>
              <w:pStyle w:val="TableText"/>
              <w:spacing w:before="44" w:after="44"/>
            </w:pPr>
            <w:r>
              <w:t>Crustacean</w:t>
            </w:r>
            <w:r>
              <w:br/>
              <w:t>(shrimp)</w:t>
            </w:r>
          </w:p>
        </w:tc>
        <w:tc>
          <w:tcPr>
            <w:tcW w:w="658" w:type="pct"/>
            <w:shd w:val="clear" w:color="auto" w:fill="auto"/>
            <w:hideMark/>
          </w:tcPr>
          <w:p w14:paraId="50B353F0" w14:textId="77777777" w:rsidR="003D6146" w:rsidRPr="007B3976" w:rsidRDefault="003D6146" w:rsidP="00603885">
            <w:pPr>
              <w:pStyle w:val="TableText"/>
              <w:spacing w:before="44" w:after="44"/>
            </w:pPr>
            <w:r w:rsidRPr="007B3976">
              <w:rPr>
                <w:i/>
              </w:rPr>
              <w:t>Palaemonetes pugio</w:t>
            </w:r>
          </w:p>
        </w:tc>
        <w:tc>
          <w:tcPr>
            <w:tcW w:w="355" w:type="pct"/>
            <w:shd w:val="clear" w:color="auto" w:fill="auto"/>
            <w:noWrap/>
            <w:hideMark/>
          </w:tcPr>
          <w:p w14:paraId="0AA7F08A" w14:textId="77777777" w:rsidR="003D6146" w:rsidRPr="007B3976" w:rsidRDefault="003D6146" w:rsidP="00603885">
            <w:pPr>
              <w:pStyle w:val="TableText"/>
              <w:spacing w:before="44" w:after="44"/>
            </w:pPr>
            <w:r w:rsidRPr="007B3976">
              <w:t>Adult</w:t>
            </w:r>
          </w:p>
        </w:tc>
        <w:tc>
          <w:tcPr>
            <w:tcW w:w="354" w:type="pct"/>
            <w:shd w:val="clear" w:color="auto" w:fill="auto"/>
            <w:hideMark/>
          </w:tcPr>
          <w:p w14:paraId="67C38325" w14:textId="77777777" w:rsidR="003D6146" w:rsidRPr="007B3976" w:rsidRDefault="003D6146" w:rsidP="00603885">
            <w:pPr>
              <w:pStyle w:val="TableText"/>
              <w:spacing w:before="44" w:after="44"/>
            </w:pPr>
            <w:r w:rsidRPr="007B3976">
              <w:t>96</w:t>
            </w:r>
            <w:r>
              <w:t> h</w:t>
            </w:r>
          </w:p>
        </w:tc>
        <w:tc>
          <w:tcPr>
            <w:tcW w:w="455" w:type="pct"/>
            <w:shd w:val="clear" w:color="auto" w:fill="auto"/>
            <w:noWrap/>
          </w:tcPr>
          <w:p w14:paraId="528B184E" w14:textId="77777777" w:rsidR="003D6146" w:rsidRPr="007B3976" w:rsidRDefault="003D6146" w:rsidP="00603885">
            <w:pPr>
              <w:pStyle w:val="TableText"/>
              <w:spacing w:before="44" w:after="44"/>
            </w:pPr>
            <w:r w:rsidRPr="007B3976">
              <w:t>Flow</w:t>
            </w:r>
            <w:r>
              <w:t>-</w:t>
            </w:r>
            <w:r w:rsidRPr="007B3976">
              <w:t>through</w:t>
            </w:r>
          </w:p>
        </w:tc>
        <w:tc>
          <w:tcPr>
            <w:tcW w:w="557" w:type="pct"/>
            <w:shd w:val="clear" w:color="auto" w:fill="auto"/>
            <w:hideMark/>
          </w:tcPr>
          <w:p w14:paraId="3D303776" w14:textId="77777777" w:rsidR="003D6146" w:rsidRPr="007B3976" w:rsidRDefault="003D6146" w:rsidP="00603885">
            <w:pPr>
              <w:pStyle w:val="TableText"/>
              <w:spacing w:before="44" w:after="44"/>
            </w:pPr>
            <w:r w:rsidRPr="007B3976">
              <w:t>Mortality (LC50)</w:t>
            </w:r>
          </w:p>
        </w:tc>
        <w:tc>
          <w:tcPr>
            <w:tcW w:w="557" w:type="pct"/>
            <w:shd w:val="clear" w:color="auto" w:fill="auto"/>
            <w:hideMark/>
          </w:tcPr>
          <w:p w14:paraId="7DCC7C82" w14:textId="77777777" w:rsidR="003D6146" w:rsidRPr="007B3976" w:rsidRDefault="003D6146" w:rsidP="00603885">
            <w:pPr>
              <w:pStyle w:val="TableText"/>
              <w:spacing w:before="44" w:after="44"/>
            </w:pPr>
            <w:r w:rsidRPr="007B3976">
              <w:t>Seawater</w:t>
            </w:r>
            <w:r>
              <w:t xml:space="preserve"> </w:t>
            </w:r>
            <w:r w:rsidRPr="007B3976">
              <w:t>(20‰)</w:t>
            </w:r>
          </w:p>
        </w:tc>
        <w:tc>
          <w:tcPr>
            <w:tcW w:w="304" w:type="pct"/>
            <w:shd w:val="clear" w:color="auto" w:fill="auto"/>
            <w:noWrap/>
            <w:hideMark/>
          </w:tcPr>
          <w:p w14:paraId="28D194D8" w14:textId="77777777" w:rsidR="003D6146" w:rsidRPr="007B3976" w:rsidRDefault="003D6146" w:rsidP="00603885">
            <w:pPr>
              <w:pStyle w:val="TableText"/>
              <w:spacing w:before="44" w:after="44"/>
            </w:pPr>
            <w:r w:rsidRPr="007B3976">
              <w:t>19</w:t>
            </w:r>
            <w:r>
              <w:t>–</w:t>
            </w:r>
            <w:r w:rsidRPr="007B3976">
              <w:t>28</w:t>
            </w:r>
          </w:p>
        </w:tc>
        <w:tc>
          <w:tcPr>
            <w:tcW w:w="518" w:type="pct"/>
            <w:shd w:val="clear" w:color="auto" w:fill="auto"/>
            <w:hideMark/>
          </w:tcPr>
          <w:p w14:paraId="0B47E1A3" w14:textId="77777777" w:rsidR="003D6146" w:rsidRPr="00ED3D20" w:rsidRDefault="003D6146" w:rsidP="00603885">
            <w:pPr>
              <w:spacing w:before="44" w:after="44" w:line="240" w:lineRule="auto"/>
              <w:rPr>
                <w:rFonts w:eastAsia="Times New Roman" w:cstheme="minorHAnsi"/>
                <w:b/>
                <w:sz w:val="18"/>
                <w:szCs w:val="18"/>
              </w:rPr>
            </w:pPr>
            <w:r w:rsidRPr="00ED3D20">
              <w:rPr>
                <w:rFonts w:eastAsia="Times New Roman" w:cstheme="minorHAnsi"/>
                <w:b/>
                <w:sz w:val="18"/>
                <w:szCs w:val="18"/>
              </w:rPr>
              <w:t>220</w:t>
            </w:r>
          </w:p>
        </w:tc>
        <w:tc>
          <w:tcPr>
            <w:tcW w:w="786" w:type="pct"/>
            <w:shd w:val="clear" w:color="auto" w:fill="auto"/>
            <w:hideMark/>
          </w:tcPr>
          <w:p w14:paraId="19962E3C" w14:textId="77777777" w:rsidR="003D6146" w:rsidRDefault="003D6146" w:rsidP="00603885">
            <w:pPr>
              <w:pStyle w:val="TableText"/>
              <w:spacing w:before="44" w:after="44"/>
            </w:pPr>
            <w:r w:rsidRPr="007B3976">
              <w:t>Roberts and Gleeson 1978</w:t>
            </w:r>
          </w:p>
          <w:p w14:paraId="5FA7E269" w14:textId="24AF8F3E" w:rsidR="003D6146" w:rsidRPr="007B3976" w:rsidRDefault="003D6146" w:rsidP="00603885">
            <w:pPr>
              <w:pStyle w:val="TableText"/>
              <w:spacing w:before="44" w:after="44"/>
            </w:pPr>
            <w:r w:rsidRPr="00CC0E62">
              <w:rPr>
                <w:b/>
                <w:bCs/>
              </w:rPr>
              <w:t>Value used in SSD</w:t>
            </w:r>
          </w:p>
        </w:tc>
      </w:tr>
      <w:tr w:rsidR="00BF25EB" w:rsidRPr="007B3976" w14:paraId="6688F555" w14:textId="77777777" w:rsidTr="002B4B5F">
        <w:trPr>
          <w:cantSplit/>
        </w:trPr>
        <w:tc>
          <w:tcPr>
            <w:tcW w:w="456" w:type="pct"/>
            <w:vMerge w:val="restart"/>
            <w:shd w:val="clear" w:color="auto" w:fill="auto"/>
          </w:tcPr>
          <w:p w14:paraId="2E5194D5" w14:textId="77777777" w:rsidR="003D6146" w:rsidRPr="007B3976" w:rsidRDefault="003D6146" w:rsidP="00603885">
            <w:pPr>
              <w:pStyle w:val="TableText"/>
              <w:spacing w:before="44" w:after="44"/>
            </w:pPr>
            <w:r>
              <w:t>Crustacean</w:t>
            </w:r>
            <w:r>
              <w:br/>
              <w:t>(mysid)</w:t>
            </w:r>
          </w:p>
        </w:tc>
        <w:tc>
          <w:tcPr>
            <w:tcW w:w="658" w:type="pct"/>
            <w:vMerge w:val="restart"/>
            <w:shd w:val="clear" w:color="auto" w:fill="auto"/>
            <w:hideMark/>
          </w:tcPr>
          <w:p w14:paraId="0AC78374" w14:textId="77777777" w:rsidR="003D6146" w:rsidRPr="007B3976" w:rsidRDefault="003D6146" w:rsidP="00603885">
            <w:pPr>
              <w:pStyle w:val="TableText"/>
              <w:spacing w:before="44" w:after="44"/>
            </w:pPr>
            <w:r w:rsidRPr="007B3976">
              <w:rPr>
                <w:i/>
              </w:rPr>
              <w:t>Mysidopsis bahia</w:t>
            </w:r>
          </w:p>
        </w:tc>
        <w:tc>
          <w:tcPr>
            <w:tcW w:w="355" w:type="pct"/>
            <w:shd w:val="clear" w:color="auto" w:fill="auto"/>
            <w:noWrap/>
            <w:hideMark/>
          </w:tcPr>
          <w:p w14:paraId="230AA4FA" w14:textId="77777777" w:rsidR="003D6146" w:rsidRPr="007B3976" w:rsidRDefault="003D6146" w:rsidP="00603885">
            <w:pPr>
              <w:pStyle w:val="TableText"/>
              <w:spacing w:before="44" w:after="44"/>
            </w:pPr>
            <w:r w:rsidRPr="007B3976">
              <w:t>Juvenile</w:t>
            </w:r>
          </w:p>
        </w:tc>
        <w:tc>
          <w:tcPr>
            <w:tcW w:w="354" w:type="pct"/>
            <w:shd w:val="clear" w:color="auto" w:fill="auto"/>
            <w:hideMark/>
          </w:tcPr>
          <w:p w14:paraId="6A67C842" w14:textId="77777777" w:rsidR="003D6146" w:rsidRPr="007B3976" w:rsidRDefault="003D6146" w:rsidP="00603885">
            <w:pPr>
              <w:pStyle w:val="TableText"/>
              <w:spacing w:before="44" w:after="44"/>
            </w:pPr>
            <w:r w:rsidRPr="007B3976">
              <w:t>96</w:t>
            </w:r>
            <w:r>
              <w:t> h</w:t>
            </w:r>
          </w:p>
        </w:tc>
        <w:tc>
          <w:tcPr>
            <w:tcW w:w="455" w:type="pct"/>
            <w:shd w:val="clear" w:color="auto" w:fill="auto"/>
            <w:noWrap/>
          </w:tcPr>
          <w:p w14:paraId="2A7A8A15" w14:textId="77777777" w:rsidR="003D6146" w:rsidRPr="007B3976" w:rsidRDefault="003D6146" w:rsidP="00603885">
            <w:pPr>
              <w:pStyle w:val="TableText"/>
              <w:spacing w:before="44" w:after="44"/>
            </w:pPr>
            <w:r w:rsidRPr="007B3976">
              <w:t>Flow</w:t>
            </w:r>
            <w:r>
              <w:t>-</w:t>
            </w:r>
            <w:r w:rsidRPr="007B3976">
              <w:t>through</w:t>
            </w:r>
          </w:p>
        </w:tc>
        <w:tc>
          <w:tcPr>
            <w:tcW w:w="557" w:type="pct"/>
            <w:shd w:val="clear" w:color="auto" w:fill="auto"/>
            <w:hideMark/>
          </w:tcPr>
          <w:p w14:paraId="3A101601" w14:textId="77777777" w:rsidR="003D6146" w:rsidRPr="007B3976" w:rsidRDefault="003D6146" w:rsidP="00603885">
            <w:pPr>
              <w:pStyle w:val="TableText"/>
              <w:spacing w:before="44" w:after="44"/>
            </w:pPr>
            <w:r w:rsidRPr="007B3976">
              <w:t>Mortality (LC50)</w:t>
            </w:r>
          </w:p>
        </w:tc>
        <w:tc>
          <w:tcPr>
            <w:tcW w:w="557" w:type="pct"/>
            <w:shd w:val="clear" w:color="auto" w:fill="auto"/>
            <w:hideMark/>
          </w:tcPr>
          <w:p w14:paraId="1628FE0E" w14:textId="77777777" w:rsidR="003D6146" w:rsidRPr="007B3976" w:rsidRDefault="003D6146" w:rsidP="00603885">
            <w:pPr>
              <w:pStyle w:val="TableText"/>
              <w:spacing w:before="44" w:after="44"/>
            </w:pPr>
            <w:r w:rsidRPr="007B3976">
              <w:t>Seawater</w:t>
            </w:r>
            <w:r>
              <w:t xml:space="preserve"> </w:t>
            </w:r>
            <w:r w:rsidRPr="007B3976">
              <w:t>(20.5‰)</w:t>
            </w:r>
          </w:p>
        </w:tc>
        <w:tc>
          <w:tcPr>
            <w:tcW w:w="304" w:type="pct"/>
            <w:shd w:val="clear" w:color="auto" w:fill="auto"/>
            <w:noWrap/>
            <w:hideMark/>
          </w:tcPr>
          <w:p w14:paraId="3DA722D2" w14:textId="77777777" w:rsidR="003D6146" w:rsidRPr="007B3976" w:rsidRDefault="003D6146" w:rsidP="00603885">
            <w:pPr>
              <w:pStyle w:val="TableText"/>
              <w:spacing w:before="44" w:after="44"/>
            </w:pPr>
            <w:r w:rsidRPr="007B3976">
              <w:t>20</w:t>
            </w:r>
          </w:p>
        </w:tc>
        <w:tc>
          <w:tcPr>
            <w:tcW w:w="518" w:type="pct"/>
            <w:shd w:val="clear" w:color="auto" w:fill="auto"/>
            <w:hideMark/>
          </w:tcPr>
          <w:p w14:paraId="4FEFB3EC" w14:textId="77777777" w:rsidR="003D6146" w:rsidRPr="00ED3D20" w:rsidRDefault="003D6146" w:rsidP="00603885">
            <w:pPr>
              <w:spacing w:before="44" w:after="44" w:line="240" w:lineRule="auto"/>
              <w:rPr>
                <w:rFonts w:eastAsia="Times New Roman" w:cstheme="minorHAnsi"/>
                <w:sz w:val="18"/>
                <w:szCs w:val="18"/>
              </w:rPr>
            </w:pPr>
            <w:r w:rsidRPr="00ED3D20">
              <w:rPr>
                <w:rFonts w:eastAsia="Times New Roman" w:cstheme="minorHAnsi"/>
                <w:sz w:val="18"/>
                <w:szCs w:val="18"/>
              </w:rPr>
              <w:t>73</w:t>
            </w:r>
          </w:p>
        </w:tc>
        <w:tc>
          <w:tcPr>
            <w:tcW w:w="786" w:type="pct"/>
            <w:shd w:val="clear" w:color="auto" w:fill="auto"/>
            <w:hideMark/>
          </w:tcPr>
          <w:p w14:paraId="39D63236" w14:textId="77777777" w:rsidR="003D6146" w:rsidRPr="007B3976" w:rsidRDefault="003D6146" w:rsidP="00603885">
            <w:pPr>
              <w:pStyle w:val="TableText"/>
              <w:spacing w:before="44" w:after="44"/>
            </w:pPr>
            <w:r w:rsidRPr="007B3976">
              <w:t>Fisher et al. 1994</w:t>
            </w:r>
          </w:p>
        </w:tc>
      </w:tr>
      <w:tr w:rsidR="00BF25EB" w:rsidRPr="007B3976" w14:paraId="4715BA46" w14:textId="77777777" w:rsidTr="002B4B5F">
        <w:trPr>
          <w:cantSplit/>
        </w:trPr>
        <w:tc>
          <w:tcPr>
            <w:tcW w:w="456" w:type="pct"/>
            <w:vMerge/>
            <w:shd w:val="clear" w:color="auto" w:fill="auto"/>
          </w:tcPr>
          <w:p w14:paraId="2F389B04" w14:textId="77777777" w:rsidR="003D6146" w:rsidRPr="007B3976" w:rsidRDefault="003D6146" w:rsidP="00603885">
            <w:pPr>
              <w:pStyle w:val="TableText"/>
              <w:spacing w:before="44" w:after="44"/>
            </w:pPr>
          </w:p>
        </w:tc>
        <w:tc>
          <w:tcPr>
            <w:tcW w:w="658" w:type="pct"/>
            <w:vMerge/>
            <w:tcBorders>
              <w:bottom w:val="nil"/>
            </w:tcBorders>
            <w:shd w:val="clear" w:color="auto" w:fill="auto"/>
          </w:tcPr>
          <w:p w14:paraId="299FB9D4" w14:textId="77777777" w:rsidR="003D6146" w:rsidRPr="007B3976" w:rsidRDefault="003D6146" w:rsidP="00603885">
            <w:pPr>
              <w:pStyle w:val="TableText"/>
              <w:spacing w:before="44" w:after="44"/>
            </w:pPr>
          </w:p>
        </w:tc>
        <w:tc>
          <w:tcPr>
            <w:tcW w:w="355" w:type="pct"/>
            <w:tcBorders>
              <w:bottom w:val="nil"/>
            </w:tcBorders>
            <w:shd w:val="clear" w:color="auto" w:fill="auto"/>
            <w:noWrap/>
          </w:tcPr>
          <w:p w14:paraId="6FA8B787" w14:textId="77777777" w:rsidR="003D6146" w:rsidRPr="007B3976" w:rsidRDefault="003D6146" w:rsidP="00603885">
            <w:pPr>
              <w:pStyle w:val="TableText"/>
              <w:spacing w:before="44" w:after="44"/>
            </w:pPr>
            <w:r w:rsidRPr="007B3976">
              <w:t>Juvenile</w:t>
            </w:r>
          </w:p>
        </w:tc>
        <w:tc>
          <w:tcPr>
            <w:tcW w:w="354" w:type="pct"/>
            <w:tcBorders>
              <w:bottom w:val="nil"/>
            </w:tcBorders>
            <w:shd w:val="clear" w:color="auto" w:fill="auto"/>
          </w:tcPr>
          <w:p w14:paraId="3695BB1E" w14:textId="77777777" w:rsidR="003D6146" w:rsidRPr="007B3976" w:rsidRDefault="003D6146" w:rsidP="00603885">
            <w:pPr>
              <w:pStyle w:val="TableText"/>
              <w:spacing w:before="44" w:after="44"/>
            </w:pPr>
            <w:r w:rsidRPr="007B3976">
              <w:t>96</w:t>
            </w:r>
            <w:r>
              <w:t> h</w:t>
            </w:r>
          </w:p>
        </w:tc>
        <w:tc>
          <w:tcPr>
            <w:tcW w:w="455" w:type="pct"/>
            <w:tcBorders>
              <w:bottom w:val="nil"/>
            </w:tcBorders>
            <w:shd w:val="clear" w:color="auto" w:fill="auto"/>
            <w:noWrap/>
          </w:tcPr>
          <w:p w14:paraId="29383827" w14:textId="77777777" w:rsidR="003D6146" w:rsidRPr="007B3976" w:rsidRDefault="003D6146" w:rsidP="00603885">
            <w:pPr>
              <w:pStyle w:val="TableText"/>
              <w:spacing w:before="44" w:after="44"/>
            </w:pPr>
            <w:r w:rsidRPr="007B3976">
              <w:t>Flow</w:t>
            </w:r>
            <w:r>
              <w:t>-</w:t>
            </w:r>
            <w:r w:rsidRPr="007B3976">
              <w:t>through</w:t>
            </w:r>
          </w:p>
        </w:tc>
        <w:tc>
          <w:tcPr>
            <w:tcW w:w="557" w:type="pct"/>
            <w:tcBorders>
              <w:bottom w:val="nil"/>
            </w:tcBorders>
            <w:shd w:val="clear" w:color="auto" w:fill="auto"/>
          </w:tcPr>
          <w:p w14:paraId="6CCF0A3B" w14:textId="77777777" w:rsidR="003D6146" w:rsidRPr="007B3976" w:rsidRDefault="003D6146" w:rsidP="00603885">
            <w:pPr>
              <w:pStyle w:val="TableText"/>
              <w:spacing w:before="44" w:after="44"/>
            </w:pPr>
            <w:r w:rsidRPr="007B3976">
              <w:t>Mortality (LC50)</w:t>
            </w:r>
          </w:p>
        </w:tc>
        <w:tc>
          <w:tcPr>
            <w:tcW w:w="557" w:type="pct"/>
            <w:tcBorders>
              <w:bottom w:val="nil"/>
            </w:tcBorders>
            <w:shd w:val="clear" w:color="auto" w:fill="auto"/>
          </w:tcPr>
          <w:p w14:paraId="5DC86002" w14:textId="77777777" w:rsidR="003D6146" w:rsidRPr="007B3976" w:rsidRDefault="003D6146" w:rsidP="00603885">
            <w:pPr>
              <w:pStyle w:val="TableText"/>
              <w:spacing w:before="44" w:after="44"/>
            </w:pPr>
            <w:r w:rsidRPr="007B3976">
              <w:t>Seawater</w:t>
            </w:r>
            <w:r>
              <w:t xml:space="preserve"> </w:t>
            </w:r>
            <w:r w:rsidRPr="007B3976">
              <w:t>(20‰)</w:t>
            </w:r>
          </w:p>
        </w:tc>
        <w:tc>
          <w:tcPr>
            <w:tcW w:w="304" w:type="pct"/>
            <w:tcBorders>
              <w:bottom w:val="nil"/>
            </w:tcBorders>
            <w:shd w:val="clear" w:color="auto" w:fill="auto"/>
            <w:noWrap/>
          </w:tcPr>
          <w:p w14:paraId="6B182030" w14:textId="77777777" w:rsidR="003D6146" w:rsidRPr="007B3976" w:rsidRDefault="003D6146" w:rsidP="00603885">
            <w:pPr>
              <w:pStyle w:val="TableText"/>
              <w:spacing w:before="44" w:after="44"/>
            </w:pPr>
            <w:r w:rsidRPr="007B3976">
              <w:t>20</w:t>
            </w:r>
          </w:p>
        </w:tc>
        <w:tc>
          <w:tcPr>
            <w:tcW w:w="518" w:type="pct"/>
            <w:shd w:val="clear" w:color="auto" w:fill="auto"/>
          </w:tcPr>
          <w:p w14:paraId="1797CE1F" w14:textId="77777777" w:rsidR="003D6146" w:rsidRPr="00ED3D20" w:rsidRDefault="003D6146" w:rsidP="00603885">
            <w:pPr>
              <w:spacing w:before="44" w:after="44" w:line="240" w:lineRule="auto"/>
              <w:rPr>
                <w:rFonts w:eastAsia="Times New Roman" w:cstheme="minorHAnsi"/>
                <w:sz w:val="18"/>
                <w:szCs w:val="18"/>
              </w:rPr>
            </w:pPr>
            <w:r w:rsidRPr="00ED3D20">
              <w:rPr>
                <w:rFonts w:eastAsia="Times New Roman" w:cstheme="minorHAnsi"/>
                <w:sz w:val="18"/>
                <w:szCs w:val="18"/>
              </w:rPr>
              <w:t>62</w:t>
            </w:r>
          </w:p>
        </w:tc>
        <w:tc>
          <w:tcPr>
            <w:tcW w:w="786" w:type="pct"/>
            <w:shd w:val="clear" w:color="auto" w:fill="auto"/>
          </w:tcPr>
          <w:p w14:paraId="35CB3854" w14:textId="77777777" w:rsidR="003D6146" w:rsidRPr="007B3976" w:rsidRDefault="003D6146" w:rsidP="00603885">
            <w:pPr>
              <w:pStyle w:val="TableText"/>
              <w:spacing w:before="44" w:after="44"/>
            </w:pPr>
            <w:r w:rsidRPr="007B3976">
              <w:t>Fisher et al. 1999</w:t>
            </w:r>
          </w:p>
        </w:tc>
      </w:tr>
      <w:tr w:rsidR="00BF25EB" w:rsidRPr="007B3976" w14:paraId="28D99BD1" w14:textId="77777777" w:rsidTr="00603885">
        <w:trPr>
          <w:cantSplit/>
          <w:trHeight w:val="50"/>
        </w:trPr>
        <w:tc>
          <w:tcPr>
            <w:tcW w:w="456" w:type="pct"/>
            <w:vMerge/>
            <w:shd w:val="clear" w:color="auto" w:fill="auto"/>
          </w:tcPr>
          <w:p w14:paraId="2797E73F" w14:textId="77777777" w:rsidR="003D6146" w:rsidRPr="007B3976" w:rsidRDefault="003D6146" w:rsidP="00603885">
            <w:pPr>
              <w:pStyle w:val="TableText"/>
              <w:spacing w:before="44" w:after="44"/>
            </w:pPr>
          </w:p>
        </w:tc>
        <w:tc>
          <w:tcPr>
            <w:tcW w:w="3240" w:type="pct"/>
            <w:gridSpan w:val="7"/>
            <w:tcBorders>
              <w:top w:val="nil"/>
              <w:bottom w:val="single" w:sz="4" w:space="0" w:color="auto"/>
            </w:tcBorders>
            <w:shd w:val="clear" w:color="auto" w:fill="auto"/>
          </w:tcPr>
          <w:p w14:paraId="098F313C" w14:textId="77777777" w:rsidR="003D6146" w:rsidRPr="00D226AE" w:rsidRDefault="003D6146" w:rsidP="00603885">
            <w:pPr>
              <w:pStyle w:val="TableText"/>
              <w:spacing w:before="44" w:after="44"/>
            </w:pPr>
            <w:r w:rsidRPr="00D226AE">
              <w:t>–</w:t>
            </w:r>
          </w:p>
        </w:tc>
        <w:tc>
          <w:tcPr>
            <w:tcW w:w="518" w:type="pct"/>
            <w:shd w:val="clear" w:color="auto" w:fill="auto"/>
          </w:tcPr>
          <w:p w14:paraId="55607A00" w14:textId="77777777" w:rsidR="003D6146" w:rsidRPr="00ED3D20" w:rsidRDefault="003D6146" w:rsidP="00603885">
            <w:pPr>
              <w:spacing w:before="44" w:after="44" w:line="240" w:lineRule="auto"/>
              <w:rPr>
                <w:rFonts w:eastAsia="Times New Roman" w:cstheme="minorHAnsi"/>
                <w:b/>
                <w:sz w:val="18"/>
                <w:szCs w:val="18"/>
              </w:rPr>
            </w:pPr>
            <w:r w:rsidRPr="00ED3D20">
              <w:rPr>
                <w:rFonts w:eastAsia="Times New Roman" w:cstheme="minorHAnsi"/>
                <w:b/>
                <w:sz w:val="18"/>
                <w:szCs w:val="18"/>
              </w:rPr>
              <w:t>68</w:t>
            </w:r>
          </w:p>
        </w:tc>
        <w:tc>
          <w:tcPr>
            <w:tcW w:w="786" w:type="pct"/>
            <w:shd w:val="clear" w:color="auto" w:fill="auto"/>
          </w:tcPr>
          <w:p w14:paraId="0CB8DAE6" w14:textId="77777777" w:rsidR="003D6146" w:rsidRDefault="003D6146" w:rsidP="00603885">
            <w:pPr>
              <w:pStyle w:val="TableText"/>
              <w:spacing w:before="44" w:after="44"/>
            </w:pPr>
            <w:r>
              <w:rPr>
                <w:b/>
                <w:bCs/>
              </w:rPr>
              <w:t>V</w:t>
            </w:r>
            <w:r w:rsidRPr="00CC0E62">
              <w:rPr>
                <w:b/>
                <w:bCs/>
              </w:rPr>
              <w:t>alue used in SSD</w:t>
            </w:r>
          </w:p>
          <w:p w14:paraId="71353C78" w14:textId="2AB24FC5" w:rsidR="003D6146" w:rsidRPr="007B3976" w:rsidRDefault="003D6146" w:rsidP="00603885">
            <w:pPr>
              <w:pStyle w:val="TableText"/>
              <w:spacing w:before="44" w:after="44"/>
            </w:pPr>
            <w:r w:rsidRPr="001E1354">
              <w:rPr>
                <w:i/>
                <w:iCs/>
              </w:rPr>
              <w:t>Geometric mean</w:t>
            </w:r>
          </w:p>
        </w:tc>
      </w:tr>
      <w:tr w:rsidR="00BF25EB" w:rsidRPr="007B3976" w14:paraId="3593D695" w14:textId="77777777" w:rsidTr="002B4B5F">
        <w:trPr>
          <w:cantSplit/>
        </w:trPr>
        <w:tc>
          <w:tcPr>
            <w:tcW w:w="456" w:type="pct"/>
            <w:vMerge w:val="restart"/>
            <w:shd w:val="clear" w:color="auto" w:fill="auto"/>
          </w:tcPr>
          <w:p w14:paraId="3F3B5E24" w14:textId="77777777" w:rsidR="003D6146" w:rsidRPr="007B3976" w:rsidRDefault="003D6146" w:rsidP="00603885">
            <w:pPr>
              <w:pStyle w:val="TableText"/>
              <w:spacing w:before="44" w:after="44"/>
            </w:pPr>
            <w:r>
              <w:t>Fish</w:t>
            </w:r>
          </w:p>
        </w:tc>
        <w:tc>
          <w:tcPr>
            <w:tcW w:w="658" w:type="pct"/>
            <w:tcBorders>
              <w:top w:val="single" w:sz="4" w:space="0" w:color="auto"/>
            </w:tcBorders>
            <w:shd w:val="clear" w:color="auto" w:fill="auto"/>
          </w:tcPr>
          <w:p w14:paraId="63977447" w14:textId="77777777" w:rsidR="003D6146" w:rsidRPr="007B3976" w:rsidRDefault="003D6146" w:rsidP="00603885">
            <w:pPr>
              <w:pStyle w:val="TableText"/>
              <w:spacing w:before="44" w:after="44"/>
            </w:pPr>
            <w:r w:rsidRPr="007B3976">
              <w:rPr>
                <w:i/>
              </w:rPr>
              <w:t>Menidia menidia</w:t>
            </w:r>
          </w:p>
        </w:tc>
        <w:tc>
          <w:tcPr>
            <w:tcW w:w="355" w:type="pct"/>
            <w:tcBorders>
              <w:top w:val="single" w:sz="4" w:space="0" w:color="auto"/>
            </w:tcBorders>
            <w:shd w:val="clear" w:color="auto" w:fill="auto"/>
            <w:noWrap/>
          </w:tcPr>
          <w:p w14:paraId="4454A288" w14:textId="77777777" w:rsidR="003D6146" w:rsidRPr="007B3976" w:rsidRDefault="003D6146" w:rsidP="00603885">
            <w:pPr>
              <w:pStyle w:val="TableText"/>
              <w:spacing w:before="44" w:after="44"/>
            </w:pPr>
            <w:r w:rsidRPr="007B3976">
              <w:t>Juvenile</w:t>
            </w:r>
          </w:p>
        </w:tc>
        <w:tc>
          <w:tcPr>
            <w:tcW w:w="354" w:type="pct"/>
            <w:tcBorders>
              <w:top w:val="single" w:sz="4" w:space="0" w:color="auto"/>
            </w:tcBorders>
            <w:shd w:val="clear" w:color="auto" w:fill="auto"/>
          </w:tcPr>
          <w:p w14:paraId="7DEC13F8" w14:textId="77777777" w:rsidR="003D6146" w:rsidRPr="007B3976" w:rsidRDefault="003D6146" w:rsidP="00603885">
            <w:pPr>
              <w:pStyle w:val="TableText"/>
              <w:spacing w:before="44" w:after="44"/>
            </w:pPr>
            <w:r w:rsidRPr="007B3976">
              <w:t>96</w:t>
            </w:r>
            <w:r>
              <w:t> h</w:t>
            </w:r>
          </w:p>
        </w:tc>
        <w:tc>
          <w:tcPr>
            <w:tcW w:w="455" w:type="pct"/>
            <w:tcBorders>
              <w:top w:val="single" w:sz="4" w:space="0" w:color="auto"/>
            </w:tcBorders>
            <w:shd w:val="clear" w:color="auto" w:fill="auto"/>
            <w:noWrap/>
          </w:tcPr>
          <w:p w14:paraId="64C705C1" w14:textId="77777777" w:rsidR="003D6146" w:rsidRPr="007B3976" w:rsidRDefault="003D6146" w:rsidP="00603885">
            <w:pPr>
              <w:pStyle w:val="TableText"/>
              <w:spacing w:before="44" w:after="44"/>
            </w:pPr>
            <w:r w:rsidRPr="007B3976">
              <w:t>Flow</w:t>
            </w:r>
            <w:r>
              <w:t>-</w:t>
            </w:r>
            <w:r w:rsidRPr="007B3976">
              <w:t>through</w:t>
            </w:r>
          </w:p>
        </w:tc>
        <w:tc>
          <w:tcPr>
            <w:tcW w:w="557" w:type="pct"/>
            <w:tcBorders>
              <w:top w:val="single" w:sz="4" w:space="0" w:color="auto"/>
            </w:tcBorders>
            <w:shd w:val="clear" w:color="auto" w:fill="auto"/>
          </w:tcPr>
          <w:p w14:paraId="4234B646" w14:textId="77777777" w:rsidR="003D6146" w:rsidRPr="007B3976" w:rsidRDefault="003D6146" w:rsidP="00603885">
            <w:pPr>
              <w:pStyle w:val="TableText"/>
              <w:spacing w:before="44" w:after="44"/>
            </w:pPr>
            <w:r w:rsidRPr="007B3976">
              <w:t>Mortality (LC50)</w:t>
            </w:r>
          </w:p>
        </w:tc>
        <w:tc>
          <w:tcPr>
            <w:tcW w:w="557" w:type="pct"/>
            <w:tcBorders>
              <w:top w:val="single" w:sz="4" w:space="0" w:color="auto"/>
            </w:tcBorders>
            <w:shd w:val="clear" w:color="auto" w:fill="auto"/>
          </w:tcPr>
          <w:p w14:paraId="7B416A40" w14:textId="77777777" w:rsidR="003D6146" w:rsidRPr="007B3976" w:rsidRDefault="003D6146" w:rsidP="00603885">
            <w:pPr>
              <w:pStyle w:val="TableText"/>
              <w:spacing w:before="44" w:after="44"/>
            </w:pPr>
            <w:r w:rsidRPr="007B3976">
              <w:t>Seawater</w:t>
            </w:r>
            <w:r>
              <w:t xml:space="preserve"> </w:t>
            </w:r>
            <w:r w:rsidRPr="007B3976">
              <w:t>(20‰)</w:t>
            </w:r>
          </w:p>
        </w:tc>
        <w:tc>
          <w:tcPr>
            <w:tcW w:w="304" w:type="pct"/>
            <w:tcBorders>
              <w:top w:val="single" w:sz="4" w:space="0" w:color="auto"/>
            </w:tcBorders>
            <w:shd w:val="clear" w:color="auto" w:fill="auto"/>
            <w:noWrap/>
          </w:tcPr>
          <w:p w14:paraId="17961CC0" w14:textId="77777777" w:rsidR="003D6146" w:rsidRPr="007B3976" w:rsidRDefault="003D6146" w:rsidP="00603885">
            <w:pPr>
              <w:pStyle w:val="TableText"/>
              <w:spacing w:before="44" w:after="44"/>
            </w:pPr>
            <w:r w:rsidRPr="007B3976">
              <w:t>19</w:t>
            </w:r>
            <w:r>
              <w:t>–</w:t>
            </w:r>
            <w:r w:rsidRPr="007B3976">
              <w:t>28</w:t>
            </w:r>
          </w:p>
        </w:tc>
        <w:tc>
          <w:tcPr>
            <w:tcW w:w="518" w:type="pct"/>
            <w:shd w:val="clear" w:color="auto" w:fill="auto"/>
          </w:tcPr>
          <w:p w14:paraId="74D9C332" w14:textId="77777777" w:rsidR="003D6146" w:rsidRPr="00ED3D20" w:rsidRDefault="003D6146" w:rsidP="00603885">
            <w:pPr>
              <w:spacing w:before="44" w:after="44" w:line="240" w:lineRule="auto"/>
              <w:rPr>
                <w:rFonts w:eastAsia="Times New Roman" w:cstheme="minorHAnsi"/>
                <w:sz w:val="18"/>
                <w:szCs w:val="18"/>
              </w:rPr>
            </w:pPr>
            <w:r w:rsidRPr="00ED3D20">
              <w:rPr>
                <w:rFonts w:eastAsia="Times New Roman" w:cstheme="minorHAnsi"/>
                <w:b/>
                <w:sz w:val="18"/>
                <w:szCs w:val="18"/>
              </w:rPr>
              <w:t>37</w:t>
            </w:r>
          </w:p>
        </w:tc>
        <w:tc>
          <w:tcPr>
            <w:tcW w:w="786" w:type="pct"/>
            <w:shd w:val="clear" w:color="auto" w:fill="auto"/>
          </w:tcPr>
          <w:p w14:paraId="5CD74982" w14:textId="77777777" w:rsidR="003D6146" w:rsidRDefault="003D6146" w:rsidP="00603885">
            <w:pPr>
              <w:pStyle w:val="TableText"/>
              <w:spacing w:before="44" w:after="44"/>
            </w:pPr>
            <w:r w:rsidRPr="007B3976">
              <w:t>Roberts and Gleeson 1978</w:t>
            </w:r>
          </w:p>
          <w:p w14:paraId="61224003" w14:textId="1BEF6DF9" w:rsidR="003D6146" w:rsidRPr="007B3976" w:rsidRDefault="003D6146" w:rsidP="00603885">
            <w:pPr>
              <w:pStyle w:val="TableText"/>
              <w:spacing w:before="44" w:after="44"/>
            </w:pPr>
            <w:r w:rsidRPr="00CC0E62">
              <w:rPr>
                <w:b/>
                <w:bCs/>
              </w:rPr>
              <w:t>Value used in SSD</w:t>
            </w:r>
          </w:p>
        </w:tc>
      </w:tr>
      <w:tr w:rsidR="00BF25EB" w:rsidRPr="007B3976" w14:paraId="17A98DF9" w14:textId="77777777" w:rsidTr="002B4B5F">
        <w:trPr>
          <w:cantSplit/>
        </w:trPr>
        <w:tc>
          <w:tcPr>
            <w:tcW w:w="456" w:type="pct"/>
            <w:vMerge/>
            <w:shd w:val="clear" w:color="auto" w:fill="auto"/>
          </w:tcPr>
          <w:p w14:paraId="039BE095" w14:textId="77777777" w:rsidR="003D6146" w:rsidRPr="007B3976" w:rsidRDefault="003D6146" w:rsidP="00603885">
            <w:pPr>
              <w:pStyle w:val="TableText"/>
              <w:spacing w:before="44" w:after="44"/>
            </w:pPr>
          </w:p>
        </w:tc>
        <w:tc>
          <w:tcPr>
            <w:tcW w:w="658" w:type="pct"/>
            <w:vMerge w:val="restart"/>
            <w:shd w:val="clear" w:color="auto" w:fill="auto"/>
            <w:hideMark/>
          </w:tcPr>
          <w:p w14:paraId="0E036E6D" w14:textId="77777777" w:rsidR="003D6146" w:rsidRPr="007B3976" w:rsidRDefault="003D6146" w:rsidP="00603885">
            <w:pPr>
              <w:pStyle w:val="TableText"/>
              <w:spacing w:before="44" w:after="44"/>
            </w:pPr>
            <w:r w:rsidRPr="007B3976">
              <w:rPr>
                <w:i/>
              </w:rPr>
              <w:t>Menidia beryllina</w:t>
            </w:r>
          </w:p>
        </w:tc>
        <w:tc>
          <w:tcPr>
            <w:tcW w:w="355" w:type="pct"/>
            <w:shd w:val="clear" w:color="auto" w:fill="auto"/>
            <w:noWrap/>
            <w:hideMark/>
          </w:tcPr>
          <w:p w14:paraId="34B00B36" w14:textId="77777777" w:rsidR="003D6146" w:rsidRPr="007B3976" w:rsidRDefault="003D6146" w:rsidP="00603885">
            <w:pPr>
              <w:pStyle w:val="TableText"/>
              <w:spacing w:before="44" w:after="44"/>
            </w:pPr>
            <w:r w:rsidRPr="007B3976">
              <w:t>Juvenile</w:t>
            </w:r>
          </w:p>
        </w:tc>
        <w:tc>
          <w:tcPr>
            <w:tcW w:w="354" w:type="pct"/>
            <w:shd w:val="clear" w:color="auto" w:fill="auto"/>
            <w:hideMark/>
          </w:tcPr>
          <w:p w14:paraId="60AAF89F" w14:textId="77777777" w:rsidR="003D6146" w:rsidRPr="007B3976" w:rsidRDefault="003D6146" w:rsidP="00603885">
            <w:pPr>
              <w:pStyle w:val="TableText"/>
              <w:spacing w:before="44" w:after="44"/>
            </w:pPr>
            <w:r w:rsidRPr="007B3976">
              <w:t>96</w:t>
            </w:r>
            <w:r>
              <w:t> h</w:t>
            </w:r>
          </w:p>
        </w:tc>
        <w:tc>
          <w:tcPr>
            <w:tcW w:w="455" w:type="pct"/>
            <w:shd w:val="clear" w:color="auto" w:fill="auto"/>
            <w:noWrap/>
          </w:tcPr>
          <w:p w14:paraId="1A10DC15" w14:textId="77777777" w:rsidR="003D6146" w:rsidRPr="007B3976" w:rsidRDefault="003D6146" w:rsidP="00603885">
            <w:pPr>
              <w:pStyle w:val="TableText"/>
              <w:spacing w:before="44" w:after="44"/>
            </w:pPr>
            <w:r w:rsidRPr="007B3976">
              <w:t>Flow</w:t>
            </w:r>
            <w:r>
              <w:t>-</w:t>
            </w:r>
            <w:r w:rsidRPr="007B3976">
              <w:t>through</w:t>
            </w:r>
          </w:p>
        </w:tc>
        <w:tc>
          <w:tcPr>
            <w:tcW w:w="557" w:type="pct"/>
            <w:shd w:val="clear" w:color="auto" w:fill="auto"/>
            <w:hideMark/>
          </w:tcPr>
          <w:p w14:paraId="13D7CFD3" w14:textId="77777777" w:rsidR="003D6146" w:rsidRPr="007B3976" w:rsidRDefault="003D6146" w:rsidP="00603885">
            <w:pPr>
              <w:pStyle w:val="TableText"/>
              <w:spacing w:before="44" w:after="44"/>
            </w:pPr>
            <w:r w:rsidRPr="007B3976">
              <w:t>Mortality (LC50)</w:t>
            </w:r>
          </w:p>
        </w:tc>
        <w:tc>
          <w:tcPr>
            <w:tcW w:w="557" w:type="pct"/>
            <w:shd w:val="clear" w:color="auto" w:fill="auto"/>
            <w:hideMark/>
          </w:tcPr>
          <w:p w14:paraId="594C7BFC" w14:textId="77777777" w:rsidR="003D6146" w:rsidRPr="007B3976" w:rsidRDefault="003D6146" w:rsidP="00603885">
            <w:pPr>
              <w:pStyle w:val="TableText"/>
              <w:spacing w:before="44" w:after="44"/>
            </w:pPr>
            <w:r w:rsidRPr="007B3976">
              <w:t>Seawater (20.5‰)</w:t>
            </w:r>
          </w:p>
        </w:tc>
        <w:tc>
          <w:tcPr>
            <w:tcW w:w="304" w:type="pct"/>
            <w:shd w:val="clear" w:color="auto" w:fill="auto"/>
            <w:noWrap/>
            <w:hideMark/>
          </w:tcPr>
          <w:p w14:paraId="663D6470" w14:textId="77777777" w:rsidR="003D6146" w:rsidRPr="007B3976" w:rsidRDefault="003D6146" w:rsidP="00603885">
            <w:pPr>
              <w:pStyle w:val="TableText"/>
              <w:spacing w:before="44" w:after="44"/>
            </w:pPr>
            <w:r w:rsidRPr="007B3976">
              <w:t>20</w:t>
            </w:r>
          </w:p>
        </w:tc>
        <w:tc>
          <w:tcPr>
            <w:tcW w:w="518" w:type="pct"/>
            <w:shd w:val="clear" w:color="auto" w:fill="auto"/>
            <w:hideMark/>
          </w:tcPr>
          <w:p w14:paraId="5C42FA1F" w14:textId="77777777" w:rsidR="003D6146" w:rsidRPr="00ED3D20" w:rsidRDefault="003D6146" w:rsidP="00603885">
            <w:pPr>
              <w:spacing w:before="44" w:after="44" w:line="240" w:lineRule="auto"/>
              <w:rPr>
                <w:rFonts w:eastAsia="Times New Roman" w:cstheme="minorHAnsi"/>
                <w:sz w:val="18"/>
                <w:szCs w:val="18"/>
              </w:rPr>
            </w:pPr>
            <w:r w:rsidRPr="00ED3D20">
              <w:rPr>
                <w:rFonts w:eastAsia="Times New Roman" w:cstheme="minorHAnsi"/>
                <w:sz w:val="18"/>
                <w:szCs w:val="18"/>
              </w:rPr>
              <w:t>128</w:t>
            </w:r>
          </w:p>
        </w:tc>
        <w:tc>
          <w:tcPr>
            <w:tcW w:w="786" w:type="pct"/>
            <w:shd w:val="clear" w:color="auto" w:fill="auto"/>
            <w:hideMark/>
          </w:tcPr>
          <w:p w14:paraId="10826483" w14:textId="77777777" w:rsidR="003D6146" w:rsidRPr="007B3976" w:rsidRDefault="003D6146" w:rsidP="00603885">
            <w:pPr>
              <w:pStyle w:val="TableText"/>
              <w:spacing w:before="44" w:after="44"/>
            </w:pPr>
            <w:r w:rsidRPr="007B3976">
              <w:t>Fisher et al. 1994</w:t>
            </w:r>
          </w:p>
        </w:tc>
      </w:tr>
      <w:tr w:rsidR="00BF25EB" w:rsidRPr="007B3976" w14:paraId="056647B3" w14:textId="77777777" w:rsidTr="002B4B5F">
        <w:trPr>
          <w:cantSplit/>
        </w:trPr>
        <w:tc>
          <w:tcPr>
            <w:tcW w:w="456" w:type="pct"/>
            <w:vMerge/>
            <w:shd w:val="clear" w:color="auto" w:fill="auto"/>
          </w:tcPr>
          <w:p w14:paraId="5EB8459F" w14:textId="77777777" w:rsidR="003D6146" w:rsidRPr="007B3976" w:rsidRDefault="003D6146" w:rsidP="00603885">
            <w:pPr>
              <w:pStyle w:val="TableText"/>
              <w:spacing w:before="44" w:after="44"/>
            </w:pPr>
          </w:p>
        </w:tc>
        <w:tc>
          <w:tcPr>
            <w:tcW w:w="658" w:type="pct"/>
            <w:vMerge/>
            <w:tcBorders>
              <w:bottom w:val="nil"/>
            </w:tcBorders>
            <w:shd w:val="clear" w:color="auto" w:fill="auto"/>
          </w:tcPr>
          <w:p w14:paraId="5E53DF7E" w14:textId="77777777" w:rsidR="003D6146" w:rsidRPr="007B3976" w:rsidRDefault="003D6146" w:rsidP="00603885">
            <w:pPr>
              <w:pStyle w:val="TableText"/>
              <w:spacing w:before="44" w:after="44"/>
            </w:pPr>
          </w:p>
        </w:tc>
        <w:tc>
          <w:tcPr>
            <w:tcW w:w="355" w:type="pct"/>
            <w:tcBorders>
              <w:bottom w:val="nil"/>
            </w:tcBorders>
            <w:shd w:val="clear" w:color="auto" w:fill="auto"/>
            <w:noWrap/>
          </w:tcPr>
          <w:p w14:paraId="52B1D2D8" w14:textId="77777777" w:rsidR="003D6146" w:rsidRPr="007B3976" w:rsidRDefault="003D6146" w:rsidP="00603885">
            <w:pPr>
              <w:pStyle w:val="TableText"/>
              <w:spacing w:before="44" w:after="44"/>
            </w:pPr>
            <w:r w:rsidRPr="007B3976">
              <w:t>Juvenile</w:t>
            </w:r>
          </w:p>
        </w:tc>
        <w:tc>
          <w:tcPr>
            <w:tcW w:w="354" w:type="pct"/>
            <w:tcBorders>
              <w:bottom w:val="nil"/>
            </w:tcBorders>
            <w:shd w:val="clear" w:color="auto" w:fill="auto"/>
          </w:tcPr>
          <w:p w14:paraId="0AF27BCB" w14:textId="77777777" w:rsidR="003D6146" w:rsidRPr="007B3976" w:rsidRDefault="003D6146" w:rsidP="00603885">
            <w:pPr>
              <w:pStyle w:val="TableText"/>
              <w:spacing w:before="44" w:after="44"/>
            </w:pPr>
            <w:r w:rsidRPr="007B3976">
              <w:t>96</w:t>
            </w:r>
            <w:r>
              <w:t> h</w:t>
            </w:r>
          </w:p>
        </w:tc>
        <w:tc>
          <w:tcPr>
            <w:tcW w:w="455" w:type="pct"/>
            <w:tcBorders>
              <w:bottom w:val="nil"/>
            </w:tcBorders>
            <w:shd w:val="clear" w:color="auto" w:fill="auto"/>
            <w:noWrap/>
          </w:tcPr>
          <w:p w14:paraId="1383CDA0" w14:textId="77777777" w:rsidR="003D6146" w:rsidRPr="007B3976" w:rsidRDefault="003D6146" w:rsidP="00603885">
            <w:pPr>
              <w:pStyle w:val="TableText"/>
              <w:spacing w:before="44" w:after="44"/>
            </w:pPr>
            <w:r w:rsidRPr="007B3976">
              <w:t>Flow</w:t>
            </w:r>
            <w:r>
              <w:t>-</w:t>
            </w:r>
            <w:r w:rsidRPr="007B3976">
              <w:t>through</w:t>
            </w:r>
          </w:p>
        </w:tc>
        <w:tc>
          <w:tcPr>
            <w:tcW w:w="557" w:type="pct"/>
            <w:tcBorders>
              <w:bottom w:val="nil"/>
            </w:tcBorders>
            <w:shd w:val="clear" w:color="auto" w:fill="auto"/>
          </w:tcPr>
          <w:p w14:paraId="4274336A" w14:textId="77777777" w:rsidR="003D6146" w:rsidRPr="007B3976" w:rsidRDefault="003D6146" w:rsidP="00603885">
            <w:pPr>
              <w:pStyle w:val="TableText"/>
              <w:spacing w:before="44" w:after="44"/>
            </w:pPr>
            <w:r w:rsidRPr="007B3976">
              <w:t>Mortality (LC50)</w:t>
            </w:r>
          </w:p>
        </w:tc>
        <w:tc>
          <w:tcPr>
            <w:tcW w:w="557" w:type="pct"/>
            <w:tcBorders>
              <w:bottom w:val="nil"/>
            </w:tcBorders>
            <w:shd w:val="clear" w:color="auto" w:fill="auto"/>
          </w:tcPr>
          <w:p w14:paraId="7EE53D80" w14:textId="77777777" w:rsidR="003D6146" w:rsidRPr="007B3976" w:rsidRDefault="003D6146" w:rsidP="00603885">
            <w:pPr>
              <w:pStyle w:val="TableText"/>
              <w:spacing w:before="44" w:after="44"/>
            </w:pPr>
            <w:r w:rsidRPr="007B3976">
              <w:t>Seawater</w:t>
            </w:r>
            <w:r>
              <w:t xml:space="preserve"> </w:t>
            </w:r>
            <w:r w:rsidRPr="007B3976">
              <w:t>(20‰)</w:t>
            </w:r>
          </w:p>
        </w:tc>
        <w:tc>
          <w:tcPr>
            <w:tcW w:w="304" w:type="pct"/>
            <w:tcBorders>
              <w:bottom w:val="nil"/>
            </w:tcBorders>
            <w:shd w:val="clear" w:color="auto" w:fill="auto"/>
            <w:noWrap/>
          </w:tcPr>
          <w:p w14:paraId="3B754918" w14:textId="77777777" w:rsidR="003D6146" w:rsidRPr="007B3976" w:rsidRDefault="003D6146" w:rsidP="00603885">
            <w:pPr>
              <w:pStyle w:val="TableText"/>
              <w:spacing w:before="44" w:after="44"/>
            </w:pPr>
            <w:r w:rsidRPr="007B3976">
              <w:t>20</w:t>
            </w:r>
          </w:p>
        </w:tc>
        <w:tc>
          <w:tcPr>
            <w:tcW w:w="518" w:type="pct"/>
            <w:shd w:val="clear" w:color="auto" w:fill="auto"/>
          </w:tcPr>
          <w:p w14:paraId="1D81DF49" w14:textId="77777777" w:rsidR="003D6146" w:rsidRPr="00ED3D20" w:rsidRDefault="003D6146" w:rsidP="00603885">
            <w:pPr>
              <w:spacing w:before="44" w:after="44" w:line="240" w:lineRule="auto"/>
              <w:rPr>
                <w:rFonts w:eastAsia="Times New Roman" w:cstheme="minorHAnsi"/>
                <w:sz w:val="18"/>
                <w:szCs w:val="18"/>
              </w:rPr>
            </w:pPr>
            <w:r w:rsidRPr="00ED3D20">
              <w:rPr>
                <w:rFonts w:eastAsia="Times New Roman" w:cstheme="minorHAnsi"/>
                <w:sz w:val="18"/>
                <w:szCs w:val="18"/>
              </w:rPr>
              <w:t>143</w:t>
            </w:r>
          </w:p>
        </w:tc>
        <w:tc>
          <w:tcPr>
            <w:tcW w:w="786" w:type="pct"/>
            <w:shd w:val="clear" w:color="auto" w:fill="auto"/>
          </w:tcPr>
          <w:p w14:paraId="1A5FA486" w14:textId="77777777" w:rsidR="003D6146" w:rsidRPr="007B3976" w:rsidRDefault="003D6146" w:rsidP="00603885">
            <w:pPr>
              <w:pStyle w:val="TableText"/>
              <w:spacing w:before="44" w:after="44"/>
            </w:pPr>
            <w:r w:rsidRPr="007B3976">
              <w:t>Fisher et al. 1999</w:t>
            </w:r>
          </w:p>
        </w:tc>
      </w:tr>
      <w:tr w:rsidR="00BF25EB" w:rsidRPr="007B3976" w14:paraId="6DD9EB7F" w14:textId="77777777" w:rsidTr="00141D27">
        <w:trPr>
          <w:cantSplit/>
          <w:trHeight w:val="151"/>
        </w:trPr>
        <w:tc>
          <w:tcPr>
            <w:tcW w:w="456" w:type="pct"/>
            <w:vMerge/>
            <w:shd w:val="clear" w:color="auto" w:fill="auto"/>
          </w:tcPr>
          <w:p w14:paraId="3FD95FE4" w14:textId="77777777" w:rsidR="003D6146" w:rsidRPr="007B3976" w:rsidRDefault="003D6146" w:rsidP="00603885">
            <w:pPr>
              <w:pStyle w:val="TableText"/>
              <w:spacing w:before="44" w:after="44"/>
            </w:pPr>
          </w:p>
        </w:tc>
        <w:tc>
          <w:tcPr>
            <w:tcW w:w="3240" w:type="pct"/>
            <w:gridSpan w:val="7"/>
            <w:tcBorders>
              <w:top w:val="nil"/>
              <w:bottom w:val="single" w:sz="4" w:space="0" w:color="auto"/>
            </w:tcBorders>
            <w:shd w:val="clear" w:color="auto" w:fill="auto"/>
          </w:tcPr>
          <w:p w14:paraId="11407AB5" w14:textId="77777777" w:rsidR="003D6146" w:rsidRPr="007B3976" w:rsidRDefault="003D6146" w:rsidP="00603885">
            <w:pPr>
              <w:pStyle w:val="TableText"/>
              <w:spacing w:before="44" w:after="44"/>
            </w:pPr>
            <w:r>
              <w:t>–</w:t>
            </w:r>
          </w:p>
        </w:tc>
        <w:tc>
          <w:tcPr>
            <w:tcW w:w="518" w:type="pct"/>
            <w:shd w:val="clear" w:color="auto" w:fill="auto"/>
          </w:tcPr>
          <w:p w14:paraId="71B0332A" w14:textId="77777777" w:rsidR="003D6146" w:rsidRPr="00ED3D20" w:rsidRDefault="003D6146" w:rsidP="00603885">
            <w:pPr>
              <w:spacing w:before="44" w:after="44" w:line="240" w:lineRule="auto"/>
              <w:rPr>
                <w:rFonts w:eastAsia="Times New Roman" w:cstheme="minorHAnsi"/>
                <w:b/>
                <w:sz w:val="18"/>
                <w:szCs w:val="18"/>
              </w:rPr>
            </w:pPr>
            <w:r w:rsidRPr="00ED3D20">
              <w:rPr>
                <w:rFonts w:eastAsia="Times New Roman" w:cstheme="minorHAnsi"/>
                <w:b/>
                <w:sz w:val="18"/>
                <w:szCs w:val="18"/>
              </w:rPr>
              <w:t>135</w:t>
            </w:r>
          </w:p>
        </w:tc>
        <w:tc>
          <w:tcPr>
            <w:tcW w:w="786" w:type="pct"/>
            <w:shd w:val="clear" w:color="auto" w:fill="auto"/>
          </w:tcPr>
          <w:p w14:paraId="08DE69BA" w14:textId="77777777" w:rsidR="003D6146" w:rsidRDefault="003D6146" w:rsidP="00603885">
            <w:pPr>
              <w:pStyle w:val="TableText"/>
              <w:spacing w:before="44" w:after="44"/>
            </w:pPr>
            <w:r>
              <w:rPr>
                <w:b/>
                <w:bCs/>
              </w:rPr>
              <w:t>V</w:t>
            </w:r>
            <w:r w:rsidRPr="00CC0E62">
              <w:rPr>
                <w:b/>
                <w:bCs/>
              </w:rPr>
              <w:t>alue used in SSD</w:t>
            </w:r>
          </w:p>
          <w:p w14:paraId="0FA7C20E" w14:textId="578AAFE1" w:rsidR="003D6146" w:rsidRPr="007B3976" w:rsidRDefault="003D6146" w:rsidP="00603885">
            <w:pPr>
              <w:pStyle w:val="TableText"/>
              <w:spacing w:before="44" w:after="44"/>
            </w:pPr>
            <w:r w:rsidRPr="007169B0">
              <w:rPr>
                <w:i/>
                <w:iCs/>
              </w:rPr>
              <w:t>Geometric mean</w:t>
            </w:r>
          </w:p>
        </w:tc>
      </w:tr>
      <w:tr w:rsidR="00BF25EB" w:rsidRPr="007B3976" w14:paraId="31C9405F" w14:textId="77777777" w:rsidTr="002B4B5F">
        <w:trPr>
          <w:cantSplit/>
        </w:trPr>
        <w:tc>
          <w:tcPr>
            <w:tcW w:w="456" w:type="pct"/>
            <w:vMerge/>
            <w:shd w:val="clear" w:color="auto" w:fill="auto"/>
          </w:tcPr>
          <w:p w14:paraId="5C2C5D39" w14:textId="77777777" w:rsidR="003D6146" w:rsidRPr="007B3976" w:rsidRDefault="003D6146" w:rsidP="00603885">
            <w:pPr>
              <w:pStyle w:val="TableText"/>
              <w:spacing w:before="44" w:after="44"/>
            </w:pPr>
          </w:p>
        </w:tc>
        <w:tc>
          <w:tcPr>
            <w:tcW w:w="658" w:type="pct"/>
            <w:tcBorders>
              <w:top w:val="single" w:sz="4" w:space="0" w:color="auto"/>
            </w:tcBorders>
            <w:shd w:val="clear" w:color="auto" w:fill="auto"/>
          </w:tcPr>
          <w:p w14:paraId="2D0137BD" w14:textId="77777777" w:rsidR="003D6146" w:rsidRPr="007B3976" w:rsidRDefault="003D6146" w:rsidP="00603885">
            <w:pPr>
              <w:pStyle w:val="TableText"/>
              <w:spacing w:before="44" w:after="44"/>
            </w:pPr>
            <w:r w:rsidRPr="007B3976">
              <w:rPr>
                <w:i/>
              </w:rPr>
              <w:t>Synnathus focus</w:t>
            </w:r>
          </w:p>
        </w:tc>
        <w:tc>
          <w:tcPr>
            <w:tcW w:w="355" w:type="pct"/>
            <w:tcBorders>
              <w:top w:val="single" w:sz="4" w:space="0" w:color="auto"/>
            </w:tcBorders>
            <w:shd w:val="clear" w:color="auto" w:fill="auto"/>
            <w:noWrap/>
          </w:tcPr>
          <w:p w14:paraId="22C413F2" w14:textId="77777777" w:rsidR="003D6146" w:rsidRPr="007B3976" w:rsidRDefault="003D6146" w:rsidP="00603885">
            <w:pPr>
              <w:pStyle w:val="TableText"/>
              <w:spacing w:before="44" w:after="44"/>
            </w:pPr>
            <w:r w:rsidRPr="007B3976">
              <w:t>Juvenile</w:t>
            </w:r>
          </w:p>
        </w:tc>
        <w:tc>
          <w:tcPr>
            <w:tcW w:w="354" w:type="pct"/>
            <w:tcBorders>
              <w:top w:val="single" w:sz="4" w:space="0" w:color="auto"/>
            </w:tcBorders>
            <w:shd w:val="clear" w:color="auto" w:fill="auto"/>
          </w:tcPr>
          <w:p w14:paraId="573DECED" w14:textId="77777777" w:rsidR="003D6146" w:rsidRPr="007B3976" w:rsidRDefault="003D6146" w:rsidP="00603885">
            <w:pPr>
              <w:pStyle w:val="TableText"/>
              <w:spacing w:before="44" w:after="44"/>
            </w:pPr>
            <w:r w:rsidRPr="007B3976">
              <w:t>96</w:t>
            </w:r>
            <w:r>
              <w:t> h</w:t>
            </w:r>
          </w:p>
        </w:tc>
        <w:tc>
          <w:tcPr>
            <w:tcW w:w="455" w:type="pct"/>
            <w:tcBorders>
              <w:top w:val="single" w:sz="4" w:space="0" w:color="auto"/>
            </w:tcBorders>
            <w:shd w:val="clear" w:color="auto" w:fill="auto"/>
            <w:noWrap/>
          </w:tcPr>
          <w:p w14:paraId="7DB71AE8" w14:textId="77777777" w:rsidR="003D6146" w:rsidRPr="007B3976" w:rsidRDefault="003D6146" w:rsidP="00603885">
            <w:pPr>
              <w:pStyle w:val="TableText"/>
              <w:spacing w:before="44" w:after="44"/>
            </w:pPr>
            <w:r w:rsidRPr="007B3976">
              <w:t>Flow</w:t>
            </w:r>
            <w:r>
              <w:t>-</w:t>
            </w:r>
            <w:r w:rsidRPr="007B3976">
              <w:t>through</w:t>
            </w:r>
          </w:p>
        </w:tc>
        <w:tc>
          <w:tcPr>
            <w:tcW w:w="557" w:type="pct"/>
            <w:tcBorders>
              <w:top w:val="single" w:sz="4" w:space="0" w:color="auto"/>
            </w:tcBorders>
            <w:shd w:val="clear" w:color="auto" w:fill="auto"/>
          </w:tcPr>
          <w:p w14:paraId="74903C2D" w14:textId="77777777" w:rsidR="003D6146" w:rsidRPr="007B3976" w:rsidRDefault="003D6146" w:rsidP="00603885">
            <w:pPr>
              <w:pStyle w:val="TableText"/>
              <w:spacing w:before="44" w:after="44"/>
            </w:pPr>
            <w:r w:rsidRPr="007B3976">
              <w:t>Mortality (LC50)</w:t>
            </w:r>
          </w:p>
        </w:tc>
        <w:tc>
          <w:tcPr>
            <w:tcW w:w="557" w:type="pct"/>
            <w:tcBorders>
              <w:top w:val="single" w:sz="4" w:space="0" w:color="auto"/>
            </w:tcBorders>
            <w:shd w:val="clear" w:color="auto" w:fill="auto"/>
          </w:tcPr>
          <w:p w14:paraId="5C617AF7" w14:textId="77777777" w:rsidR="003D6146" w:rsidRPr="007B3976" w:rsidRDefault="003D6146" w:rsidP="00603885">
            <w:pPr>
              <w:pStyle w:val="TableText"/>
              <w:spacing w:before="44" w:after="44"/>
            </w:pPr>
            <w:r w:rsidRPr="007B3976">
              <w:t>Seawater</w:t>
            </w:r>
            <w:r>
              <w:t xml:space="preserve"> </w:t>
            </w:r>
            <w:r w:rsidRPr="007B3976">
              <w:t>(20‰)</w:t>
            </w:r>
          </w:p>
        </w:tc>
        <w:tc>
          <w:tcPr>
            <w:tcW w:w="304" w:type="pct"/>
            <w:tcBorders>
              <w:top w:val="single" w:sz="4" w:space="0" w:color="auto"/>
            </w:tcBorders>
            <w:shd w:val="clear" w:color="auto" w:fill="auto"/>
            <w:noWrap/>
          </w:tcPr>
          <w:p w14:paraId="22B72FDF" w14:textId="77777777" w:rsidR="003D6146" w:rsidRPr="007B3976" w:rsidRDefault="003D6146" w:rsidP="00603885">
            <w:pPr>
              <w:pStyle w:val="TableText"/>
              <w:spacing w:before="44" w:after="44"/>
            </w:pPr>
            <w:r w:rsidRPr="007B3976">
              <w:t>17</w:t>
            </w:r>
            <w:r>
              <w:t>–</w:t>
            </w:r>
            <w:r w:rsidRPr="007B3976">
              <w:t>28</w:t>
            </w:r>
          </w:p>
        </w:tc>
        <w:tc>
          <w:tcPr>
            <w:tcW w:w="518" w:type="pct"/>
            <w:shd w:val="clear" w:color="auto" w:fill="auto"/>
          </w:tcPr>
          <w:p w14:paraId="68B44531" w14:textId="77777777" w:rsidR="003D6146" w:rsidRPr="00ED3D20" w:rsidRDefault="003D6146" w:rsidP="00603885">
            <w:pPr>
              <w:spacing w:before="44" w:after="44" w:line="240" w:lineRule="auto"/>
              <w:rPr>
                <w:rFonts w:eastAsia="Times New Roman" w:cstheme="minorHAnsi"/>
                <w:b/>
                <w:sz w:val="18"/>
                <w:szCs w:val="18"/>
              </w:rPr>
            </w:pPr>
            <w:r w:rsidRPr="00ED3D20">
              <w:rPr>
                <w:rFonts w:eastAsia="Times New Roman" w:cstheme="minorHAnsi"/>
                <w:b/>
                <w:sz w:val="18"/>
                <w:szCs w:val="18"/>
              </w:rPr>
              <w:t>270</w:t>
            </w:r>
          </w:p>
        </w:tc>
        <w:tc>
          <w:tcPr>
            <w:tcW w:w="786" w:type="pct"/>
            <w:shd w:val="clear" w:color="auto" w:fill="auto"/>
          </w:tcPr>
          <w:p w14:paraId="1498D437" w14:textId="77777777" w:rsidR="003D6146" w:rsidRDefault="003D6146" w:rsidP="00603885">
            <w:pPr>
              <w:pStyle w:val="TableText"/>
              <w:spacing w:before="44" w:after="44"/>
            </w:pPr>
            <w:r w:rsidRPr="007B3976">
              <w:t>Roberts et al. 1975</w:t>
            </w:r>
          </w:p>
          <w:p w14:paraId="66CF5811" w14:textId="2E6E803C" w:rsidR="003D6146" w:rsidRPr="007B3976" w:rsidRDefault="003D6146" w:rsidP="00603885">
            <w:pPr>
              <w:pStyle w:val="TableText"/>
              <w:spacing w:before="44" w:after="44"/>
            </w:pPr>
            <w:r w:rsidRPr="00CC0E62">
              <w:rPr>
                <w:b/>
                <w:bCs/>
              </w:rPr>
              <w:t>Value used in SSD</w:t>
            </w:r>
          </w:p>
        </w:tc>
      </w:tr>
      <w:tr w:rsidR="00BF25EB" w:rsidRPr="007B3976" w14:paraId="3ED5B4DC" w14:textId="77777777" w:rsidTr="002B4B5F">
        <w:trPr>
          <w:cantSplit/>
          <w:trHeight w:val="452"/>
        </w:trPr>
        <w:tc>
          <w:tcPr>
            <w:tcW w:w="456" w:type="pct"/>
            <w:vMerge/>
            <w:shd w:val="clear" w:color="auto" w:fill="auto"/>
          </w:tcPr>
          <w:p w14:paraId="10B742CC" w14:textId="77777777" w:rsidR="003D6146" w:rsidRPr="007B3976" w:rsidRDefault="003D6146" w:rsidP="00603885">
            <w:pPr>
              <w:pStyle w:val="TableText"/>
              <w:spacing w:before="44" w:after="44"/>
            </w:pPr>
          </w:p>
        </w:tc>
        <w:tc>
          <w:tcPr>
            <w:tcW w:w="658" w:type="pct"/>
            <w:shd w:val="clear" w:color="auto" w:fill="auto"/>
          </w:tcPr>
          <w:p w14:paraId="618A4E1F" w14:textId="77777777" w:rsidR="003D6146" w:rsidRPr="007B3976" w:rsidRDefault="003D6146" w:rsidP="00603885">
            <w:pPr>
              <w:pStyle w:val="TableText"/>
              <w:spacing w:before="44" w:after="44"/>
            </w:pPr>
            <w:r w:rsidRPr="007B3976">
              <w:rPr>
                <w:i/>
              </w:rPr>
              <w:t>Gobiosoma bosci</w:t>
            </w:r>
          </w:p>
        </w:tc>
        <w:tc>
          <w:tcPr>
            <w:tcW w:w="355" w:type="pct"/>
            <w:shd w:val="clear" w:color="auto" w:fill="auto"/>
            <w:noWrap/>
          </w:tcPr>
          <w:p w14:paraId="11E3D614" w14:textId="77777777" w:rsidR="003D6146" w:rsidRPr="007B3976" w:rsidRDefault="003D6146" w:rsidP="00603885">
            <w:pPr>
              <w:pStyle w:val="TableText"/>
              <w:spacing w:before="44" w:after="44"/>
            </w:pPr>
            <w:r w:rsidRPr="007B3976">
              <w:t>Juvenile</w:t>
            </w:r>
          </w:p>
        </w:tc>
        <w:tc>
          <w:tcPr>
            <w:tcW w:w="354" w:type="pct"/>
            <w:shd w:val="clear" w:color="auto" w:fill="auto"/>
          </w:tcPr>
          <w:p w14:paraId="6C98766F" w14:textId="77777777" w:rsidR="003D6146" w:rsidRPr="007B3976" w:rsidRDefault="003D6146" w:rsidP="00603885">
            <w:pPr>
              <w:pStyle w:val="TableText"/>
              <w:spacing w:before="44" w:after="44"/>
            </w:pPr>
            <w:r w:rsidRPr="007B3976">
              <w:t>96</w:t>
            </w:r>
            <w:r>
              <w:t> h</w:t>
            </w:r>
          </w:p>
        </w:tc>
        <w:tc>
          <w:tcPr>
            <w:tcW w:w="455" w:type="pct"/>
            <w:shd w:val="clear" w:color="auto" w:fill="auto"/>
            <w:noWrap/>
          </w:tcPr>
          <w:p w14:paraId="300470DE" w14:textId="77777777" w:rsidR="003D6146" w:rsidRPr="007B3976" w:rsidRDefault="003D6146" w:rsidP="00603885">
            <w:pPr>
              <w:pStyle w:val="TableText"/>
              <w:spacing w:before="44" w:after="44"/>
            </w:pPr>
            <w:r w:rsidRPr="007B3976">
              <w:t>Flow</w:t>
            </w:r>
            <w:r>
              <w:t>-</w:t>
            </w:r>
            <w:r w:rsidRPr="007B3976">
              <w:t>through</w:t>
            </w:r>
          </w:p>
        </w:tc>
        <w:tc>
          <w:tcPr>
            <w:tcW w:w="557" w:type="pct"/>
            <w:shd w:val="clear" w:color="auto" w:fill="auto"/>
          </w:tcPr>
          <w:p w14:paraId="356AC7E5" w14:textId="77777777" w:rsidR="003D6146" w:rsidRPr="007B3976" w:rsidRDefault="003D6146" w:rsidP="00603885">
            <w:pPr>
              <w:pStyle w:val="TableText"/>
              <w:spacing w:before="44" w:after="44"/>
            </w:pPr>
            <w:r w:rsidRPr="007B3976">
              <w:t>Mortality (LC50)</w:t>
            </w:r>
          </w:p>
        </w:tc>
        <w:tc>
          <w:tcPr>
            <w:tcW w:w="557" w:type="pct"/>
            <w:shd w:val="clear" w:color="auto" w:fill="auto"/>
          </w:tcPr>
          <w:p w14:paraId="5C836E76" w14:textId="77777777" w:rsidR="003D6146" w:rsidRPr="007B3976" w:rsidRDefault="003D6146" w:rsidP="00603885">
            <w:pPr>
              <w:pStyle w:val="TableText"/>
              <w:spacing w:before="44" w:after="44"/>
            </w:pPr>
            <w:r w:rsidRPr="007B3976">
              <w:t>Seawater</w:t>
            </w:r>
            <w:r>
              <w:t xml:space="preserve"> </w:t>
            </w:r>
            <w:r w:rsidRPr="007B3976">
              <w:t>(20‰)</w:t>
            </w:r>
          </w:p>
        </w:tc>
        <w:tc>
          <w:tcPr>
            <w:tcW w:w="304" w:type="pct"/>
            <w:shd w:val="clear" w:color="auto" w:fill="auto"/>
            <w:noWrap/>
          </w:tcPr>
          <w:p w14:paraId="39318FA4" w14:textId="77777777" w:rsidR="003D6146" w:rsidRPr="007B3976" w:rsidRDefault="003D6146" w:rsidP="00603885">
            <w:pPr>
              <w:pStyle w:val="TableText"/>
              <w:spacing w:before="44" w:after="44"/>
            </w:pPr>
            <w:r w:rsidRPr="007B3976">
              <w:t>17</w:t>
            </w:r>
            <w:r>
              <w:t>–</w:t>
            </w:r>
            <w:r w:rsidRPr="007B3976">
              <w:t>28</w:t>
            </w:r>
          </w:p>
        </w:tc>
        <w:tc>
          <w:tcPr>
            <w:tcW w:w="518" w:type="pct"/>
            <w:shd w:val="clear" w:color="auto" w:fill="auto"/>
          </w:tcPr>
          <w:p w14:paraId="3D605A33" w14:textId="77777777" w:rsidR="003D6146" w:rsidRPr="00ED3D20" w:rsidRDefault="003D6146" w:rsidP="00603885">
            <w:pPr>
              <w:spacing w:before="44" w:after="44" w:line="240" w:lineRule="auto"/>
              <w:rPr>
                <w:rFonts w:eastAsia="Times New Roman" w:cstheme="minorHAnsi"/>
                <w:b/>
                <w:sz w:val="18"/>
                <w:szCs w:val="18"/>
              </w:rPr>
            </w:pPr>
            <w:r w:rsidRPr="00ED3D20">
              <w:rPr>
                <w:rFonts w:eastAsia="Times New Roman" w:cstheme="minorHAnsi"/>
                <w:b/>
                <w:sz w:val="18"/>
                <w:szCs w:val="18"/>
              </w:rPr>
              <w:t>80</w:t>
            </w:r>
          </w:p>
        </w:tc>
        <w:tc>
          <w:tcPr>
            <w:tcW w:w="786" w:type="pct"/>
            <w:shd w:val="clear" w:color="auto" w:fill="auto"/>
          </w:tcPr>
          <w:p w14:paraId="3DA5B146" w14:textId="77777777" w:rsidR="003D6146" w:rsidRDefault="003D6146" w:rsidP="00603885">
            <w:pPr>
              <w:pStyle w:val="TableText"/>
              <w:spacing w:before="44" w:after="44"/>
            </w:pPr>
            <w:r w:rsidRPr="007B3976">
              <w:t>Roberts et al. 1975</w:t>
            </w:r>
          </w:p>
          <w:p w14:paraId="34712547" w14:textId="680B7C03" w:rsidR="003D6146" w:rsidRPr="007B3976" w:rsidRDefault="003D6146" w:rsidP="00603885">
            <w:pPr>
              <w:pStyle w:val="TableText"/>
              <w:spacing w:before="44" w:after="44"/>
            </w:pPr>
            <w:r w:rsidRPr="00CC0E62">
              <w:rPr>
                <w:b/>
                <w:bCs/>
              </w:rPr>
              <w:t>Value used in SSD</w:t>
            </w:r>
          </w:p>
        </w:tc>
      </w:tr>
      <w:tr w:rsidR="00BF25EB" w:rsidRPr="007B3976" w14:paraId="0AE5ACC8" w14:textId="77777777" w:rsidTr="002B4B5F">
        <w:trPr>
          <w:cantSplit/>
        </w:trPr>
        <w:tc>
          <w:tcPr>
            <w:tcW w:w="456" w:type="pct"/>
            <w:vMerge/>
            <w:shd w:val="clear" w:color="auto" w:fill="auto"/>
          </w:tcPr>
          <w:p w14:paraId="27883F81" w14:textId="77777777" w:rsidR="003D6146" w:rsidRPr="007B3976" w:rsidRDefault="003D6146" w:rsidP="00603885">
            <w:pPr>
              <w:pStyle w:val="TableText"/>
              <w:spacing w:before="44" w:after="44"/>
            </w:pPr>
          </w:p>
        </w:tc>
        <w:tc>
          <w:tcPr>
            <w:tcW w:w="658" w:type="pct"/>
            <w:shd w:val="clear" w:color="auto" w:fill="auto"/>
          </w:tcPr>
          <w:p w14:paraId="30F8FAB3" w14:textId="77777777" w:rsidR="003D6146" w:rsidRPr="007B3976" w:rsidRDefault="003D6146" w:rsidP="00603885">
            <w:pPr>
              <w:pStyle w:val="TableText"/>
              <w:spacing w:before="44" w:after="44"/>
              <w:rPr>
                <w:i/>
              </w:rPr>
            </w:pPr>
            <w:r w:rsidRPr="007B3976">
              <w:rPr>
                <w:i/>
              </w:rPr>
              <w:t>Morone americana</w:t>
            </w:r>
          </w:p>
        </w:tc>
        <w:tc>
          <w:tcPr>
            <w:tcW w:w="355" w:type="pct"/>
            <w:shd w:val="clear" w:color="auto" w:fill="auto"/>
            <w:noWrap/>
          </w:tcPr>
          <w:p w14:paraId="5AB67FC4" w14:textId="77777777" w:rsidR="003D6146" w:rsidRPr="007B3976" w:rsidRDefault="003D6146" w:rsidP="00603885">
            <w:pPr>
              <w:pStyle w:val="TableText"/>
              <w:spacing w:before="44" w:after="44"/>
            </w:pPr>
            <w:r w:rsidRPr="007B3976">
              <w:t>Egg</w:t>
            </w:r>
          </w:p>
        </w:tc>
        <w:tc>
          <w:tcPr>
            <w:tcW w:w="354" w:type="pct"/>
            <w:shd w:val="clear" w:color="auto" w:fill="auto"/>
          </w:tcPr>
          <w:p w14:paraId="26505AC5" w14:textId="77777777" w:rsidR="003D6146" w:rsidRPr="007B3976" w:rsidRDefault="003D6146" w:rsidP="00603885">
            <w:pPr>
              <w:pStyle w:val="TableText"/>
              <w:spacing w:before="44" w:after="44"/>
            </w:pPr>
            <w:r w:rsidRPr="007B3976">
              <w:t>76</w:t>
            </w:r>
            <w:r>
              <w:t> h</w:t>
            </w:r>
          </w:p>
        </w:tc>
        <w:tc>
          <w:tcPr>
            <w:tcW w:w="455" w:type="pct"/>
            <w:shd w:val="clear" w:color="auto" w:fill="auto"/>
            <w:noWrap/>
          </w:tcPr>
          <w:p w14:paraId="73B705DD" w14:textId="77777777" w:rsidR="003D6146" w:rsidRPr="007B3976" w:rsidRDefault="003D6146" w:rsidP="00603885">
            <w:pPr>
              <w:pStyle w:val="TableText"/>
              <w:spacing w:before="44" w:after="44"/>
            </w:pPr>
            <w:r w:rsidRPr="007B3976">
              <w:t>Flow</w:t>
            </w:r>
            <w:r>
              <w:t>-</w:t>
            </w:r>
            <w:r w:rsidRPr="007B3976">
              <w:t>through</w:t>
            </w:r>
          </w:p>
        </w:tc>
        <w:tc>
          <w:tcPr>
            <w:tcW w:w="557" w:type="pct"/>
            <w:shd w:val="clear" w:color="auto" w:fill="auto"/>
          </w:tcPr>
          <w:p w14:paraId="4F68E85E" w14:textId="77777777" w:rsidR="003D6146" w:rsidRPr="007B3976" w:rsidRDefault="003D6146" w:rsidP="00603885">
            <w:pPr>
              <w:pStyle w:val="TableText"/>
              <w:spacing w:before="44" w:after="44"/>
            </w:pPr>
            <w:r w:rsidRPr="007B3976">
              <w:t>Mortality (LC50)</w:t>
            </w:r>
          </w:p>
        </w:tc>
        <w:tc>
          <w:tcPr>
            <w:tcW w:w="557" w:type="pct"/>
            <w:shd w:val="clear" w:color="auto" w:fill="auto"/>
          </w:tcPr>
          <w:p w14:paraId="06A74C5F" w14:textId="77777777" w:rsidR="003D6146" w:rsidRPr="007B3976" w:rsidRDefault="003D6146" w:rsidP="00603885">
            <w:pPr>
              <w:pStyle w:val="TableText"/>
              <w:spacing w:before="44" w:after="44"/>
            </w:pPr>
            <w:r w:rsidRPr="007B3976">
              <w:t>Seawater</w:t>
            </w:r>
            <w:r>
              <w:t xml:space="preserve"> </w:t>
            </w:r>
            <w:r w:rsidRPr="007B3976">
              <w:t>(15‰)</w:t>
            </w:r>
          </w:p>
        </w:tc>
        <w:tc>
          <w:tcPr>
            <w:tcW w:w="304" w:type="pct"/>
            <w:shd w:val="clear" w:color="auto" w:fill="auto"/>
            <w:noWrap/>
          </w:tcPr>
          <w:p w14:paraId="5B299367" w14:textId="77777777" w:rsidR="003D6146" w:rsidRPr="007B3976" w:rsidRDefault="003D6146" w:rsidP="00603885">
            <w:pPr>
              <w:pStyle w:val="TableText"/>
              <w:spacing w:before="44" w:after="44"/>
            </w:pPr>
            <w:r w:rsidRPr="007B3976">
              <w:t>8</w:t>
            </w:r>
            <w:r>
              <w:t>–</w:t>
            </w:r>
            <w:r w:rsidRPr="007B3976">
              <w:t>12</w:t>
            </w:r>
          </w:p>
        </w:tc>
        <w:tc>
          <w:tcPr>
            <w:tcW w:w="518" w:type="pct"/>
            <w:shd w:val="clear" w:color="auto" w:fill="auto"/>
          </w:tcPr>
          <w:p w14:paraId="6508CDC7" w14:textId="77777777" w:rsidR="003D6146" w:rsidRPr="00ED3D20" w:rsidRDefault="003D6146" w:rsidP="00603885">
            <w:pPr>
              <w:spacing w:before="44" w:after="44" w:line="240" w:lineRule="auto"/>
              <w:rPr>
                <w:rFonts w:eastAsia="Times New Roman" w:cstheme="minorHAnsi"/>
                <w:b/>
                <w:sz w:val="18"/>
                <w:szCs w:val="18"/>
              </w:rPr>
            </w:pPr>
            <w:r w:rsidRPr="00ED3D20">
              <w:rPr>
                <w:rFonts w:eastAsia="Times New Roman" w:cstheme="minorHAnsi"/>
                <w:b/>
                <w:sz w:val="18"/>
                <w:szCs w:val="18"/>
              </w:rPr>
              <w:t>270</w:t>
            </w:r>
          </w:p>
        </w:tc>
        <w:tc>
          <w:tcPr>
            <w:tcW w:w="786" w:type="pct"/>
            <w:shd w:val="clear" w:color="auto" w:fill="auto"/>
          </w:tcPr>
          <w:p w14:paraId="344EF095" w14:textId="77777777" w:rsidR="003D6146" w:rsidRDefault="003D6146" w:rsidP="00603885">
            <w:pPr>
              <w:pStyle w:val="TableText"/>
              <w:spacing w:before="44" w:after="44"/>
            </w:pPr>
            <w:r w:rsidRPr="007B3976">
              <w:t>Morgan and Prince 1977</w:t>
            </w:r>
          </w:p>
          <w:p w14:paraId="1DCB32B2" w14:textId="652B2D0A" w:rsidR="003D6146" w:rsidRPr="007B3976" w:rsidRDefault="003D6146" w:rsidP="00603885">
            <w:pPr>
              <w:pStyle w:val="TableText"/>
              <w:spacing w:before="44" w:after="44"/>
            </w:pPr>
            <w:r w:rsidRPr="00CC0E62">
              <w:rPr>
                <w:b/>
                <w:bCs/>
              </w:rPr>
              <w:t>Value used in SSD</w:t>
            </w:r>
          </w:p>
        </w:tc>
      </w:tr>
      <w:tr w:rsidR="00BF25EB" w:rsidRPr="007B3976" w14:paraId="77102482" w14:textId="77777777" w:rsidTr="002B4B5F">
        <w:trPr>
          <w:cantSplit/>
        </w:trPr>
        <w:tc>
          <w:tcPr>
            <w:tcW w:w="456" w:type="pct"/>
            <w:vMerge/>
            <w:shd w:val="clear" w:color="auto" w:fill="auto"/>
          </w:tcPr>
          <w:p w14:paraId="282239F7" w14:textId="77777777" w:rsidR="003D6146" w:rsidRPr="007B3976" w:rsidRDefault="003D6146" w:rsidP="00603885">
            <w:pPr>
              <w:pStyle w:val="TableText"/>
              <w:spacing w:before="44" w:after="44"/>
            </w:pPr>
          </w:p>
        </w:tc>
        <w:tc>
          <w:tcPr>
            <w:tcW w:w="658" w:type="pct"/>
            <w:shd w:val="clear" w:color="auto" w:fill="auto"/>
          </w:tcPr>
          <w:p w14:paraId="4416933E" w14:textId="77777777" w:rsidR="003D6146" w:rsidRPr="007B3976" w:rsidRDefault="003D6146" w:rsidP="00603885">
            <w:pPr>
              <w:pStyle w:val="TableText"/>
              <w:spacing w:before="44" w:after="44"/>
            </w:pPr>
            <w:r w:rsidRPr="007B3976">
              <w:rPr>
                <w:i/>
              </w:rPr>
              <w:t>Morone saxatilis</w:t>
            </w:r>
          </w:p>
        </w:tc>
        <w:tc>
          <w:tcPr>
            <w:tcW w:w="355" w:type="pct"/>
            <w:shd w:val="clear" w:color="auto" w:fill="auto"/>
            <w:noWrap/>
          </w:tcPr>
          <w:p w14:paraId="311B9B8C" w14:textId="77777777" w:rsidR="003D6146" w:rsidRPr="007B3976" w:rsidRDefault="003D6146" w:rsidP="00603885">
            <w:pPr>
              <w:pStyle w:val="TableText"/>
              <w:spacing w:before="44" w:after="44"/>
            </w:pPr>
            <w:r w:rsidRPr="007B3976">
              <w:t>Egg</w:t>
            </w:r>
          </w:p>
        </w:tc>
        <w:tc>
          <w:tcPr>
            <w:tcW w:w="354" w:type="pct"/>
            <w:shd w:val="clear" w:color="auto" w:fill="auto"/>
          </w:tcPr>
          <w:p w14:paraId="0B2B2487" w14:textId="77777777" w:rsidR="003D6146" w:rsidRPr="007B3976" w:rsidRDefault="003D6146" w:rsidP="00603885">
            <w:pPr>
              <w:pStyle w:val="TableText"/>
              <w:spacing w:before="44" w:after="44"/>
            </w:pPr>
            <w:r w:rsidRPr="007B3976">
              <w:t>48</w:t>
            </w:r>
            <w:r>
              <w:t> h</w:t>
            </w:r>
          </w:p>
        </w:tc>
        <w:tc>
          <w:tcPr>
            <w:tcW w:w="455" w:type="pct"/>
            <w:shd w:val="clear" w:color="auto" w:fill="auto"/>
            <w:noWrap/>
          </w:tcPr>
          <w:p w14:paraId="1124FA48" w14:textId="77777777" w:rsidR="003D6146" w:rsidRPr="007B3976" w:rsidRDefault="003D6146" w:rsidP="00603885">
            <w:pPr>
              <w:pStyle w:val="TableText"/>
              <w:spacing w:before="44" w:after="44"/>
            </w:pPr>
            <w:r w:rsidRPr="007B3976">
              <w:t>Flow</w:t>
            </w:r>
            <w:r>
              <w:t>-</w:t>
            </w:r>
            <w:r w:rsidRPr="007B3976">
              <w:t>through</w:t>
            </w:r>
          </w:p>
        </w:tc>
        <w:tc>
          <w:tcPr>
            <w:tcW w:w="557" w:type="pct"/>
            <w:shd w:val="clear" w:color="auto" w:fill="auto"/>
          </w:tcPr>
          <w:p w14:paraId="52A24837" w14:textId="77777777" w:rsidR="003D6146" w:rsidRPr="007B3976" w:rsidRDefault="003D6146" w:rsidP="00603885">
            <w:pPr>
              <w:pStyle w:val="TableText"/>
              <w:spacing w:before="44" w:after="44"/>
            </w:pPr>
            <w:r w:rsidRPr="007B3976">
              <w:t>Mortality (LC50)</w:t>
            </w:r>
          </w:p>
        </w:tc>
        <w:tc>
          <w:tcPr>
            <w:tcW w:w="557" w:type="pct"/>
            <w:shd w:val="clear" w:color="auto" w:fill="auto"/>
          </w:tcPr>
          <w:p w14:paraId="36B93854" w14:textId="77777777" w:rsidR="003D6146" w:rsidRPr="007B3976" w:rsidRDefault="003D6146" w:rsidP="00603885">
            <w:pPr>
              <w:pStyle w:val="TableText"/>
              <w:spacing w:before="44" w:after="44"/>
            </w:pPr>
            <w:r w:rsidRPr="007B3976">
              <w:t>Seawater</w:t>
            </w:r>
            <w:r>
              <w:t xml:space="preserve"> </w:t>
            </w:r>
            <w:r w:rsidRPr="007B3976">
              <w:t>(15‰)</w:t>
            </w:r>
          </w:p>
        </w:tc>
        <w:tc>
          <w:tcPr>
            <w:tcW w:w="304" w:type="pct"/>
            <w:shd w:val="clear" w:color="auto" w:fill="auto"/>
            <w:noWrap/>
          </w:tcPr>
          <w:p w14:paraId="7AB2B9E4" w14:textId="77777777" w:rsidR="003D6146" w:rsidRPr="007B3976" w:rsidRDefault="003D6146" w:rsidP="00603885">
            <w:pPr>
              <w:pStyle w:val="TableText"/>
              <w:spacing w:before="44" w:after="44"/>
            </w:pPr>
            <w:r w:rsidRPr="007B3976">
              <w:t>8</w:t>
            </w:r>
            <w:r>
              <w:t>–</w:t>
            </w:r>
            <w:r w:rsidRPr="007B3976">
              <w:t>12</w:t>
            </w:r>
          </w:p>
        </w:tc>
        <w:tc>
          <w:tcPr>
            <w:tcW w:w="518" w:type="pct"/>
            <w:shd w:val="clear" w:color="auto" w:fill="auto"/>
          </w:tcPr>
          <w:p w14:paraId="359255B1" w14:textId="77777777" w:rsidR="003D6146" w:rsidRPr="00ED3D20" w:rsidRDefault="003D6146" w:rsidP="00603885">
            <w:pPr>
              <w:spacing w:before="44" w:after="44" w:line="240" w:lineRule="auto"/>
              <w:rPr>
                <w:rFonts w:eastAsia="Times New Roman" w:cstheme="minorHAnsi"/>
                <w:b/>
                <w:sz w:val="18"/>
                <w:szCs w:val="18"/>
              </w:rPr>
            </w:pPr>
            <w:r w:rsidRPr="00ED3D20">
              <w:rPr>
                <w:rFonts w:eastAsia="Times New Roman" w:cstheme="minorHAnsi"/>
                <w:b/>
                <w:sz w:val="18"/>
                <w:szCs w:val="18"/>
              </w:rPr>
              <w:t>200</w:t>
            </w:r>
          </w:p>
        </w:tc>
        <w:tc>
          <w:tcPr>
            <w:tcW w:w="786" w:type="pct"/>
            <w:shd w:val="clear" w:color="auto" w:fill="auto"/>
          </w:tcPr>
          <w:p w14:paraId="1830CC03" w14:textId="77777777" w:rsidR="003D6146" w:rsidRDefault="003D6146" w:rsidP="00603885">
            <w:pPr>
              <w:pStyle w:val="TableText"/>
              <w:spacing w:before="44" w:after="44"/>
            </w:pPr>
            <w:r w:rsidRPr="007B3976">
              <w:t>Morgan and Prince 1977</w:t>
            </w:r>
          </w:p>
          <w:p w14:paraId="49EE3680" w14:textId="39AD872F" w:rsidR="003D6146" w:rsidRPr="007B3976" w:rsidRDefault="003D6146" w:rsidP="00603885">
            <w:pPr>
              <w:pStyle w:val="TableText"/>
              <w:spacing w:before="44" w:after="44"/>
            </w:pPr>
            <w:r w:rsidRPr="00CC0E62">
              <w:rPr>
                <w:b/>
                <w:bCs/>
              </w:rPr>
              <w:t>Value used in SSD</w:t>
            </w:r>
          </w:p>
        </w:tc>
      </w:tr>
      <w:tr w:rsidR="00BF25EB" w:rsidRPr="007B3976" w14:paraId="2D4B37E5" w14:textId="77777777" w:rsidTr="00603885">
        <w:trPr>
          <w:cantSplit/>
          <w:trHeight w:val="187"/>
        </w:trPr>
        <w:tc>
          <w:tcPr>
            <w:tcW w:w="456" w:type="pct"/>
            <w:vMerge/>
            <w:shd w:val="clear" w:color="auto" w:fill="auto"/>
          </w:tcPr>
          <w:p w14:paraId="415582D7" w14:textId="77777777" w:rsidR="003D6146" w:rsidRPr="007B3976" w:rsidRDefault="003D6146" w:rsidP="00603885">
            <w:pPr>
              <w:pStyle w:val="TableText"/>
              <w:spacing w:before="44" w:after="44"/>
            </w:pPr>
          </w:p>
        </w:tc>
        <w:tc>
          <w:tcPr>
            <w:tcW w:w="658" w:type="pct"/>
            <w:shd w:val="clear" w:color="auto" w:fill="auto"/>
          </w:tcPr>
          <w:p w14:paraId="08895670" w14:textId="77777777" w:rsidR="003D6146" w:rsidRPr="007B3976" w:rsidRDefault="003D6146" w:rsidP="00603885">
            <w:pPr>
              <w:pStyle w:val="TableText"/>
              <w:spacing w:before="44" w:after="44"/>
            </w:pPr>
            <w:r w:rsidRPr="007B3976">
              <w:rPr>
                <w:i/>
              </w:rPr>
              <w:t>Alosa aestivalis</w:t>
            </w:r>
          </w:p>
        </w:tc>
        <w:tc>
          <w:tcPr>
            <w:tcW w:w="355" w:type="pct"/>
            <w:shd w:val="clear" w:color="auto" w:fill="auto"/>
            <w:noWrap/>
          </w:tcPr>
          <w:p w14:paraId="17C5C27C" w14:textId="77777777" w:rsidR="003D6146" w:rsidRPr="007B3976" w:rsidRDefault="003D6146" w:rsidP="00603885">
            <w:pPr>
              <w:pStyle w:val="TableText"/>
              <w:spacing w:before="44" w:after="44"/>
            </w:pPr>
            <w:r w:rsidRPr="007B3976">
              <w:t>Egg</w:t>
            </w:r>
          </w:p>
        </w:tc>
        <w:tc>
          <w:tcPr>
            <w:tcW w:w="354" w:type="pct"/>
            <w:shd w:val="clear" w:color="auto" w:fill="auto"/>
          </w:tcPr>
          <w:p w14:paraId="18C2C094" w14:textId="77777777" w:rsidR="003D6146" w:rsidRPr="007B3976" w:rsidRDefault="003D6146" w:rsidP="00603885">
            <w:pPr>
              <w:pStyle w:val="TableText"/>
              <w:spacing w:before="44" w:after="44"/>
            </w:pPr>
            <w:r w:rsidRPr="007B3976">
              <w:t>48</w:t>
            </w:r>
            <w:r>
              <w:t> h</w:t>
            </w:r>
          </w:p>
        </w:tc>
        <w:tc>
          <w:tcPr>
            <w:tcW w:w="455" w:type="pct"/>
            <w:shd w:val="clear" w:color="auto" w:fill="auto"/>
            <w:noWrap/>
          </w:tcPr>
          <w:p w14:paraId="0262A3B8" w14:textId="77777777" w:rsidR="003D6146" w:rsidRPr="007B3976" w:rsidRDefault="003D6146" w:rsidP="00603885">
            <w:pPr>
              <w:pStyle w:val="TableText"/>
              <w:spacing w:before="44" w:after="44"/>
            </w:pPr>
            <w:r w:rsidRPr="007B3976">
              <w:t>Flow</w:t>
            </w:r>
            <w:r>
              <w:t>-</w:t>
            </w:r>
            <w:r w:rsidRPr="007B3976">
              <w:t>through</w:t>
            </w:r>
          </w:p>
        </w:tc>
        <w:tc>
          <w:tcPr>
            <w:tcW w:w="557" w:type="pct"/>
            <w:shd w:val="clear" w:color="auto" w:fill="auto"/>
          </w:tcPr>
          <w:p w14:paraId="1D2F74EE" w14:textId="77777777" w:rsidR="003D6146" w:rsidRPr="007B3976" w:rsidRDefault="003D6146" w:rsidP="00603885">
            <w:pPr>
              <w:pStyle w:val="TableText"/>
              <w:spacing w:before="44" w:after="44"/>
            </w:pPr>
            <w:r w:rsidRPr="007B3976">
              <w:t>Mortality (LC50)</w:t>
            </w:r>
          </w:p>
        </w:tc>
        <w:tc>
          <w:tcPr>
            <w:tcW w:w="557" w:type="pct"/>
            <w:shd w:val="clear" w:color="auto" w:fill="auto"/>
          </w:tcPr>
          <w:p w14:paraId="40A592F3" w14:textId="77777777" w:rsidR="003D6146" w:rsidRPr="007B3976" w:rsidRDefault="003D6146" w:rsidP="00603885">
            <w:pPr>
              <w:pStyle w:val="TableText"/>
              <w:spacing w:before="44" w:after="44"/>
            </w:pPr>
            <w:r w:rsidRPr="007B3976">
              <w:t>Seawater</w:t>
            </w:r>
            <w:r>
              <w:t xml:space="preserve"> </w:t>
            </w:r>
            <w:r w:rsidRPr="007B3976">
              <w:t>(15‰)</w:t>
            </w:r>
          </w:p>
        </w:tc>
        <w:tc>
          <w:tcPr>
            <w:tcW w:w="304" w:type="pct"/>
            <w:shd w:val="clear" w:color="auto" w:fill="auto"/>
            <w:noWrap/>
          </w:tcPr>
          <w:p w14:paraId="2B033F82" w14:textId="77777777" w:rsidR="003D6146" w:rsidRPr="007B3976" w:rsidRDefault="003D6146" w:rsidP="00603885">
            <w:pPr>
              <w:pStyle w:val="TableText"/>
              <w:spacing w:before="44" w:after="44"/>
            </w:pPr>
            <w:r w:rsidRPr="007B3976">
              <w:t>8</w:t>
            </w:r>
            <w:r>
              <w:t>–</w:t>
            </w:r>
            <w:r w:rsidRPr="007B3976">
              <w:t>12</w:t>
            </w:r>
          </w:p>
        </w:tc>
        <w:tc>
          <w:tcPr>
            <w:tcW w:w="518" w:type="pct"/>
            <w:shd w:val="clear" w:color="auto" w:fill="auto"/>
          </w:tcPr>
          <w:p w14:paraId="36A81FCA" w14:textId="77777777" w:rsidR="003D6146" w:rsidRPr="00ED3D20" w:rsidRDefault="003D6146" w:rsidP="00603885">
            <w:pPr>
              <w:spacing w:before="44" w:after="44" w:line="240" w:lineRule="auto"/>
              <w:rPr>
                <w:rFonts w:eastAsia="Times New Roman" w:cstheme="minorHAnsi"/>
                <w:b/>
                <w:sz w:val="18"/>
                <w:szCs w:val="18"/>
              </w:rPr>
            </w:pPr>
            <w:r w:rsidRPr="00ED3D20">
              <w:rPr>
                <w:rFonts w:eastAsia="Times New Roman" w:cstheme="minorHAnsi"/>
                <w:b/>
                <w:sz w:val="18"/>
                <w:szCs w:val="18"/>
              </w:rPr>
              <w:t>240</w:t>
            </w:r>
          </w:p>
        </w:tc>
        <w:tc>
          <w:tcPr>
            <w:tcW w:w="786" w:type="pct"/>
            <w:shd w:val="clear" w:color="auto" w:fill="auto"/>
          </w:tcPr>
          <w:p w14:paraId="1B7F4617" w14:textId="77777777" w:rsidR="003D6146" w:rsidRDefault="003D6146" w:rsidP="00603885">
            <w:pPr>
              <w:pStyle w:val="TableText"/>
              <w:spacing w:before="44" w:after="44"/>
            </w:pPr>
            <w:r w:rsidRPr="007B3976">
              <w:t>Morgan and Prince 1977</w:t>
            </w:r>
          </w:p>
          <w:p w14:paraId="6AD85FBF" w14:textId="3DA33824" w:rsidR="003D6146" w:rsidRPr="007B3976" w:rsidRDefault="003D6146" w:rsidP="00603885">
            <w:pPr>
              <w:pStyle w:val="TableText"/>
              <w:spacing w:before="44" w:after="44"/>
            </w:pPr>
            <w:r w:rsidRPr="00CC0E62">
              <w:rPr>
                <w:b/>
                <w:bCs/>
              </w:rPr>
              <w:t>Value used in SSD</w:t>
            </w:r>
          </w:p>
        </w:tc>
      </w:tr>
    </w:tbl>
    <w:p w14:paraId="0CF6C95A" w14:textId="0550F1D2" w:rsidR="00C14AD0" w:rsidRDefault="00A0330B" w:rsidP="00603885">
      <w:pPr>
        <w:pStyle w:val="FigureTableNoteSource"/>
        <w:spacing w:before="0" w:after="0" w:line="240" w:lineRule="auto"/>
      </w:pPr>
      <w:r w:rsidRPr="000C6763">
        <w:t xml:space="preserve">–: No data available/not stated. </w:t>
      </w:r>
      <w:r w:rsidR="00C14AD0">
        <w:br w:type="page"/>
      </w:r>
    </w:p>
    <w:p w14:paraId="58D997B2" w14:textId="29125690" w:rsidR="00137452" w:rsidRDefault="00E62B60" w:rsidP="00D22201">
      <w:pPr>
        <w:pStyle w:val="Caption"/>
        <w:spacing w:after="80"/>
        <w:rPr>
          <w:lang w:eastAsia="en-AU"/>
        </w:rPr>
      </w:pPr>
      <w:bookmarkStart w:id="53" w:name="_Ref178601739"/>
      <w:bookmarkStart w:id="54" w:name="_Toc185441666"/>
      <w:r>
        <w:lastRenderedPageBreak/>
        <w:t>Table A </w:t>
      </w:r>
      <w:r w:rsidR="00141D27">
        <w:fldChar w:fldCharType="begin"/>
      </w:r>
      <w:r w:rsidR="00141D27">
        <w:instrText xml:space="preserve"> SEQ Table_A \* ARABIC </w:instrText>
      </w:r>
      <w:r w:rsidR="00141D27">
        <w:fldChar w:fldCharType="separate"/>
      </w:r>
      <w:r w:rsidR="003E6080">
        <w:rPr>
          <w:noProof/>
        </w:rPr>
        <w:t>3</w:t>
      </w:r>
      <w:r w:rsidR="00141D27">
        <w:rPr>
          <w:noProof/>
        </w:rPr>
        <w:fldChar w:fldCharType="end"/>
      </w:r>
      <w:bookmarkEnd w:id="53"/>
      <w:r w:rsidR="00974095" w:rsidRPr="00645988">
        <w:t xml:space="preserve"> </w:t>
      </w:r>
      <w:r w:rsidR="005D22E4">
        <w:t>Summary</w:t>
      </w:r>
      <w:r w:rsidR="000453A7">
        <w:t>,</w:t>
      </w:r>
      <w:r w:rsidR="005D22E4">
        <w:t xml:space="preserve"> toxicity data that passed screening and quality assessment processes, </w:t>
      </w:r>
      <w:r w:rsidR="000727B6">
        <w:t>chlorine (</w:t>
      </w:r>
      <w:r w:rsidR="005D22E4">
        <w:t>CPO</w:t>
      </w:r>
      <w:r w:rsidR="000727B6">
        <w:t>)</w:t>
      </w:r>
      <w:r w:rsidR="005D22E4">
        <w:t xml:space="preserve"> in marine water</w:t>
      </w:r>
      <w:r w:rsidR="000727B6">
        <w:t>,</w:t>
      </w:r>
      <w:r w:rsidR="005D22E4">
        <w:t xml:space="preserve"> salinity </w:t>
      </w:r>
      <w:r w:rsidR="005D22E4" w:rsidRPr="00B343BA">
        <w:rPr>
          <w:lang w:eastAsia="en-AU"/>
        </w:rPr>
        <w:t>≥15</w:t>
      </w:r>
      <w:r w:rsidR="005D22E4">
        <w:rPr>
          <w:lang w:eastAsia="en-AU"/>
        </w:rPr>
        <w:t>–</w:t>
      </w:r>
      <w:r w:rsidR="005D22E4" w:rsidRPr="00B343BA">
        <w:rPr>
          <w:lang w:eastAsia="en-AU"/>
        </w:rPr>
        <w:t>&lt;25‰</w:t>
      </w:r>
      <w:r w:rsidR="005D22E4">
        <w:rPr>
          <w:lang w:eastAsia="en-AU"/>
        </w:rPr>
        <w:t xml:space="preserve"> and </w:t>
      </w:r>
      <w:r w:rsidR="005D22E4" w:rsidRPr="00B343BA">
        <w:rPr>
          <w:lang w:eastAsia="en-AU"/>
        </w:rPr>
        <w:t>≥</w:t>
      </w:r>
      <w:r w:rsidR="005D22E4">
        <w:rPr>
          <w:lang w:eastAsia="en-AU"/>
        </w:rPr>
        <w:t>2</w:t>
      </w:r>
      <w:r w:rsidR="005D22E4" w:rsidRPr="00B343BA">
        <w:rPr>
          <w:lang w:eastAsia="en-AU"/>
        </w:rPr>
        <w:t>5</w:t>
      </w:r>
      <w:r w:rsidR="005D22E4">
        <w:rPr>
          <w:lang w:eastAsia="en-AU"/>
        </w:rPr>
        <w:t xml:space="preserve">‰ – not used </w:t>
      </w:r>
      <w:r w:rsidR="000727B6">
        <w:rPr>
          <w:lang w:eastAsia="en-AU"/>
        </w:rPr>
        <w:t>in</w:t>
      </w:r>
      <w:r w:rsidR="005D22E4">
        <w:rPr>
          <w:lang w:eastAsia="en-AU"/>
        </w:rPr>
        <w:t xml:space="preserve"> DGV derivation</w:t>
      </w:r>
      <w:bookmarkEnd w:id="54"/>
      <w:r w:rsidR="005D22E4">
        <w:rPr>
          <w:lang w:eastAsia="en-AU"/>
        </w:rPr>
        <w:t xml:space="preserve"> </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toxicity data that passed screening and quality assessment processes, chlorine (CPO) in marine water, salinity ≥15–&lt;25‰ and ≥25‰ – not used in DGV derivation"/>
        <w:tblDescription w:val="Table lists 14 species with their taxonomic group. The different life stages for each species are provided with the following test information: exposure duration, acute/chronic, test type, toxicity measure, test medium, temperature (degrees Celcius), concentration (microgram per litre), reference and comments."/>
      </w:tblPr>
      <w:tblGrid>
        <w:gridCol w:w="1277"/>
        <w:gridCol w:w="1557"/>
        <w:gridCol w:w="854"/>
        <w:gridCol w:w="989"/>
        <w:gridCol w:w="851"/>
        <w:gridCol w:w="851"/>
        <w:gridCol w:w="1134"/>
        <w:gridCol w:w="1134"/>
        <w:gridCol w:w="709"/>
        <w:gridCol w:w="1277"/>
        <w:gridCol w:w="1274"/>
        <w:gridCol w:w="2095"/>
      </w:tblGrid>
      <w:tr w:rsidR="00A460A4" w:rsidRPr="007B3976" w14:paraId="5A1D7FB3" w14:textId="77777777" w:rsidTr="00D22201">
        <w:trPr>
          <w:cantSplit/>
          <w:tblHeader/>
        </w:trPr>
        <w:tc>
          <w:tcPr>
            <w:tcW w:w="456" w:type="pct"/>
            <w:tcBorders>
              <w:top w:val="single" w:sz="12" w:space="0" w:color="auto"/>
              <w:bottom w:val="single" w:sz="12" w:space="0" w:color="auto"/>
            </w:tcBorders>
            <w:vAlign w:val="center"/>
          </w:tcPr>
          <w:p w14:paraId="2876916E" w14:textId="5F452C97" w:rsidR="00001435" w:rsidRPr="007B3976" w:rsidRDefault="00001435" w:rsidP="00603885">
            <w:pPr>
              <w:pStyle w:val="TableHeading"/>
              <w:spacing w:before="50" w:after="50"/>
            </w:pPr>
            <w:r>
              <w:t>Taxonomic group</w:t>
            </w:r>
          </w:p>
        </w:tc>
        <w:tc>
          <w:tcPr>
            <w:tcW w:w="556" w:type="pct"/>
            <w:tcBorders>
              <w:top w:val="single" w:sz="12" w:space="0" w:color="auto"/>
              <w:bottom w:val="single" w:sz="12" w:space="0" w:color="auto"/>
            </w:tcBorders>
            <w:shd w:val="clear" w:color="auto" w:fill="auto"/>
            <w:vAlign w:val="center"/>
            <w:hideMark/>
          </w:tcPr>
          <w:p w14:paraId="1A6DFC2B" w14:textId="471FC287" w:rsidR="00001435" w:rsidRPr="007B3976" w:rsidRDefault="00001435" w:rsidP="00603885">
            <w:pPr>
              <w:pStyle w:val="TableHeading"/>
              <w:spacing w:before="50" w:after="50"/>
            </w:pPr>
            <w:r w:rsidRPr="007B3976">
              <w:t>Species</w:t>
            </w:r>
          </w:p>
        </w:tc>
        <w:tc>
          <w:tcPr>
            <w:tcW w:w="305" w:type="pct"/>
            <w:tcBorders>
              <w:top w:val="single" w:sz="12" w:space="0" w:color="auto"/>
              <w:bottom w:val="single" w:sz="12" w:space="0" w:color="auto"/>
            </w:tcBorders>
            <w:shd w:val="clear" w:color="auto" w:fill="auto"/>
            <w:vAlign w:val="center"/>
            <w:hideMark/>
          </w:tcPr>
          <w:p w14:paraId="086FB8E5" w14:textId="77777777" w:rsidR="00001435" w:rsidRPr="007B3976" w:rsidRDefault="00001435" w:rsidP="00603885">
            <w:pPr>
              <w:pStyle w:val="TableHeading"/>
              <w:spacing w:before="50" w:after="50"/>
            </w:pPr>
            <w:r w:rsidRPr="007B3976">
              <w:t>Life stage</w:t>
            </w:r>
          </w:p>
        </w:tc>
        <w:tc>
          <w:tcPr>
            <w:tcW w:w="353" w:type="pct"/>
            <w:tcBorders>
              <w:top w:val="single" w:sz="12" w:space="0" w:color="auto"/>
              <w:bottom w:val="single" w:sz="12" w:space="0" w:color="auto"/>
            </w:tcBorders>
            <w:shd w:val="clear" w:color="auto" w:fill="auto"/>
            <w:vAlign w:val="center"/>
            <w:hideMark/>
          </w:tcPr>
          <w:p w14:paraId="4114D04E" w14:textId="78F7FF07" w:rsidR="00001435" w:rsidRPr="007B3976" w:rsidRDefault="00001435" w:rsidP="00603885">
            <w:pPr>
              <w:pStyle w:val="TableHeading"/>
              <w:spacing w:before="50" w:after="50"/>
            </w:pPr>
            <w:r w:rsidRPr="007B3976">
              <w:t>Exposure duration</w:t>
            </w:r>
          </w:p>
        </w:tc>
        <w:tc>
          <w:tcPr>
            <w:tcW w:w="304" w:type="pct"/>
            <w:tcBorders>
              <w:top w:val="single" w:sz="12" w:space="0" w:color="auto"/>
              <w:bottom w:val="single" w:sz="12" w:space="0" w:color="auto"/>
            </w:tcBorders>
            <w:shd w:val="clear" w:color="auto" w:fill="auto"/>
            <w:vAlign w:val="center"/>
            <w:hideMark/>
          </w:tcPr>
          <w:p w14:paraId="56881321" w14:textId="7C8C93DA" w:rsidR="00001435" w:rsidRPr="007B3976" w:rsidRDefault="00001435" w:rsidP="00603885">
            <w:pPr>
              <w:pStyle w:val="TableHeading"/>
              <w:spacing w:before="50" w:after="50"/>
            </w:pPr>
            <w:r w:rsidRPr="007B3976">
              <w:t xml:space="preserve">Acute / </w:t>
            </w:r>
            <w:r w:rsidR="00571089">
              <w:t>c</w:t>
            </w:r>
            <w:r w:rsidRPr="007B3976">
              <w:t>hronic</w:t>
            </w:r>
          </w:p>
        </w:tc>
        <w:tc>
          <w:tcPr>
            <w:tcW w:w="304" w:type="pct"/>
            <w:tcBorders>
              <w:top w:val="single" w:sz="12" w:space="0" w:color="auto"/>
              <w:bottom w:val="single" w:sz="12" w:space="0" w:color="auto"/>
            </w:tcBorders>
            <w:shd w:val="clear" w:color="auto" w:fill="auto"/>
            <w:vAlign w:val="center"/>
            <w:hideMark/>
          </w:tcPr>
          <w:p w14:paraId="3D52CE2D" w14:textId="77777777" w:rsidR="00001435" w:rsidRPr="007B3976" w:rsidRDefault="00001435" w:rsidP="00603885">
            <w:pPr>
              <w:pStyle w:val="TableHeading"/>
              <w:spacing w:before="50" w:after="50"/>
            </w:pPr>
            <w:r w:rsidRPr="007B3976">
              <w:t>Test type</w:t>
            </w:r>
          </w:p>
        </w:tc>
        <w:tc>
          <w:tcPr>
            <w:tcW w:w="405" w:type="pct"/>
            <w:tcBorders>
              <w:top w:val="single" w:sz="12" w:space="0" w:color="auto"/>
              <w:bottom w:val="single" w:sz="12" w:space="0" w:color="auto"/>
            </w:tcBorders>
            <w:shd w:val="clear" w:color="auto" w:fill="auto"/>
            <w:vAlign w:val="center"/>
            <w:hideMark/>
          </w:tcPr>
          <w:p w14:paraId="2CBC717C" w14:textId="77777777" w:rsidR="00001435" w:rsidRPr="007B3976" w:rsidRDefault="00001435" w:rsidP="00603885">
            <w:pPr>
              <w:pStyle w:val="TableHeading"/>
              <w:spacing w:before="50" w:after="50"/>
            </w:pPr>
            <w:r w:rsidRPr="007B3976">
              <w:t>Toxicity measure</w:t>
            </w:r>
          </w:p>
        </w:tc>
        <w:tc>
          <w:tcPr>
            <w:tcW w:w="405" w:type="pct"/>
            <w:tcBorders>
              <w:top w:val="single" w:sz="12" w:space="0" w:color="auto"/>
              <w:bottom w:val="single" w:sz="12" w:space="0" w:color="auto"/>
            </w:tcBorders>
            <w:shd w:val="clear" w:color="auto" w:fill="auto"/>
            <w:vAlign w:val="center"/>
            <w:hideMark/>
          </w:tcPr>
          <w:p w14:paraId="545A736B" w14:textId="77777777" w:rsidR="00001435" w:rsidRPr="007B3976" w:rsidRDefault="00001435" w:rsidP="00603885">
            <w:pPr>
              <w:pStyle w:val="TableHeading"/>
              <w:spacing w:before="50" w:after="50"/>
            </w:pPr>
            <w:r w:rsidRPr="007B3976">
              <w:t>Test medium</w:t>
            </w:r>
          </w:p>
        </w:tc>
        <w:tc>
          <w:tcPr>
            <w:tcW w:w="253" w:type="pct"/>
            <w:tcBorders>
              <w:top w:val="single" w:sz="12" w:space="0" w:color="auto"/>
              <w:bottom w:val="single" w:sz="12" w:space="0" w:color="auto"/>
            </w:tcBorders>
            <w:shd w:val="clear" w:color="auto" w:fill="auto"/>
            <w:noWrap/>
            <w:vAlign w:val="center"/>
            <w:hideMark/>
          </w:tcPr>
          <w:p w14:paraId="2D0AB3C1" w14:textId="0D25C7D1" w:rsidR="00001435" w:rsidRPr="007B3976" w:rsidRDefault="00001435" w:rsidP="00603885">
            <w:pPr>
              <w:pStyle w:val="TableHeading"/>
              <w:spacing w:before="50" w:after="50"/>
            </w:pPr>
            <w:r w:rsidRPr="007B3976">
              <w:t>Temp</w:t>
            </w:r>
            <w:r w:rsidR="00D32FFB">
              <w:t>.</w:t>
            </w:r>
            <w:r w:rsidRPr="007B3976">
              <w:t xml:space="preserve"> (</w:t>
            </w:r>
            <w:r w:rsidR="00DE4071" w:rsidRPr="00DE4071">
              <w:t>°</w:t>
            </w:r>
            <w:r w:rsidRPr="007B3976">
              <w:t>C)</w:t>
            </w:r>
          </w:p>
        </w:tc>
        <w:tc>
          <w:tcPr>
            <w:tcW w:w="456" w:type="pct"/>
            <w:tcBorders>
              <w:top w:val="single" w:sz="12" w:space="0" w:color="auto"/>
              <w:bottom w:val="single" w:sz="12" w:space="0" w:color="auto"/>
            </w:tcBorders>
            <w:shd w:val="clear" w:color="auto" w:fill="auto"/>
            <w:vAlign w:val="center"/>
            <w:hideMark/>
          </w:tcPr>
          <w:p w14:paraId="7824981E" w14:textId="73EDBD0F" w:rsidR="00001435" w:rsidRPr="00F20BF2" w:rsidRDefault="00001435" w:rsidP="00603885">
            <w:pPr>
              <w:pStyle w:val="TableHeading"/>
              <w:spacing w:before="50" w:after="50"/>
            </w:pPr>
            <w:r w:rsidRPr="007B3976">
              <w:t>Conc</w:t>
            </w:r>
            <w:r w:rsidR="007F2491">
              <w:t>en</w:t>
            </w:r>
            <w:r w:rsidR="00D22201">
              <w:t>-</w:t>
            </w:r>
            <w:r w:rsidR="007F2491">
              <w:t>tration</w:t>
            </w:r>
            <w:r w:rsidR="001A34D1">
              <w:t xml:space="preserve"> </w:t>
            </w:r>
            <w:r w:rsidRPr="00D9742A">
              <w:t>(µg/L)</w:t>
            </w:r>
          </w:p>
        </w:tc>
        <w:tc>
          <w:tcPr>
            <w:tcW w:w="455" w:type="pct"/>
            <w:tcBorders>
              <w:top w:val="single" w:sz="12" w:space="0" w:color="auto"/>
              <w:bottom w:val="single" w:sz="12" w:space="0" w:color="auto"/>
            </w:tcBorders>
            <w:shd w:val="clear" w:color="auto" w:fill="auto"/>
            <w:vAlign w:val="center"/>
            <w:hideMark/>
          </w:tcPr>
          <w:p w14:paraId="2EECB754" w14:textId="77777777" w:rsidR="00001435" w:rsidRPr="007B3976" w:rsidRDefault="00001435" w:rsidP="00603885">
            <w:pPr>
              <w:pStyle w:val="TableHeading"/>
              <w:spacing w:before="50" w:after="50"/>
            </w:pPr>
            <w:r w:rsidRPr="007B3976">
              <w:t>Reference</w:t>
            </w:r>
          </w:p>
        </w:tc>
        <w:tc>
          <w:tcPr>
            <w:tcW w:w="748" w:type="pct"/>
            <w:tcBorders>
              <w:top w:val="single" w:sz="12" w:space="0" w:color="auto"/>
              <w:bottom w:val="single" w:sz="12" w:space="0" w:color="auto"/>
            </w:tcBorders>
            <w:shd w:val="clear" w:color="auto" w:fill="auto"/>
            <w:noWrap/>
            <w:vAlign w:val="center"/>
            <w:hideMark/>
          </w:tcPr>
          <w:p w14:paraId="4A41D1E1" w14:textId="77777777" w:rsidR="00001435" w:rsidRPr="007B3976" w:rsidRDefault="00001435" w:rsidP="00603885">
            <w:pPr>
              <w:pStyle w:val="TableHeading"/>
              <w:spacing w:before="50" w:after="50"/>
            </w:pPr>
            <w:r w:rsidRPr="007B3976">
              <w:t>Comments</w:t>
            </w:r>
          </w:p>
        </w:tc>
      </w:tr>
      <w:tr w:rsidR="007031AF" w:rsidRPr="00BA4868" w14:paraId="0726A092" w14:textId="77777777" w:rsidTr="0095052F">
        <w:trPr>
          <w:cantSplit/>
        </w:trPr>
        <w:tc>
          <w:tcPr>
            <w:tcW w:w="5000" w:type="pct"/>
            <w:gridSpan w:val="12"/>
            <w:tcBorders>
              <w:top w:val="single" w:sz="12" w:space="0" w:color="auto"/>
            </w:tcBorders>
            <w:vAlign w:val="center"/>
          </w:tcPr>
          <w:p w14:paraId="2DC8B077" w14:textId="67B60160" w:rsidR="007031AF" w:rsidRPr="00057362" w:rsidRDefault="007031AF" w:rsidP="00603885">
            <w:pPr>
              <w:pStyle w:val="TableHeading"/>
              <w:spacing w:before="50" w:after="50"/>
            </w:pPr>
            <w:r w:rsidRPr="00F20BF2">
              <w:t xml:space="preserve">Salinity </w:t>
            </w:r>
            <w:r w:rsidRPr="00F20BF2">
              <w:rPr>
                <w:rFonts w:eastAsia="Calibri"/>
              </w:rPr>
              <w:t>≥</w:t>
            </w:r>
            <w:r w:rsidRPr="00F20BF2">
              <w:t>25‰</w:t>
            </w:r>
          </w:p>
        </w:tc>
      </w:tr>
      <w:tr w:rsidR="0072585A" w:rsidRPr="00BA4868" w14:paraId="7F166FC1" w14:textId="77777777" w:rsidTr="00D22201">
        <w:trPr>
          <w:cantSplit/>
        </w:trPr>
        <w:tc>
          <w:tcPr>
            <w:tcW w:w="456" w:type="pct"/>
            <w:vMerge w:val="restart"/>
          </w:tcPr>
          <w:p w14:paraId="1FAA2192" w14:textId="047C9B53" w:rsidR="002907EF" w:rsidRPr="000D7599" w:rsidRDefault="002907EF" w:rsidP="00603885">
            <w:pPr>
              <w:pStyle w:val="TableText"/>
              <w:spacing w:before="50" w:after="50"/>
            </w:pPr>
            <w:r>
              <w:t>Green microalga</w:t>
            </w:r>
          </w:p>
        </w:tc>
        <w:tc>
          <w:tcPr>
            <w:tcW w:w="556" w:type="pct"/>
            <w:shd w:val="clear" w:color="auto" w:fill="auto"/>
          </w:tcPr>
          <w:p w14:paraId="6C1C94A4" w14:textId="0FD6AAD4" w:rsidR="002907EF" w:rsidRPr="000D7599" w:rsidRDefault="002907EF" w:rsidP="00603885">
            <w:pPr>
              <w:pStyle w:val="TableText"/>
              <w:spacing w:before="50" w:after="50"/>
              <w:rPr>
                <w:i/>
                <w:iCs/>
              </w:rPr>
            </w:pPr>
            <w:r w:rsidRPr="000D7599">
              <w:rPr>
                <w:i/>
                <w:iCs/>
              </w:rPr>
              <w:t>Isochrysis galbana</w:t>
            </w:r>
          </w:p>
        </w:tc>
        <w:tc>
          <w:tcPr>
            <w:tcW w:w="305" w:type="pct"/>
            <w:shd w:val="clear" w:color="auto" w:fill="auto"/>
            <w:noWrap/>
          </w:tcPr>
          <w:p w14:paraId="1F7F3936" w14:textId="32F95DEE" w:rsidR="002907EF" w:rsidRPr="00CF2100" w:rsidRDefault="002907EF" w:rsidP="00603885">
            <w:pPr>
              <w:pStyle w:val="TableText"/>
              <w:spacing w:before="50" w:after="50"/>
            </w:pPr>
            <w:r w:rsidRPr="00CF2100">
              <w:t>–</w:t>
            </w:r>
          </w:p>
        </w:tc>
        <w:tc>
          <w:tcPr>
            <w:tcW w:w="353" w:type="pct"/>
            <w:shd w:val="clear" w:color="auto" w:fill="auto"/>
          </w:tcPr>
          <w:p w14:paraId="6EC29A2A" w14:textId="48B0CDF8" w:rsidR="002907EF" w:rsidRPr="000D7599" w:rsidRDefault="002907EF" w:rsidP="00603885">
            <w:pPr>
              <w:pStyle w:val="TableText"/>
              <w:spacing w:before="50" w:after="50"/>
            </w:pPr>
            <w:r w:rsidRPr="000D7599">
              <w:t>96</w:t>
            </w:r>
            <w:r>
              <w:t> h</w:t>
            </w:r>
          </w:p>
        </w:tc>
        <w:tc>
          <w:tcPr>
            <w:tcW w:w="304" w:type="pct"/>
            <w:shd w:val="clear" w:color="auto" w:fill="auto"/>
          </w:tcPr>
          <w:p w14:paraId="3AA13D63" w14:textId="32464157" w:rsidR="002907EF" w:rsidRPr="00BA4868" w:rsidRDefault="002907EF" w:rsidP="00603885">
            <w:pPr>
              <w:pStyle w:val="TableText"/>
              <w:spacing w:before="50" w:after="50"/>
              <w:rPr>
                <w:highlight w:val="yellow"/>
              </w:rPr>
            </w:pPr>
            <w:r w:rsidRPr="00645988">
              <w:t>Chronic</w:t>
            </w:r>
          </w:p>
        </w:tc>
        <w:tc>
          <w:tcPr>
            <w:tcW w:w="304" w:type="pct"/>
            <w:shd w:val="clear" w:color="auto" w:fill="auto"/>
          </w:tcPr>
          <w:p w14:paraId="56BCC9D1" w14:textId="4C456578" w:rsidR="002907EF" w:rsidRPr="00BA4868" w:rsidRDefault="002907EF" w:rsidP="00603885">
            <w:pPr>
              <w:pStyle w:val="TableText"/>
              <w:spacing w:before="50" w:after="50"/>
              <w:rPr>
                <w:highlight w:val="yellow"/>
              </w:rPr>
            </w:pPr>
            <w:r w:rsidRPr="00645988">
              <w:t>Static</w:t>
            </w:r>
          </w:p>
        </w:tc>
        <w:tc>
          <w:tcPr>
            <w:tcW w:w="405" w:type="pct"/>
            <w:shd w:val="clear" w:color="auto" w:fill="auto"/>
          </w:tcPr>
          <w:p w14:paraId="23974260" w14:textId="13DF56A6" w:rsidR="002907EF" w:rsidRPr="00BA4868" w:rsidRDefault="002907EF" w:rsidP="00603885">
            <w:pPr>
              <w:pStyle w:val="TableText"/>
              <w:spacing w:before="50" w:after="50"/>
              <w:rPr>
                <w:highlight w:val="yellow"/>
              </w:rPr>
            </w:pPr>
            <w:r w:rsidRPr="00645988">
              <w:t>Growth (</w:t>
            </w:r>
            <w:r>
              <w:t>I</w:t>
            </w:r>
            <w:r w:rsidRPr="00645988">
              <w:t>C1</w:t>
            </w:r>
            <w:r>
              <w:t>5</w:t>
            </w:r>
            <w:r w:rsidRPr="00645988">
              <w:t>)</w:t>
            </w:r>
          </w:p>
        </w:tc>
        <w:tc>
          <w:tcPr>
            <w:tcW w:w="405" w:type="pct"/>
            <w:shd w:val="clear" w:color="auto" w:fill="auto"/>
          </w:tcPr>
          <w:p w14:paraId="7CDA227B" w14:textId="656C845E" w:rsidR="002907EF" w:rsidRPr="00BA4868" w:rsidRDefault="002907EF" w:rsidP="00603885">
            <w:pPr>
              <w:pStyle w:val="TableText"/>
              <w:spacing w:before="50" w:after="50"/>
              <w:rPr>
                <w:highlight w:val="yellow"/>
              </w:rPr>
            </w:pPr>
            <w:r>
              <w:t>S</w:t>
            </w:r>
            <w:r w:rsidRPr="00645988">
              <w:t>eawater</w:t>
            </w:r>
            <w:r>
              <w:t xml:space="preserve"> (salinity not reported)</w:t>
            </w:r>
          </w:p>
        </w:tc>
        <w:tc>
          <w:tcPr>
            <w:tcW w:w="253" w:type="pct"/>
            <w:shd w:val="clear" w:color="auto" w:fill="auto"/>
            <w:noWrap/>
          </w:tcPr>
          <w:p w14:paraId="5769BF12" w14:textId="328704D5" w:rsidR="002907EF" w:rsidRPr="00BA4868" w:rsidRDefault="002907EF" w:rsidP="00603885">
            <w:pPr>
              <w:pStyle w:val="TableText"/>
              <w:spacing w:before="50" w:after="50"/>
              <w:rPr>
                <w:highlight w:val="yellow"/>
              </w:rPr>
            </w:pPr>
            <w:r w:rsidRPr="00645988">
              <w:t>20</w:t>
            </w:r>
          </w:p>
        </w:tc>
        <w:tc>
          <w:tcPr>
            <w:tcW w:w="456" w:type="pct"/>
            <w:shd w:val="clear" w:color="auto" w:fill="auto"/>
          </w:tcPr>
          <w:p w14:paraId="0ED3EF15" w14:textId="00D12CEF" w:rsidR="002907EF" w:rsidRPr="00BA4868" w:rsidRDefault="002907EF" w:rsidP="00603885">
            <w:pPr>
              <w:pStyle w:val="TableText"/>
              <w:spacing w:before="50" w:after="50"/>
              <w:rPr>
                <w:highlight w:val="yellow"/>
              </w:rPr>
            </w:pPr>
            <w:r>
              <w:t>172</w:t>
            </w:r>
          </w:p>
        </w:tc>
        <w:tc>
          <w:tcPr>
            <w:tcW w:w="455" w:type="pct"/>
            <w:shd w:val="clear" w:color="auto" w:fill="auto"/>
          </w:tcPr>
          <w:p w14:paraId="7387AE6D" w14:textId="4B079906" w:rsidR="002907EF" w:rsidRPr="00BA4868" w:rsidRDefault="002907EF" w:rsidP="00603885">
            <w:pPr>
              <w:pStyle w:val="TableText"/>
              <w:spacing w:before="50" w:after="50"/>
              <w:rPr>
                <w:highlight w:val="yellow"/>
              </w:rPr>
            </w:pPr>
            <w:r w:rsidRPr="00645988">
              <w:t>Lopez-Galindo et al. 2010</w:t>
            </w:r>
          </w:p>
        </w:tc>
        <w:tc>
          <w:tcPr>
            <w:tcW w:w="748" w:type="pct"/>
            <w:shd w:val="clear" w:color="auto" w:fill="auto"/>
            <w:noWrap/>
          </w:tcPr>
          <w:p w14:paraId="373B7579" w14:textId="6CBAD277" w:rsidR="002907EF" w:rsidRPr="00BA4868" w:rsidRDefault="002907EF" w:rsidP="00603885">
            <w:pPr>
              <w:pStyle w:val="TableText"/>
              <w:spacing w:before="50" w:after="50"/>
              <w:rPr>
                <w:highlight w:val="yellow"/>
              </w:rPr>
            </w:pPr>
            <w:r w:rsidRPr="00645988">
              <w:t>CPO measured every 30</w:t>
            </w:r>
            <w:r>
              <w:t> </w:t>
            </w:r>
            <w:r w:rsidRPr="00645988">
              <w:t xml:space="preserve">min. IC50 </w:t>
            </w:r>
            <w:r>
              <w:t>1 390 </w:t>
            </w:r>
            <w:r w:rsidRPr="00645988">
              <w:t>µg/L</w:t>
            </w:r>
            <w:r>
              <w:t>.</w:t>
            </w:r>
          </w:p>
        </w:tc>
      </w:tr>
      <w:tr w:rsidR="0072585A" w:rsidRPr="00BA4868" w14:paraId="0EA9FA79" w14:textId="77777777" w:rsidTr="00D22201">
        <w:trPr>
          <w:cantSplit/>
        </w:trPr>
        <w:tc>
          <w:tcPr>
            <w:tcW w:w="456" w:type="pct"/>
            <w:vMerge/>
          </w:tcPr>
          <w:p w14:paraId="3011E130" w14:textId="77777777" w:rsidR="002907EF" w:rsidRPr="008D2750" w:rsidRDefault="002907EF" w:rsidP="00603885">
            <w:pPr>
              <w:pStyle w:val="TableText"/>
              <w:spacing w:before="50" w:after="50"/>
            </w:pPr>
          </w:p>
        </w:tc>
        <w:tc>
          <w:tcPr>
            <w:tcW w:w="556" w:type="pct"/>
            <w:shd w:val="clear" w:color="auto" w:fill="auto"/>
          </w:tcPr>
          <w:p w14:paraId="1ACA4649" w14:textId="746CD164" w:rsidR="002907EF" w:rsidRPr="000D7599" w:rsidRDefault="002907EF" w:rsidP="00603885">
            <w:pPr>
              <w:pStyle w:val="TableText"/>
              <w:spacing w:before="50" w:after="50"/>
              <w:rPr>
                <w:i/>
                <w:iCs/>
              </w:rPr>
            </w:pPr>
            <w:r w:rsidRPr="000D7599">
              <w:rPr>
                <w:i/>
                <w:iCs/>
              </w:rPr>
              <w:t>Dunaliella salina</w:t>
            </w:r>
          </w:p>
        </w:tc>
        <w:tc>
          <w:tcPr>
            <w:tcW w:w="305" w:type="pct"/>
            <w:shd w:val="clear" w:color="auto" w:fill="auto"/>
            <w:noWrap/>
          </w:tcPr>
          <w:p w14:paraId="5CF72C12" w14:textId="55B53DB0" w:rsidR="002907EF" w:rsidRPr="00CF2100" w:rsidRDefault="002907EF" w:rsidP="00603885">
            <w:pPr>
              <w:pStyle w:val="TableText"/>
              <w:spacing w:before="50" w:after="50"/>
            </w:pPr>
            <w:r w:rsidRPr="00CF2100">
              <w:t>–</w:t>
            </w:r>
          </w:p>
        </w:tc>
        <w:tc>
          <w:tcPr>
            <w:tcW w:w="353" w:type="pct"/>
            <w:shd w:val="clear" w:color="auto" w:fill="auto"/>
          </w:tcPr>
          <w:p w14:paraId="1162884E" w14:textId="66E1A258" w:rsidR="002907EF" w:rsidRPr="00BA4868" w:rsidRDefault="002907EF" w:rsidP="00603885">
            <w:pPr>
              <w:pStyle w:val="TableText"/>
              <w:spacing w:before="50" w:after="50"/>
              <w:rPr>
                <w:highlight w:val="yellow"/>
              </w:rPr>
            </w:pPr>
            <w:r w:rsidRPr="000D7599">
              <w:t>96</w:t>
            </w:r>
            <w:r>
              <w:t> h</w:t>
            </w:r>
          </w:p>
        </w:tc>
        <w:tc>
          <w:tcPr>
            <w:tcW w:w="304" w:type="pct"/>
            <w:shd w:val="clear" w:color="auto" w:fill="auto"/>
          </w:tcPr>
          <w:p w14:paraId="0C13E30B" w14:textId="2CA3F052" w:rsidR="002907EF" w:rsidRPr="00BA4868" w:rsidRDefault="002907EF" w:rsidP="00603885">
            <w:pPr>
              <w:pStyle w:val="TableText"/>
              <w:spacing w:before="50" w:after="50"/>
              <w:rPr>
                <w:highlight w:val="yellow"/>
              </w:rPr>
            </w:pPr>
            <w:r w:rsidRPr="00645988">
              <w:t>Chronic</w:t>
            </w:r>
          </w:p>
        </w:tc>
        <w:tc>
          <w:tcPr>
            <w:tcW w:w="304" w:type="pct"/>
            <w:shd w:val="clear" w:color="auto" w:fill="auto"/>
          </w:tcPr>
          <w:p w14:paraId="71F9D424" w14:textId="28474E89" w:rsidR="002907EF" w:rsidRPr="00BA4868" w:rsidRDefault="002907EF" w:rsidP="00603885">
            <w:pPr>
              <w:pStyle w:val="TableText"/>
              <w:spacing w:before="50" w:after="50"/>
              <w:rPr>
                <w:highlight w:val="yellow"/>
              </w:rPr>
            </w:pPr>
            <w:r w:rsidRPr="00645988">
              <w:t>Static</w:t>
            </w:r>
          </w:p>
        </w:tc>
        <w:tc>
          <w:tcPr>
            <w:tcW w:w="405" w:type="pct"/>
            <w:shd w:val="clear" w:color="auto" w:fill="auto"/>
          </w:tcPr>
          <w:p w14:paraId="184C5D4B" w14:textId="3319D037" w:rsidR="002907EF" w:rsidRPr="00BA4868" w:rsidRDefault="002907EF" w:rsidP="00603885">
            <w:pPr>
              <w:pStyle w:val="TableText"/>
              <w:spacing w:before="50" w:after="50"/>
              <w:rPr>
                <w:highlight w:val="yellow"/>
              </w:rPr>
            </w:pPr>
            <w:r w:rsidRPr="00645988">
              <w:t>Growth (</w:t>
            </w:r>
            <w:r>
              <w:t>I</w:t>
            </w:r>
            <w:r w:rsidRPr="00645988">
              <w:t>C1</w:t>
            </w:r>
            <w:r>
              <w:t>5</w:t>
            </w:r>
            <w:r w:rsidRPr="00645988">
              <w:t>)</w:t>
            </w:r>
          </w:p>
        </w:tc>
        <w:tc>
          <w:tcPr>
            <w:tcW w:w="405" w:type="pct"/>
            <w:shd w:val="clear" w:color="auto" w:fill="auto"/>
          </w:tcPr>
          <w:p w14:paraId="44A3D598" w14:textId="046E687A" w:rsidR="002907EF" w:rsidRPr="00BA4868" w:rsidRDefault="002907EF" w:rsidP="00603885">
            <w:pPr>
              <w:pStyle w:val="TableText"/>
              <w:spacing w:before="50" w:after="50"/>
              <w:rPr>
                <w:highlight w:val="yellow"/>
              </w:rPr>
            </w:pPr>
            <w:r>
              <w:t>S</w:t>
            </w:r>
            <w:r w:rsidRPr="00645988">
              <w:t>eawater</w:t>
            </w:r>
            <w:r>
              <w:t xml:space="preserve"> (salinity not reported)</w:t>
            </w:r>
          </w:p>
        </w:tc>
        <w:tc>
          <w:tcPr>
            <w:tcW w:w="253" w:type="pct"/>
            <w:shd w:val="clear" w:color="auto" w:fill="auto"/>
            <w:noWrap/>
          </w:tcPr>
          <w:p w14:paraId="5C460FC5" w14:textId="725557F4" w:rsidR="002907EF" w:rsidRPr="00BA4868" w:rsidRDefault="002907EF" w:rsidP="00603885">
            <w:pPr>
              <w:pStyle w:val="TableText"/>
              <w:spacing w:before="50" w:after="50"/>
              <w:rPr>
                <w:highlight w:val="yellow"/>
              </w:rPr>
            </w:pPr>
            <w:r w:rsidRPr="00645988">
              <w:t>20</w:t>
            </w:r>
          </w:p>
        </w:tc>
        <w:tc>
          <w:tcPr>
            <w:tcW w:w="456" w:type="pct"/>
            <w:shd w:val="clear" w:color="auto" w:fill="auto"/>
          </w:tcPr>
          <w:p w14:paraId="06D7D375" w14:textId="4F1C270C" w:rsidR="002907EF" w:rsidRPr="00BA4868" w:rsidRDefault="002907EF" w:rsidP="00603885">
            <w:pPr>
              <w:pStyle w:val="TableText"/>
              <w:spacing w:before="50" w:after="50"/>
              <w:rPr>
                <w:highlight w:val="yellow"/>
              </w:rPr>
            </w:pPr>
            <w:r>
              <w:t>4</w:t>
            </w:r>
            <w:r w:rsidRPr="00645988">
              <w:t>81</w:t>
            </w:r>
          </w:p>
        </w:tc>
        <w:tc>
          <w:tcPr>
            <w:tcW w:w="455" w:type="pct"/>
            <w:shd w:val="clear" w:color="auto" w:fill="auto"/>
          </w:tcPr>
          <w:p w14:paraId="20D7EFA5" w14:textId="4B93B91F" w:rsidR="002907EF" w:rsidRPr="00BA4868" w:rsidRDefault="002907EF" w:rsidP="00603885">
            <w:pPr>
              <w:pStyle w:val="TableText"/>
              <w:spacing w:before="50" w:after="50"/>
              <w:rPr>
                <w:highlight w:val="yellow"/>
              </w:rPr>
            </w:pPr>
            <w:r w:rsidRPr="00645988">
              <w:t>Lopez-Galindo et al. 201</w:t>
            </w:r>
            <w:r>
              <w:t>0</w:t>
            </w:r>
          </w:p>
        </w:tc>
        <w:tc>
          <w:tcPr>
            <w:tcW w:w="748" w:type="pct"/>
            <w:shd w:val="clear" w:color="auto" w:fill="auto"/>
            <w:noWrap/>
          </w:tcPr>
          <w:p w14:paraId="17115301" w14:textId="771E708B" w:rsidR="002907EF" w:rsidRPr="00BA4868" w:rsidRDefault="002907EF" w:rsidP="00603885">
            <w:pPr>
              <w:pStyle w:val="TableText"/>
              <w:spacing w:before="50" w:after="50"/>
              <w:rPr>
                <w:highlight w:val="yellow"/>
              </w:rPr>
            </w:pPr>
            <w:r w:rsidRPr="00645988">
              <w:t>Daily biomass (optical density) measurements. IC50</w:t>
            </w:r>
            <w:r>
              <w:t> 824 </w:t>
            </w:r>
            <w:r w:rsidRPr="00645988">
              <w:t>µg/L</w:t>
            </w:r>
            <w:r>
              <w:t>.</w:t>
            </w:r>
          </w:p>
        </w:tc>
      </w:tr>
      <w:tr w:rsidR="0072585A" w:rsidRPr="00BA4868" w14:paraId="2C04FB09" w14:textId="77777777" w:rsidTr="00D22201">
        <w:trPr>
          <w:cantSplit/>
        </w:trPr>
        <w:tc>
          <w:tcPr>
            <w:tcW w:w="456" w:type="pct"/>
          </w:tcPr>
          <w:p w14:paraId="37202BE5" w14:textId="2521B04F" w:rsidR="007031AF" w:rsidRDefault="00DC1C0B" w:rsidP="00603885">
            <w:pPr>
              <w:pStyle w:val="TableText"/>
              <w:spacing w:before="50" w:after="50"/>
            </w:pPr>
            <w:r>
              <w:t>Dinoflagellat</w:t>
            </w:r>
            <w:r w:rsidR="00820C5D">
              <w:t>e</w:t>
            </w:r>
          </w:p>
        </w:tc>
        <w:tc>
          <w:tcPr>
            <w:tcW w:w="556" w:type="pct"/>
            <w:shd w:val="clear" w:color="auto" w:fill="auto"/>
          </w:tcPr>
          <w:p w14:paraId="364F2E0B" w14:textId="2E66D304" w:rsidR="007031AF" w:rsidRPr="008479D8" w:rsidRDefault="007031AF" w:rsidP="00603885">
            <w:pPr>
              <w:pStyle w:val="TableText"/>
              <w:spacing w:before="50" w:after="50"/>
              <w:rPr>
                <w:i/>
                <w:iCs/>
              </w:rPr>
            </w:pPr>
            <w:r w:rsidRPr="00174364">
              <w:rPr>
                <w:i/>
                <w:lang w:val="en-US"/>
              </w:rPr>
              <w:t>Prorocentrum minimum</w:t>
            </w:r>
          </w:p>
        </w:tc>
        <w:tc>
          <w:tcPr>
            <w:tcW w:w="305" w:type="pct"/>
            <w:shd w:val="clear" w:color="auto" w:fill="auto"/>
            <w:noWrap/>
          </w:tcPr>
          <w:p w14:paraId="16A621AF" w14:textId="67075C71" w:rsidR="007031AF" w:rsidRPr="00573062" w:rsidRDefault="00CF2100" w:rsidP="00603885">
            <w:pPr>
              <w:pStyle w:val="TableText"/>
              <w:spacing w:before="50" w:after="50"/>
            </w:pPr>
            <w:r>
              <w:t>–</w:t>
            </w:r>
          </w:p>
        </w:tc>
        <w:tc>
          <w:tcPr>
            <w:tcW w:w="353" w:type="pct"/>
            <w:shd w:val="clear" w:color="auto" w:fill="auto"/>
          </w:tcPr>
          <w:p w14:paraId="7E66E733" w14:textId="1A828D2E" w:rsidR="007031AF" w:rsidRPr="00645988" w:rsidRDefault="007031AF" w:rsidP="00603885">
            <w:pPr>
              <w:pStyle w:val="TableText"/>
              <w:spacing w:before="50" w:after="50"/>
            </w:pPr>
            <w:r>
              <w:t>6</w:t>
            </w:r>
            <w:r w:rsidR="001805ED">
              <w:t> h</w:t>
            </w:r>
          </w:p>
        </w:tc>
        <w:tc>
          <w:tcPr>
            <w:tcW w:w="304" w:type="pct"/>
            <w:shd w:val="clear" w:color="auto" w:fill="auto"/>
          </w:tcPr>
          <w:p w14:paraId="4CC08B4F" w14:textId="36FD6AC4" w:rsidR="007031AF" w:rsidRPr="00645988" w:rsidRDefault="007031AF" w:rsidP="00603885">
            <w:pPr>
              <w:pStyle w:val="TableText"/>
              <w:spacing w:before="50" w:after="50"/>
            </w:pPr>
            <w:r>
              <w:t>Acute</w:t>
            </w:r>
          </w:p>
        </w:tc>
        <w:tc>
          <w:tcPr>
            <w:tcW w:w="304" w:type="pct"/>
            <w:shd w:val="clear" w:color="auto" w:fill="auto"/>
          </w:tcPr>
          <w:p w14:paraId="11AD323D" w14:textId="114E13F1" w:rsidR="007031AF" w:rsidRPr="00645988" w:rsidRDefault="007031AF" w:rsidP="00603885">
            <w:pPr>
              <w:pStyle w:val="TableText"/>
              <w:spacing w:before="50" w:after="50"/>
            </w:pPr>
            <w:r>
              <w:t>Static</w:t>
            </w:r>
          </w:p>
        </w:tc>
        <w:tc>
          <w:tcPr>
            <w:tcW w:w="405" w:type="pct"/>
            <w:shd w:val="clear" w:color="auto" w:fill="auto"/>
          </w:tcPr>
          <w:p w14:paraId="3C6D0E26" w14:textId="718CAF87" w:rsidR="007031AF" w:rsidRPr="00645988" w:rsidRDefault="007031AF" w:rsidP="00603885">
            <w:pPr>
              <w:pStyle w:val="TableText"/>
              <w:spacing w:before="50" w:after="50"/>
            </w:pPr>
            <w:r>
              <w:t>Growth (IC10)</w:t>
            </w:r>
          </w:p>
        </w:tc>
        <w:tc>
          <w:tcPr>
            <w:tcW w:w="405" w:type="pct"/>
            <w:shd w:val="clear" w:color="auto" w:fill="auto"/>
          </w:tcPr>
          <w:p w14:paraId="3EC4A64A" w14:textId="1301AC61" w:rsidR="007031AF" w:rsidRPr="00645988" w:rsidRDefault="00C022F7" w:rsidP="00603885">
            <w:pPr>
              <w:pStyle w:val="TableText"/>
              <w:spacing w:before="50" w:after="50"/>
            </w:pPr>
            <w:r>
              <w:t>–</w:t>
            </w:r>
          </w:p>
        </w:tc>
        <w:tc>
          <w:tcPr>
            <w:tcW w:w="253" w:type="pct"/>
            <w:shd w:val="clear" w:color="auto" w:fill="auto"/>
            <w:noWrap/>
          </w:tcPr>
          <w:p w14:paraId="192C4099" w14:textId="51A906D9" w:rsidR="007031AF" w:rsidRPr="00645988" w:rsidRDefault="007031AF" w:rsidP="00603885">
            <w:pPr>
              <w:pStyle w:val="TableText"/>
              <w:spacing w:before="50" w:after="50"/>
            </w:pPr>
            <w:r>
              <w:t>20</w:t>
            </w:r>
          </w:p>
        </w:tc>
        <w:tc>
          <w:tcPr>
            <w:tcW w:w="456" w:type="pct"/>
            <w:shd w:val="clear" w:color="auto" w:fill="auto"/>
          </w:tcPr>
          <w:p w14:paraId="51B6EDA5" w14:textId="338DFCFF" w:rsidR="007031AF" w:rsidRPr="00645988" w:rsidRDefault="007031AF" w:rsidP="00603885">
            <w:pPr>
              <w:pStyle w:val="TableText"/>
              <w:spacing w:before="50" w:after="50"/>
            </w:pPr>
            <w:r>
              <w:t>914</w:t>
            </w:r>
          </w:p>
        </w:tc>
        <w:tc>
          <w:tcPr>
            <w:tcW w:w="455" w:type="pct"/>
            <w:shd w:val="clear" w:color="auto" w:fill="auto"/>
          </w:tcPr>
          <w:p w14:paraId="71C7B864" w14:textId="160DED9F" w:rsidR="007031AF" w:rsidRPr="00645988" w:rsidRDefault="007031AF" w:rsidP="00603885">
            <w:pPr>
              <w:pStyle w:val="TableText"/>
              <w:spacing w:before="50" w:after="50"/>
            </w:pPr>
            <w:r>
              <w:t>Ebenezer and Ki 2013</w:t>
            </w:r>
          </w:p>
        </w:tc>
        <w:tc>
          <w:tcPr>
            <w:tcW w:w="748" w:type="pct"/>
            <w:shd w:val="clear" w:color="auto" w:fill="auto"/>
            <w:noWrap/>
          </w:tcPr>
          <w:p w14:paraId="15F9D249" w14:textId="0E8B647E" w:rsidR="007031AF" w:rsidRPr="00645988" w:rsidRDefault="007031AF" w:rsidP="00603885">
            <w:pPr>
              <w:pStyle w:val="TableText"/>
              <w:spacing w:before="50" w:after="50"/>
            </w:pPr>
            <w:r>
              <w:t>Decaying CPO by 75%. No IC50 calculable.</w:t>
            </w:r>
          </w:p>
        </w:tc>
      </w:tr>
      <w:tr w:rsidR="0072585A" w:rsidRPr="007B3976" w14:paraId="51D54944" w14:textId="17AA1E1B" w:rsidTr="00D22201">
        <w:trPr>
          <w:cantSplit/>
        </w:trPr>
        <w:tc>
          <w:tcPr>
            <w:tcW w:w="456" w:type="pct"/>
          </w:tcPr>
          <w:p w14:paraId="6E9BAF52" w14:textId="5877B1D0" w:rsidR="007031AF" w:rsidRPr="00645988" w:rsidRDefault="00E961EE" w:rsidP="00603885">
            <w:pPr>
              <w:pStyle w:val="TableText"/>
              <w:spacing w:before="50" w:after="50"/>
            </w:pPr>
            <w:r>
              <w:t>R</w:t>
            </w:r>
            <w:r w:rsidR="00BC021E">
              <w:t>otifer</w:t>
            </w:r>
          </w:p>
        </w:tc>
        <w:tc>
          <w:tcPr>
            <w:tcW w:w="556" w:type="pct"/>
            <w:shd w:val="clear" w:color="auto" w:fill="auto"/>
          </w:tcPr>
          <w:p w14:paraId="73AF4EB9" w14:textId="41E41EE3" w:rsidR="007031AF" w:rsidRPr="002911C1" w:rsidRDefault="007031AF" w:rsidP="00603885">
            <w:pPr>
              <w:pStyle w:val="TableText"/>
              <w:spacing w:before="50" w:after="50"/>
              <w:rPr>
                <w:iCs/>
              </w:rPr>
            </w:pPr>
            <w:r w:rsidRPr="00645988">
              <w:rPr>
                <w:i/>
                <w:iCs/>
              </w:rPr>
              <w:t>Brachionus plicatilis</w:t>
            </w:r>
          </w:p>
        </w:tc>
        <w:tc>
          <w:tcPr>
            <w:tcW w:w="305" w:type="pct"/>
            <w:shd w:val="clear" w:color="auto" w:fill="auto"/>
            <w:noWrap/>
          </w:tcPr>
          <w:p w14:paraId="276C163B" w14:textId="141BA733" w:rsidR="007031AF" w:rsidRPr="002911C1" w:rsidRDefault="000443EB" w:rsidP="00603885">
            <w:pPr>
              <w:pStyle w:val="TableText"/>
              <w:spacing w:before="50" w:after="50"/>
              <w:rPr>
                <w:i/>
                <w:iCs/>
              </w:rPr>
            </w:pPr>
            <w:r>
              <w:t>30 min</w:t>
            </w:r>
            <w:r w:rsidR="007031AF" w:rsidRPr="00645988">
              <w:t xml:space="preserve"> old</w:t>
            </w:r>
          </w:p>
        </w:tc>
        <w:tc>
          <w:tcPr>
            <w:tcW w:w="353" w:type="pct"/>
            <w:shd w:val="clear" w:color="auto" w:fill="auto"/>
          </w:tcPr>
          <w:p w14:paraId="789D9532" w14:textId="1879E360" w:rsidR="007031AF" w:rsidRPr="002911C1" w:rsidRDefault="007031AF" w:rsidP="00603885">
            <w:pPr>
              <w:pStyle w:val="TableText"/>
              <w:spacing w:before="50" w:after="50"/>
            </w:pPr>
            <w:r w:rsidRPr="00645988">
              <w:t>24</w:t>
            </w:r>
            <w:r w:rsidR="001805ED">
              <w:t> h</w:t>
            </w:r>
          </w:p>
        </w:tc>
        <w:tc>
          <w:tcPr>
            <w:tcW w:w="304" w:type="pct"/>
            <w:shd w:val="clear" w:color="auto" w:fill="auto"/>
          </w:tcPr>
          <w:p w14:paraId="50718F1B" w14:textId="6F92DDA0" w:rsidR="007031AF" w:rsidRPr="002911C1" w:rsidRDefault="007031AF" w:rsidP="00603885">
            <w:pPr>
              <w:pStyle w:val="TableText"/>
              <w:spacing w:before="50" w:after="50"/>
            </w:pPr>
            <w:r w:rsidRPr="00645988">
              <w:t>Acute</w:t>
            </w:r>
          </w:p>
        </w:tc>
        <w:tc>
          <w:tcPr>
            <w:tcW w:w="304" w:type="pct"/>
            <w:shd w:val="clear" w:color="auto" w:fill="auto"/>
          </w:tcPr>
          <w:p w14:paraId="2F8BE709" w14:textId="704D3670" w:rsidR="007031AF" w:rsidRPr="002911C1" w:rsidRDefault="007031AF" w:rsidP="00603885">
            <w:pPr>
              <w:pStyle w:val="TableText"/>
              <w:spacing w:before="50" w:after="50"/>
            </w:pPr>
            <w:r w:rsidRPr="00645988">
              <w:t>Static</w:t>
            </w:r>
          </w:p>
        </w:tc>
        <w:tc>
          <w:tcPr>
            <w:tcW w:w="405" w:type="pct"/>
            <w:shd w:val="clear" w:color="auto" w:fill="auto"/>
          </w:tcPr>
          <w:p w14:paraId="252B1126" w14:textId="5D2E5581" w:rsidR="007031AF" w:rsidRPr="002911C1" w:rsidRDefault="007031AF" w:rsidP="00603885">
            <w:pPr>
              <w:pStyle w:val="TableText"/>
              <w:spacing w:before="50" w:after="50"/>
            </w:pPr>
            <w:r w:rsidRPr="00645988">
              <w:t>Mortality (LC50)</w:t>
            </w:r>
          </w:p>
        </w:tc>
        <w:tc>
          <w:tcPr>
            <w:tcW w:w="405" w:type="pct"/>
            <w:shd w:val="clear" w:color="auto" w:fill="auto"/>
          </w:tcPr>
          <w:p w14:paraId="003DA039" w14:textId="49CD59D3" w:rsidR="007031AF" w:rsidRPr="002911C1" w:rsidRDefault="009A2759" w:rsidP="00603885">
            <w:pPr>
              <w:pStyle w:val="TableText"/>
              <w:spacing w:before="50" w:after="50"/>
            </w:pPr>
            <w:r>
              <w:t>S</w:t>
            </w:r>
            <w:r w:rsidR="007031AF" w:rsidRPr="00645988">
              <w:t>eawater</w:t>
            </w:r>
            <w:r w:rsidR="00D502F9">
              <w:t xml:space="preserve"> (salinity not reported)</w:t>
            </w:r>
          </w:p>
        </w:tc>
        <w:tc>
          <w:tcPr>
            <w:tcW w:w="253" w:type="pct"/>
            <w:shd w:val="clear" w:color="auto" w:fill="auto"/>
            <w:noWrap/>
          </w:tcPr>
          <w:p w14:paraId="57384DC6" w14:textId="09889321" w:rsidR="007031AF" w:rsidRPr="002911C1" w:rsidRDefault="007031AF" w:rsidP="00603885">
            <w:pPr>
              <w:pStyle w:val="TableText"/>
              <w:spacing w:before="50" w:after="50"/>
            </w:pPr>
            <w:r w:rsidRPr="00645988">
              <w:t>20</w:t>
            </w:r>
          </w:p>
        </w:tc>
        <w:tc>
          <w:tcPr>
            <w:tcW w:w="456" w:type="pct"/>
            <w:shd w:val="clear" w:color="auto" w:fill="auto"/>
          </w:tcPr>
          <w:p w14:paraId="260C7F12" w14:textId="3C0B7762" w:rsidR="007031AF" w:rsidRPr="002911C1" w:rsidRDefault="007031AF" w:rsidP="00603885">
            <w:pPr>
              <w:pStyle w:val="TableText"/>
              <w:spacing w:before="50" w:after="50"/>
            </w:pPr>
            <w:r w:rsidRPr="00645988">
              <w:t>586 (LC50), 438</w:t>
            </w:r>
            <w:r w:rsidR="00C022F7">
              <w:t> </w:t>
            </w:r>
            <w:r w:rsidRPr="00645988">
              <w:t>(LC10)</w:t>
            </w:r>
          </w:p>
        </w:tc>
        <w:tc>
          <w:tcPr>
            <w:tcW w:w="455" w:type="pct"/>
            <w:shd w:val="clear" w:color="auto" w:fill="auto"/>
          </w:tcPr>
          <w:p w14:paraId="4873AB1B" w14:textId="06A3A422" w:rsidR="007031AF" w:rsidRPr="002911C1" w:rsidRDefault="007031AF" w:rsidP="00603885">
            <w:pPr>
              <w:pStyle w:val="TableText"/>
              <w:spacing w:before="50" w:after="50"/>
            </w:pPr>
            <w:r w:rsidRPr="00645988">
              <w:t>Lopez-Galindo et al. 2010</w:t>
            </w:r>
          </w:p>
        </w:tc>
        <w:tc>
          <w:tcPr>
            <w:tcW w:w="748" w:type="pct"/>
            <w:shd w:val="clear" w:color="auto" w:fill="auto"/>
            <w:noWrap/>
          </w:tcPr>
          <w:p w14:paraId="18781549" w14:textId="69E3C01F" w:rsidR="007031AF" w:rsidRPr="002911C1" w:rsidRDefault="007031AF" w:rsidP="00603885">
            <w:pPr>
              <w:pStyle w:val="TableText"/>
              <w:spacing w:before="50" w:after="50"/>
            </w:pPr>
            <w:r w:rsidRPr="00645988">
              <w:t>Measured concentrations in 0.3</w:t>
            </w:r>
            <w:r w:rsidR="00573062">
              <w:t> </w:t>
            </w:r>
            <w:r w:rsidRPr="00645988">
              <w:t>mL well plates</w:t>
            </w:r>
            <w:r w:rsidR="00B14AA5">
              <w:t>.</w:t>
            </w:r>
          </w:p>
        </w:tc>
      </w:tr>
      <w:tr w:rsidR="0072585A" w:rsidRPr="007B3976" w14:paraId="1EE1D2CF" w14:textId="3E52B51D" w:rsidTr="00D22201">
        <w:trPr>
          <w:cantSplit/>
        </w:trPr>
        <w:tc>
          <w:tcPr>
            <w:tcW w:w="456" w:type="pct"/>
          </w:tcPr>
          <w:p w14:paraId="0BAB04FD" w14:textId="4BD5FCDC" w:rsidR="007031AF" w:rsidRPr="00645988" w:rsidRDefault="00BC021E" w:rsidP="00603885">
            <w:pPr>
              <w:pStyle w:val="TableText"/>
              <w:spacing w:before="50" w:after="50"/>
            </w:pPr>
            <w:r>
              <w:t>Crustacean</w:t>
            </w:r>
            <w:r w:rsidR="00AD62AB">
              <w:br/>
            </w:r>
            <w:r>
              <w:t>(amphipod)</w:t>
            </w:r>
          </w:p>
        </w:tc>
        <w:tc>
          <w:tcPr>
            <w:tcW w:w="556" w:type="pct"/>
            <w:shd w:val="clear" w:color="auto" w:fill="auto"/>
          </w:tcPr>
          <w:p w14:paraId="7E6894EF" w14:textId="442A140E" w:rsidR="007031AF" w:rsidRPr="002911C1" w:rsidRDefault="007031AF" w:rsidP="00603885">
            <w:pPr>
              <w:pStyle w:val="TableText"/>
              <w:spacing w:before="50" w:after="50"/>
              <w:rPr>
                <w:iCs/>
              </w:rPr>
            </w:pPr>
            <w:r w:rsidRPr="00645988">
              <w:rPr>
                <w:i/>
                <w:iCs/>
              </w:rPr>
              <w:t>Hyale barbicornis</w:t>
            </w:r>
          </w:p>
        </w:tc>
        <w:tc>
          <w:tcPr>
            <w:tcW w:w="305" w:type="pct"/>
            <w:shd w:val="clear" w:color="auto" w:fill="auto"/>
            <w:noWrap/>
          </w:tcPr>
          <w:p w14:paraId="0D268FDC" w14:textId="1D503F78" w:rsidR="007031AF" w:rsidRPr="002911C1" w:rsidRDefault="007031AF" w:rsidP="00603885">
            <w:pPr>
              <w:pStyle w:val="TableText"/>
              <w:spacing w:before="50" w:after="50"/>
              <w:rPr>
                <w:i/>
                <w:iCs/>
              </w:rPr>
            </w:pPr>
            <w:r w:rsidRPr="00645988">
              <w:t>Juvenile</w:t>
            </w:r>
          </w:p>
        </w:tc>
        <w:tc>
          <w:tcPr>
            <w:tcW w:w="353" w:type="pct"/>
            <w:shd w:val="clear" w:color="auto" w:fill="auto"/>
          </w:tcPr>
          <w:p w14:paraId="1B69A84A" w14:textId="66E152DD" w:rsidR="007031AF" w:rsidRPr="002911C1" w:rsidRDefault="007031AF" w:rsidP="00603885">
            <w:pPr>
              <w:pStyle w:val="TableText"/>
              <w:spacing w:before="50" w:after="50"/>
            </w:pPr>
            <w:r w:rsidRPr="00645988">
              <w:t>96</w:t>
            </w:r>
            <w:r w:rsidR="001805ED">
              <w:t> h</w:t>
            </w:r>
          </w:p>
        </w:tc>
        <w:tc>
          <w:tcPr>
            <w:tcW w:w="304" w:type="pct"/>
            <w:shd w:val="clear" w:color="auto" w:fill="auto"/>
          </w:tcPr>
          <w:p w14:paraId="3F69EFA8" w14:textId="5B007395" w:rsidR="007031AF" w:rsidRPr="002911C1" w:rsidRDefault="007031AF" w:rsidP="00603885">
            <w:pPr>
              <w:pStyle w:val="TableText"/>
              <w:spacing w:before="50" w:after="50"/>
            </w:pPr>
            <w:r w:rsidRPr="00645988">
              <w:t>Acute</w:t>
            </w:r>
          </w:p>
        </w:tc>
        <w:tc>
          <w:tcPr>
            <w:tcW w:w="304" w:type="pct"/>
            <w:shd w:val="clear" w:color="auto" w:fill="auto"/>
          </w:tcPr>
          <w:p w14:paraId="5E1BD287" w14:textId="3B5F0441" w:rsidR="007031AF" w:rsidRPr="002911C1" w:rsidRDefault="007031AF" w:rsidP="00603885">
            <w:pPr>
              <w:pStyle w:val="TableText"/>
              <w:spacing w:before="50" w:after="50"/>
            </w:pPr>
            <w:r w:rsidRPr="00645988">
              <w:t>24-h renewal</w:t>
            </w:r>
          </w:p>
        </w:tc>
        <w:tc>
          <w:tcPr>
            <w:tcW w:w="405" w:type="pct"/>
            <w:shd w:val="clear" w:color="auto" w:fill="auto"/>
          </w:tcPr>
          <w:p w14:paraId="6C685E5B" w14:textId="47330562" w:rsidR="007031AF" w:rsidRPr="002911C1" w:rsidRDefault="007031AF" w:rsidP="00603885">
            <w:pPr>
              <w:pStyle w:val="TableText"/>
              <w:spacing w:before="50" w:after="50"/>
            </w:pPr>
            <w:r w:rsidRPr="00645988">
              <w:t>Mortality (LC50)</w:t>
            </w:r>
          </w:p>
        </w:tc>
        <w:tc>
          <w:tcPr>
            <w:tcW w:w="405" w:type="pct"/>
            <w:shd w:val="clear" w:color="auto" w:fill="auto"/>
          </w:tcPr>
          <w:p w14:paraId="7AF8B6AD" w14:textId="3437762B" w:rsidR="007031AF" w:rsidRPr="002911C1" w:rsidRDefault="007031AF" w:rsidP="00603885">
            <w:pPr>
              <w:pStyle w:val="TableText"/>
              <w:spacing w:before="50" w:after="50"/>
            </w:pPr>
            <w:r w:rsidRPr="00645988">
              <w:t>Seawater</w:t>
            </w:r>
            <w:r w:rsidR="00573062">
              <w:t xml:space="preserve"> </w:t>
            </w:r>
            <w:r w:rsidRPr="00645988">
              <w:t>(34‰)</w:t>
            </w:r>
          </w:p>
        </w:tc>
        <w:tc>
          <w:tcPr>
            <w:tcW w:w="253" w:type="pct"/>
            <w:shd w:val="clear" w:color="auto" w:fill="auto"/>
            <w:noWrap/>
          </w:tcPr>
          <w:p w14:paraId="32850129" w14:textId="7095B470" w:rsidR="007031AF" w:rsidRPr="002911C1" w:rsidRDefault="007031AF" w:rsidP="00603885">
            <w:pPr>
              <w:pStyle w:val="TableText"/>
              <w:spacing w:before="50" w:after="50"/>
            </w:pPr>
            <w:r w:rsidRPr="00645988">
              <w:t>20</w:t>
            </w:r>
          </w:p>
        </w:tc>
        <w:tc>
          <w:tcPr>
            <w:tcW w:w="456" w:type="pct"/>
            <w:shd w:val="clear" w:color="auto" w:fill="auto"/>
          </w:tcPr>
          <w:p w14:paraId="338A548B" w14:textId="4EBD2D5B" w:rsidR="007031AF" w:rsidRPr="002911C1" w:rsidRDefault="007031AF" w:rsidP="00603885">
            <w:pPr>
              <w:pStyle w:val="TableText"/>
              <w:spacing w:before="50" w:after="50"/>
            </w:pPr>
            <w:r>
              <w:t>1</w:t>
            </w:r>
            <w:r w:rsidR="00573062">
              <w:t> </w:t>
            </w:r>
            <w:r>
              <w:t>050</w:t>
            </w:r>
          </w:p>
        </w:tc>
        <w:tc>
          <w:tcPr>
            <w:tcW w:w="455" w:type="pct"/>
            <w:shd w:val="clear" w:color="auto" w:fill="auto"/>
          </w:tcPr>
          <w:p w14:paraId="5CDA1962" w14:textId="6B42E3F3" w:rsidR="007031AF" w:rsidRPr="002911C1" w:rsidRDefault="007031AF" w:rsidP="00603885">
            <w:pPr>
              <w:pStyle w:val="TableText"/>
              <w:spacing w:before="50" w:after="50"/>
            </w:pPr>
            <w:r w:rsidRPr="00645988">
              <w:t>Anasco et al. 2008</w:t>
            </w:r>
          </w:p>
        </w:tc>
        <w:tc>
          <w:tcPr>
            <w:tcW w:w="748" w:type="pct"/>
            <w:shd w:val="clear" w:color="auto" w:fill="auto"/>
            <w:noWrap/>
          </w:tcPr>
          <w:p w14:paraId="360CA9FB" w14:textId="614E5CD6" w:rsidR="007031AF" w:rsidRPr="002911C1" w:rsidRDefault="007031AF" w:rsidP="00603885">
            <w:pPr>
              <w:pStyle w:val="TableText"/>
              <w:spacing w:before="50" w:after="50"/>
            </w:pPr>
            <w:r w:rsidRPr="00645988">
              <w:t>Measured concentration decayed rapidly. Nominal concentration used for 24-h exposure, measured concentrations for other exposure times</w:t>
            </w:r>
            <w:r w:rsidR="00B14AA5">
              <w:t>.</w:t>
            </w:r>
          </w:p>
        </w:tc>
      </w:tr>
      <w:tr w:rsidR="0072585A" w:rsidRPr="007B3976" w14:paraId="540AFDE0" w14:textId="77777777" w:rsidTr="00D22201">
        <w:trPr>
          <w:cantSplit/>
        </w:trPr>
        <w:tc>
          <w:tcPr>
            <w:tcW w:w="456" w:type="pct"/>
          </w:tcPr>
          <w:p w14:paraId="69055AA0" w14:textId="5FD6B3E5" w:rsidR="002907EF" w:rsidRDefault="00DB5AF4" w:rsidP="00603885">
            <w:pPr>
              <w:pStyle w:val="TableText"/>
              <w:spacing w:before="50" w:after="50"/>
            </w:pPr>
            <w:r>
              <w:t>Crustacean</w:t>
            </w:r>
            <w:r w:rsidR="00AD62AB">
              <w:br/>
            </w:r>
            <w:r>
              <w:t>(copepod)</w:t>
            </w:r>
          </w:p>
        </w:tc>
        <w:tc>
          <w:tcPr>
            <w:tcW w:w="556" w:type="pct"/>
            <w:shd w:val="clear" w:color="auto" w:fill="auto"/>
          </w:tcPr>
          <w:p w14:paraId="0D72981A" w14:textId="752ED59E" w:rsidR="002907EF" w:rsidRPr="00645988" w:rsidDel="00CF2100" w:rsidRDefault="002907EF" w:rsidP="00603885">
            <w:pPr>
              <w:pStyle w:val="TableText"/>
              <w:spacing w:before="50" w:after="50"/>
            </w:pPr>
            <w:r w:rsidRPr="005100F3">
              <w:rPr>
                <w:i/>
                <w:iCs/>
              </w:rPr>
              <w:t>Acartia tonsa</w:t>
            </w:r>
          </w:p>
        </w:tc>
        <w:tc>
          <w:tcPr>
            <w:tcW w:w="305" w:type="pct"/>
            <w:shd w:val="clear" w:color="auto" w:fill="auto"/>
            <w:noWrap/>
          </w:tcPr>
          <w:p w14:paraId="0041C71C" w14:textId="0F0C546B" w:rsidR="002907EF" w:rsidRPr="00645988" w:rsidRDefault="002907EF" w:rsidP="00603885">
            <w:pPr>
              <w:pStyle w:val="TableText"/>
              <w:spacing w:before="50" w:after="50"/>
            </w:pPr>
            <w:r>
              <w:rPr>
                <w:rFonts w:cs="Calibri"/>
              </w:rPr>
              <w:t>–</w:t>
            </w:r>
          </w:p>
        </w:tc>
        <w:tc>
          <w:tcPr>
            <w:tcW w:w="353" w:type="pct"/>
            <w:shd w:val="clear" w:color="auto" w:fill="auto"/>
          </w:tcPr>
          <w:p w14:paraId="76803058" w14:textId="523D08A7" w:rsidR="002907EF" w:rsidRPr="00645988" w:rsidRDefault="002907EF" w:rsidP="00603885">
            <w:pPr>
              <w:pStyle w:val="TableText"/>
              <w:spacing w:before="50" w:after="50"/>
            </w:pPr>
            <w:r>
              <w:t>30 min</w:t>
            </w:r>
          </w:p>
        </w:tc>
        <w:tc>
          <w:tcPr>
            <w:tcW w:w="304" w:type="pct"/>
            <w:shd w:val="clear" w:color="auto" w:fill="auto"/>
          </w:tcPr>
          <w:p w14:paraId="2ECBA27F" w14:textId="512CB098" w:rsidR="002907EF" w:rsidRPr="00645988" w:rsidRDefault="002907EF" w:rsidP="00603885">
            <w:pPr>
              <w:pStyle w:val="TableText"/>
              <w:spacing w:before="50" w:after="50"/>
            </w:pPr>
            <w:r w:rsidRPr="002E682E">
              <w:t>Acute</w:t>
            </w:r>
          </w:p>
        </w:tc>
        <w:tc>
          <w:tcPr>
            <w:tcW w:w="304" w:type="pct"/>
            <w:shd w:val="clear" w:color="auto" w:fill="auto"/>
          </w:tcPr>
          <w:p w14:paraId="5525B408" w14:textId="3A7FA5F7" w:rsidR="002907EF" w:rsidRPr="00645988" w:rsidRDefault="002907EF" w:rsidP="00603885">
            <w:pPr>
              <w:pStyle w:val="TableText"/>
              <w:spacing w:before="50" w:after="50"/>
            </w:pPr>
            <w:r w:rsidRPr="007B3976">
              <w:t>Flow</w:t>
            </w:r>
            <w:r>
              <w:t>-</w:t>
            </w:r>
            <w:r w:rsidRPr="007B3976">
              <w:t>through</w:t>
            </w:r>
          </w:p>
        </w:tc>
        <w:tc>
          <w:tcPr>
            <w:tcW w:w="405" w:type="pct"/>
            <w:shd w:val="clear" w:color="auto" w:fill="auto"/>
          </w:tcPr>
          <w:p w14:paraId="22788534" w14:textId="4E0EBA0A" w:rsidR="002907EF" w:rsidRPr="00645988" w:rsidRDefault="002907EF" w:rsidP="00603885">
            <w:pPr>
              <w:pStyle w:val="TableText"/>
              <w:spacing w:before="50" w:after="50"/>
            </w:pPr>
            <w:r w:rsidRPr="0065105C">
              <w:t>Mortality (LC50)</w:t>
            </w:r>
          </w:p>
        </w:tc>
        <w:tc>
          <w:tcPr>
            <w:tcW w:w="405" w:type="pct"/>
            <w:shd w:val="clear" w:color="auto" w:fill="auto"/>
          </w:tcPr>
          <w:p w14:paraId="049ADDC2" w14:textId="2603EC26" w:rsidR="002907EF" w:rsidRPr="00645988" w:rsidRDefault="002907EF" w:rsidP="00603885">
            <w:pPr>
              <w:pStyle w:val="TableText"/>
              <w:spacing w:before="50" w:after="50"/>
            </w:pPr>
            <w:r w:rsidRPr="0065105C">
              <w:t>Seawater (28‰)</w:t>
            </w:r>
          </w:p>
        </w:tc>
        <w:tc>
          <w:tcPr>
            <w:tcW w:w="253" w:type="pct"/>
            <w:shd w:val="clear" w:color="auto" w:fill="auto"/>
            <w:noWrap/>
          </w:tcPr>
          <w:p w14:paraId="443A01FD" w14:textId="7F873176" w:rsidR="002907EF" w:rsidRPr="00645988" w:rsidRDefault="002907EF" w:rsidP="00603885">
            <w:pPr>
              <w:pStyle w:val="TableText"/>
              <w:spacing w:before="50" w:after="50"/>
            </w:pPr>
            <w:r w:rsidRPr="0065105C">
              <w:t>20</w:t>
            </w:r>
          </w:p>
        </w:tc>
        <w:tc>
          <w:tcPr>
            <w:tcW w:w="456" w:type="pct"/>
            <w:shd w:val="clear" w:color="auto" w:fill="auto"/>
          </w:tcPr>
          <w:p w14:paraId="006B2EB1" w14:textId="00817CE6" w:rsidR="002907EF" w:rsidRDefault="002907EF" w:rsidP="00603885">
            <w:pPr>
              <w:pStyle w:val="TableText"/>
              <w:spacing w:before="50" w:after="50"/>
            </w:pPr>
            <w:r w:rsidRPr="00174364">
              <w:t>820</w:t>
            </w:r>
          </w:p>
        </w:tc>
        <w:tc>
          <w:tcPr>
            <w:tcW w:w="455" w:type="pct"/>
            <w:shd w:val="clear" w:color="auto" w:fill="auto"/>
          </w:tcPr>
          <w:p w14:paraId="2AEADF5E" w14:textId="02A12EF1" w:rsidR="002907EF" w:rsidRPr="00645988" w:rsidRDefault="002907EF" w:rsidP="00603885">
            <w:pPr>
              <w:pStyle w:val="TableText"/>
              <w:spacing w:before="50" w:after="50"/>
            </w:pPr>
            <w:r w:rsidRPr="0065105C">
              <w:t>Capuzzo 1979</w:t>
            </w:r>
          </w:p>
        </w:tc>
        <w:tc>
          <w:tcPr>
            <w:tcW w:w="748" w:type="pct"/>
            <w:shd w:val="clear" w:color="auto" w:fill="auto"/>
            <w:noWrap/>
          </w:tcPr>
          <w:p w14:paraId="0F87F34B" w14:textId="7C928D8B" w:rsidR="002907EF" w:rsidRPr="00645988" w:rsidRDefault="002907EF" w:rsidP="00603885">
            <w:pPr>
              <w:pStyle w:val="TableText"/>
              <w:spacing w:before="50" w:after="50"/>
            </w:pPr>
            <w:r w:rsidRPr="0065105C">
              <w:t>Acceptable quality</w:t>
            </w:r>
            <w:r>
              <w:t>.</w:t>
            </w:r>
          </w:p>
        </w:tc>
      </w:tr>
      <w:tr w:rsidR="0072585A" w:rsidRPr="007B3976" w14:paraId="3272AD09" w14:textId="77777777" w:rsidTr="00D22201">
        <w:trPr>
          <w:cantSplit/>
        </w:trPr>
        <w:tc>
          <w:tcPr>
            <w:tcW w:w="456" w:type="pct"/>
            <w:vMerge w:val="restart"/>
          </w:tcPr>
          <w:p w14:paraId="69205C73" w14:textId="0CF3C2E0" w:rsidR="00B301D9" w:rsidRDefault="00B301D9" w:rsidP="00603885">
            <w:pPr>
              <w:pStyle w:val="TableText"/>
              <w:spacing w:before="50" w:after="50"/>
            </w:pPr>
            <w:r>
              <w:t>Echinoderm</w:t>
            </w:r>
          </w:p>
        </w:tc>
        <w:tc>
          <w:tcPr>
            <w:tcW w:w="556" w:type="pct"/>
            <w:shd w:val="clear" w:color="auto" w:fill="auto"/>
          </w:tcPr>
          <w:p w14:paraId="495B38A3" w14:textId="6D657AEA" w:rsidR="00B301D9" w:rsidRPr="007B3976" w:rsidRDefault="00B301D9" w:rsidP="00603885">
            <w:pPr>
              <w:pStyle w:val="TableText"/>
              <w:spacing w:before="50" w:after="50"/>
            </w:pPr>
            <w:r w:rsidRPr="00DD6311">
              <w:rPr>
                <w:i/>
                <w:iCs/>
              </w:rPr>
              <w:t>Strongylocentrtus droebachiensis</w:t>
            </w:r>
          </w:p>
        </w:tc>
        <w:tc>
          <w:tcPr>
            <w:tcW w:w="305" w:type="pct"/>
            <w:shd w:val="clear" w:color="auto" w:fill="auto"/>
            <w:noWrap/>
          </w:tcPr>
          <w:p w14:paraId="4B98AFC3" w14:textId="6DB71371" w:rsidR="00B301D9" w:rsidRPr="007B3976" w:rsidRDefault="00B301D9" w:rsidP="00603885">
            <w:pPr>
              <w:pStyle w:val="TableText"/>
              <w:spacing w:before="50" w:after="50"/>
            </w:pPr>
            <w:r>
              <w:t>Sperm</w:t>
            </w:r>
          </w:p>
        </w:tc>
        <w:tc>
          <w:tcPr>
            <w:tcW w:w="353" w:type="pct"/>
            <w:shd w:val="clear" w:color="auto" w:fill="auto"/>
          </w:tcPr>
          <w:p w14:paraId="3B9BB0EB" w14:textId="005EEE84" w:rsidR="00B301D9" w:rsidRPr="007B3976" w:rsidRDefault="00B301D9" w:rsidP="00603885">
            <w:pPr>
              <w:pStyle w:val="TableText"/>
              <w:spacing w:before="50" w:after="50"/>
            </w:pPr>
            <w:r>
              <w:t>5 h</w:t>
            </w:r>
          </w:p>
        </w:tc>
        <w:tc>
          <w:tcPr>
            <w:tcW w:w="304" w:type="pct"/>
            <w:shd w:val="clear" w:color="auto" w:fill="auto"/>
          </w:tcPr>
          <w:p w14:paraId="5EDF027B" w14:textId="3CE5436A" w:rsidR="00B301D9" w:rsidRPr="007B3976" w:rsidRDefault="00B301D9" w:rsidP="00603885">
            <w:pPr>
              <w:pStyle w:val="TableText"/>
              <w:spacing w:before="50" w:after="50"/>
            </w:pPr>
            <w:r>
              <w:t>Acute</w:t>
            </w:r>
          </w:p>
        </w:tc>
        <w:tc>
          <w:tcPr>
            <w:tcW w:w="304" w:type="pct"/>
            <w:shd w:val="clear" w:color="auto" w:fill="auto"/>
          </w:tcPr>
          <w:p w14:paraId="2C6F2418" w14:textId="2E26BAFF" w:rsidR="00B301D9" w:rsidRPr="007B3976" w:rsidRDefault="00B301D9" w:rsidP="00603885">
            <w:pPr>
              <w:pStyle w:val="TableText"/>
              <w:spacing w:before="50" w:after="50"/>
            </w:pPr>
            <w:r>
              <w:t>Static</w:t>
            </w:r>
          </w:p>
        </w:tc>
        <w:tc>
          <w:tcPr>
            <w:tcW w:w="405" w:type="pct"/>
            <w:shd w:val="clear" w:color="auto" w:fill="auto"/>
          </w:tcPr>
          <w:p w14:paraId="3EC8666A" w14:textId="5FCAE428" w:rsidR="00B301D9" w:rsidRPr="007B3976" w:rsidRDefault="00B301D9" w:rsidP="00603885">
            <w:pPr>
              <w:pStyle w:val="TableText"/>
              <w:spacing w:before="50" w:after="50"/>
            </w:pPr>
            <w:r>
              <w:t>Fertilisation (EC50)</w:t>
            </w:r>
          </w:p>
        </w:tc>
        <w:tc>
          <w:tcPr>
            <w:tcW w:w="405" w:type="pct"/>
            <w:shd w:val="clear" w:color="auto" w:fill="auto"/>
          </w:tcPr>
          <w:p w14:paraId="290DC51B" w14:textId="5714765D" w:rsidR="00B301D9" w:rsidRPr="007B3976" w:rsidRDefault="00B301D9" w:rsidP="00603885">
            <w:pPr>
              <w:pStyle w:val="TableText"/>
              <w:spacing w:before="50" w:after="50"/>
            </w:pPr>
            <w:r>
              <w:t>Seawater (28‰)</w:t>
            </w:r>
          </w:p>
        </w:tc>
        <w:tc>
          <w:tcPr>
            <w:tcW w:w="253" w:type="pct"/>
            <w:shd w:val="clear" w:color="auto" w:fill="auto"/>
            <w:noWrap/>
          </w:tcPr>
          <w:p w14:paraId="104F530F" w14:textId="5E0A2772" w:rsidR="00B301D9" w:rsidRPr="007B3976" w:rsidRDefault="00B301D9" w:rsidP="00603885">
            <w:pPr>
              <w:pStyle w:val="TableText"/>
              <w:spacing w:before="50" w:after="50"/>
            </w:pPr>
            <w:r>
              <w:t>14</w:t>
            </w:r>
          </w:p>
        </w:tc>
        <w:tc>
          <w:tcPr>
            <w:tcW w:w="456" w:type="pct"/>
            <w:shd w:val="clear" w:color="auto" w:fill="auto"/>
          </w:tcPr>
          <w:p w14:paraId="4E322D68" w14:textId="3DB1EAB4" w:rsidR="00B301D9" w:rsidRPr="007B3976" w:rsidRDefault="00B301D9" w:rsidP="00603885">
            <w:pPr>
              <w:pStyle w:val="TableText"/>
              <w:spacing w:before="50" w:after="50"/>
            </w:pPr>
            <w:r>
              <w:t>&lt;5</w:t>
            </w:r>
          </w:p>
        </w:tc>
        <w:tc>
          <w:tcPr>
            <w:tcW w:w="455" w:type="pct"/>
            <w:shd w:val="clear" w:color="auto" w:fill="auto"/>
          </w:tcPr>
          <w:p w14:paraId="7604C924" w14:textId="6929653B" w:rsidR="00B301D9" w:rsidRPr="007B3976" w:rsidRDefault="00B301D9" w:rsidP="00603885">
            <w:pPr>
              <w:pStyle w:val="TableText"/>
              <w:spacing w:before="50" w:after="50"/>
            </w:pPr>
            <w:r>
              <w:t>Dinnel et al. 1981</w:t>
            </w:r>
          </w:p>
        </w:tc>
        <w:tc>
          <w:tcPr>
            <w:tcW w:w="748" w:type="pct"/>
            <w:shd w:val="clear" w:color="auto" w:fill="auto"/>
            <w:noWrap/>
          </w:tcPr>
          <w:p w14:paraId="30A56C88" w14:textId="74D7545C" w:rsidR="00B301D9" w:rsidRDefault="00B301D9" w:rsidP="00603885">
            <w:pPr>
              <w:pStyle w:val="TableText"/>
              <w:spacing w:before="50" w:after="50"/>
              <w:rPr>
                <w:rFonts w:cs="Calibri"/>
              </w:rPr>
            </w:pPr>
            <w:r>
              <w:rPr>
                <w:rFonts w:cs="Calibri"/>
              </w:rPr>
              <w:t xml:space="preserve">See </w:t>
            </w:r>
            <w:r>
              <w:rPr>
                <w:rFonts w:cs="Calibri"/>
              </w:rPr>
              <w:fldChar w:fldCharType="begin"/>
            </w:r>
            <w:r>
              <w:rPr>
                <w:rFonts w:cs="Calibri"/>
              </w:rPr>
              <w:instrText xml:space="preserve"> REF _Ref178602786 \h </w:instrText>
            </w:r>
            <w:r>
              <w:rPr>
                <w:rFonts w:cs="Calibri"/>
              </w:rPr>
            </w:r>
            <w:r>
              <w:rPr>
                <w:rFonts w:cs="Calibri"/>
              </w:rPr>
              <w:fldChar w:fldCharType="separate"/>
            </w:r>
            <w:r w:rsidR="003E6080" w:rsidRPr="00A23629">
              <w:t>Appendix</w:t>
            </w:r>
            <w:r w:rsidR="003E6080">
              <w:t> </w:t>
            </w:r>
            <w:r w:rsidR="003E6080" w:rsidRPr="00A23629">
              <w:t>C: Assessment of reliability of echinoderm toxicity data from Dinnel et al. (1981)</w:t>
            </w:r>
            <w:r>
              <w:rPr>
                <w:rFonts w:cs="Calibri"/>
              </w:rPr>
              <w:fldChar w:fldCharType="end"/>
            </w:r>
            <w:r>
              <w:rPr>
                <w:rFonts w:cs="Calibri"/>
              </w:rPr>
              <w:t>. Reaction time too long.</w:t>
            </w:r>
          </w:p>
        </w:tc>
      </w:tr>
      <w:tr w:rsidR="0072585A" w:rsidRPr="007B3976" w14:paraId="71E4F56C" w14:textId="77777777" w:rsidTr="00D22201">
        <w:trPr>
          <w:cantSplit/>
        </w:trPr>
        <w:tc>
          <w:tcPr>
            <w:tcW w:w="456" w:type="pct"/>
            <w:vMerge/>
          </w:tcPr>
          <w:p w14:paraId="03B18074" w14:textId="77777777" w:rsidR="00B301D9" w:rsidRPr="005100F3" w:rsidRDefault="00B301D9" w:rsidP="00603885">
            <w:pPr>
              <w:pStyle w:val="TableText"/>
              <w:spacing w:before="50" w:after="50"/>
            </w:pPr>
          </w:p>
        </w:tc>
        <w:tc>
          <w:tcPr>
            <w:tcW w:w="556" w:type="pct"/>
            <w:shd w:val="clear" w:color="auto" w:fill="auto"/>
          </w:tcPr>
          <w:p w14:paraId="4B0F0B15" w14:textId="2B8C3F7A" w:rsidR="00B301D9" w:rsidRDefault="00B301D9" w:rsidP="00603885">
            <w:pPr>
              <w:pStyle w:val="TableText"/>
              <w:spacing w:before="50" w:after="50"/>
            </w:pPr>
            <w:r>
              <w:rPr>
                <w:i/>
                <w:iCs/>
              </w:rPr>
              <w:t>Heliocidaris tuberculata</w:t>
            </w:r>
          </w:p>
        </w:tc>
        <w:tc>
          <w:tcPr>
            <w:tcW w:w="305" w:type="pct"/>
            <w:shd w:val="clear" w:color="auto" w:fill="auto"/>
            <w:noWrap/>
          </w:tcPr>
          <w:p w14:paraId="1B28FF85" w14:textId="602FB149" w:rsidR="00B301D9" w:rsidRDefault="00B301D9" w:rsidP="00603885">
            <w:pPr>
              <w:pStyle w:val="TableText"/>
              <w:spacing w:before="50" w:after="50"/>
            </w:pPr>
            <w:r w:rsidRPr="005100F3">
              <w:t>Sperm</w:t>
            </w:r>
          </w:p>
        </w:tc>
        <w:tc>
          <w:tcPr>
            <w:tcW w:w="353" w:type="pct"/>
            <w:shd w:val="clear" w:color="auto" w:fill="auto"/>
          </w:tcPr>
          <w:p w14:paraId="0EDF5175" w14:textId="6F0E727D" w:rsidR="00B301D9" w:rsidDel="00D57C99" w:rsidRDefault="00B301D9" w:rsidP="00603885">
            <w:pPr>
              <w:pStyle w:val="TableText"/>
              <w:spacing w:before="50" w:after="50"/>
            </w:pPr>
            <w:r>
              <w:t>1 h</w:t>
            </w:r>
          </w:p>
        </w:tc>
        <w:tc>
          <w:tcPr>
            <w:tcW w:w="304" w:type="pct"/>
            <w:shd w:val="clear" w:color="auto" w:fill="auto"/>
          </w:tcPr>
          <w:p w14:paraId="2844BB90" w14:textId="3A54980E" w:rsidR="00B301D9" w:rsidRDefault="00B301D9" w:rsidP="00603885">
            <w:pPr>
              <w:pStyle w:val="TableText"/>
              <w:spacing w:before="50" w:after="50"/>
            </w:pPr>
            <w:r>
              <w:t>Chronic</w:t>
            </w:r>
          </w:p>
        </w:tc>
        <w:tc>
          <w:tcPr>
            <w:tcW w:w="304" w:type="pct"/>
            <w:shd w:val="clear" w:color="auto" w:fill="auto"/>
          </w:tcPr>
          <w:p w14:paraId="6FDC56C8" w14:textId="38FB9380" w:rsidR="00B301D9" w:rsidRDefault="00B301D9" w:rsidP="00603885">
            <w:pPr>
              <w:pStyle w:val="TableText"/>
              <w:spacing w:before="50" w:after="50"/>
            </w:pPr>
            <w:r w:rsidRPr="005100F3">
              <w:t>Static</w:t>
            </w:r>
          </w:p>
        </w:tc>
        <w:tc>
          <w:tcPr>
            <w:tcW w:w="405" w:type="pct"/>
            <w:shd w:val="clear" w:color="auto" w:fill="auto"/>
          </w:tcPr>
          <w:p w14:paraId="72FA1DD4" w14:textId="26566321" w:rsidR="00B301D9" w:rsidRDefault="00B301D9" w:rsidP="00603885">
            <w:pPr>
              <w:pStyle w:val="TableText"/>
              <w:spacing w:before="50" w:after="50"/>
            </w:pPr>
            <w:r w:rsidRPr="005100F3">
              <w:t>Fertilisation (EC50)</w:t>
            </w:r>
          </w:p>
        </w:tc>
        <w:tc>
          <w:tcPr>
            <w:tcW w:w="405" w:type="pct"/>
            <w:shd w:val="clear" w:color="auto" w:fill="auto"/>
          </w:tcPr>
          <w:p w14:paraId="005752DE" w14:textId="4B8BFB8D" w:rsidR="00B301D9" w:rsidRDefault="00B301D9" w:rsidP="00603885">
            <w:pPr>
              <w:pStyle w:val="TableText"/>
              <w:spacing w:before="50" w:after="50"/>
            </w:pPr>
            <w:r w:rsidRPr="005100F3">
              <w:t>Seawater</w:t>
            </w:r>
            <w:r w:rsidR="006B4D10">
              <w:t xml:space="preserve"> </w:t>
            </w:r>
            <w:r>
              <w:t>(salinity not reported</w:t>
            </w:r>
            <w:r w:rsidR="006329A8">
              <w:t>)</w:t>
            </w:r>
            <w:r>
              <w:t xml:space="preserve"> </w:t>
            </w:r>
          </w:p>
        </w:tc>
        <w:tc>
          <w:tcPr>
            <w:tcW w:w="253" w:type="pct"/>
            <w:shd w:val="clear" w:color="auto" w:fill="auto"/>
            <w:noWrap/>
          </w:tcPr>
          <w:p w14:paraId="3112C413" w14:textId="4DF8C701" w:rsidR="00B301D9" w:rsidRDefault="00B301D9" w:rsidP="00603885">
            <w:pPr>
              <w:pStyle w:val="TableText"/>
              <w:spacing w:before="50" w:after="50"/>
            </w:pPr>
            <w:r w:rsidRPr="005100F3">
              <w:t>1</w:t>
            </w:r>
            <w:r>
              <w:t>6</w:t>
            </w:r>
          </w:p>
        </w:tc>
        <w:tc>
          <w:tcPr>
            <w:tcW w:w="456" w:type="pct"/>
            <w:shd w:val="clear" w:color="auto" w:fill="auto"/>
          </w:tcPr>
          <w:p w14:paraId="37F8D3F0" w14:textId="5BF74F3F" w:rsidR="00B301D9" w:rsidRPr="00DD6311" w:rsidRDefault="00B301D9" w:rsidP="00603885">
            <w:pPr>
              <w:pStyle w:val="TableText"/>
              <w:spacing w:before="50" w:after="50"/>
            </w:pPr>
            <w:r w:rsidRPr="00DD6311">
              <w:t>133</w:t>
            </w:r>
          </w:p>
        </w:tc>
        <w:tc>
          <w:tcPr>
            <w:tcW w:w="455" w:type="pct"/>
            <w:shd w:val="clear" w:color="auto" w:fill="auto"/>
          </w:tcPr>
          <w:p w14:paraId="5FE7678A" w14:textId="74E36BDD" w:rsidR="00B301D9" w:rsidRDefault="00B301D9" w:rsidP="00603885">
            <w:pPr>
              <w:pStyle w:val="TableText"/>
              <w:spacing w:before="50" w:after="50"/>
            </w:pPr>
            <w:r>
              <w:t>Wallis and Chidgey (2022)</w:t>
            </w:r>
          </w:p>
        </w:tc>
        <w:tc>
          <w:tcPr>
            <w:tcW w:w="748" w:type="pct"/>
            <w:shd w:val="clear" w:color="auto" w:fill="auto"/>
            <w:noWrap/>
          </w:tcPr>
          <w:p w14:paraId="4B7C12AB" w14:textId="0CA89FB2" w:rsidR="00B301D9" w:rsidRDefault="00B301D9" w:rsidP="00603885">
            <w:pPr>
              <w:pStyle w:val="TableText"/>
              <w:spacing w:before="50" w:after="50"/>
              <w:rPr>
                <w:rFonts w:cs="Calibri"/>
              </w:rPr>
            </w:pPr>
            <w:r>
              <w:t>Deemed a chronic endpoint for exposures ≥1 h according to Warne et al. (2018).</w:t>
            </w:r>
          </w:p>
        </w:tc>
      </w:tr>
      <w:tr w:rsidR="00144B44" w:rsidRPr="007B3976" w14:paraId="5AFE68B4" w14:textId="77777777" w:rsidTr="00D22201">
        <w:trPr>
          <w:cantSplit/>
          <w:trHeight w:val="427"/>
        </w:trPr>
        <w:tc>
          <w:tcPr>
            <w:tcW w:w="456" w:type="pct"/>
          </w:tcPr>
          <w:p w14:paraId="60BCA129" w14:textId="620C6839" w:rsidR="00144B44" w:rsidRPr="007B3976" w:rsidRDefault="00144B44" w:rsidP="00603885">
            <w:pPr>
              <w:pStyle w:val="TableText"/>
              <w:spacing w:before="50" w:after="50"/>
            </w:pPr>
            <w:r>
              <w:lastRenderedPageBreak/>
              <w:t>Mollusc</w:t>
            </w:r>
            <w:r>
              <w:br/>
              <w:t>(bivalve)</w:t>
            </w:r>
          </w:p>
        </w:tc>
        <w:tc>
          <w:tcPr>
            <w:tcW w:w="556" w:type="pct"/>
            <w:shd w:val="clear" w:color="auto" w:fill="auto"/>
          </w:tcPr>
          <w:p w14:paraId="1EDD0DD7" w14:textId="50BE4B30" w:rsidR="00144B44" w:rsidDel="00A04CDD" w:rsidRDefault="00144B44" w:rsidP="00603885">
            <w:pPr>
              <w:pStyle w:val="TableText"/>
              <w:spacing w:before="50" w:after="50"/>
              <w:rPr>
                <w:rFonts w:cs="Calibri"/>
              </w:rPr>
            </w:pPr>
            <w:r w:rsidRPr="007B3976">
              <w:rPr>
                <w:i/>
                <w:iCs/>
              </w:rPr>
              <w:t>Crassostrea virginica</w:t>
            </w:r>
          </w:p>
        </w:tc>
        <w:tc>
          <w:tcPr>
            <w:tcW w:w="305" w:type="pct"/>
            <w:shd w:val="clear" w:color="auto" w:fill="auto"/>
            <w:noWrap/>
          </w:tcPr>
          <w:p w14:paraId="2168A0C3" w14:textId="15362952" w:rsidR="00144B44" w:rsidRPr="004D46DB" w:rsidDel="00A04CDD" w:rsidRDefault="00144B44" w:rsidP="00603885">
            <w:pPr>
              <w:pStyle w:val="TableText"/>
              <w:spacing w:before="50" w:after="50"/>
              <w:rPr>
                <w:rFonts w:cs="Calibri"/>
              </w:rPr>
            </w:pPr>
            <w:r w:rsidRPr="005100F3">
              <w:t>Larva</w:t>
            </w:r>
          </w:p>
        </w:tc>
        <w:tc>
          <w:tcPr>
            <w:tcW w:w="353" w:type="pct"/>
            <w:shd w:val="clear" w:color="auto" w:fill="auto"/>
          </w:tcPr>
          <w:p w14:paraId="45EC2065" w14:textId="4663F6F7" w:rsidR="00144B44" w:rsidDel="00A04CDD" w:rsidRDefault="00144B44" w:rsidP="00603885">
            <w:pPr>
              <w:pStyle w:val="TableText"/>
              <w:spacing w:before="50" w:after="50"/>
              <w:rPr>
                <w:rFonts w:cs="Calibri"/>
              </w:rPr>
            </w:pPr>
            <w:r>
              <w:t>30 min</w:t>
            </w:r>
          </w:p>
        </w:tc>
        <w:tc>
          <w:tcPr>
            <w:tcW w:w="304" w:type="pct"/>
            <w:shd w:val="clear" w:color="auto" w:fill="auto"/>
          </w:tcPr>
          <w:p w14:paraId="0EA3AE71" w14:textId="1D2F0C19" w:rsidR="00144B44" w:rsidDel="00A04CDD" w:rsidRDefault="00144B44" w:rsidP="00603885">
            <w:pPr>
              <w:pStyle w:val="TableText"/>
              <w:spacing w:before="50" w:after="50"/>
              <w:rPr>
                <w:rFonts w:cs="Calibri"/>
              </w:rPr>
            </w:pPr>
            <w:r w:rsidRPr="005100F3">
              <w:t>Acute</w:t>
            </w:r>
          </w:p>
        </w:tc>
        <w:tc>
          <w:tcPr>
            <w:tcW w:w="304" w:type="pct"/>
            <w:shd w:val="clear" w:color="auto" w:fill="auto"/>
          </w:tcPr>
          <w:p w14:paraId="3867E02C" w14:textId="3CF7226A" w:rsidR="00144B44" w:rsidDel="00A04CDD" w:rsidRDefault="00144B44" w:rsidP="00603885">
            <w:pPr>
              <w:pStyle w:val="TableText"/>
              <w:spacing w:before="50" w:after="50"/>
              <w:rPr>
                <w:rFonts w:cs="Calibri"/>
              </w:rPr>
            </w:pPr>
            <w:r w:rsidRPr="007B3976">
              <w:t>Flow</w:t>
            </w:r>
            <w:r>
              <w:t>-</w:t>
            </w:r>
            <w:r w:rsidRPr="007B3976">
              <w:t>through</w:t>
            </w:r>
          </w:p>
        </w:tc>
        <w:tc>
          <w:tcPr>
            <w:tcW w:w="405" w:type="pct"/>
            <w:shd w:val="clear" w:color="auto" w:fill="auto"/>
          </w:tcPr>
          <w:p w14:paraId="040FB787" w14:textId="30736430" w:rsidR="00144B44" w:rsidDel="00A04CDD" w:rsidRDefault="00144B44" w:rsidP="00603885">
            <w:pPr>
              <w:pStyle w:val="TableText"/>
              <w:spacing w:before="50" w:after="50"/>
              <w:rPr>
                <w:rFonts w:cs="Calibri"/>
              </w:rPr>
            </w:pPr>
            <w:r w:rsidRPr="005100F3">
              <w:t>Mortality (LC50)</w:t>
            </w:r>
          </w:p>
        </w:tc>
        <w:tc>
          <w:tcPr>
            <w:tcW w:w="405" w:type="pct"/>
            <w:shd w:val="clear" w:color="auto" w:fill="auto"/>
          </w:tcPr>
          <w:p w14:paraId="6A006AB7" w14:textId="04DA4ED9" w:rsidR="00144B44" w:rsidDel="00A04CDD" w:rsidRDefault="00144B44" w:rsidP="00603885">
            <w:pPr>
              <w:pStyle w:val="TableText"/>
              <w:spacing w:before="50" w:after="50"/>
              <w:rPr>
                <w:rFonts w:cs="Calibri"/>
              </w:rPr>
            </w:pPr>
            <w:r w:rsidRPr="005100F3">
              <w:t>Seawater (28‰)</w:t>
            </w:r>
          </w:p>
        </w:tc>
        <w:tc>
          <w:tcPr>
            <w:tcW w:w="253" w:type="pct"/>
            <w:shd w:val="clear" w:color="auto" w:fill="auto"/>
            <w:noWrap/>
          </w:tcPr>
          <w:p w14:paraId="2D0AE2EC" w14:textId="04C47307" w:rsidR="00144B44" w:rsidDel="00A04CDD" w:rsidRDefault="00144B44" w:rsidP="00603885">
            <w:pPr>
              <w:pStyle w:val="TableText"/>
              <w:spacing w:before="50" w:after="50"/>
              <w:rPr>
                <w:rFonts w:cs="Calibri"/>
              </w:rPr>
            </w:pPr>
            <w:r w:rsidRPr="005100F3">
              <w:t>25</w:t>
            </w:r>
          </w:p>
        </w:tc>
        <w:tc>
          <w:tcPr>
            <w:tcW w:w="456" w:type="pct"/>
            <w:shd w:val="clear" w:color="auto" w:fill="auto"/>
          </w:tcPr>
          <w:p w14:paraId="15B0358E" w14:textId="14ED080C" w:rsidR="00144B44" w:rsidRPr="00BF7CFA" w:rsidDel="00A04CDD" w:rsidRDefault="00144B44" w:rsidP="00603885">
            <w:pPr>
              <w:pStyle w:val="TableText"/>
              <w:spacing w:before="50" w:after="50"/>
              <w:rPr>
                <w:rFonts w:cs="Calibri"/>
              </w:rPr>
            </w:pPr>
            <w:r w:rsidRPr="00174364">
              <w:t>80</w:t>
            </w:r>
          </w:p>
        </w:tc>
        <w:tc>
          <w:tcPr>
            <w:tcW w:w="455" w:type="pct"/>
            <w:shd w:val="clear" w:color="auto" w:fill="auto"/>
          </w:tcPr>
          <w:p w14:paraId="24033672" w14:textId="17DF2371" w:rsidR="00144B44" w:rsidDel="00A04CDD" w:rsidRDefault="00144B44" w:rsidP="00603885">
            <w:pPr>
              <w:pStyle w:val="TableText"/>
              <w:spacing w:before="50" w:after="50"/>
              <w:rPr>
                <w:rFonts w:cs="Calibri"/>
              </w:rPr>
            </w:pPr>
            <w:r w:rsidRPr="005100F3">
              <w:t>Capuzzo 1979</w:t>
            </w:r>
          </w:p>
        </w:tc>
        <w:tc>
          <w:tcPr>
            <w:tcW w:w="748" w:type="pct"/>
            <w:shd w:val="clear" w:color="auto" w:fill="auto"/>
            <w:noWrap/>
          </w:tcPr>
          <w:p w14:paraId="2A4C6D2F" w14:textId="0F35EA4B" w:rsidR="002C173E" w:rsidRPr="002C173E" w:rsidDel="00A04CDD" w:rsidRDefault="00144B44" w:rsidP="00603885">
            <w:pPr>
              <w:pStyle w:val="TableText"/>
              <w:spacing w:before="50" w:after="50"/>
            </w:pPr>
            <w:r w:rsidRPr="005100F3">
              <w:t>Acceptable quality</w:t>
            </w:r>
            <w:r>
              <w:t>.</w:t>
            </w:r>
          </w:p>
        </w:tc>
      </w:tr>
      <w:tr w:rsidR="00A460A4" w:rsidRPr="007B3976" w14:paraId="5A56D07D" w14:textId="77777777" w:rsidTr="00D22201">
        <w:trPr>
          <w:cantSplit/>
        </w:trPr>
        <w:tc>
          <w:tcPr>
            <w:tcW w:w="456" w:type="pct"/>
            <w:vMerge w:val="restart"/>
          </w:tcPr>
          <w:p w14:paraId="2357A5FE" w14:textId="515450CF" w:rsidR="005B6950" w:rsidRPr="002911C1" w:rsidRDefault="005B6950" w:rsidP="00603885">
            <w:pPr>
              <w:pStyle w:val="TableText"/>
              <w:spacing w:before="50" w:after="50"/>
              <w:rPr>
                <w:iCs/>
              </w:rPr>
            </w:pPr>
            <w:r w:rsidRPr="002911C1">
              <w:rPr>
                <w:iCs/>
              </w:rPr>
              <w:t>Fish</w:t>
            </w:r>
          </w:p>
        </w:tc>
        <w:tc>
          <w:tcPr>
            <w:tcW w:w="556" w:type="pct"/>
            <w:vMerge w:val="restart"/>
            <w:shd w:val="clear" w:color="auto" w:fill="auto"/>
          </w:tcPr>
          <w:p w14:paraId="2952BE68" w14:textId="32B66500" w:rsidR="005B6950" w:rsidRPr="002911C1" w:rsidRDefault="005B6950" w:rsidP="00603885">
            <w:pPr>
              <w:pStyle w:val="TableText"/>
              <w:spacing w:before="50" w:after="50"/>
            </w:pPr>
            <w:r w:rsidRPr="00645988">
              <w:rPr>
                <w:i/>
                <w:iCs/>
              </w:rPr>
              <w:t>Oryzias javanicus</w:t>
            </w:r>
          </w:p>
        </w:tc>
        <w:tc>
          <w:tcPr>
            <w:tcW w:w="305" w:type="pct"/>
            <w:shd w:val="clear" w:color="auto" w:fill="auto"/>
          </w:tcPr>
          <w:p w14:paraId="665F6CC7" w14:textId="3791A287" w:rsidR="005B6950" w:rsidRPr="002911C1" w:rsidRDefault="005B6950" w:rsidP="00603885">
            <w:pPr>
              <w:pStyle w:val="TableText"/>
              <w:spacing w:before="50" w:after="50"/>
            </w:pPr>
            <w:r w:rsidRPr="00645988">
              <w:t>Larva</w:t>
            </w:r>
          </w:p>
        </w:tc>
        <w:tc>
          <w:tcPr>
            <w:tcW w:w="353" w:type="pct"/>
            <w:shd w:val="clear" w:color="auto" w:fill="auto"/>
          </w:tcPr>
          <w:p w14:paraId="75DCF5B1" w14:textId="06897405" w:rsidR="005B6950" w:rsidRPr="002911C1" w:rsidRDefault="005B6950" w:rsidP="00603885">
            <w:pPr>
              <w:pStyle w:val="TableText"/>
              <w:spacing w:before="50" w:after="50"/>
            </w:pPr>
            <w:r w:rsidRPr="00645988">
              <w:t>96</w:t>
            </w:r>
            <w:r>
              <w:t> h</w:t>
            </w:r>
          </w:p>
        </w:tc>
        <w:tc>
          <w:tcPr>
            <w:tcW w:w="304" w:type="pct"/>
            <w:shd w:val="clear" w:color="auto" w:fill="auto"/>
          </w:tcPr>
          <w:p w14:paraId="38CA7A9E" w14:textId="6332F82A" w:rsidR="005B6950" w:rsidRPr="002911C1" w:rsidRDefault="005B6950" w:rsidP="00603885">
            <w:pPr>
              <w:pStyle w:val="TableText"/>
              <w:spacing w:before="50" w:after="50"/>
            </w:pPr>
            <w:r w:rsidRPr="00645988">
              <w:t>Acute</w:t>
            </w:r>
          </w:p>
        </w:tc>
        <w:tc>
          <w:tcPr>
            <w:tcW w:w="304" w:type="pct"/>
            <w:shd w:val="clear" w:color="auto" w:fill="auto"/>
          </w:tcPr>
          <w:p w14:paraId="4ACEC7DB" w14:textId="7174BABD" w:rsidR="005B6950" w:rsidRPr="002911C1" w:rsidRDefault="005B6950" w:rsidP="00603885">
            <w:pPr>
              <w:pStyle w:val="TableText"/>
              <w:spacing w:before="50" w:after="50"/>
            </w:pPr>
            <w:r w:rsidRPr="00645988">
              <w:t>24-h renewal</w:t>
            </w:r>
          </w:p>
        </w:tc>
        <w:tc>
          <w:tcPr>
            <w:tcW w:w="405" w:type="pct"/>
            <w:shd w:val="clear" w:color="auto" w:fill="auto"/>
          </w:tcPr>
          <w:p w14:paraId="79D5E8D5" w14:textId="058C9B34" w:rsidR="005B6950" w:rsidRPr="002911C1" w:rsidRDefault="005B6950" w:rsidP="00603885">
            <w:pPr>
              <w:pStyle w:val="TableText"/>
              <w:spacing w:before="50" w:after="50"/>
            </w:pPr>
            <w:r w:rsidRPr="00645988">
              <w:t>Mortality (LC50)</w:t>
            </w:r>
          </w:p>
        </w:tc>
        <w:tc>
          <w:tcPr>
            <w:tcW w:w="405" w:type="pct"/>
            <w:shd w:val="clear" w:color="auto" w:fill="auto"/>
          </w:tcPr>
          <w:p w14:paraId="1E523023" w14:textId="6235EEF4" w:rsidR="005B6950" w:rsidRPr="002911C1" w:rsidRDefault="005B6950" w:rsidP="00603885">
            <w:pPr>
              <w:pStyle w:val="TableText"/>
              <w:spacing w:before="50" w:after="50"/>
            </w:pPr>
            <w:r w:rsidRPr="00645988">
              <w:t>Seawater</w:t>
            </w:r>
            <w:r>
              <w:t xml:space="preserve"> </w:t>
            </w:r>
            <w:r w:rsidRPr="00645988">
              <w:t>(34‰)</w:t>
            </w:r>
          </w:p>
        </w:tc>
        <w:tc>
          <w:tcPr>
            <w:tcW w:w="253" w:type="pct"/>
            <w:shd w:val="clear" w:color="auto" w:fill="auto"/>
          </w:tcPr>
          <w:p w14:paraId="520D72D3" w14:textId="7262C25E" w:rsidR="005B6950" w:rsidRPr="002911C1" w:rsidRDefault="005B6950" w:rsidP="00603885">
            <w:pPr>
              <w:pStyle w:val="TableText"/>
              <w:spacing w:before="50" w:after="50"/>
            </w:pPr>
            <w:r w:rsidRPr="00645988">
              <w:t>26</w:t>
            </w:r>
          </w:p>
        </w:tc>
        <w:tc>
          <w:tcPr>
            <w:tcW w:w="456" w:type="pct"/>
            <w:shd w:val="clear" w:color="auto" w:fill="auto"/>
          </w:tcPr>
          <w:p w14:paraId="68FAE6C3" w14:textId="6F7CF768" w:rsidR="005B6950" w:rsidRPr="002911C1" w:rsidRDefault="005B6950" w:rsidP="00603885">
            <w:pPr>
              <w:pStyle w:val="TableText"/>
              <w:spacing w:before="50" w:after="50"/>
            </w:pPr>
            <w:r>
              <w:t>91</w:t>
            </w:r>
          </w:p>
        </w:tc>
        <w:tc>
          <w:tcPr>
            <w:tcW w:w="455" w:type="pct"/>
            <w:shd w:val="clear" w:color="auto" w:fill="auto"/>
          </w:tcPr>
          <w:p w14:paraId="7C73A612" w14:textId="0120D824" w:rsidR="005B6950" w:rsidRPr="002911C1" w:rsidRDefault="005B6950" w:rsidP="00603885">
            <w:pPr>
              <w:pStyle w:val="TableText"/>
              <w:spacing w:before="50" w:after="50"/>
            </w:pPr>
            <w:r w:rsidRPr="00645988">
              <w:t>Anasco et al</w:t>
            </w:r>
            <w:r>
              <w:t>.</w:t>
            </w:r>
            <w:r w:rsidRPr="00645988">
              <w:t xml:space="preserve"> 2008</w:t>
            </w:r>
          </w:p>
        </w:tc>
        <w:tc>
          <w:tcPr>
            <w:tcW w:w="748" w:type="pct"/>
            <w:shd w:val="clear" w:color="auto" w:fill="auto"/>
          </w:tcPr>
          <w:p w14:paraId="273C9618" w14:textId="0F005F04" w:rsidR="005B6950" w:rsidRPr="002911C1" w:rsidRDefault="005B6950" w:rsidP="00603885">
            <w:pPr>
              <w:pStyle w:val="TableText"/>
              <w:spacing w:before="50" w:after="50"/>
            </w:pPr>
            <w:r w:rsidRPr="00645988">
              <w:t>Conc</w:t>
            </w:r>
            <w:r>
              <w:t>entration</w:t>
            </w:r>
            <w:r w:rsidRPr="00645988">
              <w:t xml:space="preserve"> decayed rapidly. Nominal for 24-h, measured for others</w:t>
            </w:r>
            <w:r>
              <w:t>.</w:t>
            </w:r>
          </w:p>
        </w:tc>
      </w:tr>
      <w:tr w:rsidR="0072585A" w:rsidRPr="007B3976" w14:paraId="49CEEFC4" w14:textId="77777777" w:rsidTr="00D22201">
        <w:trPr>
          <w:cantSplit/>
        </w:trPr>
        <w:tc>
          <w:tcPr>
            <w:tcW w:w="456" w:type="pct"/>
            <w:vMerge/>
          </w:tcPr>
          <w:p w14:paraId="6827D7E2" w14:textId="77777777" w:rsidR="005B6950" w:rsidRPr="002911C1" w:rsidRDefault="005B6950" w:rsidP="00603885">
            <w:pPr>
              <w:pStyle w:val="TableText"/>
              <w:spacing w:before="50" w:after="50"/>
              <w:rPr>
                <w:iCs/>
              </w:rPr>
            </w:pPr>
          </w:p>
        </w:tc>
        <w:tc>
          <w:tcPr>
            <w:tcW w:w="556" w:type="pct"/>
            <w:vMerge/>
            <w:shd w:val="clear" w:color="auto" w:fill="auto"/>
          </w:tcPr>
          <w:p w14:paraId="1094AA0A" w14:textId="0866BB30" w:rsidR="005B6950" w:rsidRPr="002911C1" w:rsidRDefault="005B6950" w:rsidP="00603885">
            <w:pPr>
              <w:pStyle w:val="TableText"/>
              <w:spacing w:before="50" w:after="50"/>
              <w:rPr>
                <w:iCs/>
              </w:rPr>
            </w:pPr>
          </w:p>
        </w:tc>
        <w:tc>
          <w:tcPr>
            <w:tcW w:w="305" w:type="pct"/>
            <w:shd w:val="clear" w:color="auto" w:fill="auto"/>
            <w:noWrap/>
          </w:tcPr>
          <w:p w14:paraId="324C05D2" w14:textId="0906677A" w:rsidR="005B6950" w:rsidRPr="002911C1" w:rsidRDefault="005B6950" w:rsidP="00603885">
            <w:pPr>
              <w:pStyle w:val="TableText"/>
              <w:spacing w:before="50" w:after="50"/>
              <w:rPr>
                <w:i/>
                <w:iCs/>
              </w:rPr>
            </w:pPr>
            <w:r w:rsidRPr="00645988">
              <w:t>Larva</w:t>
            </w:r>
          </w:p>
        </w:tc>
        <w:tc>
          <w:tcPr>
            <w:tcW w:w="353" w:type="pct"/>
            <w:shd w:val="clear" w:color="auto" w:fill="auto"/>
          </w:tcPr>
          <w:p w14:paraId="29880801" w14:textId="1AE88513" w:rsidR="005B6950" w:rsidRPr="002911C1" w:rsidRDefault="005B6950" w:rsidP="00603885">
            <w:pPr>
              <w:pStyle w:val="TableText"/>
              <w:spacing w:before="50" w:after="50"/>
            </w:pPr>
            <w:r w:rsidRPr="00645988">
              <w:t>24</w:t>
            </w:r>
            <w:r>
              <w:t> h</w:t>
            </w:r>
          </w:p>
        </w:tc>
        <w:tc>
          <w:tcPr>
            <w:tcW w:w="304" w:type="pct"/>
            <w:shd w:val="clear" w:color="auto" w:fill="auto"/>
          </w:tcPr>
          <w:p w14:paraId="62A7E979" w14:textId="354C756A" w:rsidR="005B6950" w:rsidRPr="002911C1" w:rsidRDefault="005B6950" w:rsidP="00603885">
            <w:pPr>
              <w:pStyle w:val="TableText"/>
              <w:spacing w:before="50" w:after="50"/>
            </w:pPr>
            <w:r w:rsidRPr="00645988">
              <w:t>Acute</w:t>
            </w:r>
          </w:p>
        </w:tc>
        <w:tc>
          <w:tcPr>
            <w:tcW w:w="304" w:type="pct"/>
            <w:shd w:val="clear" w:color="auto" w:fill="auto"/>
          </w:tcPr>
          <w:p w14:paraId="5EB4C25D" w14:textId="51412A64" w:rsidR="005B6950" w:rsidRPr="002911C1" w:rsidRDefault="005B6950" w:rsidP="00603885">
            <w:pPr>
              <w:pStyle w:val="TableText"/>
              <w:spacing w:before="50" w:after="50"/>
            </w:pPr>
            <w:r w:rsidRPr="00645988">
              <w:t>24-h renewal</w:t>
            </w:r>
          </w:p>
        </w:tc>
        <w:tc>
          <w:tcPr>
            <w:tcW w:w="405" w:type="pct"/>
            <w:shd w:val="clear" w:color="auto" w:fill="auto"/>
          </w:tcPr>
          <w:p w14:paraId="579149D8" w14:textId="4C0411B9" w:rsidR="005B6950" w:rsidRPr="002911C1" w:rsidRDefault="005B6950" w:rsidP="00603885">
            <w:pPr>
              <w:pStyle w:val="TableText"/>
              <w:spacing w:before="50" w:after="50"/>
            </w:pPr>
            <w:r w:rsidRPr="00645988">
              <w:t>Mortality (LC50)</w:t>
            </w:r>
          </w:p>
        </w:tc>
        <w:tc>
          <w:tcPr>
            <w:tcW w:w="405" w:type="pct"/>
            <w:shd w:val="clear" w:color="auto" w:fill="auto"/>
          </w:tcPr>
          <w:p w14:paraId="7BCAB80F" w14:textId="34E21520" w:rsidR="005B6950" w:rsidRPr="002911C1" w:rsidRDefault="005B6950" w:rsidP="00603885">
            <w:pPr>
              <w:pStyle w:val="TableText"/>
              <w:spacing w:before="50" w:after="50"/>
            </w:pPr>
            <w:r w:rsidRPr="00645988">
              <w:t>Seawater</w:t>
            </w:r>
            <w:r>
              <w:t xml:space="preserve"> </w:t>
            </w:r>
            <w:r w:rsidRPr="00645988">
              <w:t>(34‰)</w:t>
            </w:r>
          </w:p>
        </w:tc>
        <w:tc>
          <w:tcPr>
            <w:tcW w:w="253" w:type="pct"/>
            <w:shd w:val="clear" w:color="auto" w:fill="auto"/>
            <w:noWrap/>
          </w:tcPr>
          <w:p w14:paraId="2B041A6D" w14:textId="58F15B00" w:rsidR="005B6950" w:rsidRPr="002911C1" w:rsidRDefault="005B6950" w:rsidP="00603885">
            <w:pPr>
              <w:pStyle w:val="TableText"/>
              <w:spacing w:before="50" w:after="50"/>
            </w:pPr>
            <w:r w:rsidRPr="00645988">
              <w:t>26</w:t>
            </w:r>
          </w:p>
        </w:tc>
        <w:tc>
          <w:tcPr>
            <w:tcW w:w="456" w:type="pct"/>
            <w:shd w:val="clear" w:color="auto" w:fill="auto"/>
          </w:tcPr>
          <w:p w14:paraId="57768E8E" w14:textId="720C54EE" w:rsidR="005B6950" w:rsidRPr="002911C1" w:rsidRDefault="005B6950" w:rsidP="00603885">
            <w:pPr>
              <w:pStyle w:val="TableText"/>
              <w:spacing w:before="50" w:after="50"/>
            </w:pPr>
            <w:r>
              <w:t>152</w:t>
            </w:r>
          </w:p>
        </w:tc>
        <w:tc>
          <w:tcPr>
            <w:tcW w:w="455" w:type="pct"/>
            <w:shd w:val="clear" w:color="auto" w:fill="auto"/>
          </w:tcPr>
          <w:p w14:paraId="7A47B7F2" w14:textId="567067F8" w:rsidR="005B6950" w:rsidRPr="002911C1" w:rsidRDefault="005B6950" w:rsidP="00603885">
            <w:pPr>
              <w:pStyle w:val="TableText"/>
              <w:spacing w:before="50" w:after="50"/>
            </w:pPr>
            <w:r w:rsidRPr="00645988">
              <w:t>Anasco et al. 2008</w:t>
            </w:r>
          </w:p>
        </w:tc>
        <w:tc>
          <w:tcPr>
            <w:tcW w:w="748" w:type="pct"/>
            <w:shd w:val="clear" w:color="auto" w:fill="auto"/>
            <w:noWrap/>
          </w:tcPr>
          <w:p w14:paraId="2C68C15E" w14:textId="503B803B" w:rsidR="005B6950" w:rsidRPr="002911C1" w:rsidRDefault="005B6950" w:rsidP="00603885">
            <w:pPr>
              <w:pStyle w:val="TableText"/>
              <w:spacing w:before="50" w:after="50"/>
            </w:pPr>
            <w:r>
              <w:t>–</w:t>
            </w:r>
          </w:p>
        </w:tc>
      </w:tr>
      <w:tr w:rsidR="0072585A" w:rsidRPr="007B3976" w14:paraId="495E1E51" w14:textId="2CB7B652" w:rsidTr="00D22201">
        <w:trPr>
          <w:cantSplit/>
        </w:trPr>
        <w:tc>
          <w:tcPr>
            <w:tcW w:w="456" w:type="pct"/>
            <w:vMerge/>
          </w:tcPr>
          <w:p w14:paraId="06B79DCF" w14:textId="77777777" w:rsidR="002907EF" w:rsidRPr="005100F3" w:rsidRDefault="002907EF" w:rsidP="00603885">
            <w:pPr>
              <w:pStyle w:val="TableText"/>
              <w:spacing w:before="50" w:after="50"/>
            </w:pPr>
          </w:p>
        </w:tc>
        <w:tc>
          <w:tcPr>
            <w:tcW w:w="556" w:type="pct"/>
            <w:shd w:val="clear" w:color="auto" w:fill="auto"/>
          </w:tcPr>
          <w:p w14:paraId="561D4A8B" w14:textId="3ABFEF40" w:rsidR="002907EF" w:rsidRPr="002911C1" w:rsidRDefault="002907EF" w:rsidP="00603885">
            <w:pPr>
              <w:pStyle w:val="TableText"/>
              <w:spacing w:before="50" w:after="50"/>
              <w:rPr>
                <w:iCs/>
              </w:rPr>
            </w:pPr>
            <w:r w:rsidRPr="005100F3">
              <w:rPr>
                <w:i/>
                <w:iCs/>
              </w:rPr>
              <w:t>Pleuronectes</w:t>
            </w:r>
            <w:r w:rsidRPr="005100F3">
              <w:t xml:space="preserve"> </w:t>
            </w:r>
            <w:r w:rsidRPr="005100F3">
              <w:rPr>
                <w:i/>
                <w:iCs/>
              </w:rPr>
              <w:t>platessa</w:t>
            </w:r>
          </w:p>
        </w:tc>
        <w:tc>
          <w:tcPr>
            <w:tcW w:w="305" w:type="pct"/>
            <w:shd w:val="clear" w:color="auto" w:fill="auto"/>
            <w:noWrap/>
          </w:tcPr>
          <w:p w14:paraId="3CC1A7B7" w14:textId="704A4FDA" w:rsidR="002907EF" w:rsidRPr="002911C1" w:rsidRDefault="002907EF" w:rsidP="00603885">
            <w:pPr>
              <w:pStyle w:val="TableText"/>
              <w:spacing w:before="50" w:after="50"/>
              <w:rPr>
                <w:i/>
                <w:iCs/>
              </w:rPr>
            </w:pPr>
            <w:r w:rsidRPr="005100F3">
              <w:t>Egg</w:t>
            </w:r>
          </w:p>
        </w:tc>
        <w:tc>
          <w:tcPr>
            <w:tcW w:w="353" w:type="pct"/>
            <w:shd w:val="clear" w:color="auto" w:fill="auto"/>
          </w:tcPr>
          <w:p w14:paraId="6C4BDC90" w14:textId="6DE643B8" w:rsidR="002907EF" w:rsidRPr="002911C1" w:rsidRDefault="002907EF" w:rsidP="00603885">
            <w:pPr>
              <w:pStyle w:val="TableText"/>
              <w:spacing w:before="50" w:after="50"/>
            </w:pPr>
            <w:r w:rsidRPr="005100F3">
              <w:t>8</w:t>
            </w:r>
            <w:r>
              <w:t> </w:t>
            </w:r>
            <w:r w:rsidRPr="005100F3">
              <w:t>d</w:t>
            </w:r>
          </w:p>
        </w:tc>
        <w:tc>
          <w:tcPr>
            <w:tcW w:w="304" w:type="pct"/>
            <w:shd w:val="clear" w:color="auto" w:fill="auto"/>
          </w:tcPr>
          <w:p w14:paraId="35596C49" w14:textId="76B87EF9" w:rsidR="002907EF" w:rsidRPr="002911C1" w:rsidRDefault="002907EF" w:rsidP="00603885">
            <w:pPr>
              <w:pStyle w:val="TableText"/>
              <w:spacing w:before="50" w:after="50"/>
            </w:pPr>
            <w:r w:rsidRPr="005100F3">
              <w:t>Chronic</w:t>
            </w:r>
          </w:p>
        </w:tc>
        <w:tc>
          <w:tcPr>
            <w:tcW w:w="304" w:type="pct"/>
            <w:shd w:val="clear" w:color="auto" w:fill="auto"/>
          </w:tcPr>
          <w:p w14:paraId="429BFC9E" w14:textId="703528A9" w:rsidR="002907EF" w:rsidRPr="002911C1" w:rsidRDefault="002907EF" w:rsidP="00603885">
            <w:pPr>
              <w:pStyle w:val="TableText"/>
              <w:spacing w:before="50" w:after="50"/>
            </w:pPr>
            <w:r w:rsidRPr="007B3976">
              <w:t>Flow</w:t>
            </w:r>
            <w:r>
              <w:t>-</w:t>
            </w:r>
            <w:r w:rsidRPr="007B3976">
              <w:t>through</w:t>
            </w:r>
          </w:p>
        </w:tc>
        <w:tc>
          <w:tcPr>
            <w:tcW w:w="405" w:type="pct"/>
            <w:shd w:val="clear" w:color="auto" w:fill="auto"/>
          </w:tcPr>
          <w:p w14:paraId="753719E7" w14:textId="61B84884" w:rsidR="002907EF" w:rsidRPr="002911C1" w:rsidRDefault="002907EF" w:rsidP="00603885">
            <w:pPr>
              <w:pStyle w:val="TableText"/>
              <w:spacing w:before="50" w:after="50"/>
            </w:pPr>
            <w:r w:rsidRPr="005100F3">
              <w:t>Mortality (LC50)</w:t>
            </w:r>
          </w:p>
        </w:tc>
        <w:tc>
          <w:tcPr>
            <w:tcW w:w="405" w:type="pct"/>
            <w:shd w:val="clear" w:color="auto" w:fill="auto"/>
          </w:tcPr>
          <w:p w14:paraId="5DE9B152" w14:textId="2512628E" w:rsidR="002907EF" w:rsidRPr="002911C1" w:rsidRDefault="002907EF" w:rsidP="00603885">
            <w:pPr>
              <w:pStyle w:val="TableText"/>
              <w:spacing w:before="50" w:after="50"/>
            </w:pPr>
            <w:r w:rsidRPr="005100F3">
              <w:t>Seawater</w:t>
            </w:r>
            <w:r>
              <w:t xml:space="preserve"> </w:t>
            </w:r>
            <w:r w:rsidRPr="005100F3">
              <w:t>(35‰)</w:t>
            </w:r>
          </w:p>
        </w:tc>
        <w:tc>
          <w:tcPr>
            <w:tcW w:w="253" w:type="pct"/>
            <w:shd w:val="clear" w:color="auto" w:fill="auto"/>
            <w:noWrap/>
          </w:tcPr>
          <w:p w14:paraId="6944811C" w14:textId="54A6F005" w:rsidR="002907EF" w:rsidRPr="002911C1" w:rsidRDefault="002907EF" w:rsidP="00603885">
            <w:pPr>
              <w:pStyle w:val="TableText"/>
              <w:spacing w:before="50" w:after="50"/>
            </w:pPr>
            <w:r w:rsidRPr="005100F3">
              <w:t>8</w:t>
            </w:r>
          </w:p>
        </w:tc>
        <w:tc>
          <w:tcPr>
            <w:tcW w:w="456" w:type="pct"/>
            <w:shd w:val="clear" w:color="auto" w:fill="auto"/>
          </w:tcPr>
          <w:p w14:paraId="041A05B6" w14:textId="2352E2E9" w:rsidR="002907EF" w:rsidRPr="002911C1" w:rsidRDefault="002907EF" w:rsidP="00603885">
            <w:pPr>
              <w:pStyle w:val="TableText"/>
              <w:spacing w:before="50" w:after="50"/>
            </w:pPr>
            <w:r w:rsidRPr="005100F3">
              <w:t>120</w:t>
            </w:r>
          </w:p>
        </w:tc>
        <w:tc>
          <w:tcPr>
            <w:tcW w:w="455" w:type="pct"/>
            <w:shd w:val="clear" w:color="auto" w:fill="auto"/>
          </w:tcPr>
          <w:p w14:paraId="7559D83A" w14:textId="3DD7B81F" w:rsidR="002907EF" w:rsidRPr="002911C1" w:rsidRDefault="002907EF" w:rsidP="00603885">
            <w:pPr>
              <w:pStyle w:val="TableText"/>
              <w:spacing w:before="50" w:after="50"/>
            </w:pPr>
            <w:r w:rsidRPr="005100F3">
              <w:t>Alderson 1972, 1974</w:t>
            </w:r>
          </w:p>
        </w:tc>
        <w:tc>
          <w:tcPr>
            <w:tcW w:w="748" w:type="pct"/>
            <w:shd w:val="clear" w:color="auto" w:fill="auto"/>
            <w:noWrap/>
          </w:tcPr>
          <w:p w14:paraId="12C9235B" w14:textId="3199CD57" w:rsidR="002907EF" w:rsidRPr="002911C1" w:rsidRDefault="002907EF" w:rsidP="00603885">
            <w:pPr>
              <w:pStyle w:val="TableText"/>
              <w:spacing w:before="50" w:after="50"/>
            </w:pPr>
            <w:r w:rsidRPr="005100F3">
              <w:t>Low temperature</w:t>
            </w:r>
            <w:r>
              <w:t>.</w:t>
            </w:r>
          </w:p>
        </w:tc>
      </w:tr>
      <w:tr w:rsidR="002907EF" w:rsidRPr="007B3976" w14:paraId="13E73C53" w14:textId="77777777" w:rsidTr="0095052F">
        <w:trPr>
          <w:cantSplit/>
        </w:trPr>
        <w:tc>
          <w:tcPr>
            <w:tcW w:w="5000" w:type="pct"/>
            <w:gridSpan w:val="12"/>
            <w:vAlign w:val="center"/>
          </w:tcPr>
          <w:p w14:paraId="14FEF41A" w14:textId="30007623" w:rsidR="002907EF" w:rsidRPr="002911C1" w:rsidRDefault="002907EF" w:rsidP="00603885">
            <w:pPr>
              <w:pStyle w:val="TableHeading"/>
              <w:spacing w:before="50" w:after="50"/>
            </w:pPr>
            <w:r w:rsidRPr="002911C1">
              <w:t xml:space="preserve">Salinity </w:t>
            </w:r>
            <w:r w:rsidRPr="002911C1">
              <w:rPr>
                <w:rFonts w:eastAsia="Calibri"/>
              </w:rPr>
              <w:t>≥</w:t>
            </w:r>
            <w:r w:rsidRPr="002911C1">
              <w:t>15</w:t>
            </w:r>
            <w:r>
              <w:t>–</w:t>
            </w:r>
            <w:r w:rsidRPr="002911C1">
              <w:t>&lt;25‰</w:t>
            </w:r>
          </w:p>
        </w:tc>
      </w:tr>
      <w:tr w:rsidR="0072585A" w:rsidRPr="007B3976" w14:paraId="5ED3F1B7" w14:textId="77777777" w:rsidTr="00D22201">
        <w:trPr>
          <w:cantSplit/>
        </w:trPr>
        <w:tc>
          <w:tcPr>
            <w:tcW w:w="456" w:type="pct"/>
            <w:vMerge w:val="restart"/>
          </w:tcPr>
          <w:p w14:paraId="3FC2A25C" w14:textId="69830BB0" w:rsidR="00481FE8" w:rsidRPr="002911C1" w:rsidRDefault="00481FE8" w:rsidP="00603885">
            <w:pPr>
              <w:pStyle w:val="TableText"/>
              <w:spacing w:before="50" w:after="50"/>
              <w:rPr>
                <w:iCs/>
              </w:rPr>
            </w:pPr>
            <w:r>
              <w:rPr>
                <w:iCs/>
              </w:rPr>
              <w:t>Crustacean</w:t>
            </w:r>
          </w:p>
        </w:tc>
        <w:tc>
          <w:tcPr>
            <w:tcW w:w="556" w:type="pct"/>
            <w:shd w:val="clear" w:color="auto" w:fill="auto"/>
          </w:tcPr>
          <w:p w14:paraId="49A66B73" w14:textId="2EE1BEEF" w:rsidR="00481FE8" w:rsidRPr="002911C1" w:rsidRDefault="00481FE8" w:rsidP="00603885">
            <w:pPr>
              <w:pStyle w:val="TableText"/>
              <w:spacing w:before="50" w:after="50"/>
            </w:pPr>
            <w:r w:rsidRPr="00645988">
              <w:rPr>
                <w:i/>
              </w:rPr>
              <w:t>Amphiporeia virginiana</w:t>
            </w:r>
          </w:p>
        </w:tc>
        <w:tc>
          <w:tcPr>
            <w:tcW w:w="305" w:type="pct"/>
            <w:shd w:val="clear" w:color="auto" w:fill="auto"/>
          </w:tcPr>
          <w:p w14:paraId="1074E9D4" w14:textId="37413190" w:rsidR="00481FE8" w:rsidRPr="002911C1" w:rsidRDefault="00481FE8" w:rsidP="00603885">
            <w:pPr>
              <w:pStyle w:val="TableText"/>
              <w:spacing w:before="50" w:after="50"/>
            </w:pPr>
            <w:r w:rsidRPr="00645988">
              <w:t>Juvenile</w:t>
            </w:r>
          </w:p>
        </w:tc>
        <w:tc>
          <w:tcPr>
            <w:tcW w:w="353" w:type="pct"/>
            <w:shd w:val="clear" w:color="auto" w:fill="auto"/>
          </w:tcPr>
          <w:p w14:paraId="703B35B1" w14:textId="6824CD3F" w:rsidR="00481FE8" w:rsidRPr="002911C1" w:rsidRDefault="00481FE8" w:rsidP="00603885">
            <w:pPr>
              <w:pStyle w:val="TableText"/>
              <w:spacing w:before="50" w:after="50"/>
            </w:pPr>
            <w:r w:rsidRPr="00645988">
              <w:t>48</w:t>
            </w:r>
            <w:r>
              <w:t> h</w:t>
            </w:r>
          </w:p>
        </w:tc>
        <w:tc>
          <w:tcPr>
            <w:tcW w:w="304" w:type="pct"/>
            <w:shd w:val="clear" w:color="auto" w:fill="auto"/>
          </w:tcPr>
          <w:p w14:paraId="2A87B2AD" w14:textId="338B051B" w:rsidR="00481FE8" w:rsidRPr="002911C1" w:rsidRDefault="00481FE8" w:rsidP="00603885">
            <w:pPr>
              <w:pStyle w:val="TableText"/>
              <w:spacing w:before="50" w:after="50"/>
            </w:pPr>
            <w:r w:rsidRPr="00645988">
              <w:t>Acute</w:t>
            </w:r>
          </w:p>
        </w:tc>
        <w:tc>
          <w:tcPr>
            <w:tcW w:w="304" w:type="pct"/>
            <w:shd w:val="clear" w:color="auto" w:fill="auto"/>
          </w:tcPr>
          <w:p w14:paraId="32DE5590" w14:textId="5B2A570C" w:rsidR="00481FE8" w:rsidRPr="002911C1" w:rsidRDefault="00481FE8" w:rsidP="00603885">
            <w:pPr>
              <w:pStyle w:val="TableText"/>
              <w:spacing w:before="50" w:after="50"/>
            </w:pPr>
            <w:r w:rsidRPr="00645988">
              <w:t>Static</w:t>
            </w:r>
          </w:p>
        </w:tc>
        <w:tc>
          <w:tcPr>
            <w:tcW w:w="405" w:type="pct"/>
            <w:shd w:val="clear" w:color="auto" w:fill="auto"/>
          </w:tcPr>
          <w:p w14:paraId="1685506E" w14:textId="42C791C9" w:rsidR="00481FE8" w:rsidRPr="002911C1" w:rsidRDefault="00481FE8" w:rsidP="00603885">
            <w:pPr>
              <w:pStyle w:val="TableText"/>
              <w:spacing w:before="50" w:after="50"/>
            </w:pPr>
            <w:r w:rsidRPr="00645988">
              <w:t>Mortality (LC50</w:t>
            </w:r>
            <w:r>
              <w:t>)</w:t>
            </w:r>
          </w:p>
        </w:tc>
        <w:tc>
          <w:tcPr>
            <w:tcW w:w="405" w:type="pct"/>
            <w:shd w:val="clear" w:color="auto" w:fill="auto"/>
          </w:tcPr>
          <w:p w14:paraId="136B3AA5" w14:textId="6C648497" w:rsidR="00481FE8" w:rsidRPr="002911C1" w:rsidRDefault="00481FE8" w:rsidP="00603885">
            <w:pPr>
              <w:pStyle w:val="TableText"/>
              <w:spacing w:before="50" w:after="50"/>
            </w:pPr>
            <w:r w:rsidRPr="00645988">
              <w:t>Seawater</w:t>
            </w:r>
            <w:r>
              <w:t xml:space="preserve"> </w:t>
            </w:r>
            <w:r w:rsidRPr="00645988">
              <w:t>(21‰)</w:t>
            </w:r>
          </w:p>
        </w:tc>
        <w:tc>
          <w:tcPr>
            <w:tcW w:w="253" w:type="pct"/>
            <w:shd w:val="clear" w:color="auto" w:fill="auto"/>
          </w:tcPr>
          <w:p w14:paraId="13B585A4" w14:textId="1CCA586A" w:rsidR="00481FE8" w:rsidRPr="002911C1" w:rsidRDefault="00481FE8" w:rsidP="00603885">
            <w:pPr>
              <w:pStyle w:val="TableText"/>
              <w:spacing w:before="50" w:after="50"/>
            </w:pPr>
            <w:r w:rsidRPr="00645988">
              <w:t>10</w:t>
            </w:r>
          </w:p>
        </w:tc>
        <w:tc>
          <w:tcPr>
            <w:tcW w:w="456" w:type="pct"/>
            <w:shd w:val="clear" w:color="auto" w:fill="auto"/>
          </w:tcPr>
          <w:p w14:paraId="35D492CF" w14:textId="12A5F80C" w:rsidR="00481FE8" w:rsidRPr="002911C1" w:rsidRDefault="00481FE8" w:rsidP="00603885">
            <w:pPr>
              <w:pStyle w:val="TableText"/>
              <w:spacing w:before="50" w:after="50"/>
            </w:pPr>
            <w:r w:rsidRPr="00645988">
              <w:t>626</w:t>
            </w:r>
          </w:p>
        </w:tc>
        <w:tc>
          <w:tcPr>
            <w:tcW w:w="455" w:type="pct"/>
            <w:shd w:val="clear" w:color="auto" w:fill="auto"/>
          </w:tcPr>
          <w:p w14:paraId="3710EBD0" w14:textId="1F7DE307" w:rsidR="00481FE8" w:rsidRPr="002911C1" w:rsidRDefault="00481FE8" w:rsidP="00603885">
            <w:pPr>
              <w:pStyle w:val="TableText"/>
              <w:spacing w:before="50" w:after="50"/>
            </w:pPr>
            <w:r w:rsidRPr="00645988">
              <w:t>Wan et al. 2000</w:t>
            </w:r>
          </w:p>
        </w:tc>
        <w:tc>
          <w:tcPr>
            <w:tcW w:w="748" w:type="pct"/>
            <w:shd w:val="clear" w:color="auto" w:fill="auto"/>
          </w:tcPr>
          <w:p w14:paraId="1283A169" w14:textId="7530F15D" w:rsidR="00481FE8" w:rsidRPr="002911C1" w:rsidRDefault="00481FE8" w:rsidP="00603885">
            <w:pPr>
              <w:pStyle w:val="TableText"/>
              <w:spacing w:before="50" w:after="50"/>
            </w:pPr>
            <w:r w:rsidRPr="00645988">
              <w:t>Acceptable quality</w:t>
            </w:r>
            <w:r>
              <w:t>.</w:t>
            </w:r>
          </w:p>
        </w:tc>
      </w:tr>
      <w:tr w:rsidR="0072585A" w:rsidRPr="00BA4868" w14:paraId="192C79AC" w14:textId="77777777" w:rsidTr="00D22201">
        <w:trPr>
          <w:cantSplit/>
        </w:trPr>
        <w:tc>
          <w:tcPr>
            <w:tcW w:w="456" w:type="pct"/>
            <w:vMerge/>
          </w:tcPr>
          <w:p w14:paraId="239EE8B6" w14:textId="77777777" w:rsidR="002907EF" w:rsidRPr="00645988" w:rsidRDefault="002907EF" w:rsidP="00603885">
            <w:pPr>
              <w:pStyle w:val="TableText"/>
              <w:spacing w:before="50" w:after="50"/>
            </w:pPr>
          </w:p>
        </w:tc>
        <w:tc>
          <w:tcPr>
            <w:tcW w:w="556" w:type="pct"/>
            <w:shd w:val="clear" w:color="auto" w:fill="auto"/>
          </w:tcPr>
          <w:p w14:paraId="4F0DA4DA" w14:textId="2338CEEA" w:rsidR="002907EF" w:rsidRPr="00645988" w:rsidRDefault="002907EF" w:rsidP="00603885">
            <w:pPr>
              <w:pStyle w:val="TableText"/>
              <w:spacing w:before="50" w:after="50"/>
            </w:pPr>
            <w:r w:rsidRPr="00645988">
              <w:rPr>
                <w:i/>
              </w:rPr>
              <w:t>Eohaustorius washingtonianus</w:t>
            </w:r>
          </w:p>
        </w:tc>
        <w:tc>
          <w:tcPr>
            <w:tcW w:w="305" w:type="pct"/>
            <w:shd w:val="clear" w:color="auto" w:fill="auto"/>
            <w:noWrap/>
          </w:tcPr>
          <w:p w14:paraId="597A27A5" w14:textId="533C7655" w:rsidR="002907EF" w:rsidRPr="00645988" w:rsidRDefault="002907EF" w:rsidP="00603885">
            <w:pPr>
              <w:pStyle w:val="TableText"/>
              <w:spacing w:before="50" w:after="50"/>
            </w:pPr>
            <w:r w:rsidRPr="00645988">
              <w:t>Juvenile</w:t>
            </w:r>
          </w:p>
        </w:tc>
        <w:tc>
          <w:tcPr>
            <w:tcW w:w="353" w:type="pct"/>
            <w:shd w:val="clear" w:color="auto" w:fill="auto"/>
          </w:tcPr>
          <w:p w14:paraId="3E4FC6B9" w14:textId="0DE0DA49" w:rsidR="002907EF" w:rsidRPr="00645988" w:rsidRDefault="002907EF" w:rsidP="00603885">
            <w:pPr>
              <w:pStyle w:val="TableText"/>
              <w:spacing w:before="50" w:after="50"/>
            </w:pPr>
            <w:r w:rsidRPr="00645988">
              <w:t>48</w:t>
            </w:r>
            <w:r>
              <w:t> h</w:t>
            </w:r>
          </w:p>
        </w:tc>
        <w:tc>
          <w:tcPr>
            <w:tcW w:w="304" w:type="pct"/>
            <w:shd w:val="clear" w:color="auto" w:fill="auto"/>
            <w:noWrap/>
          </w:tcPr>
          <w:p w14:paraId="0AAAD852" w14:textId="4AEEFEBE" w:rsidR="002907EF" w:rsidRPr="00645988" w:rsidRDefault="002907EF" w:rsidP="00603885">
            <w:pPr>
              <w:pStyle w:val="TableText"/>
              <w:spacing w:before="50" w:after="50"/>
            </w:pPr>
            <w:r w:rsidRPr="00645988">
              <w:t>Acute</w:t>
            </w:r>
          </w:p>
        </w:tc>
        <w:tc>
          <w:tcPr>
            <w:tcW w:w="304" w:type="pct"/>
            <w:shd w:val="clear" w:color="auto" w:fill="auto"/>
          </w:tcPr>
          <w:p w14:paraId="57396B00" w14:textId="4DAFA407" w:rsidR="002907EF" w:rsidRPr="00645988" w:rsidRDefault="002907EF" w:rsidP="00603885">
            <w:pPr>
              <w:pStyle w:val="TableText"/>
              <w:spacing w:before="50" w:after="50"/>
            </w:pPr>
            <w:r w:rsidRPr="00645988">
              <w:t>Static</w:t>
            </w:r>
          </w:p>
        </w:tc>
        <w:tc>
          <w:tcPr>
            <w:tcW w:w="405" w:type="pct"/>
            <w:shd w:val="clear" w:color="auto" w:fill="auto"/>
          </w:tcPr>
          <w:p w14:paraId="50CAB518" w14:textId="663474AF" w:rsidR="002907EF" w:rsidRPr="00645988" w:rsidRDefault="002907EF" w:rsidP="00603885">
            <w:pPr>
              <w:pStyle w:val="TableText"/>
              <w:spacing w:before="50" w:after="50"/>
            </w:pPr>
            <w:r w:rsidRPr="00645988">
              <w:t>Mortality (LC50</w:t>
            </w:r>
          </w:p>
        </w:tc>
        <w:tc>
          <w:tcPr>
            <w:tcW w:w="405" w:type="pct"/>
            <w:shd w:val="clear" w:color="auto" w:fill="auto"/>
          </w:tcPr>
          <w:p w14:paraId="0B92283F" w14:textId="7F395332" w:rsidR="002907EF" w:rsidRPr="00645988" w:rsidRDefault="002907EF" w:rsidP="00603885">
            <w:pPr>
              <w:pStyle w:val="TableText"/>
              <w:spacing w:before="50" w:after="50"/>
            </w:pPr>
            <w:r w:rsidRPr="00645988">
              <w:t>Seawater</w:t>
            </w:r>
            <w:r>
              <w:t xml:space="preserve"> </w:t>
            </w:r>
            <w:r w:rsidRPr="00645988">
              <w:t>(21‰)</w:t>
            </w:r>
          </w:p>
        </w:tc>
        <w:tc>
          <w:tcPr>
            <w:tcW w:w="253" w:type="pct"/>
            <w:shd w:val="clear" w:color="auto" w:fill="auto"/>
            <w:noWrap/>
          </w:tcPr>
          <w:p w14:paraId="011EBA27" w14:textId="50EE601A" w:rsidR="002907EF" w:rsidRPr="00645988" w:rsidRDefault="002907EF" w:rsidP="00603885">
            <w:pPr>
              <w:pStyle w:val="TableText"/>
              <w:spacing w:before="50" w:after="50"/>
            </w:pPr>
            <w:r w:rsidRPr="00645988">
              <w:t>15</w:t>
            </w:r>
          </w:p>
        </w:tc>
        <w:tc>
          <w:tcPr>
            <w:tcW w:w="456" w:type="pct"/>
            <w:shd w:val="clear" w:color="auto" w:fill="auto"/>
          </w:tcPr>
          <w:p w14:paraId="12D825AA" w14:textId="63E9B6A9" w:rsidR="002907EF" w:rsidRPr="00645988" w:rsidRDefault="002907EF" w:rsidP="00603885">
            <w:pPr>
              <w:pStyle w:val="TableText"/>
              <w:spacing w:before="50" w:after="50"/>
            </w:pPr>
            <w:r w:rsidRPr="00645988">
              <w:t>567</w:t>
            </w:r>
          </w:p>
        </w:tc>
        <w:tc>
          <w:tcPr>
            <w:tcW w:w="455" w:type="pct"/>
            <w:shd w:val="clear" w:color="auto" w:fill="auto"/>
          </w:tcPr>
          <w:p w14:paraId="0929A6C8" w14:textId="18115CD8" w:rsidR="002907EF" w:rsidRPr="00645988" w:rsidRDefault="002907EF" w:rsidP="00603885">
            <w:pPr>
              <w:pStyle w:val="TableText"/>
              <w:spacing w:before="50" w:after="50"/>
            </w:pPr>
            <w:r w:rsidRPr="00645988">
              <w:t>Wan et al. 2000</w:t>
            </w:r>
          </w:p>
        </w:tc>
        <w:tc>
          <w:tcPr>
            <w:tcW w:w="748" w:type="pct"/>
            <w:shd w:val="clear" w:color="auto" w:fill="auto"/>
          </w:tcPr>
          <w:p w14:paraId="1DEFF23B" w14:textId="38A65D60" w:rsidR="002907EF" w:rsidRPr="00645988" w:rsidRDefault="002907EF" w:rsidP="00603885">
            <w:pPr>
              <w:pStyle w:val="TableText"/>
              <w:spacing w:before="50" w:after="50"/>
            </w:pPr>
            <w:r w:rsidRPr="00645988">
              <w:t>Acceptable quality</w:t>
            </w:r>
            <w:r>
              <w:t>.</w:t>
            </w:r>
          </w:p>
        </w:tc>
      </w:tr>
      <w:tr w:rsidR="0072585A" w:rsidRPr="00BA4868" w14:paraId="62565C66" w14:textId="77777777" w:rsidTr="00D22201">
        <w:trPr>
          <w:cantSplit/>
        </w:trPr>
        <w:tc>
          <w:tcPr>
            <w:tcW w:w="456" w:type="pct"/>
          </w:tcPr>
          <w:p w14:paraId="10E0EA03" w14:textId="2D4F1406" w:rsidR="001B4349" w:rsidRPr="00645988" w:rsidRDefault="001B4349" w:rsidP="00603885">
            <w:pPr>
              <w:pStyle w:val="TableText"/>
              <w:spacing w:before="50" w:after="50"/>
            </w:pPr>
            <w:r>
              <w:t>Mollusc</w:t>
            </w:r>
            <w:r>
              <w:br/>
              <w:t>(bivalve)</w:t>
            </w:r>
          </w:p>
        </w:tc>
        <w:tc>
          <w:tcPr>
            <w:tcW w:w="556" w:type="pct"/>
            <w:shd w:val="clear" w:color="auto" w:fill="auto"/>
          </w:tcPr>
          <w:p w14:paraId="1F7E4291" w14:textId="289C31E0" w:rsidR="001B4349" w:rsidRPr="00645988" w:rsidRDefault="001B4349" w:rsidP="00603885">
            <w:pPr>
              <w:pStyle w:val="TableText"/>
              <w:spacing w:before="50" w:after="50"/>
              <w:rPr>
                <w:i/>
              </w:rPr>
            </w:pPr>
            <w:r w:rsidRPr="007B3976">
              <w:rPr>
                <w:i/>
                <w:iCs/>
              </w:rPr>
              <w:t>Crassostrea virginica</w:t>
            </w:r>
          </w:p>
        </w:tc>
        <w:tc>
          <w:tcPr>
            <w:tcW w:w="305" w:type="pct"/>
            <w:shd w:val="clear" w:color="auto" w:fill="auto"/>
            <w:noWrap/>
          </w:tcPr>
          <w:p w14:paraId="49CC8779" w14:textId="7F83F880" w:rsidR="001B4349" w:rsidRPr="00645988" w:rsidRDefault="001B4349" w:rsidP="00603885">
            <w:pPr>
              <w:pStyle w:val="TableText"/>
              <w:spacing w:before="50" w:after="50"/>
            </w:pPr>
            <w:r w:rsidRPr="007B3976">
              <w:t>Larva</w:t>
            </w:r>
          </w:p>
        </w:tc>
        <w:tc>
          <w:tcPr>
            <w:tcW w:w="353" w:type="pct"/>
            <w:shd w:val="clear" w:color="auto" w:fill="auto"/>
          </w:tcPr>
          <w:p w14:paraId="4675FBC8" w14:textId="04E13FAA" w:rsidR="001B4349" w:rsidRPr="00645988" w:rsidRDefault="001B4349" w:rsidP="00603885">
            <w:pPr>
              <w:pStyle w:val="TableText"/>
              <w:spacing w:before="50" w:after="50"/>
            </w:pPr>
            <w:r w:rsidRPr="007B3976">
              <w:t>48</w:t>
            </w:r>
            <w:r>
              <w:t> h</w:t>
            </w:r>
          </w:p>
        </w:tc>
        <w:tc>
          <w:tcPr>
            <w:tcW w:w="304" w:type="pct"/>
            <w:shd w:val="clear" w:color="auto" w:fill="auto"/>
            <w:noWrap/>
          </w:tcPr>
          <w:p w14:paraId="374904CB" w14:textId="5054054B" w:rsidR="001B4349" w:rsidRPr="00645988" w:rsidRDefault="001B4349" w:rsidP="00603885">
            <w:pPr>
              <w:pStyle w:val="TableText"/>
              <w:spacing w:before="50" w:after="50"/>
            </w:pPr>
            <w:r w:rsidRPr="007B3976">
              <w:t>Acute</w:t>
            </w:r>
          </w:p>
        </w:tc>
        <w:tc>
          <w:tcPr>
            <w:tcW w:w="304" w:type="pct"/>
            <w:shd w:val="clear" w:color="auto" w:fill="auto"/>
          </w:tcPr>
          <w:p w14:paraId="0749B11F" w14:textId="425BF25A" w:rsidR="001B4349" w:rsidRPr="00645988" w:rsidRDefault="001B4349" w:rsidP="00603885">
            <w:pPr>
              <w:pStyle w:val="TableText"/>
              <w:spacing w:before="50" w:after="50"/>
            </w:pPr>
            <w:r w:rsidRPr="007B3976">
              <w:t>Flow</w:t>
            </w:r>
            <w:r>
              <w:t>-</w:t>
            </w:r>
            <w:r w:rsidRPr="007B3976">
              <w:t>through</w:t>
            </w:r>
          </w:p>
        </w:tc>
        <w:tc>
          <w:tcPr>
            <w:tcW w:w="405" w:type="pct"/>
            <w:shd w:val="clear" w:color="auto" w:fill="auto"/>
          </w:tcPr>
          <w:p w14:paraId="311CAFC7" w14:textId="5C6D33F2" w:rsidR="001B4349" w:rsidRPr="00645988" w:rsidRDefault="001B4349" w:rsidP="00603885">
            <w:pPr>
              <w:pStyle w:val="TableText"/>
              <w:spacing w:before="50" w:after="50"/>
            </w:pPr>
            <w:r w:rsidRPr="007B3976">
              <w:t>Mortality (LC50)</w:t>
            </w:r>
          </w:p>
        </w:tc>
        <w:tc>
          <w:tcPr>
            <w:tcW w:w="405" w:type="pct"/>
            <w:shd w:val="clear" w:color="auto" w:fill="auto"/>
          </w:tcPr>
          <w:p w14:paraId="34904401" w14:textId="0542DFD0" w:rsidR="001B4349" w:rsidRPr="00645988" w:rsidRDefault="001B4349" w:rsidP="00603885">
            <w:pPr>
              <w:pStyle w:val="TableText"/>
              <w:spacing w:before="50" w:after="50"/>
            </w:pPr>
            <w:r w:rsidRPr="007B3976">
              <w:t>Seawater</w:t>
            </w:r>
            <w:r>
              <w:t xml:space="preserve"> </w:t>
            </w:r>
            <w:r w:rsidRPr="007B3976">
              <w:t>(20‰)</w:t>
            </w:r>
          </w:p>
        </w:tc>
        <w:tc>
          <w:tcPr>
            <w:tcW w:w="253" w:type="pct"/>
            <w:shd w:val="clear" w:color="auto" w:fill="auto"/>
            <w:noWrap/>
          </w:tcPr>
          <w:p w14:paraId="1D8DA49F" w14:textId="4CE767A1" w:rsidR="001B4349" w:rsidRPr="00645988" w:rsidRDefault="001B4349" w:rsidP="00603885">
            <w:pPr>
              <w:pStyle w:val="TableText"/>
              <w:spacing w:before="50" w:after="50"/>
            </w:pPr>
            <w:r w:rsidRPr="007B3976">
              <w:t>19</w:t>
            </w:r>
            <w:r>
              <w:t>–</w:t>
            </w:r>
            <w:r w:rsidRPr="007B3976">
              <w:t>28</w:t>
            </w:r>
          </w:p>
        </w:tc>
        <w:tc>
          <w:tcPr>
            <w:tcW w:w="456" w:type="pct"/>
            <w:shd w:val="clear" w:color="auto" w:fill="auto"/>
          </w:tcPr>
          <w:p w14:paraId="5DF11B76" w14:textId="647F6B8B" w:rsidR="001B4349" w:rsidRPr="00645988" w:rsidRDefault="001B4349" w:rsidP="00603885">
            <w:pPr>
              <w:pStyle w:val="TableText"/>
              <w:spacing w:before="50" w:after="50"/>
            </w:pPr>
            <w:r w:rsidRPr="007B3976">
              <w:t>26</w:t>
            </w:r>
          </w:p>
        </w:tc>
        <w:tc>
          <w:tcPr>
            <w:tcW w:w="455" w:type="pct"/>
            <w:shd w:val="clear" w:color="auto" w:fill="auto"/>
          </w:tcPr>
          <w:p w14:paraId="05B76473" w14:textId="074DAE75" w:rsidR="001B4349" w:rsidRPr="00645988" w:rsidRDefault="001B4349" w:rsidP="00603885">
            <w:pPr>
              <w:pStyle w:val="TableText"/>
              <w:spacing w:before="50" w:after="50"/>
            </w:pPr>
            <w:r w:rsidRPr="007B3976">
              <w:t>Roberts and Gleeson 1978</w:t>
            </w:r>
          </w:p>
        </w:tc>
        <w:tc>
          <w:tcPr>
            <w:tcW w:w="748" w:type="pct"/>
            <w:shd w:val="clear" w:color="auto" w:fill="auto"/>
          </w:tcPr>
          <w:p w14:paraId="67953670" w14:textId="4A2A74C0" w:rsidR="001B4349" w:rsidRPr="00645988" w:rsidRDefault="001B4349" w:rsidP="00603885">
            <w:pPr>
              <w:pStyle w:val="TableText"/>
              <w:spacing w:before="50" w:after="50"/>
            </w:pPr>
            <w:r>
              <w:rPr>
                <w:rFonts w:cs="Calibri"/>
              </w:rPr>
              <w:t>Acceptable quality.</w:t>
            </w:r>
          </w:p>
        </w:tc>
      </w:tr>
      <w:tr w:rsidR="0072585A" w:rsidRPr="00BA4868" w14:paraId="5632E32F" w14:textId="77777777" w:rsidTr="00D22201">
        <w:trPr>
          <w:cantSplit/>
        </w:trPr>
        <w:tc>
          <w:tcPr>
            <w:tcW w:w="456" w:type="pct"/>
          </w:tcPr>
          <w:p w14:paraId="4D907D81" w14:textId="4ADF8EEE" w:rsidR="004476CA" w:rsidRPr="007B3976" w:rsidRDefault="004476CA" w:rsidP="00603885">
            <w:pPr>
              <w:pStyle w:val="TableText"/>
              <w:spacing w:before="50" w:after="50"/>
            </w:pPr>
            <w:r w:rsidRPr="007B3976">
              <w:t>Fish</w:t>
            </w:r>
          </w:p>
        </w:tc>
        <w:tc>
          <w:tcPr>
            <w:tcW w:w="556" w:type="pct"/>
            <w:shd w:val="clear" w:color="auto" w:fill="auto"/>
          </w:tcPr>
          <w:p w14:paraId="0790A6A5" w14:textId="63645BEB" w:rsidR="004476CA" w:rsidRPr="00645988" w:rsidRDefault="004476CA" w:rsidP="00603885">
            <w:pPr>
              <w:pStyle w:val="TableText"/>
              <w:spacing w:before="50" w:after="50"/>
            </w:pPr>
            <w:r w:rsidRPr="007B3976">
              <w:rPr>
                <w:i/>
              </w:rPr>
              <w:t>Menidia menidia</w:t>
            </w:r>
          </w:p>
        </w:tc>
        <w:tc>
          <w:tcPr>
            <w:tcW w:w="305" w:type="pct"/>
            <w:shd w:val="clear" w:color="auto" w:fill="auto"/>
          </w:tcPr>
          <w:p w14:paraId="5355B07A" w14:textId="62A0320A" w:rsidR="004476CA" w:rsidRPr="00645988" w:rsidRDefault="004476CA" w:rsidP="00603885">
            <w:pPr>
              <w:pStyle w:val="TableText"/>
              <w:spacing w:before="50" w:after="50"/>
            </w:pPr>
            <w:r w:rsidRPr="007B3976">
              <w:t>Egg</w:t>
            </w:r>
          </w:p>
        </w:tc>
        <w:tc>
          <w:tcPr>
            <w:tcW w:w="353" w:type="pct"/>
            <w:shd w:val="clear" w:color="auto" w:fill="auto"/>
          </w:tcPr>
          <w:p w14:paraId="19601C6D" w14:textId="05D0A59C" w:rsidR="004476CA" w:rsidRPr="00645988" w:rsidRDefault="004476CA" w:rsidP="00603885">
            <w:pPr>
              <w:pStyle w:val="TableText"/>
              <w:spacing w:before="50" w:after="50"/>
            </w:pPr>
            <w:r w:rsidRPr="007B3976">
              <w:t>48</w:t>
            </w:r>
            <w:r>
              <w:t> h</w:t>
            </w:r>
          </w:p>
        </w:tc>
        <w:tc>
          <w:tcPr>
            <w:tcW w:w="304" w:type="pct"/>
            <w:shd w:val="clear" w:color="auto" w:fill="auto"/>
          </w:tcPr>
          <w:p w14:paraId="172F4EDA" w14:textId="035C9A72" w:rsidR="004476CA" w:rsidRPr="00645988" w:rsidRDefault="004476CA" w:rsidP="00603885">
            <w:pPr>
              <w:pStyle w:val="TableText"/>
              <w:spacing w:before="50" w:after="50"/>
            </w:pPr>
            <w:r w:rsidRPr="007B3976">
              <w:t>Acute</w:t>
            </w:r>
          </w:p>
        </w:tc>
        <w:tc>
          <w:tcPr>
            <w:tcW w:w="304" w:type="pct"/>
            <w:shd w:val="clear" w:color="auto" w:fill="auto"/>
          </w:tcPr>
          <w:p w14:paraId="0CF0BF17" w14:textId="6E0829BC" w:rsidR="004476CA" w:rsidRPr="00645988" w:rsidRDefault="004476CA" w:rsidP="00603885">
            <w:pPr>
              <w:pStyle w:val="TableText"/>
              <w:spacing w:before="50" w:after="50"/>
            </w:pPr>
            <w:r w:rsidRPr="007B3976">
              <w:t>Flow</w:t>
            </w:r>
            <w:r>
              <w:t>-</w:t>
            </w:r>
            <w:r w:rsidRPr="007B3976">
              <w:t>through</w:t>
            </w:r>
          </w:p>
        </w:tc>
        <w:tc>
          <w:tcPr>
            <w:tcW w:w="405" w:type="pct"/>
            <w:shd w:val="clear" w:color="auto" w:fill="auto"/>
          </w:tcPr>
          <w:p w14:paraId="0ADF8A2F" w14:textId="3F9C7815" w:rsidR="004476CA" w:rsidRPr="00645988" w:rsidRDefault="004476CA" w:rsidP="00603885">
            <w:pPr>
              <w:pStyle w:val="TableText"/>
              <w:spacing w:before="50" w:after="50"/>
            </w:pPr>
            <w:r w:rsidRPr="007B3976">
              <w:t>Mortality (LC50)</w:t>
            </w:r>
          </w:p>
        </w:tc>
        <w:tc>
          <w:tcPr>
            <w:tcW w:w="405" w:type="pct"/>
            <w:shd w:val="clear" w:color="auto" w:fill="auto"/>
          </w:tcPr>
          <w:p w14:paraId="3CC4E2B9" w14:textId="720A0539" w:rsidR="004476CA" w:rsidRPr="00645988" w:rsidRDefault="004476CA" w:rsidP="00603885">
            <w:pPr>
              <w:pStyle w:val="TableText"/>
              <w:spacing w:before="50" w:after="50"/>
            </w:pPr>
            <w:r w:rsidRPr="007B3976">
              <w:t>Seawater</w:t>
            </w:r>
            <w:r>
              <w:t xml:space="preserve"> </w:t>
            </w:r>
            <w:r w:rsidRPr="007B3976">
              <w:t>(15‰)</w:t>
            </w:r>
          </w:p>
        </w:tc>
        <w:tc>
          <w:tcPr>
            <w:tcW w:w="253" w:type="pct"/>
            <w:shd w:val="clear" w:color="auto" w:fill="auto"/>
          </w:tcPr>
          <w:p w14:paraId="683AAF24" w14:textId="0C687A3F" w:rsidR="004476CA" w:rsidRPr="00645988" w:rsidRDefault="004476CA" w:rsidP="00603885">
            <w:pPr>
              <w:pStyle w:val="TableText"/>
              <w:spacing w:before="50" w:after="50"/>
            </w:pPr>
            <w:r w:rsidRPr="007B3976">
              <w:t>8</w:t>
            </w:r>
            <w:r>
              <w:t>–</w:t>
            </w:r>
            <w:r w:rsidRPr="007B3976">
              <w:t>12</w:t>
            </w:r>
          </w:p>
        </w:tc>
        <w:tc>
          <w:tcPr>
            <w:tcW w:w="456" w:type="pct"/>
            <w:shd w:val="clear" w:color="auto" w:fill="auto"/>
          </w:tcPr>
          <w:p w14:paraId="2E5DF369" w14:textId="55E9C5AA" w:rsidR="004476CA" w:rsidRPr="00645988" w:rsidRDefault="004476CA" w:rsidP="00603885">
            <w:pPr>
              <w:pStyle w:val="TableText"/>
              <w:spacing w:before="50" w:after="50"/>
            </w:pPr>
            <w:r w:rsidRPr="007B3976">
              <w:t>300</w:t>
            </w:r>
          </w:p>
        </w:tc>
        <w:tc>
          <w:tcPr>
            <w:tcW w:w="455" w:type="pct"/>
            <w:shd w:val="clear" w:color="auto" w:fill="auto"/>
          </w:tcPr>
          <w:p w14:paraId="654FDC3B" w14:textId="7379BB17" w:rsidR="004476CA" w:rsidRPr="00645988" w:rsidRDefault="004476CA" w:rsidP="00603885">
            <w:pPr>
              <w:pStyle w:val="TableText"/>
              <w:spacing w:before="50" w:after="50"/>
            </w:pPr>
            <w:r w:rsidRPr="007B3976">
              <w:t>Morgan and Prince 1977</w:t>
            </w:r>
          </w:p>
        </w:tc>
        <w:tc>
          <w:tcPr>
            <w:tcW w:w="748" w:type="pct"/>
            <w:shd w:val="clear" w:color="auto" w:fill="auto"/>
          </w:tcPr>
          <w:p w14:paraId="09928CDE" w14:textId="2538B98A" w:rsidR="004476CA" w:rsidRPr="00645988" w:rsidRDefault="004476CA" w:rsidP="00603885">
            <w:pPr>
              <w:pStyle w:val="TableText"/>
              <w:spacing w:before="50" w:after="50"/>
            </w:pPr>
            <w:r w:rsidRPr="007B3976">
              <w:t>Acceptable quality</w:t>
            </w:r>
            <w:r>
              <w:t>.</w:t>
            </w:r>
          </w:p>
        </w:tc>
      </w:tr>
    </w:tbl>
    <w:p w14:paraId="44AC693A" w14:textId="77777777" w:rsidR="00A0330B" w:rsidRPr="000C6763" w:rsidRDefault="00A0330B" w:rsidP="00A0330B">
      <w:pPr>
        <w:pStyle w:val="FigureTableNoteSource"/>
      </w:pPr>
      <w:r w:rsidRPr="000C6763">
        <w:t xml:space="preserve">–: No data available/not stated. </w:t>
      </w:r>
    </w:p>
    <w:p w14:paraId="0592A954" w14:textId="77777777" w:rsidR="004F2FCD" w:rsidRDefault="004F2FCD" w:rsidP="004F2FCD"/>
    <w:p w14:paraId="19C5099D" w14:textId="79186BB8" w:rsidR="004F2FCD" w:rsidRPr="004F2FCD" w:rsidRDefault="004F2FCD" w:rsidP="004F2FCD">
      <w:pPr>
        <w:sectPr w:rsidR="004F2FCD" w:rsidRPr="004F2FCD" w:rsidSect="007336AC">
          <w:headerReference w:type="even" r:id="rId38"/>
          <w:headerReference w:type="default" r:id="rId39"/>
          <w:footerReference w:type="even" r:id="rId40"/>
          <w:footerReference w:type="default" r:id="rId41"/>
          <w:headerReference w:type="first" r:id="rId42"/>
          <w:footerReference w:type="first" r:id="rId43"/>
          <w:pgSz w:w="16838" w:h="11906" w:orient="landscape"/>
          <w:pgMar w:top="1418" w:right="1418" w:bottom="1418" w:left="1418" w:header="567" w:footer="283" w:gutter="0"/>
          <w:cols w:space="708"/>
          <w:docGrid w:linePitch="360"/>
        </w:sectPr>
      </w:pPr>
    </w:p>
    <w:p w14:paraId="3842D7A6" w14:textId="4A22CEA6" w:rsidR="00FE30CC" w:rsidRPr="00A23629" w:rsidRDefault="00FE30CC" w:rsidP="008B0BDA">
      <w:pPr>
        <w:pStyle w:val="Heading2"/>
        <w:numPr>
          <w:ilvl w:val="0"/>
          <w:numId w:val="0"/>
        </w:numPr>
      </w:pPr>
      <w:bookmarkStart w:id="55" w:name="_Toc178451657"/>
      <w:bookmarkStart w:id="56" w:name="_Ref178602726"/>
      <w:bookmarkStart w:id="57" w:name="_Toc189409346"/>
      <w:r w:rsidRPr="00A23629">
        <w:lastRenderedPageBreak/>
        <w:t>Appendix</w:t>
      </w:r>
      <w:r w:rsidR="000300D2">
        <w:t> </w:t>
      </w:r>
      <w:r w:rsidRPr="00A23629">
        <w:t>B</w:t>
      </w:r>
      <w:r w:rsidR="002C10E3" w:rsidRPr="00A23629">
        <w:t xml:space="preserve">: </w:t>
      </w:r>
      <w:r w:rsidR="005A6454" w:rsidRPr="00A23629">
        <w:t xml:space="preserve">Assessment </w:t>
      </w:r>
      <w:r w:rsidR="002C10E3" w:rsidRPr="00A23629">
        <w:t>of dataset</w:t>
      </w:r>
      <w:r w:rsidR="005138A3">
        <w:t>s</w:t>
      </w:r>
      <w:r w:rsidR="002C10E3" w:rsidRPr="00A23629">
        <w:t xml:space="preserve"> for DGV derivation</w:t>
      </w:r>
      <w:bookmarkEnd w:id="55"/>
      <w:bookmarkEnd w:id="56"/>
      <w:bookmarkEnd w:id="57"/>
    </w:p>
    <w:p w14:paraId="48CAB654" w14:textId="77777777" w:rsidR="005138A3" w:rsidRDefault="00574F95" w:rsidP="007D41E1">
      <w:pPr>
        <w:rPr>
          <w:lang w:eastAsia="ja-JP"/>
        </w:rPr>
      </w:pPr>
      <w:r w:rsidRPr="00A23629">
        <w:rPr>
          <w:lang w:eastAsia="ja-JP"/>
        </w:rPr>
        <w:t>T</w:t>
      </w:r>
      <w:r w:rsidR="003D19EF" w:rsidRPr="00A23629">
        <w:rPr>
          <w:lang w:eastAsia="ja-JP"/>
        </w:rPr>
        <w:t xml:space="preserve">here were </w:t>
      </w:r>
      <w:r w:rsidR="00CD3F20" w:rsidRPr="00A23629">
        <w:rPr>
          <w:lang w:eastAsia="ja-JP"/>
        </w:rPr>
        <w:t xml:space="preserve">three </w:t>
      </w:r>
      <w:r w:rsidR="003D19EF" w:rsidRPr="00A23629">
        <w:rPr>
          <w:lang w:eastAsia="ja-JP"/>
        </w:rPr>
        <w:t xml:space="preserve">possible datasets that </w:t>
      </w:r>
      <w:r w:rsidR="009328DC" w:rsidRPr="00A23629">
        <w:rPr>
          <w:lang w:eastAsia="ja-JP"/>
        </w:rPr>
        <w:t>were assessed for us</w:t>
      </w:r>
      <w:r w:rsidR="002E682E" w:rsidRPr="00A23629">
        <w:rPr>
          <w:lang w:eastAsia="ja-JP"/>
        </w:rPr>
        <w:t>e</w:t>
      </w:r>
      <w:r w:rsidR="003D19EF" w:rsidRPr="00A23629">
        <w:rPr>
          <w:lang w:eastAsia="ja-JP"/>
        </w:rPr>
        <w:t xml:space="preserve"> in the derivation of DGVs for </w:t>
      </w:r>
      <w:r w:rsidR="005138A3">
        <w:rPr>
          <w:lang w:eastAsia="ja-JP"/>
        </w:rPr>
        <w:t>chlorine (</w:t>
      </w:r>
      <w:r w:rsidR="003D19EF" w:rsidRPr="00A23629">
        <w:rPr>
          <w:lang w:eastAsia="ja-JP"/>
        </w:rPr>
        <w:t>CPO</w:t>
      </w:r>
      <w:r w:rsidR="005138A3">
        <w:rPr>
          <w:lang w:eastAsia="ja-JP"/>
        </w:rPr>
        <w:t>)</w:t>
      </w:r>
      <w:r w:rsidR="003D19EF" w:rsidRPr="00A23629">
        <w:rPr>
          <w:lang w:eastAsia="ja-JP"/>
        </w:rPr>
        <w:t xml:space="preserve"> in marine water</w:t>
      </w:r>
      <w:r w:rsidRPr="00A23629">
        <w:rPr>
          <w:lang w:eastAsia="ja-JP"/>
        </w:rPr>
        <w:t xml:space="preserve">: </w:t>
      </w:r>
    </w:p>
    <w:p w14:paraId="33AEDBA6" w14:textId="5B216444" w:rsidR="005138A3" w:rsidRDefault="005138A3" w:rsidP="005138A3">
      <w:pPr>
        <w:pStyle w:val="ListBullet"/>
      </w:pPr>
      <w:r>
        <w:rPr>
          <w:lang w:eastAsia="ja-JP"/>
        </w:rPr>
        <w:t>Dataset </w:t>
      </w:r>
      <w:r w:rsidR="00574F95" w:rsidRPr="00A23629">
        <w:rPr>
          <w:lang w:eastAsia="ja-JP"/>
        </w:rPr>
        <w:t>1</w:t>
      </w:r>
      <w:r>
        <w:rPr>
          <w:lang w:eastAsia="ja-JP"/>
        </w:rPr>
        <w:t>:</w:t>
      </w:r>
      <w:r w:rsidR="00574F95" w:rsidRPr="00A23629">
        <w:rPr>
          <w:lang w:eastAsia="ja-JP"/>
        </w:rPr>
        <w:t xml:space="preserve"> based on </w:t>
      </w:r>
      <w:r w:rsidR="00CD3F20" w:rsidRPr="00A23629">
        <w:rPr>
          <w:lang w:eastAsia="ja-JP"/>
        </w:rPr>
        <w:t xml:space="preserve">short-term </w:t>
      </w:r>
      <w:r w:rsidR="00574F95" w:rsidRPr="00A23629">
        <w:rPr>
          <w:lang w:eastAsia="ja-JP"/>
        </w:rPr>
        <w:t xml:space="preserve">tests conducted at </w:t>
      </w:r>
      <w:r w:rsidR="00574F95" w:rsidRPr="00A23629">
        <w:t xml:space="preserve">≥25‰ salinity, and comprising toxicity values for </w:t>
      </w:r>
      <w:r w:rsidR="00620494" w:rsidRPr="00A23629">
        <w:t>1</w:t>
      </w:r>
      <w:r w:rsidR="00DA5348" w:rsidRPr="00A23629">
        <w:t>8</w:t>
      </w:r>
      <w:r>
        <w:t> </w:t>
      </w:r>
      <w:r w:rsidR="00574F95" w:rsidRPr="00A23629">
        <w:t xml:space="preserve">species from </w:t>
      </w:r>
      <w:r>
        <w:t>five </w:t>
      </w:r>
      <w:r w:rsidR="00574F95" w:rsidRPr="00A23629">
        <w:t>taxonomic groups</w:t>
      </w:r>
    </w:p>
    <w:p w14:paraId="3358A32F" w14:textId="30D5D8F0" w:rsidR="005138A3" w:rsidRDefault="005138A3" w:rsidP="005138A3">
      <w:pPr>
        <w:pStyle w:val="ListBullet"/>
      </w:pPr>
      <w:r>
        <w:rPr>
          <w:lang w:eastAsia="ja-JP"/>
        </w:rPr>
        <w:t>Dataset </w:t>
      </w:r>
      <w:r w:rsidR="00CD3F20" w:rsidRPr="00A23629">
        <w:t>2</w:t>
      </w:r>
      <w:r>
        <w:t>:</w:t>
      </w:r>
      <w:r w:rsidR="00CD3F20" w:rsidRPr="00A23629">
        <w:t xml:space="preserve"> </w:t>
      </w:r>
      <w:r>
        <w:t xml:space="preserve">based on </w:t>
      </w:r>
      <w:r w:rsidR="009328DC" w:rsidRPr="00A23629">
        <w:t>d</w:t>
      </w:r>
      <w:r w:rsidR="00CD3F20" w:rsidRPr="00A23629">
        <w:t>ataset</w:t>
      </w:r>
      <w:r>
        <w:t> </w:t>
      </w:r>
      <w:r w:rsidR="00CD3F20" w:rsidRPr="00A23629">
        <w:t xml:space="preserve">1 minus toxicity values </w:t>
      </w:r>
      <w:r w:rsidR="009B0408">
        <w:t>from</w:t>
      </w:r>
      <w:r w:rsidR="00CD3F20" w:rsidRPr="00A23629">
        <w:t xml:space="preserve"> static exposure tests </w:t>
      </w:r>
    </w:p>
    <w:p w14:paraId="6D4779B1" w14:textId="45014D95" w:rsidR="005138A3" w:rsidRDefault="00923956" w:rsidP="005138A3">
      <w:pPr>
        <w:pStyle w:val="ListBullet"/>
      </w:pPr>
      <w:r>
        <w:rPr>
          <w:lang w:eastAsia="ja-JP"/>
        </w:rPr>
        <w:t>D</w:t>
      </w:r>
      <w:r w:rsidR="005138A3">
        <w:rPr>
          <w:lang w:eastAsia="ja-JP"/>
        </w:rPr>
        <w:t>ataset</w:t>
      </w:r>
      <w:r w:rsidR="005138A3">
        <w:t> </w:t>
      </w:r>
      <w:r w:rsidR="00CD3F20" w:rsidRPr="00A23629">
        <w:t>3</w:t>
      </w:r>
      <w:r w:rsidR="005138A3">
        <w:t>:</w:t>
      </w:r>
      <w:r w:rsidR="00574F95" w:rsidRPr="00A23629">
        <w:t xml:space="preserve"> </w:t>
      </w:r>
      <w:r w:rsidR="00CD3F20" w:rsidRPr="00A23629">
        <w:rPr>
          <w:lang w:eastAsia="ja-JP"/>
        </w:rPr>
        <w:t>b</w:t>
      </w:r>
      <w:r w:rsidR="00574F95" w:rsidRPr="00A23629">
        <w:rPr>
          <w:lang w:eastAsia="ja-JP"/>
        </w:rPr>
        <w:t xml:space="preserve">ased on </w:t>
      </w:r>
      <w:r w:rsidR="00CD3F20" w:rsidRPr="00A23629">
        <w:rPr>
          <w:lang w:eastAsia="ja-JP"/>
        </w:rPr>
        <w:t xml:space="preserve">short-term </w:t>
      </w:r>
      <w:r w:rsidR="00574F95" w:rsidRPr="00A23629">
        <w:rPr>
          <w:lang w:eastAsia="ja-JP"/>
        </w:rPr>
        <w:t xml:space="preserve">tests conducted at </w:t>
      </w:r>
      <w:r w:rsidR="00574F95" w:rsidRPr="00A23629">
        <w:t xml:space="preserve">≥15‰ salinity, and comprising toxicity values for </w:t>
      </w:r>
      <w:r w:rsidR="00DA5348" w:rsidRPr="00A23629">
        <w:t>29</w:t>
      </w:r>
      <w:r w:rsidR="00F5533F">
        <w:t> </w:t>
      </w:r>
      <w:r w:rsidR="00574F95" w:rsidRPr="00A23629">
        <w:t xml:space="preserve">species from </w:t>
      </w:r>
      <w:r w:rsidR="005138A3">
        <w:t>five </w:t>
      </w:r>
      <w:r w:rsidR="00574F95" w:rsidRPr="00A23629">
        <w:t>taxonomic groups.</w:t>
      </w:r>
      <w:r w:rsidR="00CD3F20" w:rsidRPr="00A23629">
        <w:t xml:space="preserve"> </w:t>
      </w:r>
    </w:p>
    <w:p w14:paraId="21D2BA6B" w14:textId="4FE1C3D6" w:rsidR="00574F95" w:rsidRPr="00A23629" w:rsidRDefault="00CD3F20" w:rsidP="007D41E1">
      <w:pPr>
        <w:rPr>
          <w:lang w:eastAsia="ja-JP"/>
        </w:rPr>
      </w:pPr>
      <w:r w:rsidRPr="00A23629">
        <w:rPr>
          <w:rFonts w:cstheme="minorHAnsi"/>
        </w:rPr>
        <w:t>An assessment of the most appropriate dataset to use for the derivation of the DGVs is presented below.</w:t>
      </w:r>
      <w:r w:rsidR="001A614D" w:rsidRPr="00A23629">
        <w:rPr>
          <w:rFonts w:cstheme="minorHAnsi"/>
        </w:rPr>
        <w:t xml:space="preserve"> </w:t>
      </w:r>
      <w:r w:rsidR="005138A3">
        <w:rPr>
          <w:rFonts w:cstheme="minorHAnsi"/>
        </w:rPr>
        <w:t>T</w:t>
      </w:r>
      <w:r w:rsidR="001A614D" w:rsidRPr="00A23629">
        <w:rPr>
          <w:rFonts w:cstheme="minorHAnsi"/>
        </w:rPr>
        <w:t>he acute toxicity protective concentration</w:t>
      </w:r>
      <w:r w:rsidR="00F8067B">
        <w:rPr>
          <w:rFonts w:cstheme="minorHAnsi"/>
        </w:rPr>
        <w:t>s</w:t>
      </w:r>
      <w:r w:rsidR="001A614D" w:rsidRPr="00A23629">
        <w:rPr>
          <w:rFonts w:cstheme="minorHAnsi"/>
        </w:rPr>
        <w:t xml:space="preserve"> (PC</w:t>
      </w:r>
      <w:r w:rsidR="00F8067B">
        <w:rPr>
          <w:rFonts w:cstheme="minorHAnsi"/>
        </w:rPr>
        <w:t>s</w:t>
      </w:r>
      <w:r w:rsidR="001A614D" w:rsidRPr="00A23629">
        <w:rPr>
          <w:rFonts w:cstheme="minorHAnsi"/>
        </w:rPr>
        <w:t>) reported below have not been converted to chronic-equivalent PC</w:t>
      </w:r>
      <w:r w:rsidR="00F8067B">
        <w:rPr>
          <w:rFonts w:cstheme="minorHAnsi"/>
        </w:rPr>
        <w:t>s</w:t>
      </w:r>
      <w:r w:rsidR="001A614D" w:rsidRPr="00A23629">
        <w:rPr>
          <w:rFonts w:cstheme="minorHAnsi"/>
        </w:rPr>
        <w:t xml:space="preserve"> via the application of the ACR of 0.6 described in Section</w:t>
      </w:r>
      <w:r w:rsidR="000300D2">
        <w:rPr>
          <w:rFonts w:cstheme="minorHAnsi"/>
        </w:rPr>
        <w:t> </w:t>
      </w:r>
      <w:r w:rsidR="000300D2">
        <w:rPr>
          <w:rFonts w:cstheme="minorHAnsi"/>
        </w:rPr>
        <w:fldChar w:fldCharType="begin"/>
      </w:r>
      <w:r w:rsidR="000300D2">
        <w:rPr>
          <w:rFonts w:cstheme="minorHAnsi"/>
        </w:rPr>
        <w:instrText xml:space="preserve"> REF _Ref178602623 \r \h </w:instrText>
      </w:r>
      <w:r w:rsidR="000300D2">
        <w:rPr>
          <w:rFonts w:cstheme="minorHAnsi"/>
        </w:rPr>
      </w:r>
      <w:r w:rsidR="000300D2">
        <w:rPr>
          <w:rFonts w:cstheme="minorHAnsi"/>
        </w:rPr>
        <w:fldChar w:fldCharType="separate"/>
      </w:r>
      <w:r w:rsidR="003E6080">
        <w:rPr>
          <w:rFonts w:cstheme="minorHAnsi"/>
        </w:rPr>
        <w:t>4.1</w:t>
      </w:r>
      <w:r w:rsidR="000300D2">
        <w:rPr>
          <w:rFonts w:cstheme="minorHAnsi"/>
        </w:rPr>
        <w:fldChar w:fldCharType="end"/>
      </w:r>
      <w:r w:rsidR="001A614D" w:rsidRPr="00A23629">
        <w:rPr>
          <w:rFonts w:cstheme="minorHAnsi"/>
        </w:rPr>
        <w:t>.</w:t>
      </w:r>
    </w:p>
    <w:p w14:paraId="3BD823C3" w14:textId="2B3B087F" w:rsidR="00BE3009" w:rsidRPr="00A23629" w:rsidRDefault="00574F95" w:rsidP="007D41E1">
      <w:r w:rsidRPr="00A23629">
        <w:t>Using only the ≥25‰ acute toxicity data from flow-through or very short-term static tests (i.e. &lt;15</w:t>
      </w:r>
      <w:r w:rsidR="007D41E1">
        <w:t> </w:t>
      </w:r>
      <w:r w:rsidRPr="00A23629">
        <w:t xml:space="preserve">min) from </w:t>
      </w:r>
      <w:r w:rsidR="009D22BA">
        <w:fldChar w:fldCharType="begin"/>
      </w:r>
      <w:r w:rsidR="009D22BA">
        <w:instrText xml:space="preserve"> REF _Ref178601661 \h </w:instrText>
      </w:r>
      <w:r w:rsidR="009D22BA">
        <w:fldChar w:fldCharType="separate"/>
      </w:r>
      <w:r w:rsidR="003E6080">
        <w:t>Table A </w:t>
      </w:r>
      <w:r w:rsidR="003E6080">
        <w:rPr>
          <w:noProof/>
        </w:rPr>
        <w:t>1</w:t>
      </w:r>
      <w:r w:rsidR="009D22BA">
        <w:fldChar w:fldCharType="end"/>
      </w:r>
      <w:r w:rsidRPr="00A23629">
        <w:t>, an SSD was plotted (</w:t>
      </w:r>
      <w:r w:rsidR="00DA22B2">
        <w:fldChar w:fldCharType="begin"/>
      </w:r>
      <w:r w:rsidR="00DA22B2">
        <w:instrText xml:space="preserve"> REF _Ref178602375 \h </w:instrText>
      </w:r>
      <w:r w:rsidR="00DA22B2">
        <w:fldChar w:fldCharType="separate"/>
      </w:r>
      <w:r w:rsidR="003E6080">
        <w:t>Figure B </w:t>
      </w:r>
      <w:r w:rsidR="003E6080">
        <w:rPr>
          <w:noProof/>
        </w:rPr>
        <w:t>1</w:t>
      </w:r>
      <w:r w:rsidR="00DA22B2">
        <w:fldChar w:fldCharType="end"/>
      </w:r>
      <w:r w:rsidRPr="00A23629">
        <w:t xml:space="preserve">) and used to derive </w:t>
      </w:r>
      <w:r w:rsidR="001B5D90" w:rsidRPr="00A23629">
        <w:t>PC</w:t>
      </w:r>
      <w:r w:rsidR="00F8067B">
        <w:t>s</w:t>
      </w:r>
      <w:r w:rsidRPr="00A23629">
        <w:t xml:space="preserve">. </w:t>
      </w:r>
      <w:r w:rsidR="001B5D90" w:rsidRPr="00A23629">
        <w:t>The PC</w:t>
      </w:r>
      <w:r w:rsidR="00F8067B">
        <w:t>s</w:t>
      </w:r>
      <w:r w:rsidR="001B5D90" w:rsidRPr="00A23629">
        <w:t xml:space="preserve"> for 99</w:t>
      </w:r>
      <w:r w:rsidR="005138A3" w:rsidRPr="00A23629">
        <w:t>%</w:t>
      </w:r>
      <w:r w:rsidR="001B5D90" w:rsidRPr="00A23629">
        <w:t>, 95</w:t>
      </w:r>
      <w:r w:rsidR="005138A3" w:rsidRPr="00A23629">
        <w:t>%</w:t>
      </w:r>
      <w:r w:rsidR="001B5D90" w:rsidRPr="00A23629">
        <w:t>, 90</w:t>
      </w:r>
      <w:r w:rsidR="005138A3" w:rsidRPr="00A23629">
        <w:t>%</w:t>
      </w:r>
      <w:r w:rsidR="001B5D90" w:rsidRPr="00A23629">
        <w:t xml:space="preserve"> and 80% species protection were</w:t>
      </w:r>
      <w:r w:rsidRPr="00A23629">
        <w:t xml:space="preserve"> </w:t>
      </w:r>
      <w:r w:rsidR="0092509E" w:rsidRPr="00A23629">
        <w:t>6.</w:t>
      </w:r>
      <w:r w:rsidR="00DA5348" w:rsidRPr="00A23629">
        <w:t>1</w:t>
      </w:r>
      <w:r w:rsidR="005138A3">
        <w:t> </w:t>
      </w:r>
      <w:r w:rsidR="005138A3" w:rsidRPr="00A23629">
        <w:t>µg/L</w:t>
      </w:r>
      <w:r w:rsidRPr="00A23629">
        <w:t xml:space="preserve">, </w:t>
      </w:r>
      <w:r w:rsidR="0092509E" w:rsidRPr="00A23629">
        <w:t>1</w:t>
      </w:r>
      <w:r w:rsidR="00DA5348" w:rsidRPr="00A23629">
        <w:t>5</w:t>
      </w:r>
      <w:r w:rsidR="005138A3">
        <w:t> </w:t>
      </w:r>
      <w:r w:rsidR="005138A3" w:rsidRPr="00A23629">
        <w:t>µg/L</w:t>
      </w:r>
      <w:r w:rsidR="00CD3F20" w:rsidRPr="00A23629">
        <w:t xml:space="preserve">, </w:t>
      </w:r>
      <w:r w:rsidR="0092509E" w:rsidRPr="00A23629">
        <w:t>2</w:t>
      </w:r>
      <w:r w:rsidR="00DA5348" w:rsidRPr="00A23629">
        <w:t>4</w:t>
      </w:r>
      <w:r w:rsidR="005138A3">
        <w:t> </w:t>
      </w:r>
      <w:r w:rsidR="005138A3" w:rsidRPr="00A23629">
        <w:t>µg/L</w:t>
      </w:r>
      <w:r w:rsidR="0092509E" w:rsidRPr="00A23629">
        <w:t xml:space="preserve"> </w:t>
      </w:r>
      <w:r w:rsidR="00CD3F20" w:rsidRPr="00A23629">
        <w:t xml:space="preserve">and </w:t>
      </w:r>
      <w:r w:rsidR="0092509E" w:rsidRPr="00A23629">
        <w:t>4</w:t>
      </w:r>
      <w:r w:rsidR="00DA5348" w:rsidRPr="00A23629">
        <w:t>0</w:t>
      </w:r>
      <w:r w:rsidR="00F76A1E">
        <w:t> </w:t>
      </w:r>
      <w:r w:rsidRPr="00A23629">
        <w:t>µg/L</w:t>
      </w:r>
      <w:r w:rsidR="005E118D">
        <w:t xml:space="preserve"> (as CPO)</w:t>
      </w:r>
      <w:r w:rsidR="001B5D90" w:rsidRPr="00A23629">
        <w:t>,</w:t>
      </w:r>
      <w:r w:rsidRPr="00A23629">
        <w:t xml:space="preserve"> respectively (</w:t>
      </w:r>
      <w:r w:rsidR="009D22BA">
        <w:fldChar w:fldCharType="begin"/>
      </w:r>
      <w:r w:rsidR="009D22BA">
        <w:instrText xml:space="preserve"> REF _Ref178601797 \h </w:instrText>
      </w:r>
      <w:r w:rsidR="009D22BA">
        <w:fldChar w:fldCharType="separate"/>
      </w:r>
      <w:r w:rsidR="003E6080">
        <w:t>Table B </w:t>
      </w:r>
      <w:r w:rsidR="003E6080">
        <w:rPr>
          <w:noProof/>
        </w:rPr>
        <w:t>1</w:t>
      </w:r>
      <w:r w:rsidR="009D22BA">
        <w:fldChar w:fldCharType="end"/>
      </w:r>
      <w:r w:rsidRPr="00A23629">
        <w:t xml:space="preserve">). </w:t>
      </w:r>
    </w:p>
    <w:p w14:paraId="4C4FF075" w14:textId="48236530" w:rsidR="00574F95" w:rsidRPr="00A23629" w:rsidRDefault="00574F95" w:rsidP="00F76A1E">
      <w:r w:rsidRPr="00A23629">
        <w:t xml:space="preserve">If data from </w:t>
      </w:r>
      <w:r w:rsidR="00CD3F20" w:rsidRPr="00A23629">
        <w:t xml:space="preserve">static tests </w:t>
      </w:r>
      <w:r w:rsidRPr="00A23629">
        <w:t xml:space="preserve">were omitted, the </w:t>
      </w:r>
      <w:r w:rsidR="00F576CF">
        <w:t>PCs</w:t>
      </w:r>
      <w:r w:rsidRPr="00A23629">
        <w:t xml:space="preserve"> for 99</w:t>
      </w:r>
      <w:r w:rsidR="00E807B5" w:rsidRPr="00A23629">
        <w:t>%</w:t>
      </w:r>
      <w:r w:rsidRPr="00A23629">
        <w:t xml:space="preserve"> and 95% species protection increased to </w:t>
      </w:r>
      <w:r w:rsidR="00B86534" w:rsidRPr="00A23629">
        <w:t>20</w:t>
      </w:r>
      <w:r w:rsidR="00F576CF">
        <w:t> </w:t>
      </w:r>
      <w:r w:rsidR="00F576CF" w:rsidRPr="00A23629">
        <w:t>µg/L</w:t>
      </w:r>
      <w:r w:rsidR="00B86534" w:rsidRPr="00A23629">
        <w:t xml:space="preserve"> </w:t>
      </w:r>
      <w:r w:rsidRPr="00A23629">
        <w:t>and 3</w:t>
      </w:r>
      <w:r w:rsidR="00B86534" w:rsidRPr="00A23629">
        <w:t>0</w:t>
      </w:r>
      <w:r w:rsidR="00F76A1E">
        <w:t> </w:t>
      </w:r>
      <w:r w:rsidRPr="00A23629">
        <w:t xml:space="preserve">µg/L </w:t>
      </w:r>
      <w:r w:rsidR="004C3ED6">
        <w:t>(as CPO)</w:t>
      </w:r>
      <w:r w:rsidR="007B54F5">
        <w:t>,</w:t>
      </w:r>
      <w:r w:rsidR="004C3ED6">
        <w:t xml:space="preserve"> </w:t>
      </w:r>
      <w:r w:rsidRPr="00A23629">
        <w:t>respectively</w:t>
      </w:r>
      <w:r w:rsidR="009328DC" w:rsidRPr="00A23629">
        <w:t>.</w:t>
      </w:r>
      <w:r w:rsidR="002E682E" w:rsidRPr="00A23629">
        <w:t xml:space="preserve"> </w:t>
      </w:r>
      <w:r w:rsidR="009328DC" w:rsidRPr="00A23629">
        <w:t>This increase was l</w:t>
      </w:r>
      <w:r w:rsidRPr="00A23629">
        <w:t xml:space="preserve">argely due to the removal of the most sensitive endpoint, which </w:t>
      </w:r>
      <w:r w:rsidR="0092509E" w:rsidRPr="00A23629">
        <w:t xml:space="preserve">was from a </w:t>
      </w:r>
      <w:r w:rsidRPr="00A23629">
        <w:t xml:space="preserve">static test using </w:t>
      </w:r>
      <w:r w:rsidR="0092509E" w:rsidRPr="00A23629">
        <w:t>a sand dollar</w:t>
      </w:r>
      <w:r w:rsidRPr="00A23629">
        <w:t xml:space="preserve"> species</w:t>
      </w:r>
      <w:r w:rsidR="00763D0E" w:rsidRPr="00A23629">
        <w:t xml:space="preserve">. </w:t>
      </w:r>
      <w:r w:rsidR="009E335A">
        <w:t xml:space="preserve">Therefore, this species was included in the dataset used for the DGV derivation (see </w:t>
      </w:r>
      <w:r w:rsidR="003924E1">
        <w:fldChar w:fldCharType="begin"/>
      </w:r>
      <w:r w:rsidR="003924E1">
        <w:instrText xml:space="preserve"> REF _Ref178602665 \h </w:instrText>
      </w:r>
      <w:r w:rsidR="003924E1">
        <w:fldChar w:fldCharType="separate"/>
      </w:r>
      <w:r w:rsidR="003E6080" w:rsidRPr="000C7ECF">
        <w:t>Appendix</w:t>
      </w:r>
      <w:r w:rsidR="003E6080">
        <w:t> A</w:t>
      </w:r>
      <w:r w:rsidR="003E6080" w:rsidRPr="000C7ECF">
        <w:t xml:space="preserve">: </w:t>
      </w:r>
      <w:r w:rsidR="003E6080">
        <w:t>T</w:t>
      </w:r>
      <w:r w:rsidR="003E6080" w:rsidRPr="000C7ECF">
        <w:t xml:space="preserve">oxicity data that passed the screening and quality </w:t>
      </w:r>
      <w:r w:rsidR="003E6080">
        <w:t xml:space="preserve">assessment </w:t>
      </w:r>
      <w:r w:rsidR="003E6080" w:rsidRPr="00D2581F">
        <w:t>and were used to derive the default guideline values</w:t>
      </w:r>
      <w:r w:rsidR="003924E1">
        <w:fldChar w:fldCharType="end"/>
      </w:r>
      <w:r w:rsidR="009E335A">
        <w:t>).</w:t>
      </w:r>
      <w:r w:rsidR="00A73AD4" w:rsidRPr="00A23629">
        <w:t xml:space="preserve"> </w:t>
      </w:r>
    </w:p>
    <w:p w14:paraId="4863E46C" w14:textId="43A3AEAB" w:rsidR="000E0052" w:rsidRPr="00A23629" w:rsidRDefault="007342F3" w:rsidP="00F76A1E">
      <w:pPr>
        <w:rPr>
          <w:rFonts w:eastAsia="Times New Roman"/>
        </w:rPr>
      </w:pPr>
      <w:r w:rsidRPr="00A23629">
        <w:t xml:space="preserve">Given there were considerable additional </w:t>
      </w:r>
      <w:r w:rsidR="001C3DCF" w:rsidRPr="00A23629">
        <w:t xml:space="preserve">chlorine toxicity </w:t>
      </w:r>
      <w:r w:rsidRPr="00A23629">
        <w:t xml:space="preserve">data for </w:t>
      </w:r>
      <w:r w:rsidR="00EE62CF">
        <w:t>salinity</w:t>
      </w:r>
      <w:r w:rsidRPr="00A23629">
        <w:t xml:space="preserve"> between 15</w:t>
      </w:r>
      <w:r w:rsidR="00EE62CF" w:rsidRPr="00A23629">
        <w:t>‰</w:t>
      </w:r>
      <w:r w:rsidRPr="00A23629">
        <w:t xml:space="preserve"> and 25‰, </w:t>
      </w:r>
      <w:r w:rsidR="00EE62CF">
        <w:t xml:space="preserve">the </w:t>
      </w:r>
      <w:r w:rsidRPr="00A23629">
        <w:t xml:space="preserve">differences in the toxicity of chlorine </w:t>
      </w:r>
      <w:r w:rsidR="00A7751B" w:rsidRPr="00A23629">
        <w:t>between</w:t>
      </w:r>
      <w:r w:rsidRPr="00A23629">
        <w:t xml:space="preserve"> </w:t>
      </w:r>
      <w:r w:rsidR="005D12A8">
        <w:rPr>
          <w:rFonts w:cstheme="minorHAnsi"/>
        </w:rPr>
        <w:t>≥</w:t>
      </w:r>
      <w:r w:rsidR="005D12A8">
        <w:t>15</w:t>
      </w:r>
      <w:r w:rsidR="004B0FCB">
        <w:t>–</w:t>
      </w:r>
      <w:r w:rsidR="005D12A8">
        <w:rPr>
          <w:rFonts w:cstheme="minorHAnsi"/>
        </w:rPr>
        <w:t>&lt;25</w:t>
      </w:r>
      <w:r w:rsidRPr="00A23629">
        <w:t>‰ and ≥25‰ salinity were assessed, with a view to potentially combin</w:t>
      </w:r>
      <w:r w:rsidR="00576EA5">
        <w:t>e</w:t>
      </w:r>
      <w:r w:rsidRPr="00A23629">
        <w:t xml:space="preserve"> the datasets</w:t>
      </w:r>
      <w:r w:rsidRPr="00A23629">
        <w:rPr>
          <w:rFonts w:eastAsia="Times New Roman"/>
        </w:rPr>
        <w:t xml:space="preserve"> </w:t>
      </w:r>
      <w:r w:rsidR="00574F95" w:rsidRPr="00A23629">
        <w:rPr>
          <w:rFonts w:eastAsia="Times New Roman"/>
        </w:rPr>
        <w:t>(</w:t>
      </w:r>
      <w:r w:rsidR="009D22BA">
        <w:rPr>
          <w:rFonts w:eastAsia="Times New Roman"/>
        </w:rPr>
        <w:fldChar w:fldCharType="begin"/>
      </w:r>
      <w:r w:rsidR="009D22BA">
        <w:rPr>
          <w:rFonts w:eastAsia="Times New Roman"/>
        </w:rPr>
        <w:instrText xml:space="preserve"> REF _Ref178601661 \h </w:instrText>
      </w:r>
      <w:r w:rsidR="009D22BA">
        <w:rPr>
          <w:rFonts w:eastAsia="Times New Roman"/>
        </w:rPr>
      </w:r>
      <w:r w:rsidR="009D22BA">
        <w:rPr>
          <w:rFonts w:eastAsia="Times New Roman"/>
        </w:rPr>
        <w:fldChar w:fldCharType="separate"/>
      </w:r>
      <w:r w:rsidR="003E6080">
        <w:t>Table A </w:t>
      </w:r>
      <w:r w:rsidR="003E6080">
        <w:rPr>
          <w:noProof/>
        </w:rPr>
        <w:t>1</w:t>
      </w:r>
      <w:r w:rsidR="009D22BA">
        <w:rPr>
          <w:rFonts w:eastAsia="Times New Roman"/>
        </w:rPr>
        <w:fldChar w:fldCharType="end"/>
      </w:r>
      <w:r w:rsidR="009D22BA">
        <w:rPr>
          <w:rFonts w:eastAsia="Times New Roman"/>
        </w:rPr>
        <w:t xml:space="preserve"> and </w:t>
      </w:r>
      <w:r w:rsidR="009D22BA">
        <w:rPr>
          <w:rFonts w:eastAsia="Times New Roman"/>
        </w:rPr>
        <w:fldChar w:fldCharType="begin"/>
      </w:r>
      <w:r w:rsidR="009D22BA">
        <w:rPr>
          <w:rFonts w:eastAsia="Times New Roman"/>
        </w:rPr>
        <w:instrText xml:space="preserve"> REF _Ref178601673 \h </w:instrText>
      </w:r>
      <w:r w:rsidR="009D22BA">
        <w:rPr>
          <w:rFonts w:eastAsia="Times New Roman"/>
        </w:rPr>
      </w:r>
      <w:r w:rsidR="009D22BA">
        <w:rPr>
          <w:rFonts w:eastAsia="Times New Roman"/>
        </w:rPr>
        <w:fldChar w:fldCharType="separate"/>
      </w:r>
      <w:r w:rsidR="003E6080">
        <w:t>Table A </w:t>
      </w:r>
      <w:r w:rsidR="003E6080">
        <w:rPr>
          <w:noProof/>
        </w:rPr>
        <w:t>2</w:t>
      </w:r>
      <w:r w:rsidR="009D22BA">
        <w:rPr>
          <w:rFonts w:eastAsia="Times New Roman"/>
        </w:rPr>
        <w:fldChar w:fldCharType="end"/>
      </w:r>
      <w:r w:rsidR="00574F95" w:rsidRPr="00A23629">
        <w:rPr>
          <w:rFonts w:eastAsia="Times New Roman"/>
        </w:rPr>
        <w:t xml:space="preserve">), assuming that the lowered salinity did not result in </w:t>
      </w:r>
      <w:r w:rsidR="009F1C76" w:rsidRPr="00A23629">
        <w:rPr>
          <w:rFonts w:eastAsia="Times New Roman"/>
        </w:rPr>
        <w:t xml:space="preserve">different </w:t>
      </w:r>
      <w:r w:rsidR="00574F95" w:rsidRPr="00A23629">
        <w:rPr>
          <w:rFonts w:eastAsia="Times New Roman"/>
        </w:rPr>
        <w:t xml:space="preserve">toxicity. </w:t>
      </w:r>
      <w:r w:rsidR="009328DC" w:rsidRPr="00A23629">
        <w:rPr>
          <w:rFonts w:eastAsia="Times New Roman"/>
        </w:rPr>
        <w:t xml:space="preserve">This required a comparison </w:t>
      </w:r>
      <w:r w:rsidR="00653E85" w:rsidRPr="00A23629">
        <w:rPr>
          <w:rFonts w:eastAsia="Times New Roman"/>
        </w:rPr>
        <w:t>between</w:t>
      </w:r>
      <w:r w:rsidR="009328DC" w:rsidRPr="00A23629">
        <w:rPr>
          <w:rFonts w:eastAsia="Times New Roman"/>
        </w:rPr>
        <w:t xml:space="preserve"> the </w:t>
      </w:r>
      <w:bookmarkStart w:id="58" w:name="_Hlk33086413"/>
      <w:r w:rsidR="00653E85" w:rsidRPr="00A23629">
        <w:rPr>
          <w:rFonts w:eastAsia="Times New Roman"/>
        </w:rPr>
        <w:t>≥25</w:t>
      </w:r>
      <w:r w:rsidR="00653E85" w:rsidRPr="00A23629">
        <w:rPr>
          <w:rFonts w:eastAsia="Calibri"/>
          <w:bCs/>
          <w:color w:val="000000"/>
          <w:lang w:eastAsia="en-AU"/>
        </w:rPr>
        <w:t xml:space="preserve">‰ </w:t>
      </w:r>
      <w:bookmarkEnd w:id="58"/>
      <w:r w:rsidR="00653E85" w:rsidRPr="00A23629">
        <w:rPr>
          <w:rFonts w:eastAsia="Calibri"/>
          <w:bCs/>
          <w:color w:val="000000"/>
          <w:lang w:eastAsia="en-AU"/>
        </w:rPr>
        <w:t>and 15</w:t>
      </w:r>
      <w:r w:rsidR="00F5533F">
        <w:rPr>
          <w:rFonts w:eastAsia="Calibri"/>
          <w:bCs/>
          <w:color w:val="000000"/>
          <w:lang w:eastAsia="en-AU"/>
        </w:rPr>
        <w:t>–</w:t>
      </w:r>
      <w:r w:rsidR="003E30B3">
        <w:rPr>
          <w:rFonts w:cstheme="minorHAnsi"/>
        </w:rPr>
        <w:t>&lt;25</w:t>
      </w:r>
      <w:r w:rsidR="00653E85" w:rsidRPr="00A23629">
        <w:rPr>
          <w:rFonts w:eastAsia="Calibri"/>
          <w:bCs/>
          <w:color w:val="000000"/>
          <w:lang w:eastAsia="en-AU"/>
        </w:rPr>
        <w:t xml:space="preserve">‰ salinity datasets. </w:t>
      </w:r>
      <w:r w:rsidR="00BE3009" w:rsidRPr="00A23629">
        <w:rPr>
          <w:rFonts w:eastAsia="Calibri"/>
          <w:bCs/>
          <w:color w:val="000000"/>
          <w:lang w:eastAsia="en-AU"/>
        </w:rPr>
        <w:t>The SSD</w:t>
      </w:r>
      <w:r w:rsidR="000E0052" w:rsidRPr="00A23629">
        <w:rPr>
          <w:rFonts w:eastAsia="Calibri"/>
          <w:bCs/>
          <w:color w:val="000000"/>
          <w:lang w:eastAsia="en-AU"/>
        </w:rPr>
        <w:t xml:space="preserve"> of</w:t>
      </w:r>
      <w:r w:rsidR="00F15A91" w:rsidRPr="00A23629">
        <w:rPr>
          <w:rFonts w:eastAsia="Calibri"/>
          <w:bCs/>
          <w:color w:val="000000"/>
          <w:lang w:eastAsia="en-AU"/>
        </w:rPr>
        <w:t xml:space="preserve"> the </w:t>
      </w:r>
      <w:r w:rsidR="000E0052" w:rsidRPr="00A23629">
        <w:rPr>
          <w:rFonts w:eastAsia="Calibri"/>
          <w:bCs/>
          <w:color w:val="000000"/>
          <w:lang w:eastAsia="en-AU"/>
        </w:rPr>
        <w:t>11</w:t>
      </w:r>
      <w:r w:rsidR="0031566C">
        <w:rPr>
          <w:rFonts w:eastAsia="Calibri"/>
          <w:bCs/>
          <w:color w:val="000000"/>
          <w:lang w:eastAsia="en-AU"/>
        </w:rPr>
        <w:t> </w:t>
      </w:r>
      <w:r w:rsidR="00C87C86">
        <w:rPr>
          <w:rFonts w:eastAsia="Calibri"/>
          <w:bCs/>
          <w:color w:val="000000"/>
          <w:lang w:eastAsia="en-AU"/>
        </w:rPr>
        <w:t>values</w:t>
      </w:r>
      <w:r w:rsidR="00C87C86" w:rsidRPr="00A23629">
        <w:rPr>
          <w:rFonts w:eastAsia="Calibri"/>
          <w:bCs/>
          <w:color w:val="000000"/>
          <w:lang w:eastAsia="en-AU"/>
        </w:rPr>
        <w:t xml:space="preserve"> </w:t>
      </w:r>
      <w:r w:rsidR="000E0052" w:rsidRPr="00A23629">
        <w:rPr>
          <w:rFonts w:eastAsia="Calibri"/>
          <w:bCs/>
          <w:color w:val="000000"/>
          <w:lang w:eastAsia="en-AU"/>
        </w:rPr>
        <w:t xml:space="preserve">in </w:t>
      </w:r>
      <w:r w:rsidR="009D22BA">
        <w:rPr>
          <w:rFonts w:eastAsia="Calibri"/>
          <w:bCs/>
          <w:color w:val="000000"/>
          <w:lang w:eastAsia="en-AU"/>
        </w:rPr>
        <w:fldChar w:fldCharType="begin"/>
      </w:r>
      <w:r w:rsidR="009D22BA">
        <w:rPr>
          <w:rFonts w:eastAsia="Calibri"/>
          <w:bCs/>
          <w:color w:val="000000"/>
          <w:lang w:eastAsia="en-AU"/>
        </w:rPr>
        <w:instrText xml:space="preserve"> REF _Ref178601673 \h </w:instrText>
      </w:r>
      <w:r w:rsidR="009D22BA">
        <w:rPr>
          <w:rFonts w:eastAsia="Calibri"/>
          <w:bCs/>
          <w:color w:val="000000"/>
          <w:lang w:eastAsia="en-AU"/>
        </w:rPr>
      </w:r>
      <w:r w:rsidR="009D22BA">
        <w:rPr>
          <w:rFonts w:eastAsia="Calibri"/>
          <w:bCs/>
          <w:color w:val="000000"/>
          <w:lang w:eastAsia="en-AU"/>
        </w:rPr>
        <w:fldChar w:fldCharType="separate"/>
      </w:r>
      <w:r w:rsidR="003E6080">
        <w:t>Table A </w:t>
      </w:r>
      <w:r w:rsidR="003E6080">
        <w:rPr>
          <w:noProof/>
        </w:rPr>
        <w:t>2</w:t>
      </w:r>
      <w:r w:rsidR="009D22BA">
        <w:rPr>
          <w:rFonts w:eastAsia="Calibri"/>
          <w:bCs/>
          <w:color w:val="000000"/>
          <w:lang w:eastAsia="en-AU"/>
        </w:rPr>
        <w:fldChar w:fldCharType="end"/>
      </w:r>
      <w:r w:rsidR="000E0052" w:rsidRPr="00A23629">
        <w:rPr>
          <w:rFonts w:eastAsia="Calibri"/>
          <w:bCs/>
          <w:color w:val="000000"/>
          <w:lang w:eastAsia="en-AU"/>
        </w:rPr>
        <w:t xml:space="preserve"> for salinit</w:t>
      </w:r>
      <w:r w:rsidR="0031566C">
        <w:rPr>
          <w:rFonts w:eastAsia="Calibri"/>
          <w:bCs/>
          <w:color w:val="000000"/>
          <w:lang w:eastAsia="en-AU"/>
        </w:rPr>
        <w:t>y</w:t>
      </w:r>
      <w:r w:rsidR="000E0052" w:rsidRPr="00A23629">
        <w:rPr>
          <w:rFonts w:eastAsia="Calibri"/>
          <w:bCs/>
          <w:color w:val="000000"/>
          <w:lang w:eastAsia="en-AU"/>
        </w:rPr>
        <w:t xml:space="preserve"> 15</w:t>
      </w:r>
      <w:r w:rsidR="00F5533F">
        <w:rPr>
          <w:rFonts w:eastAsia="Calibri"/>
          <w:bCs/>
          <w:color w:val="000000"/>
          <w:lang w:eastAsia="en-AU"/>
        </w:rPr>
        <w:t>–</w:t>
      </w:r>
      <w:r w:rsidR="003E30B3">
        <w:rPr>
          <w:rFonts w:cstheme="minorHAnsi"/>
        </w:rPr>
        <w:t>&lt;25</w:t>
      </w:r>
      <w:r w:rsidR="000E0052" w:rsidRPr="00A23629">
        <w:rPr>
          <w:rFonts w:eastAsia="Calibri"/>
          <w:bCs/>
          <w:color w:val="000000"/>
          <w:lang w:eastAsia="en-AU"/>
        </w:rPr>
        <w:t xml:space="preserve">‰ </w:t>
      </w:r>
      <w:r w:rsidR="00BE3009" w:rsidRPr="00A23629">
        <w:rPr>
          <w:rFonts w:eastAsia="Calibri"/>
          <w:bCs/>
          <w:color w:val="000000"/>
          <w:lang w:eastAsia="en-AU"/>
        </w:rPr>
        <w:t>(</w:t>
      </w:r>
      <w:r w:rsidR="00DA22B2">
        <w:rPr>
          <w:rFonts w:eastAsia="Calibri"/>
          <w:bCs/>
          <w:color w:val="000000"/>
          <w:lang w:eastAsia="en-AU"/>
        </w:rPr>
        <w:fldChar w:fldCharType="begin"/>
      </w:r>
      <w:r w:rsidR="00DA22B2">
        <w:rPr>
          <w:rFonts w:eastAsia="Calibri"/>
          <w:bCs/>
          <w:color w:val="000000"/>
          <w:lang w:eastAsia="en-AU"/>
        </w:rPr>
        <w:instrText xml:space="preserve"> REF _Ref178602386 \h </w:instrText>
      </w:r>
      <w:r w:rsidR="00DA22B2">
        <w:rPr>
          <w:rFonts w:eastAsia="Calibri"/>
          <w:bCs/>
          <w:color w:val="000000"/>
          <w:lang w:eastAsia="en-AU"/>
        </w:rPr>
      </w:r>
      <w:r w:rsidR="00DA22B2">
        <w:rPr>
          <w:rFonts w:eastAsia="Calibri"/>
          <w:bCs/>
          <w:color w:val="000000"/>
          <w:lang w:eastAsia="en-AU"/>
        </w:rPr>
        <w:fldChar w:fldCharType="separate"/>
      </w:r>
      <w:r w:rsidR="003E6080">
        <w:t>Figure B </w:t>
      </w:r>
      <w:r w:rsidR="003E6080">
        <w:rPr>
          <w:noProof/>
        </w:rPr>
        <w:t>2</w:t>
      </w:r>
      <w:r w:rsidR="00DA22B2">
        <w:rPr>
          <w:rFonts w:eastAsia="Calibri"/>
          <w:bCs/>
          <w:color w:val="000000"/>
          <w:lang w:eastAsia="en-AU"/>
        </w:rPr>
        <w:fldChar w:fldCharType="end"/>
      </w:r>
      <w:r w:rsidR="00BE3009" w:rsidRPr="00A23629">
        <w:rPr>
          <w:rFonts w:eastAsia="Calibri"/>
          <w:bCs/>
          <w:color w:val="000000"/>
          <w:lang w:eastAsia="en-AU"/>
        </w:rPr>
        <w:t xml:space="preserve">) </w:t>
      </w:r>
      <w:r w:rsidR="000E0052" w:rsidRPr="00A23629">
        <w:rPr>
          <w:rFonts w:eastAsia="Calibri"/>
          <w:bCs/>
          <w:color w:val="000000"/>
          <w:lang w:eastAsia="en-AU"/>
        </w:rPr>
        <w:t xml:space="preserve">gave </w:t>
      </w:r>
      <w:r w:rsidR="00BE3009" w:rsidRPr="00A23629">
        <w:rPr>
          <w:rFonts w:eastAsia="Calibri"/>
          <w:bCs/>
          <w:color w:val="000000"/>
          <w:lang w:eastAsia="en-AU"/>
        </w:rPr>
        <w:t>PC</w:t>
      </w:r>
      <w:r w:rsidR="00F8067B">
        <w:rPr>
          <w:rFonts w:eastAsia="Calibri"/>
          <w:bCs/>
          <w:color w:val="000000"/>
          <w:lang w:eastAsia="en-AU"/>
        </w:rPr>
        <w:t>s</w:t>
      </w:r>
      <w:r w:rsidR="000E0052" w:rsidRPr="00A23629">
        <w:rPr>
          <w:rFonts w:eastAsia="Calibri"/>
          <w:bCs/>
          <w:color w:val="000000"/>
          <w:lang w:eastAsia="en-AU"/>
        </w:rPr>
        <w:t xml:space="preserve"> </w:t>
      </w:r>
      <w:r w:rsidR="00F0454F" w:rsidRPr="00A23629">
        <w:rPr>
          <w:rFonts w:eastAsia="Calibri"/>
          <w:bCs/>
          <w:color w:val="000000"/>
          <w:lang w:eastAsia="en-AU"/>
        </w:rPr>
        <w:t xml:space="preserve">of </w:t>
      </w:r>
      <w:r w:rsidR="00F0454F" w:rsidRPr="00A23629">
        <w:t>3.</w:t>
      </w:r>
      <w:r w:rsidR="0092509E" w:rsidRPr="00A23629">
        <w:t>2</w:t>
      </w:r>
      <w:r w:rsidR="0031566C">
        <w:t> </w:t>
      </w:r>
      <w:r w:rsidR="0031566C" w:rsidRPr="00A23629">
        <w:t>µg/L</w:t>
      </w:r>
      <w:r w:rsidR="00F0454F" w:rsidRPr="00A23629">
        <w:t>, 15</w:t>
      </w:r>
      <w:r w:rsidR="0031566C">
        <w:t> </w:t>
      </w:r>
      <w:r w:rsidR="0031566C" w:rsidRPr="00A23629">
        <w:t>µg/L</w:t>
      </w:r>
      <w:r w:rsidR="00F0454F" w:rsidRPr="00A23629">
        <w:t xml:space="preserve">, </w:t>
      </w:r>
      <w:r w:rsidR="0092509E" w:rsidRPr="00A23629">
        <w:t>29</w:t>
      </w:r>
      <w:r w:rsidR="0031566C">
        <w:t> </w:t>
      </w:r>
      <w:r w:rsidR="0031566C" w:rsidRPr="00A23629">
        <w:t>µg/L</w:t>
      </w:r>
      <w:r w:rsidR="0092509E" w:rsidRPr="00A23629">
        <w:t xml:space="preserve"> </w:t>
      </w:r>
      <w:r w:rsidR="00F0454F" w:rsidRPr="00A23629">
        <w:t>and 5</w:t>
      </w:r>
      <w:r w:rsidR="0092509E" w:rsidRPr="00A23629">
        <w:t>7</w:t>
      </w:r>
      <w:r w:rsidR="00F5533F">
        <w:t> </w:t>
      </w:r>
      <w:r w:rsidR="00F0454F" w:rsidRPr="00A23629">
        <w:t xml:space="preserve">µg/L </w:t>
      </w:r>
      <w:r w:rsidR="003C4D5D">
        <w:t xml:space="preserve">(as CPO) </w:t>
      </w:r>
      <w:r w:rsidR="00F0454F" w:rsidRPr="00A23629">
        <w:t>for 99</w:t>
      </w:r>
      <w:r w:rsidR="0031566C" w:rsidRPr="00A23629">
        <w:t>%</w:t>
      </w:r>
      <w:r w:rsidR="00F0454F" w:rsidRPr="00A23629">
        <w:t>, 95</w:t>
      </w:r>
      <w:r w:rsidR="0031566C" w:rsidRPr="00A23629">
        <w:t>%</w:t>
      </w:r>
      <w:r w:rsidR="00F0454F" w:rsidRPr="00A23629">
        <w:t>, 90</w:t>
      </w:r>
      <w:r w:rsidR="0031566C" w:rsidRPr="00A23629">
        <w:t>%</w:t>
      </w:r>
      <w:r w:rsidR="00F0454F" w:rsidRPr="00A23629">
        <w:t xml:space="preserve"> and 80% protection, respectively</w:t>
      </w:r>
      <w:r w:rsidR="00F0454F" w:rsidRPr="00A23629">
        <w:rPr>
          <w:rFonts w:eastAsia="Calibri"/>
          <w:bCs/>
          <w:color w:val="000000"/>
          <w:lang w:eastAsia="en-AU"/>
        </w:rPr>
        <w:t xml:space="preserve"> </w:t>
      </w:r>
      <w:r w:rsidR="00BE3009" w:rsidRPr="00A23629">
        <w:rPr>
          <w:rFonts w:eastAsia="Calibri"/>
          <w:bCs/>
          <w:color w:val="000000"/>
          <w:lang w:eastAsia="en-AU"/>
        </w:rPr>
        <w:t>(</w:t>
      </w:r>
      <w:r w:rsidR="009D22BA">
        <w:rPr>
          <w:rFonts w:eastAsia="Calibri"/>
          <w:bCs/>
          <w:color w:val="000000"/>
          <w:lang w:eastAsia="en-AU"/>
        </w:rPr>
        <w:fldChar w:fldCharType="begin"/>
      </w:r>
      <w:r w:rsidR="009D22BA">
        <w:rPr>
          <w:rFonts w:eastAsia="Calibri"/>
          <w:bCs/>
          <w:color w:val="000000"/>
          <w:lang w:eastAsia="en-AU"/>
        </w:rPr>
        <w:instrText xml:space="preserve"> REF _Ref178601797 \h </w:instrText>
      </w:r>
      <w:r w:rsidR="009D22BA">
        <w:rPr>
          <w:rFonts w:eastAsia="Calibri"/>
          <w:bCs/>
          <w:color w:val="000000"/>
          <w:lang w:eastAsia="en-AU"/>
        </w:rPr>
      </w:r>
      <w:r w:rsidR="009D22BA">
        <w:rPr>
          <w:rFonts w:eastAsia="Calibri"/>
          <w:bCs/>
          <w:color w:val="000000"/>
          <w:lang w:eastAsia="en-AU"/>
        </w:rPr>
        <w:fldChar w:fldCharType="separate"/>
      </w:r>
      <w:r w:rsidR="003E6080">
        <w:t>Table B </w:t>
      </w:r>
      <w:r w:rsidR="003E6080">
        <w:rPr>
          <w:noProof/>
        </w:rPr>
        <w:t>1</w:t>
      </w:r>
      <w:r w:rsidR="009D22BA">
        <w:rPr>
          <w:rFonts w:eastAsia="Calibri"/>
          <w:bCs/>
          <w:color w:val="000000"/>
          <w:lang w:eastAsia="en-AU"/>
        </w:rPr>
        <w:fldChar w:fldCharType="end"/>
      </w:r>
      <w:r w:rsidR="00BE3009" w:rsidRPr="00A23629">
        <w:rPr>
          <w:rFonts w:eastAsia="Calibri"/>
          <w:bCs/>
          <w:color w:val="000000"/>
          <w:lang w:eastAsia="en-AU"/>
        </w:rPr>
        <w:t>)</w:t>
      </w:r>
      <w:r w:rsidR="00F0454F" w:rsidRPr="00A23629">
        <w:rPr>
          <w:rFonts w:eastAsia="Calibri"/>
          <w:bCs/>
          <w:color w:val="000000"/>
          <w:lang w:eastAsia="en-AU"/>
        </w:rPr>
        <w:t>, which was similar</w:t>
      </w:r>
      <w:r w:rsidR="00BE3009" w:rsidRPr="00A23629">
        <w:rPr>
          <w:rFonts w:eastAsia="Calibri"/>
          <w:bCs/>
          <w:color w:val="000000"/>
          <w:lang w:eastAsia="en-AU"/>
        </w:rPr>
        <w:t xml:space="preserve"> </w:t>
      </w:r>
      <w:r w:rsidR="000E0052" w:rsidRPr="00A23629">
        <w:rPr>
          <w:rFonts w:eastAsia="Calibri"/>
          <w:bCs/>
          <w:color w:val="000000"/>
          <w:lang w:eastAsia="en-AU"/>
        </w:rPr>
        <w:t>to the</w:t>
      </w:r>
      <w:r w:rsidR="00F0454F" w:rsidRPr="00A23629">
        <w:rPr>
          <w:rFonts w:eastAsia="Calibri"/>
          <w:bCs/>
          <w:color w:val="000000"/>
          <w:lang w:eastAsia="en-AU"/>
        </w:rPr>
        <w:t xml:space="preserve"> PC</w:t>
      </w:r>
      <w:r w:rsidR="00F8067B">
        <w:rPr>
          <w:rFonts w:eastAsia="Calibri"/>
          <w:bCs/>
          <w:color w:val="000000"/>
          <w:lang w:eastAsia="en-AU"/>
        </w:rPr>
        <w:t>s</w:t>
      </w:r>
      <w:r w:rsidR="00F0454F" w:rsidRPr="00A23629">
        <w:rPr>
          <w:rFonts w:eastAsia="Calibri"/>
          <w:bCs/>
          <w:color w:val="000000"/>
          <w:lang w:eastAsia="en-AU"/>
        </w:rPr>
        <w:t xml:space="preserve"> based on the</w:t>
      </w:r>
      <w:r w:rsidR="000E0052" w:rsidRPr="00A23629">
        <w:rPr>
          <w:rFonts w:eastAsia="Calibri"/>
          <w:bCs/>
          <w:color w:val="000000"/>
          <w:lang w:eastAsia="en-AU"/>
        </w:rPr>
        <w:t xml:space="preserve"> ≥25‰ salinity dataset (</w:t>
      </w:r>
      <w:r w:rsidR="009D22BA">
        <w:rPr>
          <w:rFonts w:eastAsia="Calibri"/>
          <w:bCs/>
          <w:color w:val="000000"/>
          <w:lang w:eastAsia="en-AU"/>
        </w:rPr>
        <w:fldChar w:fldCharType="begin"/>
      </w:r>
      <w:r w:rsidR="009D22BA">
        <w:rPr>
          <w:rFonts w:eastAsia="Calibri"/>
          <w:bCs/>
          <w:color w:val="000000"/>
          <w:lang w:eastAsia="en-AU"/>
        </w:rPr>
        <w:instrText xml:space="preserve"> REF _Ref178601797 \h </w:instrText>
      </w:r>
      <w:r w:rsidR="009D22BA">
        <w:rPr>
          <w:rFonts w:eastAsia="Calibri"/>
          <w:bCs/>
          <w:color w:val="000000"/>
          <w:lang w:eastAsia="en-AU"/>
        </w:rPr>
      </w:r>
      <w:r w:rsidR="009D22BA">
        <w:rPr>
          <w:rFonts w:eastAsia="Calibri"/>
          <w:bCs/>
          <w:color w:val="000000"/>
          <w:lang w:eastAsia="en-AU"/>
        </w:rPr>
        <w:fldChar w:fldCharType="separate"/>
      </w:r>
      <w:r w:rsidR="003E6080">
        <w:t>Table B </w:t>
      </w:r>
      <w:r w:rsidR="003E6080">
        <w:rPr>
          <w:noProof/>
        </w:rPr>
        <w:t>1</w:t>
      </w:r>
      <w:r w:rsidR="009D22BA">
        <w:rPr>
          <w:rFonts w:eastAsia="Calibri"/>
          <w:bCs/>
          <w:color w:val="000000"/>
          <w:lang w:eastAsia="en-AU"/>
        </w:rPr>
        <w:fldChar w:fldCharType="end"/>
      </w:r>
      <w:r w:rsidR="000E0052" w:rsidRPr="00A23629">
        <w:rPr>
          <w:rFonts w:eastAsia="Calibri"/>
          <w:bCs/>
          <w:color w:val="000000"/>
          <w:lang w:eastAsia="en-AU"/>
        </w:rPr>
        <w:t>)</w:t>
      </w:r>
      <w:r w:rsidR="009328DC" w:rsidRPr="00A23629">
        <w:rPr>
          <w:rFonts w:eastAsia="Calibri"/>
          <w:bCs/>
          <w:color w:val="000000"/>
          <w:lang w:eastAsia="en-AU"/>
        </w:rPr>
        <w:t xml:space="preserve">, despite the </w:t>
      </w:r>
      <w:r w:rsidR="009F1C76" w:rsidRPr="00A23629">
        <w:rPr>
          <w:rFonts w:eastAsia="Calibri"/>
          <w:bCs/>
          <w:color w:val="000000"/>
          <w:lang w:eastAsia="en-AU"/>
        </w:rPr>
        <w:t>15</w:t>
      </w:r>
      <w:r w:rsidR="00F5533F">
        <w:rPr>
          <w:rFonts w:eastAsia="Calibri"/>
          <w:bCs/>
          <w:color w:val="000000"/>
          <w:lang w:eastAsia="en-AU"/>
        </w:rPr>
        <w:t>–</w:t>
      </w:r>
      <w:r w:rsidR="003E30B3">
        <w:rPr>
          <w:rFonts w:cstheme="minorHAnsi"/>
        </w:rPr>
        <w:t>&lt;25</w:t>
      </w:r>
      <w:r w:rsidR="009F1C76" w:rsidRPr="00A23629">
        <w:rPr>
          <w:rFonts w:eastAsia="Calibri"/>
          <w:bCs/>
          <w:color w:val="000000"/>
          <w:lang w:eastAsia="en-AU"/>
        </w:rPr>
        <w:t xml:space="preserve">‰ </w:t>
      </w:r>
      <w:r w:rsidR="00A7751B" w:rsidRPr="00A23629">
        <w:rPr>
          <w:rFonts w:eastAsia="Calibri"/>
          <w:bCs/>
          <w:color w:val="000000"/>
          <w:lang w:eastAsia="en-AU"/>
        </w:rPr>
        <w:t>salinity</w:t>
      </w:r>
      <w:r w:rsidR="009328DC" w:rsidRPr="00A23629">
        <w:rPr>
          <w:rFonts w:eastAsia="Calibri"/>
          <w:bCs/>
          <w:color w:val="000000"/>
          <w:lang w:eastAsia="en-AU"/>
        </w:rPr>
        <w:t xml:space="preserve"> dataset not including the sensitive </w:t>
      </w:r>
      <w:r w:rsidR="00B86534" w:rsidRPr="00A23629">
        <w:rPr>
          <w:rFonts w:eastAsia="Calibri"/>
          <w:bCs/>
          <w:color w:val="000000"/>
          <w:lang w:eastAsia="en-AU"/>
        </w:rPr>
        <w:t>sand dollar</w:t>
      </w:r>
      <w:r w:rsidR="009328DC" w:rsidRPr="00A23629">
        <w:rPr>
          <w:rFonts w:eastAsia="Calibri"/>
          <w:bCs/>
          <w:color w:val="000000"/>
          <w:lang w:eastAsia="en-AU"/>
        </w:rPr>
        <w:t xml:space="preserve"> species</w:t>
      </w:r>
      <w:r w:rsidR="000E0052" w:rsidRPr="00A23629">
        <w:rPr>
          <w:rFonts w:eastAsia="Calibri"/>
          <w:bCs/>
          <w:color w:val="000000"/>
          <w:lang w:eastAsia="en-AU"/>
        </w:rPr>
        <w:t>.</w:t>
      </w:r>
      <w:r w:rsidR="005352E8" w:rsidRPr="00A23629">
        <w:rPr>
          <w:rFonts w:eastAsia="Calibri"/>
          <w:bCs/>
          <w:color w:val="000000"/>
          <w:lang w:eastAsia="en-AU"/>
        </w:rPr>
        <w:t xml:space="preserve"> </w:t>
      </w:r>
      <w:r w:rsidR="00BE3009" w:rsidRPr="00A23629">
        <w:rPr>
          <w:rFonts w:eastAsia="Calibri"/>
          <w:bCs/>
          <w:color w:val="000000"/>
          <w:lang w:eastAsia="en-AU"/>
        </w:rPr>
        <w:t xml:space="preserve">Combining the data from </w:t>
      </w:r>
      <w:r w:rsidR="009D22BA">
        <w:rPr>
          <w:rFonts w:eastAsia="Calibri"/>
          <w:bCs/>
          <w:color w:val="000000"/>
          <w:lang w:eastAsia="en-AU"/>
        </w:rPr>
        <w:fldChar w:fldCharType="begin"/>
      </w:r>
      <w:r w:rsidR="009D22BA">
        <w:rPr>
          <w:rFonts w:eastAsia="Calibri"/>
          <w:bCs/>
          <w:color w:val="000000"/>
          <w:lang w:eastAsia="en-AU"/>
        </w:rPr>
        <w:instrText xml:space="preserve"> REF _Ref178601661 \h </w:instrText>
      </w:r>
      <w:r w:rsidR="009D22BA">
        <w:rPr>
          <w:rFonts w:eastAsia="Calibri"/>
          <w:bCs/>
          <w:color w:val="000000"/>
          <w:lang w:eastAsia="en-AU"/>
        </w:rPr>
      </w:r>
      <w:r w:rsidR="009D22BA">
        <w:rPr>
          <w:rFonts w:eastAsia="Calibri"/>
          <w:bCs/>
          <w:color w:val="000000"/>
          <w:lang w:eastAsia="en-AU"/>
        </w:rPr>
        <w:fldChar w:fldCharType="separate"/>
      </w:r>
      <w:r w:rsidR="003E6080">
        <w:t>Table A </w:t>
      </w:r>
      <w:r w:rsidR="003E6080">
        <w:rPr>
          <w:noProof/>
        </w:rPr>
        <w:t>1</w:t>
      </w:r>
      <w:r w:rsidR="009D22BA">
        <w:rPr>
          <w:rFonts w:eastAsia="Calibri"/>
          <w:bCs/>
          <w:color w:val="000000"/>
          <w:lang w:eastAsia="en-AU"/>
        </w:rPr>
        <w:fldChar w:fldCharType="end"/>
      </w:r>
      <w:r w:rsidR="009D22BA">
        <w:rPr>
          <w:rFonts w:eastAsia="Calibri"/>
          <w:bCs/>
          <w:color w:val="000000"/>
          <w:lang w:eastAsia="en-AU"/>
        </w:rPr>
        <w:t xml:space="preserve"> and </w:t>
      </w:r>
      <w:r w:rsidR="009D22BA">
        <w:rPr>
          <w:rFonts w:eastAsia="Calibri"/>
          <w:bCs/>
          <w:color w:val="000000"/>
          <w:lang w:eastAsia="en-AU"/>
        </w:rPr>
        <w:fldChar w:fldCharType="begin"/>
      </w:r>
      <w:r w:rsidR="009D22BA">
        <w:rPr>
          <w:rFonts w:eastAsia="Calibri"/>
          <w:bCs/>
          <w:color w:val="000000"/>
          <w:lang w:eastAsia="en-AU"/>
        </w:rPr>
        <w:instrText xml:space="preserve"> REF _Ref178601673 \h </w:instrText>
      </w:r>
      <w:r w:rsidR="009D22BA">
        <w:rPr>
          <w:rFonts w:eastAsia="Calibri"/>
          <w:bCs/>
          <w:color w:val="000000"/>
          <w:lang w:eastAsia="en-AU"/>
        </w:rPr>
      </w:r>
      <w:r w:rsidR="009D22BA">
        <w:rPr>
          <w:rFonts w:eastAsia="Calibri"/>
          <w:bCs/>
          <w:color w:val="000000"/>
          <w:lang w:eastAsia="en-AU"/>
        </w:rPr>
        <w:fldChar w:fldCharType="separate"/>
      </w:r>
      <w:r w:rsidR="003E6080">
        <w:t>Table A </w:t>
      </w:r>
      <w:r w:rsidR="003E6080">
        <w:rPr>
          <w:noProof/>
        </w:rPr>
        <w:t>2</w:t>
      </w:r>
      <w:r w:rsidR="009D22BA">
        <w:rPr>
          <w:rFonts w:eastAsia="Calibri"/>
          <w:bCs/>
          <w:color w:val="000000"/>
          <w:lang w:eastAsia="en-AU"/>
        </w:rPr>
        <w:fldChar w:fldCharType="end"/>
      </w:r>
      <w:r w:rsidR="00BE3009" w:rsidRPr="00A23629">
        <w:rPr>
          <w:rFonts w:eastAsia="Calibri"/>
          <w:bCs/>
          <w:color w:val="000000"/>
          <w:lang w:eastAsia="en-AU"/>
        </w:rPr>
        <w:t xml:space="preserve"> </w:t>
      </w:r>
      <w:r w:rsidR="00F0454F" w:rsidRPr="00A23629">
        <w:rPr>
          <w:rFonts w:eastAsia="Calibri"/>
          <w:bCs/>
          <w:color w:val="000000"/>
          <w:lang w:eastAsia="en-AU"/>
        </w:rPr>
        <w:t xml:space="preserve">resulted in a dataset comprising </w:t>
      </w:r>
      <w:r w:rsidR="00DA5348" w:rsidRPr="00A23629">
        <w:t>29</w:t>
      </w:r>
      <w:r w:rsidR="0031566C">
        <w:t> </w:t>
      </w:r>
      <w:r w:rsidR="00F0454F" w:rsidRPr="00A23629">
        <w:t xml:space="preserve">species from </w:t>
      </w:r>
      <w:r w:rsidR="0031566C">
        <w:t>five </w:t>
      </w:r>
      <w:r w:rsidR="00F0454F" w:rsidRPr="00A23629">
        <w:t xml:space="preserve"> taxonomic groups and</w:t>
      </w:r>
      <w:r w:rsidR="00F0454F" w:rsidRPr="00A23629">
        <w:rPr>
          <w:rFonts w:eastAsia="Calibri"/>
          <w:bCs/>
          <w:color w:val="000000"/>
          <w:lang w:eastAsia="en-AU"/>
        </w:rPr>
        <w:t xml:space="preserve"> resulted in</w:t>
      </w:r>
      <w:r w:rsidR="00BE3009" w:rsidRPr="00A23629">
        <w:rPr>
          <w:rFonts w:eastAsia="Calibri"/>
          <w:bCs/>
          <w:color w:val="000000"/>
          <w:lang w:eastAsia="en-AU"/>
        </w:rPr>
        <w:t xml:space="preserve"> the SSD shown in </w:t>
      </w:r>
      <w:r w:rsidR="00DA22B2">
        <w:rPr>
          <w:rFonts w:eastAsia="Calibri"/>
          <w:bCs/>
          <w:color w:val="000000"/>
          <w:lang w:eastAsia="en-AU"/>
        </w:rPr>
        <w:fldChar w:fldCharType="begin"/>
      </w:r>
      <w:r w:rsidR="00DA22B2">
        <w:rPr>
          <w:rFonts w:eastAsia="Calibri"/>
          <w:bCs/>
          <w:color w:val="000000"/>
          <w:lang w:eastAsia="en-AU"/>
        </w:rPr>
        <w:instrText xml:space="preserve"> REF _Ref178602402 \h </w:instrText>
      </w:r>
      <w:r w:rsidR="00DA22B2">
        <w:rPr>
          <w:rFonts w:eastAsia="Calibri"/>
          <w:bCs/>
          <w:color w:val="000000"/>
          <w:lang w:eastAsia="en-AU"/>
        </w:rPr>
      </w:r>
      <w:r w:rsidR="00DA22B2">
        <w:rPr>
          <w:rFonts w:eastAsia="Calibri"/>
          <w:bCs/>
          <w:color w:val="000000"/>
          <w:lang w:eastAsia="en-AU"/>
        </w:rPr>
        <w:fldChar w:fldCharType="separate"/>
      </w:r>
      <w:r w:rsidR="003E6080">
        <w:t>Figure B </w:t>
      </w:r>
      <w:r w:rsidR="003E6080">
        <w:rPr>
          <w:noProof/>
        </w:rPr>
        <w:t>3</w:t>
      </w:r>
      <w:r w:rsidR="00DA22B2">
        <w:rPr>
          <w:rFonts w:eastAsia="Calibri"/>
          <w:bCs/>
          <w:color w:val="000000"/>
          <w:lang w:eastAsia="en-AU"/>
        </w:rPr>
        <w:fldChar w:fldCharType="end"/>
      </w:r>
      <w:r w:rsidR="00BE3009" w:rsidRPr="00A23629">
        <w:rPr>
          <w:rFonts w:eastAsia="Calibri"/>
          <w:bCs/>
          <w:color w:val="000000"/>
          <w:lang w:eastAsia="en-AU"/>
        </w:rPr>
        <w:t xml:space="preserve"> (and in </w:t>
      </w:r>
      <w:r w:rsidR="00DA22B2">
        <w:rPr>
          <w:rFonts w:eastAsia="Calibri"/>
          <w:bCs/>
          <w:color w:val="000000"/>
          <w:lang w:eastAsia="en-AU"/>
        </w:rPr>
        <w:fldChar w:fldCharType="begin"/>
      </w:r>
      <w:r w:rsidR="00DA22B2">
        <w:rPr>
          <w:rFonts w:eastAsia="Calibri"/>
          <w:bCs/>
          <w:color w:val="000000"/>
          <w:lang w:eastAsia="en-AU"/>
        </w:rPr>
        <w:instrText xml:space="preserve"> REF _Ref178602289 \h </w:instrText>
      </w:r>
      <w:r w:rsidR="00DA22B2">
        <w:rPr>
          <w:rFonts w:eastAsia="Calibri"/>
          <w:bCs/>
          <w:color w:val="000000"/>
          <w:lang w:eastAsia="en-AU"/>
        </w:rPr>
      </w:r>
      <w:r w:rsidR="00DA22B2">
        <w:rPr>
          <w:rFonts w:eastAsia="Calibri"/>
          <w:bCs/>
          <w:color w:val="000000"/>
          <w:lang w:eastAsia="en-AU"/>
        </w:rPr>
        <w:fldChar w:fldCharType="separate"/>
      </w:r>
      <w:r w:rsidR="003E6080">
        <w:t>Figure </w:t>
      </w:r>
      <w:r w:rsidR="003E6080">
        <w:rPr>
          <w:noProof/>
        </w:rPr>
        <w:t>1</w:t>
      </w:r>
      <w:r w:rsidR="00DA22B2">
        <w:rPr>
          <w:rFonts w:eastAsia="Calibri"/>
          <w:bCs/>
          <w:color w:val="000000"/>
          <w:lang w:eastAsia="en-AU"/>
        </w:rPr>
        <w:fldChar w:fldCharType="end"/>
      </w:r>
      <w:r w:rsidR="00BE3009" w:rsidRPr="00A23629">
        <w:rPr>
          <w:rFonts w:eastAsia="Calibri"/>
          <w:bCs/>
          <w:color w:val="000000"/>
          <w:lang w:eastAsia="en-AU"/>
        </w:rPr>
        <w:t>), and PC</w:t>
      </w:r>
      <w:r w:rsidR="00F8067B">
        <w:rPr>
          <w:rFonts w:eastAsia="Calibri"/>
          <w:bCs/>
          <w:color w:val="000000"/>
          <w:lang w:eastAsia="en-AU"/>
        </w:rPr>
        <w:t>s</w:t>
      </w:r>
      <w:r w:rsidR="00BE3009" w:rsidRPr="00A23629">
        <w:rPr>
          <w:rFonts w:eastAsia="Calibri"/>
          <w:bCs/>
          <w:color w:val="000000"/>
          <w:lang w:eastAsia="en-AU"/>
        </w:rPr>
        <w:t xml:space="preserve"> </w:t>
      </w:r>
      <w:r w:rsidR="00F0454F" w:rsidRPr="00A23629">
        <w:rPr>
          <w:rFonts w:eastAsia="Calibri"/>
          <w:bCs/>
          <w:color w:val="000000"/>
          <w:lang w:eastAsia="en-AU"/>
        </w:rPr>
        <w:t xml:space="preserve">of </w:t>
      </w:r>
      <w:r w:rsidR="0092509E" w:rsidRPr="00A23629">
        <w:t>7.</w:t>
      </w:r>
      <w:r w:rsidR="00DA5348" w:rsidRPr="00A23629">
        <w:t>1</w:t>
      </w:r>
      <w:r w:rsidR="0031566C">
        <w:t> </w:t>
      </w:r>
      <w:r w:rsidR="0031566C" w:rsidRPr="00A23629">
        <w:t>µg/L</w:t>
      </w:r>
      <w:r w:rsidR="00F0454F" w:rsidRPr="00A23629">
        <w:t xml:space="preserve">, </w:t>
      </w:r>
      <w:r w:rsidR="0092509E" w:rsidRPr="00A23629">
        <w:t>1</w:t>
      </w:r>
      <w:r w:rsidR="00DA5348" w:rsidRPr="00A23629">
        <w:t>7</w:t>
      </w:r>
      <w:r w:rsidR="0031566C">
        <w:t> </w:t>
      </w:r>
      <w:r w:rsidR="0031566C" w:rsidRPr="00A23629">
        <w:t>µg/L</w:t>
      </w:r>
      <w:r w:rsidR="00F0454F" w:rsidRPr="00A23629">
        <w:t xml:space="preserve">, </w:t>
      </w:r>
      <w:r w:rsidR="0092509E" w:rsidRPr="00A23629">
        <w:t>2</w:t>
      </w:r>
      <w:r w:rsidR="00DA5348" w:rsidRPr="00A23629">
        <w:t>7</w:t>
      </w:r>
      <w:r w:rsidR="0031566C">
        <w:t> </w:t>
      </w:r>
      <w:r w:rsidR="0031566C" w:rsidRPr="00A23629">
        <w:t>µg/L</w:t>
      </w:r>
      <w:r w:rsidR="0092509E" w:rsidRPr="00A23629">
        <w:t xml:space="preserve"> </w:t>
      </w:r>
      <w:r w:rsidR="00F0454F" w:rsidRPr="00A23629">
        <w:t xml:space="preserve">and </w:t>
      </w:r>
      <w:r w:rsidR="0092509E" w:rsidRPr="00A23629">
        <w:t>4</w:t>
      </w:r>
      <w:r w:rsidR="00DA5348" w:rsidRPr="00A23629">
        <w:t>3</w:t>
      </w:r>
      <w:r w:rsidR="00F5533F">
        <w:t> </w:t>
      </w:r>
      <w:r w:rsidR="00F0454F" w:rsidRPr="00A23629">
        <w:t xml:space="preserve">µg/L </w:t>
      </w:r>
      <w:r w:rsidR="00FF4E2B">
        <w:t xml:space="preserve">(as CPO) </w:t>
      </w:r>
      <w:r w:rsidR="00F0454F" w:rsidRPr="00A23629">
        <w:t>for 99</w:t>
      </w:r>
      <w:r w:rsidR="0031566C" w:rsidRPr="00A23629">
        <w:t>%</w:t>
      </w:r>
      <w:r w:rsidR="00F0454F" w:rsidRPr="00A23629">
        <w:t>, 95</w:t>
      </w:r>
      <w:r w:rsidR="0031566C" w:rsidRPr="00A23629">
        <w:t>%</w:t>
      </w:r>
      <w:r w:rsidR="00F0454F" w:rsidRPr="00A23629">
        <w:t>, 90</w:t>
      </w:r>
      <w:r w:rsidR="0031566C" w:rsidRPr="00A23629">
        <w:t>%</w:t>
      </w:r>
      <w:r w:rsidR="00F0454F" w:rsidRPr="00A23629">
        <w:t xml:space="preserve"> and 80% protection, respectively</w:t>
      </w:r>
      <w:r w:rsidR="00F0454F" w:rsidRPr="00A23629">
        <w:rPr>
          <w:rFonts w:eastAsia="Calibri"/>
          <w:bCs/>
          <w:color w:val="000000"/>
          <w:lang w:eastAsia="en-AU"/>
        </w:rPr>
        <w:t xml:space="preserve"> (</w:t>
      </w:r>
      <w:r w:rsidR="00DA22B2">
        <w:rPr>
          <w:rFonts w:eastAsia="Calibri"/>
          <w:bCs/>
          <w:color w:val="000000"/>
          <w:lang w:eastAsia="en-AU"/>
        </w:rPr>
        <w:fldChar w:fldCharType="begin"/>
      </w:r>
      <w:r w:rsidR="00DA22B2">
        <w:rPr>
          <w:rFonts w:eastAsia="Calibri"/>
          <w:bCs/>
          <w:color w:val="000000"/>
          <w:lang w:eastAsia="en-AU"/>
        </w:rPr>
        <w:instrText xml:space="preserve"> REF _Ref178601797 \h </w:instrText>
      </w:r>
      <w:r w:rsidR="00DA22B2">
        <w:rPr>
          <w:rFonts w:eastAsia="Calibri"/>
          <w:bCs/>
          <w:color w:val="000000"/>
          <w:lang w:eastAsia="en-AU"/>
        </w:rPr>
      </w:r>
      <w:r w:rsidR="00DA22B2">
        <w:rPr>
          <w:rFonts w:eastAsia="Calibri"/>
          <w:bCs/>
          <w:color w:val="000000"/>
          <w:lang w:eastAsia="en-AU"/>
        </w:rPr>
        <w:fldChar w:fldCharType="separate"/>
      </w:r>
      <w:r w:rsidR="003E6080">
        <w:t>Table B </w:t>
      </w:r>
      <w:r w:rsidR="003E6080">
        <w:rPr>
          <w:noProof/>
        </w:rPr>
        <w:t>1</w:t>
      </w:r>
      <w:r w:rsidR="00DA22B2">
        <w:rPr>
          <w:rFonts w:eastAsia="Calibri"/>
          <w:bCs/>
          <w:color w:val="000000"/>
          <w:lang w:eastAsia="en-AU"/>
        </w:rPr>
        <w:fldChar w:fldCharType="end"/>
      </w:r>
      <w:r w:rsidR="00F0454F" w:rsidRPr="00A23629">
        <w:rPr>
          <w:rFonts w:eastAsia="Calibri"/>
          <w:bCs/>
          <w:color w:val="000000"/>
          <w:lang w:eastAsia="en-AU"/>
        </w:rPr>
        <w:t>)</w:t>
      </w:r>
      <w:r w:rsidR="00BE3009" w:rsidRPr="00A23629">
        <w:rPr>
          <w:rFonts w:eastAsia="Calibri"/>
          <w:bCs/>
          <w:color w:val="000000"/>
          <w:lang w:eastAsia="en-AU"/>
        </w:rPr>
        <w:t xml:space="preserve">. </w:t>
      </w:r>
      <w:r w:rsidR="009B4170" w:rsidRPr="00A23629">
        <w:rPr>
          <w:rFonts w:eastAsia="Calibri"/>
          <w:bCs/>
          <w:color w:val="000000"/>
          <w:lang w:eastAsia="en-AU"/>
        </w:rPr>
        <w:t xml:space="preserve">The </w:t>
      </w:r>
      <w:r w:rsidR="002609D2">
        <w:rPr>
          <w:rFonts w:eastAsia="Calibri"/>
          <w:bCs/>
          <w:color w:val="000000"/>
          <w:lang w:eastAsia="en-AU"/>
        </w:rPr>
        <w:t xml:space="preserve">95% </w:t>
      </w:r>
      <w:r w:rsidR="009B4170" w:rsidRPr="00A23629">
        <w:rPr>
          <w:rFonts w:eastAsia="Calibri"/>
          <w:bCs/>
          <w:color w:val="000000"/>
          <w:lang w:eastAsia="en-AU"/>
        </w:rPr>
        <w:t xml:space="preserve">confidence limits of all of the </w:t>
      </w:r>
      <w:r w:rsidR="00206D3B" w:rsidRPr="00A23629">
        <w:rPr>
          <w:rFonts w:eastAsia="Calibri"/>
          <w:bCs/>
          <w:color w:val="000000"/>
          <w:lang w:eastAsia="en-AU"/>
        </w:rPr>
        <w:t xml:space="preserve">data </w:t>
      </w:r>
      <w:r w:rsidR="009B4170" w:rsidRPr="00A23629">
        <w:rPr>
          <w:rFonts w:eastAsia="Calibri"/>
          <w:bCs/>
          <w:color w:val="000000"/>
          <w:lang w:eastAsia="en-AU"/>
        </w:rPr>
        <w:t xml:space="preserve">derived </w:t>
      </w:r>
      <w:r w:rsidR="00F0454F" w:rsidRPr="00A23629">
        <w:rPr>
          <w:rFonts w:eastAsia="Calibri"/>
          <w:bCs/>
          <w:color w:val="000000"/>
          <w:lang w:eastAsia="en-AU"/>
        </w:rPr>
        <w:t>from the ≥25‰ and 15</w:t>
      </w:r>
      <w:r w:rsidR="00F5533F">
        <w:rPr>
          <w:rFonts w:eastAsia="Calibri"/>
          <w:bCs/>
          <w:color w:val="000000"/>
          <w:lang w:eastAsia="en-AU"/>
        </w:rPr>
        <w:t>–</w:t>
      </w:r>
      <w:r w:rsidR="003E30B3">
        <w:rPr>
          <w:rFonts w:cstheme="minorHAnsi"/>
        </w:rPr>
        <w:t>&lt;25</w:t>
      </w:r>
      <w:r w:rsidR="00F0454F" w:rsidRPr="00A23629">
        <w:rPr>
          <w:rFonts w:eastAsia="Calibri"/>
          <w:bCs/>
          <w:color w:val="000000"/>
          <w:lang w:eastAsia="en-AU"/>
        </w:rPr>
        <w:t>‰ salinity datasets</w:t>
      </w:r>
      <w:r w:rsidR="009B4170" w:rsidRPr="00A23629">
        <w:rPr>
          <w:rFonts w:eastAsia="Calibri"/>
          <w:bCs/>
          <w:color w:val="000000"/>
          <w:lang w:eastAsia="en-AU"/>
        </w:rPr>
        <w:t xml:space="preserve"> overlapped, and given the</w:t>
      </w:r>
      <w:r w:rsidR="007214B5" w:rsidRPr="00A23629">
        <w:rPr>
          <w:rFonts w:eastAsia="Calibri"/>
          <w:bCs/>
          <w:color w:val="000000"/>
          <w:lang w:eastAsia="en-AU"/>
        </w:rPr>
        <w:t>re were</w:t>
      </w:r>
      <w:r w:rsidR="009B4170" w:rsidRPr="00A23629">
        <w:rPr>
          <w:rFonts w:eastAsia="Calibri"/>
          <w:bCs/>
          <w:color w:val="000000"/>
          <w:lang w:eastAsia="en-AU"/>
        </w:rPr>
        <w:t xml:space="preserve"> only </w:t>
      </w:r>
      <w:r w:rsidR="00BE3009" w:rsidRPr="00A23629">
        <w:rPr>
          <w:rFonts w:eastAsia="Calibri"/>
          <w:bCs/>
          <w:color w:val="000000"/>
          <w:lang w:eastAsia="en-AU"/>
        </w:rPr>
        <w:t xml:space="preserve">minor differences between the </w:t>
      </w:r>
      <w:r w:rsidR="00F0454F" w:rsidRPr="00A23629">
        <w:rPr>
          <w:rFonts w:eastAsia="Calibri"/>
          <w:bCs/>
          <w:color w:val="000000"/>
          <w:lang w:eastAsia="en-AU"/>
        </w:rPr>
        <w:t>PC</w:t>
      </w:r>
      <w:r w:rsidR="00F8067B">
        <w:rPr>
          <w:rFonts w:eastAsia="Calibri"/>
          <w:bCs/>
          <w:color w:val="000000"/>
          <w:lang w:eastAsia="en-AU"/>
        </w:rPr>
        <w:t>s</w:t>
      </w:r>
      <w:r w:rsidR="00F0454F" w:rsidRPr="00A23629">
        <w:rPr>
          <w:rFonts w:eastAsia="Calibri"/>
          <w:bCs/>
          <w:color w:val="000000"/>
          <w:lang w:eastAsia="en-AU"/>
        </w:rPr>
        <w:t xml:space="preserve"> from the different datasets (</w:t>
      </w:r>
      <w:r w:rsidR="00DA22B2">
        <w:rPr>
          <w:rFonts w:eastAsia="Calibri"/>
          <w:bCs/>
          <w:color w:val="000000"/>
          <w:lang w:eastAsia="en-AU"/>
        </w:rPr>
        <w:fldChar w:fldCharType="begin"/>
      </w:r>
      <w:r w:rsidR="00DA22B2">
        <w:rPr>
          <w:rFonts w:eastAsia="Calibri"/>
          <w:bCs/>
          <w:color w:val="000000"/>
          <w:lang w:eastAsia="en-AU"/>
        </w:rPr>
        <w:instrText xml:space="preserve"> REF _Ref178601797 \h </w:instrText>
      </w:r>
      <w:r w:rsidR="00DA22B2">
        <w:rPr>
          <w:rFonts w:eastAsia="Calibri"/>
          <w:bCs/>
          <w:color w:val="000000"/>
          <w:lang w:eastAsia="en-AU"/>
        </w:rPr>
      </w:r>
      <w:r w:rsidR="00DA22B2">
        <w:rPr>
          <w:rFonts w:eastAsia="Calibri"/>
          <w:bCs/>
          <w:color w:val="000000"/>
          <w:lang w:eastAsia="en-AU"/>
        </w:rPr>
        <w:fldChar w:fldCharType="separate"/>
      </w:r>
      <w:r w:rsidR="003E6080">
        <w:t>Table B </w:t>
      </w:r>
      <w:r w:rsidR="003E6080">
        <w:rPr>
          <w:noProof/>
        </w:rPr>
        <w:t>1</w:t>
      </w:r>
      <w:r w:rsidR="00DA22B2">
        <w:rPr>
          <w:rFonts w:eastAsia="Calibri"/>
          <w:bCs/>
          <w:color w:val="000000"/>
          <w:lang w:eastAsia="en-AU"/>
        </w:rPr>
        <w:fldChar w:fldCharType="end"/>
      </w:r>
      <w:r w:rsidR="00F0454F" w:rsidRPr="00A23629">
        <w:rPr>
          <w:rFonts w:eastAsia="Calibri"/>
          <w:bCs/>
          <w:color w:val="000000"/>
          <w:lang w:eastAsia="en-AU"/>
        </w:rPr>
        <w:t>)</w:t>
      </w:r>
      <w:r w:rsidR="00BE3009" w:rsidRPr="00A23629">
        <w:rPr>
          <w:rFonts w:eastAsia="Calibri"/>
          <w:bCs/>
          <w:color w:val="000000"/>
          <w:lang w:eastAsia="en-AU"/>
        </w:rPr>
        <w:t xml:space="preserve">, it was deemed appropriate to use the combined dataset </w:t>
      </w:r>
      <w:r w:rsidR="007214B5" w:rsidRPr="00A23629">
        <w:rPr>
          <w:rFonts w:eastAsia="Calibri"/>
          <w:bCs/>
          <w:color w:val="000000"/>
          <w:lang w:eastAsia="en-AU"/>
        </w:rPr>
        <w:t xml:space="preserve">(i.e. for ≥15‰ salinity) </w:t>
      </w:r>
      <w:r w:rsidR="00BE3009" w:rsidRPr="00A23629">
        <w:rPr>
          <w:rFonts w:eastAsia="Calibri"/>
          <w:bCs/>
          <w:color w:val="000000"/>
          <w:lang w:eastAsia="en-AU"/>
        </w:rPr>
        <w:t>for deriving the DGV</w:t>
      </w:r>
      <w:r w:rsidR="007214B5" w:rsidRPr="00A23629">
        <w:rPr>
          <w:rFonts w:eastAsia="Calibri"/>
          <w:bCs/>
          <w:color w:val="000000"/>
          <w:lang w:eastAsia="en-AU"/>
        </w:rPr>
        <w:t>s</w:t>
      </w:r>
      <w:r w:rsidR="00BE3009" w:rsidRPr="00A23629">
        <w:rPr>
          <w:rFonts w:eastAsia="Calibri"/>
          <w:bCs/>
          <w:color w:val="000000"/>
          <w:lang w:eastAsia="en-AU"/>
        </w:rPr>
        <w:t xml:space="preserve">. </w:t>
      </w:r>
    </w:p>
    <w:p w14:paraId="45532D85" w14:textId="3B134FFA" w:rsidR="001874E3" w:rsidRDefault="00574F95" w:rsidP="003F5AB9">
      <w:r w:rsidRPr="00A23629">
        <w:rPr>
          <w:rFonts w:eastAsia="Times New Roman"/>
        </w:rPr>
        <w:t xml:space="preserve">Data for two species were common to </w:t>
      </w:r>
      <w:r w:rsidR="00154FFC">
        <w:rPr>
          <w:rFonts w:eastAsia="Times New Roman"/>
        </w:rPr>
        <w:t>the</w:t>
      </w:r>
      <w:r w:rsidR="00154FFC" w:rsidRPr="00A23629">
        <w:rPr>
          <w:rFonts w:eastAsia="Times New Roman"/>
        </w:rPr>
        <w:t xml:space="preserve"> </w:t>
      </w:r>
      <w:r w:rsidR="00F0454F" w:rsidRPr="00A23629">
        <w:rPr>
          <w:rFonts w:eastAsia="Times New Roman"/>
        </w:rPr>
        <w:t>data</w:t>
      </w:r>
      <w:r w:rsidRPr="00A23629">
        <w:rPr>
          <w:rFonts w:eastAsia="Times New Roman"/>
        </w:rPr>
        <w:t>sets, namely</w:t>
      </w:r>
      <w:r w:rsidRPr="00A23629">
        <w:t xml:space="preserve"> for the oyster </w:t>
      </w:r>
      <w:r w:rsidRPr="00A23629">
        <w:rPr>
          <w:i/>
        </w:rPr>
        <w:t>Crassostrea virginica</w:t>
      </w:r>
      <w:r w:rsidRPr="00A23629">
        <w:t xml:space="preserve"> and the copepod </w:t>
      </w:r>
      <w:r w:rsidRPr="00A23629">
        <w:rPr>
          <w:i/>
        </w:rPr>
        <w:t>Acartia tonsa</w:t>
      </w:r>
      <w:r w:rsidRPr="00A23629">
        <w:t xml:space="preserve">. For the oyster, Capuzzo (1979) </w:t>
      </w:r>
      <w:r w:rsidR="00197711">
        <w:t>observed</w:t>
      </w:r>
      <w:r w:rsidRPr="00A23629">
        <w:t xml:space="preserve"> an LC50 of 80</w:t>
      </w:r>
      <w:r w:rsidR="00F5533F">
        <w:t> </w:t>
      </w:r>
      <w:r w:rsidRPr="00A23629">
        <w:t xml:space="preserve">µg/L </w:t>
      </w:r>
      <w:r w:rsidR="00FA1A91">
        <w:t>following</w:t>
      </w:r>
      <w:r w:rsidRPr="00A23629">
        <w:t xml:space="preserve"> a </w:t>
      </w:r>
      <w:r w:rsidRPr="00A23629">
        <w:lastRenderedPageBreak/>
        <w:t xml:space="preserve">30-min exposure in seawater at 28‰ salinity, </w:t>
      </w:r>
      <w:r w:rsidR="00E22925">
        <w:t>while</w:t>
      </w:r>
      <w:r w:rsidRPr="00A23629">
        <w:t xml:space="preserve"> Roberts </w:t>
      </w:r>
      <w:r w:rsidR="006A0366">
        <w:t>et al (1975)</w:t>
      </w:r>
      <w:r w:rsidRPr="00A23629">
        <w:t xml:space="preserve"> </w:t>
      </w:r>
      <w:r w:rsidR="001D4552">
        <w:t>reported</w:t>
      </w:r>
      <w:r w:rsidR="001D4552" w:rsidRPr="00A23629">
        <w:t xml:space="preserve"> </w:t>
      </w:r>
      <w:r w:rsidRPr="00A23629">
        <w:t xml:space="preserve">a </w:t>
      </w:r>
      <w:r w:rsidR="00FD5A58">
        <w:t>96-h</w:t>
      </w:r>
      <w:r w:rsidRPr="00A23629">
        <w:t xml:space="preserve"> LC50 of </w:t>
      </w:r>
      <w:r w:rsidR="00154FFC">
        <w:t>2</w:t>
      </w:r>
      <w:r w:rsidR="003832B1">
        <w:t>3</w:t>
      </w:r>
      <w:r w:rsidR="00154FFC">
        <w:t> </w:t>
      </w:r>
      <w:r w:rsidRPr="00A23629">
        <w:t>µg/L</w:t>
      </w:r>
      <w:r w:rsidR="00E22925">
        <w:t xml:space="preserve"> in </w:t>
      </w:r>
      <w:r w:rsidR="00E22925" w:rsidRPr="00A23629">
        <w:t>20‰ salinity</w:t>
      </w:r>
      <w:r w:rsidRPr="00A23629">
        <w:t xml:space="preserve"> </w:t>
      </w:r>
      <w:r w:rsidR="001D4552">
        <w:t xml:space="preserve">(these were </w:t>
      </w:r>
      <w:r w:rsidRPr="00A23629">
        <w:t>both flow-through</w:t>
      </w:r>
      <w:r w:rsidR="001D4552">
        <w:t xml:space="preserve"> exposures</w:t>
      </w:r>
      <w:r w:rsidR="00197711">
        <w:t>)</w:t>
      </w:r>
      <w:r w:rsidRPr="00A23629">
        <w:t xml:space="preserve">. While the shorter exposure was possibly more appropriate for a chlorine discharge, </w:t>
      </w:r>
      <w:r w:rsidR="00BA0549">
        <w:t xml:space="preserve">the lower of the two values </w:t>
      </w:r>
      <w:r w:rsidRPr="00A23629">
        <w:t>was used in the SSD. For the copepod, an LC50 of 820</w:t>
      </w:r>
      <w:r w:rsidR="00DE0502">
        <w:t> </w:t>
      </w:r>
      <w:r w:rsidRPr="00A23629">
        <w:t>µg/L after 30</w:t>
      </w:r>
      <w:r w:rsidR="00DE0502">
        <w:t> </w:t>
      </w:r>
      <w:r w:rsidRPr="00A23629">
        <w:t xml:space="preserve">min in 28‰ salinity seawater </w:t>
      </w:r>
      <w:r w:rsidR="00772A39">
        <w:t xml:space="preserve">(Capuzzo 1979) </w:t>
      </w:r>
      <w:r w:rsidR="00330054">
        <w:t xml:space="preserve">was </w:t>
      </w:r>
      <w:r w:rsidRPr="00A23629">
        <w:t xml:space="preserve">compared to </w:t>
      </w:r>
      <w:r w:rsidR="00330054">
        <w:t xml:space="preserve">a 96-h LC50 of </w:t>
      </w:r>
      <w:r w:rsidR="002223A7" w:rsidRPr="00A23629">
        <w:t>29</w:t>
      </w:r>
      <w:r w:rsidR="00DE0502">
        <w:t> </w:t>
      </w:r>
      <w:r w:rsidRPr="00A23629">
        <w:t xml:space="preserve">µg/L in 20‰ salinity </w:t>
      </w:r>
      <w:r w:rsidR="00772A39">
        <w:t>sea</w:t>
      </w:r>
      <w:r w:rsidRPr="00A23629">
        <w:t>water</w:t>
      </w:r>
      <w:r w:rsidR="001B634C" w:rsidRPr="00A23629">
        <w:t xml:space="preserve"> (Roberts and Gleeson 1978)</w:t>
      </w:r>
      <w:r w:rsidRPr="00A23629">
        <w:t xml:space="preserve">. </w:t>
      </w:r>
      <w:r w:rsidR="007178D4">
        <w:t>T</w:t>
      </w:r>
      <w:r w:rsidR="00380F89" w:rsidRPr="00A23629">
        <w:t>h</w:t>
      </w:r>
      <w:r w:rsidRPr="00A23629">
        <w:t xml:space="preserve">e </w:t>
      </w:r>
      <w:r w:rsidR="007B651F" w:rsidRPr="00A23629">
        <w:t>more sensitive 96-h</w:t>
      </w:r>
      <w:r w:rsidRPr="00A23629">
        <w:t xml:space="preserve"> value was used in the SSD. </w:t>
      </w:r>
    </w:p>
    <w:p w14:paraId="419F3E46" w14:textId="3FAD9FDC" w:rsidR="008F4916" w:rsidRDefault="008F4916" w:rsidP="00F4313F">
      <w:pPr>
        <w:spacing w:after="0" w:line="240" w:lineRule="auto"/>
      </w:pPr>
      <w:r w:rsidRPr="00A23629">
        <w:rPr>
          <w:noProof/>
          <w:lang w:eastAsia="ja-JP"/>
        </w:rPr>
        <w:drawing>
          <wp:inline distT="0" distB="0" distL="0" distR="0" wp14:anchorId="02DA828F" wp14:editId="79796DA5">
            <wp:extent cx="3703438" cy="3343275"/>
            <wp:effectExtent l="0" t="0" r="0" b="0"/>
            <wp:docPr id="1545019267" name="Picture 1545019267" descr="This species sensitivity distribution (SSD) plots the ≥25‰ acute toxicity data from flow-through or very short-term static tests (i.e. &lt;15 min) from Table A 1.&#10;&#10;&#10; (microgram per li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19267" name="Picture 1545019267" descr="This species sensitivity distribution (SSD) plots the ≥25‰ acute toxicity data from flow-through or very short-term static tests (i.e. &lt;15 min) from Table A 1.&#10;&#10;&#10; (microgram per litre). "/>
                    <pic:cNvPicPr/>
                  </pic:nvPicPr>
                  <pic:blipFill rotWithShape="1">
                    <a:blip r:embed="rId44" cstate="print">
                      <a:extLst>
                        <a:ext uri="{28A0092B-C50C-407E-A947-70E740481C1C}">
                          <a14:useLocalDpi xmlns:a14="http://schemas.microsoft.com/office/drawing/2010/main" val="0"/>
                        </a:ext>
                      </a:extLst>
                    </a:blip>
                    <a:srcRect t="11632" r="5499" b="3057"/>
                    <a:stretch/>
                  </pic:blipFill>
                  <pic:spPr bwMode="auto">
                    <a:xfrm>
                      <a:off x="0" y="0"/>
                      <a:ext cx="3725725" cy="3363394"/>
                    </a:xfrm>
                    <a:prstGeom prst="rect">
                      <a:avLst/>
                    </a:prstGeom>
                    <a:ln>
                      <a:noFill/>
                    </a:ln>
                    <a:extLst>
                      <a:ext uri="{53640926-AAD7-44D8-BBD7-CCE9431645EC}">
                        <a14:shadowObscured xmlns:a14="http://schemas.microsoft.com/office/drawing/2010/main"/>
                      </a:ext>
                    </a:extLst>
                  </pic:spPr>
                </pic:pic>
              </a:graphicData>
            </a:graphic>
          </wp:inline>
        </w:drawing>
      </w:r>
    </w:p>
    <w:p w14:paraId="2938B9D7" w14:textId="138E266B" w:rsidR="00900E03" w:rsidRDefault="00900E03" w:rsidP="00F4313F">
      <w:pPr>
        <w:pStyle w:val="FigureTableNoteSource"/>
        <w:spacing w:before="60" w:after="100"/>
      </w:pPr>
      <w:r>
        <w:rPr>
          <w:lang w:eastAsia="en-AU"/>
        </w:rPr>
        <w:t xml:space="preserve">Note: dotted line </w:t>
      </w:r>
      <w:r w:rsidR="00091331">
        <w:rPr>
          <w:lang w:eastAsia="en-AU"/>
        </w:rPr>
        <w:t>shows</w:t>
      </w:r>
      <w:r>
        <w:rPr>
          <w:lang w:eastAsia="en-AU"/>
        </w:rPr>
        <w:t xml:space="preserve"> the concentration of CPO </w:t>
      </w:r>
      <w:r w:rsidR="00091331">
        <w:rPr>
          <w:lang w:eastAsia="en-AU"/>
        </w:rPr>
        <w:t>(</w:t>
      </w:r>
      <w:r>
        <w:rPr>
          <w:lang w:eastAsia="en-AU"/>
        </w:rPr>
        <w:t>15</w:t>
      </w:r>
      <w:r w:rsidR="00091331">
        <w:rPr>
          <w:lang w:eastAsia="en-AU"/>
        </w:rPr>
        <w:t> </w:t>
      </w:r>
      <w:r>
        <w:rPr>
          <w:rFonts w:cstheme="minorHAnsi"/>
          <w:lang w:eastAsia="en-AU"/>
        </w:rPr>
        <w:t>µ</w:t>
      </w:r>
      <w:r>
        <w:rPr>
          <w:lang w:eastAsia="en-AU"/>
        </w:rPr>
        <w:t>g/L</w:t>
      </w:r>
      <w:r w:rsidR="00091331">
        <w:rPr>
          <w:lang w:eastAsia="en-AU"/>
        </w:rPr>
        <w:t>)</w:t>
      </w:r>
      <w:r>
        <w:rPr>
          <w:lang w:eastAsia="en-AU"/>
        </w:rPr>
        <w:t xml:space="preserve"> at which 5% of species are potentially affected.</w:t>
      </w:r>
    </w:p>
    <w:p w14:paraId="3E102C96" w14:textId="29DD891D" w:rsidR="008F4916" w:rsidRDefault="008F4916" w:rsidP="00A0125A">
      <w:pPr>
        <w:pStyle w:val="Caption"/>
        <w:keepNext w:val="0"/>
        <w:rPr>
          <w:lang w:eastAsia="en-AU"/>
        </w:rPr>
      </w:pPr>
      <w:bookmarkStart w:id="59" w:name="_Ref178602375"/>
      <w:bookmarkStart w:id="60" w:name="_Toc185441659"/>
      <w:r>
        <w:t>Figure B </w:t>
      </w:r>
      <w:r w:rsidR="00141D27">
        <w:fldChar w:fldCharType="begin"/>
      </w:r>
      <w:r w:rsidR="00141D27">
        <w:instrText xml:space="preserve"> SEQ Figure_B \* ARABIC </w:instrText>
      </w:r>
      <w:r w:rsidR="00141D27">
        <w:fldChar w:fldCharType="separate"/>
      </w:r>
      <w:r w:rsidR="003E6080">
        <w:rPr>
          <w:noProof/>
        </w:rPr>
        <w:t>1</w:t>
      </w:r>
      <w:r w:rsidR="00141D27">
        <w:rPr>
          <w:noProof/>
        </w:rPr>
        <w:fldChar w:fldCharType="end"/>
      </w:r>
      <w:bookmarkEnd w:id="59"/>
      <w:r w:rsidRPr="00A23629">
        <w:rPr>
          <w:lang w:eastAsia="ja-JP"/>
        </w:rPr>
        <w:t xml:space="preserve"> SSD for </w:t>
      </w:r>
      <w:r w:rsidR="00000330">
        <w:rPr>
          <w:lang w:eastAsia="ja-JP"/>
        </w:rPr>
        <w:t>chlorine (</w:t>
      </w:r>
      <w:r w:rsidRPr="00A23629">
        <w:rPr>
          <w:lang w:eastAsia="ja-JP"/>
        </w:rPr>
        <w:t>CPO</w:t>
      </w:r>
      <w:r w:rsidR="00000330">
        <w:rPr>
          <w:lang w:eastAsia="ja-JP"/>
        </w:rPr>
        <w:t>)</w:t>
      </w:r>
      <w:r w:rsidRPr="00A23629">
        <w:rPr>
          <w:lang w:eastAsia="ja-JP"/>
        </w:rPr>
        <w:t xml:space="preserve"> based on flow-through LC50 data</w:t>
      </w:r>
      <w:r w:rsidR="00000330">
        <w:rPr>
          <w:lang w:eastAsia="ja-JP"/>
        </w:rPr>
        <w:t>, static EC50 data</w:t>
      </w:r>
      <w:r w:rsidR="009B0408">
        <w:rPr>
          <w:lang w:eastAsia="ja-JP"/>
        </w:rPr>
        <w:t xml:space="preserve"> and water salinity </w:t>
      </w:r>
      <w:r w:rsidRPr="00A23629">
        <w:rPr>
          <w:lang w:eastAsia="en-AU"/>
        </w:rPr>
        <w:t>≥25‰</w:t>
      </w:r>
      <w:bookmarkEnd w:id="60"/>
    </w:p>
    <w:p w14:paraId="751DE284" w14:textId="2B4AA815" w:rsidR="008F4916" w:rsidRDefault="008F4916" w:rsidP="00F4313F">
      <w:pPr>
        <w:spacing w:after="0" w:line="240" w:lineRule="auto"/>
      </w:pPr>
      <w:r w:rsidRPr="00A23629">
        <w:rPr>
          <w:noProof/>
          <w:lang w:eastAsia="ja-JP"/>
        </w:rPr>
        <w:drawing>
          <wp:inline distT="0" distB="0" distL="0" distR="0" wp14:anchorId="6A1F0332" wp14:editId="6BBEE0B4">
            <wp:extent cx="3676650" cy="3265281"/>
            <wp:effectExtent l="0" t="0" r="0" b="0"/>
            <wp:docPr id="1914412723" name="Picture 1914412723" descr="This species sensitivity distribution (SSD) plots the values in Table A 2 for salinity 15–&lt;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12723" name="Picture 1914412723" descr="This species sensitivity distribution (SSD) plots the values in Table A 2 for salinity 15–&lt;25‰."/>
                    <pic:cNvPicPr/>
                  </pic:nvPicPr>
                  <pic:blipFill rotWithShape="1">
                    <a:blip r:embed="rId45" cstate="print">
                      <a:extLst>
                        <a:ext uri="{28A0092B-C50C-407E-A947-70E740481C1C}">
                          <a14:useLocalDpi xmlns:a14="http://schemas.microsoft.com/office/drawing/2010/main" val="0"/>
                        </a:ext>
                      </a:extLst>
                    </a:blip>
                    <a:srcRect t="12437" r="4930" b="3130"/>
                    <a:stretch/>
                  </pic:blipFill>
                  <pic:spPr bwMode="auto">
                    <a:xfrm>
                      <a:off x="0" y="0"/>
                      <a:ext cx="3691078" cy="3278094"/>
                    </a:xfrm>
                    <a:prstGeom prst="rect">
                      <a:avLst/>
                    </a:prstGeom>
                    <a:ln>
                      <a:noFill/>
                    </a:ln>
                    <a:extLst>
                      <a:ext uri="{53640926-AAD7-44D8-BBD7-CCE9431645EC}">
                        <a14:shadowObscured xmlns:a14="http://schemas.microsoft.com/office/drawing/2010/main"/>
                      </a:ext>
                    </a:extLst>
                  </pic:spPr>
                </pic:pic>
              </a:graphicData>
            </a:graphic>
          </wp:inline>
        </w:drawing>
      </w:r>
    </w:p>
    <w:p w14:paraId="2BD32997" w14:textId="1BF7DC73" w:rsidR="00900E03" w:rsidRDefault="00900E03" w:rsidP="00F4313F">
      <w:pPr>
        <w:pStyle w:val="FigureTableNoteSource"/>
        <w:spacing w:before="60" w:after="100"/>
      </w:pPr>
      <w:r>
        <w:rPr>
          <w:lang w:eastAsia="en-AU"/>
        </w:rPr>
        <w:t xml:space="preserve">Note: dotted line </w:t>
      </w:r>
      <w:r w:rsidR="00091331">
        <w:rPr>
          <w:lang w:eastAsia="en-AU"/>
        </w:rPr>
        <w:t>shows</w:t>
      </w:r>
      <w:r>
        <w:rPr>
          <w:lang w:eastAsia="en-AU"/>
        </w:rPr>
        <w:t xml:space="preserve"> the concentration of CPO </w:t>
      </w:r>
      <w:r w:rsidR="00091331">
        <w:rPr>
          <w:lang w:eastAsia="en-AU"/>
        </w:rPr>
        <w:t>(</w:t>
      </w:r>
      <w:r>
        <w:rPr>
          <w:lang w:eastAsia="en-AU"/>
        </w:rPr>
        <w:t>15</w:t>
      </w:r>
      <w:r w:rsidR="00091331">
        <w:rPr>
          <w:lang w:eastAsia="en-AU"/>
        </w:rPr>
        <w:t> </w:t>
      </w:r>
      <w:r>
        <w:rPr>
          <w:rFonts w:cstheme="minorHAnsi"/>
          <w:lang w:eastAsia="en-AU"/>
        </w:rPr>
        <w:t>µ</w:t>
      </w:r>
      <w:r>
        <w:rPr>
          <w:lang w:eastAsia="en-AU"/>
        </w:rPr>
        <w:t>g/L</w:t>
      </w:r>
      <w:r w:rsidR="00091331">
        <w:rPr>
          <w:lang w:eastAsia="en-AU"/>
        </w:rPr>
        <w:t>)</w:t>
      </w:r>
      <w:r>
        <w:rPr>
          <w:lang w:eastAsia="en-AU"/>
        </w:rPr>
        <w:t xml:space="preserve"> at which 5% of species are potentially affected.</w:t>
      </w:r>
    </w:p>
    <w:p w14:paraId="67649730" w14:textId="5D6253E1" w:rsidR="008F4916" w:rsidRPr="00A23629" w:rsidRDefault="008F4916" w:rsidP="00A0125A">
      <w:pPr>
        <w:pStyle w:val="Caption"/>
        <w:keepNext w:val="0"/>
        <w:rPr>
          <w:lang w:eastAsia="en-AU"/>
        </w:rPr>
      </w:pPr>
      <w:bookmarkStart w:id="61" w:name="_Ref178602386"/>
      <w:bookmarkStart w:id="62" w:name="_Toc185441660"/>
      <w:r>
        <w:lastRenderedPageBreak/>
        <w:t>Figure B </w:t>
      </w:r>
      <w:r w:rsidR="00141D27">
        <w:fldChar w:fldCharType="begin"/>
      </w:r>
      <w:r w:rsidR="00141D27">
        <w:instrText xml:space="preserve"> SEQ Figure_B \* ARABIC </w:instrText>
      </w:r>
      <w:r w:rsidR="00141D27">
        <w:fldChar w:fldCharType="separate"/>
      </w:r>
      <w:r w:rsidR="003E6080">
        <w:rPr>
          <w:noProof/>
        </w:rPr>
        <w:t>2</w:t>
      </w:r>
      <w:r w:rsidR="00141D27">
        <w:rPr>
          <w:noProof/>
        </w:rPr>
        <w:fldChar w:fldCharType="end"/>
      </w:r>
      <w:bookmarkEnd w:id="61"/>
      <w:r w:rsidRPr="00A23629">
        <w:rPr>
          <w:lang w:eastAsia="ja-JP"/>
        </w:rPr>
        <w:t xml:space="preserve"> </w:t>
      </w:r>
      <w:r w:rsidR="009B0408" w:rsidRPr="00A23629">
        <w:rPr>
          <w:lang w:eastAsia="ja-JP"/>
        </w:rPr>
        <w:t xml:space="preserve">SSD for </w:t>
      </w:r>
      <w:r w:rsidR="009B0408">
        <w:rPr>
          <w:lang w:eastAsia="ja-JP"/>
        </w:rPr>
        <w:t>chlorine (</w:t>
      </w:r>
      <w:r w:rsidR="009B0408" w:rsidRPr="00A23629">
        <w:rPr>
          <w:lang w:eastAsia="ja-JP"/>
        </w:rPr>
        <w:t>CPO</w:t>
      </w:r>
      <w:r w:rsidR="009B0408">
        <w:rPr>
          <w:lang w:eastAsia="ja-JP"/>
        </w:rPr>
        <w:t>)</w:t>
      </w:r>
      <w:r w:rsidR="009B0408" w:rsidRPr="00A23629">
        <w:rPr>
          <w:lang w:eastAsia="ja-JP"/>
        </w:rPr>
        <w:t xml:space="preserve"> based on flow-through LC50 data</w:t>
      </w:r>
      <w:r w:rsidR="009B0408">
        <w:rPr>
          <w:lang w:eastAsia="ja-JP"/>
        </w:rPr>
        <w:t xml:space="preserve"> and water salinity </w:t>
      </w:r>
      <w:r w:rsidR="009B0408" w:rsidRPr="00A23629">
        <w:rPr>
          <w:lang w:eastAsia="en-AU"/>
        </w:rPr>
        <w:t>15</w:t>
      </w:r>
      <w:r w:rsidR="009B0408">
        <w:rPr>
          <w:lang w:eastAsia="en-AU"/>
        </w:rPr>
        <w:t>–</w:t>
      </w:r>
      <w:r w:rsidR="003E30B3">
        <w:rPr>
          <w:rFonts w:cstheme="minorHAnsi"/>
        </w:rPr>
        <w:t>&lt;25</w:t>
      </w:r>
      <w:r w:rsidR="009B0408" w:rsidRPr="00A23629">
        <w:rPr>
          <w:lang w:eastAsia="en-AU"/>
        </w:rPr>
        <w:t>‰</w:t>
      </w:r>
      <w:bookmarkEnd w:id="62"/>
    </w:p>
    <w:p w14:paraId="41D0EA30" w14:textId="25E5E7BB" w:rsidR="008F4916" w:rsidRDefault="008F4916" w:rsidP="00B421BE">
      <w:pPr>
        <w:spacing w:after="0" w:line="240" w:lineRule="auto"/>
      </w:pPr>
      <w:r w:rsidRPr="00A23629">
        <w:rPr>
          <w:noProof/>
          <w:lang w:eastAsia="ja-JP"/>
        </w:rPr>
        <w:drawing>
          <wp:inline distT="0" distB="0" distL="0" distR="0" wp14:anchorId="7FF7B066" wp14:editId="6100DEF5">
            <wp:extent cx="3609975" cy="3233646"/>
            <wp:effectExtent l="0" t="0" r="0" b="5080"/>
            <wp:docPr id="2077098605" name="Picture 3" descr="This species sensitivity distribution (SSD) shows the combined data from Table A 1 and Table A 2. It comprises 29 species from five  taxonomic groups.">
              <a:extLst xmlns:a="http://schemas.openxmlformats.org/drawingml/2006/main">
                <a:ext uri="{FF2B5EF4-FFF2-40B4-BE49-F238E27FC236}">
                  <a16:creationId xmlns:a16="http://schemas.microsoft.com/office/drawing/2014/main" id="{734F2DD2-C6E3-2C00-136A-DA610D6C19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98605" name="Picture 3" descr="This species sensitivity distribution (SSD) shows the combined data from Table A 1 and Table A 2. It comprises 29 species from five  taxonomic groups.">
                      <a:extLst>
                        <a:ext uri="{FF2B5EF4-FFF2-40B4-BE49-F238E27FC236}">
                          <a16:creationId xmlns:a16="http://schemas.microsoft.com/office/drawing/2014/main" id="{734F2DD2-C6E3-2C00-136A-DA610D6C1971}"/>
                        </a:ext>
                      </a:extLst>
                    </pic:cNvPr>
                    <pic:cNvPicPr>
                      <a:picLocks noChangeAspect="1"/>
                    </pic:cNvPicPr>
                  </pic:nvPicPr>
                  <pic:blipFill rotWithShape="1">
                    <a:blip r:embed="rId46"/>
                    <a:srcRect t="12219" r="5192" b="2857"/>
                    <a:stretch/>
                  </pic:blipFill>
                  <pic:spPr bwMode="auto">
                    <a:xfrm>
                      <a:off x="0" y="0"/>
                      <a:ext cx="3621648" cy="3244102"/>
                    </a:xfrm>
                    <a:prstGeom prst="rect">
                      <a:avLst/>
                    </a:prstGeom>
                    <a:ln>
                      <a:noFill/>
                    </a:ln>
                    <a:extLst>
                      <a:ext uri="{53640926-AAD7-44D8-BBD7-CCE9431645EC}">
                        <a14:shadowObscured xmlns:a14="http://schemas.microsoft.com/office/drawing/2010/main"/>
                      </a:ext>
                    </a:extLst>
                  </pic:spPr>
                </pic:pic>
              </a:graphicData>
            </a:graphic>
          </wp:inline>
        </w:drawing>
      </w:r>
    </w:p>
    <w:p w14:paraId="2B48088A" w14:textId="0B9EB2EA" w:rsidR="00900E03" w:rsidRDefault="00900E03" w:rsidP="00B421BE">
      <w:pPr>
        <w:pStyle w:val="FigureTableNoteSource"/>
        <w:spacing w:before="60" w:after="120"/>
      </w:pPr>
      <w:r>
        <w:rPr>
          <w:lang w:eastAsia="en-AU"/>
        </w:rPr>
        <w:t xml:space="preserve">Note: dotted line </w:t>
      </w:r>
      <w:r w:rsidR="00091331">
        <w:rPr>
          <w:lang w:eastAsia="en-AU"/>
        </w:rPr>
        <w:t>shows</w:t>
      </w:r>
      <w:r>
        <w:rPr>
          <w:lang w:eastAsia="en-AU"/>
        </w:rPr>
        <w:t xml:space="preserve"> the concentration of CPO </w:t>
      </w:r>
      <w:r w:rsidR="00091331">
        <w:rPr>
          <w:lang w:eastAsia="en-AU"/>
        </w:rPr>
        <w:t>(</w:t>
      </w:r>
      <w:r>
        <w:rPr>
          <w:lang w:eastAsia="en-AU"/>
        </w:rPr>
        <w:t>17</w:t>
      </w:r>
      <w:r w:rsidR="00091331">
        <w:rPr>
          <w:lang w:eastAsia="en-AU"/>
        </w:rPr>
        <w:t> </w:t>
      </w:r>
      <w:r>
        <w:rPr>
          <w:rFonts w:cstheme="minorHAnsi"/>
          <w:lang w:eastAsia="en-AU"/>
        </w:rPr>
        <w:t>µ</w:t>
      </w:r>
      <w:r>
        <w:rPr>
          <w:lang w:eastAsia="en-AU"/>
        </w:rPr>
        <w:t>g/L</w:t>
      </w:r>
      <w:r w:rsidR="00091331">
        <w:rPr>
          <w:lang w:eastAsia="en-AU"/>
        </w:rPr>
        <w:t>)</w:t>
      </w:r>
      <w:r>
        <w:rPr>
          <w:lang w:eastAsia="en-AU"/>
        </w:rPr>
        <w:t xml:space="preserve"> at which 5% of species are potentially affected.</w:t>
      </w:r>
    </w:p>
    <w:p w14:paraId="451A6D7F" w14:textId="107CF358" w:rsidR="008F4916" w:rsidRPr="00A23629" w:rsidRDefault="008F4916" w:rsidP="009B0408">
      <w:pPr>
        <w:pStyle w:val="Caption"/>
        <w:keepNext w:val="0"/>
        <w:rPr>
          <w:lang w:eastAsia="en-AU"/>
        </w:rPr>
      </w:pPr>
      <w:bookmarkStart w:id="63" w:name="_Ref178602402"/>
      <w:bookmarkStart w:id="64" w:name="_Toc185441661"/>
      <w:r>
        <w:t>Figure B </w:t>
      </w:r>
      <w:r w:rsidR="00141D27">
        <w:fldChar w:fldCharType="begin"/>
      </w:r>
      <w:r w:rsidR="00141D27">
        <w:instrText xml:space="preserve"> SEQ Figure_B \* ARABIC </w:instrText>
      </w:r>
      <w:r w:rsidR="00141D27">
        <w:fldChar w:fldCharType="separate"/>
      </w:r>
      <w:r w:rsidR="003E6080">
        <w:rPr>
          <w:noProof/>
        </w:rPr>
        <w:t>3</w:t>
      </w:r>
      <w:r w:rsidR="00141D27">
        <w:rPr>
          <w:noProof/>
        </w:rPr>
        <w:fldChar w:fldCharType="end"/>
      </w:r>
      <w:bookmarkEnd w:id="63"/>
      <w:r w:rsidRPr="00A23629">
        <w:rPr>
          <w:lang w:eastAsia="ja-JP"/>
        </w:rPr>
        <w:t xml:space="preserve"> </w:t>
      </w:r>
      <w:r w:rsidR="002F2DC4">
        <w:rPr>
          <w:lang w:eastAsia="ja-JP"/>
        </w:rPr>
        <w:t xml:space="preserve">Combined dataset </w:t>
      </w:r>
      <w:r w:rsidR="009B0408" w:rsidRPr="00A23629">
        <w:rPr>
          <w:lang w:eastAsia="ja-JP"/>
        </w:rPr>
        <w:t xml:space="preserve">SSD for </w:t>
      </w:r>
      <w:r w:rsidR="009B0408">
        <w:rPr>
          <w:lang w:eastAsia="ja-JP"/>
        </w:rPr>
        <w:t>chlorine (</w:t>
      </w:r>
      <w:r w:rsidR="009B0408" w:rsidRPr="00A23629">
        <w:rPr>
          <w:lang w:eastAsia="ja-JP"/>
        </w:rPr>
        <w:t>CPO</w:t>
      </w:r>
      <w:r w:rsidR="009B0408">
        <w:rPr>
          <w:lang w:eastAsia="ja-JP"/>
        </w:rPr>
        <w:t>)</w:t>
      </w:r>
      <w:r w:rsidR="009B0408" w:rsidRPr="00A23629">
        <w:rPr>
          <w:lang w:eastAsia="ja-JP"/>
        </w:rPr>
        <w:t xml:space="preserve"> </w:t>
      </w:r>
      <w:r w:rsidR="002F2DC4">
        <w:rPr>
          <w:lang w:eastAsia="ja-JP"/>
        </w:rPr>
        <w:t>– b</w:t>
      </w:r>
      <w:r w:rsidR="009B0408" w:rsidRPr="00A23629">
        <w:rPr>
          <w:lang w:eastAsia="ja-JP"/>
        </w:rPr>
        <w:t>ased on flow-through LC50 data</w:t>
      </w:r>
      <w:r w:rsidR="009B0408">
        <w:rPr>
          <w:lang w:eastAsia="ja-JP"/>
        </w:rPr>
        <w:t xml:space="preserve">, static EC50 data and water salinity </w:t>
      </w:r>
      <w:r w:rsidR="009B0408" w:rsidRPr="00A23629">
        <w:rPr>
          <w:lang w:eastAsia="en-AU"/>
        </w:rPr>
        <w:t>≥15‰</w:t>
      </w:r>
      <w:bookmarkEnd w:id="64"/>
    </w:p>
    <w:p w14:paraId="16DACA3C" w14:textId="1BD2C2DF" w:rsidR="004B4208" w:rsidRPr="00A23629" w:rsidRDefault="00A0125A" w:rsidP="00A0125A">
      <w:pPr>
        <w:pStyle w:val="Caption"/>
        <w:rPr>
          <w:sz w:val="18"/>
        </w:rPr>
      </w:pPr>
      <w:bookmarkStart w:id="65" w:name="_Ref178601797"/>
      <w:bookmarkStart w:id="66" w:name="_Toc185441667"/>
      <w:r>
        <w:t>Table B </w:t>
      </w:r>
      <w:r w:rsidR="00141D27">
        <w:fldChar w:fldCharType="begin"/>
      </w:r>
      <w:r w:rsidR="00141D27">
        <w:instrText xml:space="preserve"> SEQ Table_B \* ARABIC </w:instrText>
      </w:r>
      <w:r w:rsidR="00141D27">
        <w:fldChar w:fldCharType="separate"/>
      </w:r>
      <w:r w:rsidR="003E6080">
        <w:rPr>
          <w:noProof/>
        </w:rPr>
        <w:t>1</w:t>
      </w:r>
      <w:r w:rsidR="00141D27">
        <w:rPr>
          <w:noProof/>
        </w:rPr>
        <w:fldChar w:fldCharType="end"/>
      </w:r>
      <w:bookmarkEnd w:id="65"/>
      <w:r w:rsidR="004B4208" w:rsidRPr="00A23629">
        <w:rPr>
          <w:lang w:eastAsia="en-AU"/>
        </w:rPr>
        <w:t xml:space="preserve"> Summary</w:t>
      </w:r>
      <w:r w:rsidR="002F2DC4">
        <w:rPr>
          <w:lang w:eastAsia="en-AU"/>
        </w:rPr>
        <w:t>,</w:t>
      </w:r>
      <w:r w:rsidR="004B4208" w:rsidRPr="00A23629">
        <w:rPr>
          <w:lang w:eastAsia="en-AU"/>
        </w:rPr>
        <w:t xml:space="preserve"> short-term </w:t>
      </w:r>
      <w:r w:rsidR="00973DAB" w:rsidRPr="00A23629">
        <w:rPr>
          <w:lang w:eastAsia="en-AU"/>
        </w:rPr>
        <w:t>protective concentrations</w:t>
      </w:r>
      <w:r w:rsidR="004B4208" w:rsidRPr="00A23629">
        <w:rPr>
          <w:lang w:eastAsia="en-AU"/>
        </w:rPr>
        <w:t xml:space="preserve"> </w:t>
      </w:r>
      <w:r w:rsidR="00FB167E" w:rsidRPr="00A23629">
        <w:rPr>
          <w:lang w:eastAsia="en-AU"/>
        </w:rPr>
        <w:t xml:space="preserve">for </w:t>
      </w:r>
      <w:r w:rsidR="002F2DC4">
        <w:rPr>
          <w:lang w:eastAsia="en-AU"/>
        </w:rPr>
        <w:t>chlorine (</w:t>
      </w:r>
      <w:r w:rsidR="00FB167E" w:rsidRPr="00A23629">
        <w:rPr>
          <w:lang w:eastAsia="en-AU"/>
        </w:rPr>
        <w:t>CPO</w:t>
      </w:r>
      <w:r w:rsidR="002F2DC4">
        <w:rPr>
          <w:lang w:eastAsia="en-AU"/>
        </w:rPr>
        <w:t>)</w:t>
      </w:r>
      <w:r w:rsidR="00FB167E" w:rsidRPr="00A23629">
        <w:rPr>
          <w:lang w:eastAsia="en-AU"/>
        </w:rPr>
        <w:t xml:space="preserve"> in marine water</w:t>
      </w:r>
      <w:r w:rsidR="002F2DC4">
        <w:rPr>
          <w:lang w:eastAsia="en-AU"/>
        </w:rPr>
        <w:t xml:space="preserve"> – three datasets assessed</w:t>
      </w:r>
      <w:bookmarkEnd w:id="66"/>
    </w:p>
    <w:tbl>
      <w:tblPr>
        <w:tblStyle w:val="TableGrid"/>
        <w:tblW w:w="9060" w:type="dxa"/>
        <w:tblBorders>
          <w:left w:val="none" w:sz="0" w:space="0" w:color="auto"/>
          <w:right w:val="none" w:sz="0" w:space="0" w:color="auto"/>
          <w:insideV w:val="none" w:sz="0" w:space="0" w:color="auto"/>
        </w:tblBorders>
        <w:tblLook w:val="04A0" w:firstRow="1" w:lastRow="0" w:firstColumn="1" w:lastColumn="0" w:noHBand="0" w:noVBand="1"/>
        <w:tblCaption w:val="Summary, short-term protective concentrations for chlorine (CPO) in marine water – three datasets assessed"/>
        <w:tblDescription w:val="This table shows the protective concentrations (PCs) of the three datasets assessed:&#10;Dataset 1: based on short-term tests conducted at ≥25‰&#10;Dataset 2: based on dataset 1 minus toxicity values from static exposure tests, and conducted at 15–&lt;25‰ &#10;Dataset 3: based on short-term tests conducted at ≥15‰ salinity."/>
      </w:tblPr>
      <w:tblGrid>
        <w:gridCol w:w="1843"/>
        <w:gridCol w:w="2405"/>
        <w:gridCol w:w="2406"/>
        <w:gridCol w:w="2406"/>
      </w:tblGrid>
      <w:tr w:rsidR="001B5D90" w:rsidRPr="00A23629" w14:paraId="5884DC4F" w14:textId="77777777" w:rsidTr="00091331">
        <w:trPr>
          <w:cantSplit/>
        </w:trPr>
        <w:tc>
          <w:tcPr>
            <w:tcW w:w="1843" w:type="dxa"/>
            <w:vMerge w:val="restart"/>
            <w:tcBorders>
              <w:top w:val="single" w:sz="12" w:space="0" w:color="auto"/>
            </w:tcBorders>
            <w:vAlign w:val="center"/>
          </w:tcPr>
          <w:p w14:paraId="3C3233AA" w14:textId="6CB3555D" w:rsidR="00F04046" w:rsidRPr="00A23629" w:rsidRDefault="001B5D90" w:rsidP="00B421BE">
            <w:pPr>
              <w:pStyle w:val="TableHeading"/>
              <w:rPr>
                <w:lang w:eastAsia="en-AU"/>
              </w:rPr>
            </w:pPr>
            <w:r w:rsidRPr="00A23629">
              <w:rPr>
                <w:lang w:eastAsia="en-AU"/>
              </w:rPr>
              <w:t>Level of species protection</w:t>
            </w:r>
            <w:r w:rsidR="001A34D1">
              <w:rPr>
                <w:lang w:eastAsia="en-AU"/>
              </w:rPr>
              <w:t xml:space="preserve"> </w:t>
            </w:r>
            <w:r w:rsidRPr="00A23629">
              <w:rPr>
                <w:lang w:eastAsia="en-AU"/>
              </w:rPr>
              <w:t>(%)</w:t>
            </w:r>
          </w:p>
        </w:tc>
        <w:tc>
          <w:tcPr>
            <w:tcW w:w="7217" w:type="dxa"/>
            <w:gridSpan w:val="3"/>
            <w:tcBorders>
              <w:top w:val="single" w:sz="12" w:space="0" w:color="auto"/>
            </w:tcBorders>
            <w:vAlign w:val="center"/>
          </w:tcPr>
          <w:p w14:paraId="6BD7FFFF" w14:textId="1A3D702B" w:rsidR="001B5D90" w:rsidRPr="00A23629" w:rsidRDefault="001B5D90" w:rsidP="002F2DC4">
            <w:pPr>
              <w:pStyle w:val="TableHeading"/>
              <w:jc w:val="center"/>
              <w:rPr>
                <w:lang w:eastAsia="en-AU"/>
              </w:rPr>
            </w:pPr>
            <w:r w:rsidRPr="00A23629">
              <w:rPr>
                <w:lang w:eastAsia="en-AU"/>
              </w:rPr>
              <w:t>CPO protective concentration values (</w:t>
            </w:r>
            <w:r w:rsidRPr="00A23629">
              <w:rPr>
                <w:rFonts w:ascii="Calibri" w:hAnsi="Calibri" w:cs="Calibri"/>
                <w:lang w:eastAsia="en-AU"/>
              </w:rPr>
              <w:t>µ</w:t>
            </w:r>
            <w:r w:rsidRPr="00A23629">
              <w:rPr>
                <w:lang w:eastAsia="en-AU"/>
              </w:rPr>
              <w:t>g/L)</w:t>
            </w:r>
            <w:r w:rsidR="002F2DC4" w:rsidRPr="001A34D1">
              <w:rPr>
                <w:rStyle w:val="Strong"/>
                <w:vertAlign w:val="superscript"/>
              </w:rPr>
              <w:t xml:space="preserve"> a</w:t>
            </w:r>
          </w:p>
        </w:tc>
      </w:tr>
      <w:tr w:rsidR="001B5D90" w:rsidRPr="00A23629" w14:paraId="7C22BEC4" w14:textId="02FDC735" w:rsidTr="00091331">
        <w:trPr>
          <w:cantSplit/>
          <w:trHeight w:val="240"/>
        </w:trPr>
        <w:tc>
          <w:tcPr>
            <w:tcW w:w="1843" w:type="dxa"/>
            <w:vMerge/>
            <w:tcBorders>
              <w:bottom w:val="single" w:sz="12" w:space="0" w:color="auto"/>
            </w:tcBorders>
            <w:vAlign w:val="center"/>
          </w:tcPr>
          <w:p w14:paraId="1A4C19A5" w14:textId="2B4D4A6D" w:rsidR="001B5D90" w:rsidRPr="00A23629" w:rsidRDefault="001B5D90" w:rsidP="002F2DC4">
            <w:pPr>
              <w:pStyle w:val="TableHeading"/>
              <w:rPr>
                <w:szCs w:val="18"/>
              </w:rPr>
            </w:pPr>
          </w:p>
        </w:tc>
        <w:tc>
          <w:tcPr>
            <w:tcW w:w="2405" w:type="dxa"/>
            <w:tcBorders>
              <w:bottom w:val="single" w:sz="12" w:space="0" w:color="auto"/>
            </w:tcBorders>
            <w:vAlign w:val="center"/>
          </w:tcPr>
          <w:p w14:paraId="74808809" w14:textId="2C541D22" w:rsidR="001B5D90" w:rsidRPr="00A23629" w:rsidRDefault="001B5D90" w:rsidP="00091331">
            <w:pPr>
              <w:pStyle w:val="TableHeading"/>
              <w:rPr>
                <w:lang w:eastAsia="en-AU"/>
              </w:rPr>
            </w:pPr>
            <w:r w:rsidRPr="00A23629">
              <w:rPr>
                <w:bCs/>
                <w:lang w:eastAsia="en-AU"/>
              </w:rPr>
              <w:t>≥</w:t>
            </w:r>
            <w:r w:rsidRPr="00A23629">
              <w:rPr>
                <w:lang w:eastAsia="en-AU"/>
              </w:rPr>
              <w:t>25‰ salinity</w:t>
            </w:r>
            <w:r w:rsidR="002F2DC4">
              <w:rPr>
                <w:lang w:eastAsia="en-AU"/>
              </w:rPr>
              <w:t xml:space="preserve">, </w:t>
            </w:r>
            <w:r w:rsidRPr="00A23629">
              <w:rPr>
                <w:lang w:eastAsia="en-AU"/>
              </w:rPr>
              <w:t>flow-through</w:t>
            </w:r>
            <w:r w:rsidR="00F576CF">
              <w:rPr>
                <w:lang w:eastAsia="en-AU"/>
              </w:rPr>
              <w:t xml:space="preserve"> data</w:t>
            </w:r>
            <w:r w:rsidR="002F2DC4">
              <w:rPr>
                <w:lang w:eastAsia="en-AU"/>
              </w:rPr>
              <w:t>,</w:t>
            </w:r>
            <w:r w:rsidRPr="00A23629">
              <w:rPr>
                <w:lang w:eastAsia="en-AU"/>
              </w:rPr>
              <w:t xml:space="preserve"> static data</w:t>
            </w:r>
            <w:r w:rsidR="00091331">
              <w:rPr>
                <w:lang w:eastAsia="en-AU"/>
              </w:rPr>
              <w:t xml:space="preserve"> </w:t>
            </w:r>
            <w:r w:rsidR="002F2DC4">
              <w:rPr>
                <w:lang w:eastAsia="en-AU"/>
              </w:rPr>
              <w:t>(</w:t>
            </w:r>
            <w:r w:rsidRPr="00A23629">
              <w:rPr>
                <w:lang w:eastAsia="en-AU"/>
              </w:rPr>
              <w:t>n</w:t>
            </w:r>
            <w:r w:rsidR="0064302C">
              <w:rPr>
                <w:lang w:eastAsia="en-AU"/>
              </w:rPr>
              <w:t> </w:t>
            </w:r>
            <w:r w:rsidRPr="00A23629">
              <w:rPr>
                <w:lang w:eastAsia="en-AU"/>
              </w:rPr>
              <w:t>=</w:t>
            </w:r>
            <w:r w:rsidR="0064302C">
              <w:rPr>
                <w:lang w:eastAsia="en-AU"/>
              </w:rPr>
              <w:t> </w:t>
            </w:r>
            <w:r w:rsidRPr="00A23629">
              <w:rPr>
                <w:lang w:eastAsia="en-AU"/>
              </w:rPr>
              <w:t>18)</w:t>
            </w:r>
          </w:p>
        </w:tc>
        <w:tc>
          <w:tcPr>
            <w:tcW w:w="2406" w:type="dxa"/>
            <w:tcBorders>
              <w:bottom w:val="single" w:sz="12" w:space="0" w:color="auto"/>
            </w:tcBorders>
            <w:vAlign w:val="center"/>
          </w:tcPr>
          <w:p w14:paraId="01EFAAD9" w14:textId="789B7B7D" w:rsidR="001B5D90" w:rsidRPr="00A23629" w:rsidRDefault="001B5D90" w:rsidP="00091331">
            <w:pPr>
              <w:pStyle w:val="TableHeading"/>
              <w:rPr>
                <w:szCs w:val="18"/>
              </w:rPr>
            </w:pPr>
            <w:r w:rsidRPr="00A23629">
              <w:rPr>
                <w:lang w:eastAsia="en-AU"/>
              </w:rPr>
              <w:t>15</w:t>
            </w:r>
            <w:r w:rsidR="00054B58">
              <w:rPr>
                <w:lang w:eastAsia="en-AU"/>
              </w:rPr>
              <w:t>–</w:t>
            </w:r>
            <w:r w:rsidR="003E30B3">
              <w:rPr>
                <w:rFonts w:cstheme="minorHAnsi"/>
              </w:rPr>
              <w:t>&lt;25</w:t>
            </w:r>
            <w:r w:rsidRPr="00A23629">
              <w:rPr>
                <w:lang w:eastAsia="en-AU"/>
              </w:rPr>
              <w:t>‰ salinity</w:t>
            </w:r>
            <w:r w:rsidR="002F2DC4">
              <w:rPr>
                <w:lang w:eastAsia="en-AU"/>
              </w:rPr>
              <w:t xml:space="preserve">, </w:t>
            </w:r>
            <w:r w:rsidRPr="00A23629">
              <w:rPr>
                <w:lang w:eastAsia="en-AU"/>
              </w:rPr>
              <w:t>flow-through data</w:t>
            </w:r>
            <w:r w:rsidR="00091331">
              <w:rPr>
                <w:lang w:eastAsia="en-AU"/>
              </w:rPr>
              <w:t xml:space="preserve"> </w:t>
            </w:r>
            <w:r w:rsidR="002F2DC4">
              <w:rPr>
                <w:lang w:eastAsia="en-AU"/>
              </w:rPr>
              <w:t>(</w:t>
            </w:r>
            <w:r w:rsidRPr="00A23629">
              <w:rPr>
                <w:lang w:eastAsia="en-AU"/>
              </w:rPr>
              <w:t>n</w:t>
            </w:r>
            <w:r w:rsidR="0064302C">
              <w:rPr>
                <w:lang w:eastAsia="en-AU"/>
              </w:rPr>
              <w:t> </w:t>
            </w:r>
            <w:r w:rsidRPr="00A23629">
              <w:rPr>
                <w:lang w:eastAsia="en-AU"/>
              </w:rPr>
              <w:t>=</w:t>
            </w:r>
            <w:r w:rsidR="0064302C">
              <w:rPr>
                <w:lang w:eastAsia="en-AU"/>
              </w:rPr>
              <w:t> </w:t>
            </w:r>
            <w:r w:rsidRPr="00A23629">
              <w:rPr>
                <w:lang w:eastAsia="en-AU"/>
              </w:rPr>
              <w:t>11)</w:t>
            </w:r>
          </w:p>
        </w:tc>
        <w:tc>
          <w:tcPr>
            <w:tcW w:w="2406" w:type="dxa"/>
            <w:tcBorders>
              <w:bottom w:val="single" w:sz="12" w:space="0" w:color="auto"/>
            </w:tcBorders>
            <w:vAlign w:val="center"/>
          </w:tcPr>
          <w:p w14:paraId="6279F7C2" w14:textId="62A3B393" w:rsidR="001B5D90" w:rsidRPr="00A23629" w:rsidRDefault="001B5D90" w:rsidP="00091331">
            <w:pPr>
              <w:pStyle w:val="TableHeading"/>
              <w:rPr>
                <w:szCs w:val="18"/>
              </w:rPr>
            </w:pPr>
            <w:r w:rsidRPr="00A23629">
              <w:rPr>
                <w:lang w:eastAsia="en-AU"/>
              </w:rPr>
              <w:t>≥15‰ salinity</w:t>
            </w:r>
            <w:r w:rsidR="002F2DC4">
              <w:rPr>
                <w:lang w:eastAsia="en-AU"/>
              </w:rPr>
              <w:t>,</w:t>
            </w:r>
            <w:r w:rsidRPr="00A23629">
              <w:rPr>
                <w:lang w:eastAsia="en-AU"/>
              </w:rPr>
              <w:t xml:space="preserve"> flow-through</w:t>
            </w:r>
            <w:r w:rsidR="002F2DC4">
              <w:rPr>
                <w:lang w:eastAsia="en-AU"/>
              </w:rPr>
              <w:t xml:space="preserve"> data,</w:t>
            </w:r>
            <w:r w:rsidRPr="00A23629">
              <w:rPr>
                <w:lang w:eastAsia="en-AU"/>
              </w:rPr>
              <w:t xml:space="preserve"> static data</w:t>
            </w:r>
            <w:r w:rsidR="00091331">
              <w:rPr>
                <w:lang w:eastAsia="en-AU"/>
              </w:rPr>
              <w:t xml:space="preserve"> </w:t>
            </w:r>
            <w:r w:rsidR="002F2DC4">
              <w:rPr>
                <w:lang w:eastAsia="en-AU"/>
              </w:rPr>
              <w:t>(</w:t>
            </w:r>
            <w:r w:rsidRPr="00A23629">
              <w:rPr>
                <w:lang w:eastAsia="en-AU"/>
              </w:rPr>
              <w:t>n</w:t>
            </w:r>
            <w:r w:rsidR="0064302C">
              <w:rPr>
                <w:lang w:eastAsia="en-AU"/>
              </w:rPr>
              <w:t> </w:t>
            </w:r>
            <w:r w:rsidRPr="00A23629">
              <w:rPr>
                <w:lang w:eastAsia="en-AU"/>
              </w:rPr>
              <w:t>=</w:t>
            </w:r>
            <w:r w:rsidR="0064302C">
              <w:rPr>
                <w:lang w:eastAsia="en-AU"/>
              </w:rPr>
              <w:t> </w:t>
            </w:r>
            <w:r w:rsidRPr="00A23629">
              <w:rPr>
                <w:lang w:eastAsia="en-AU"/>
              </w:rPr>
              <w:t>29)</w:t>
            </w:r>
          </w:p>
        </w:tc>
      </w:tr>
      <w:tr w:rsidR="00380F89" w:rsidRPr="00A23629" w14:paraId="04E10B66" w14:textId="7FAA8863" w:rsidTr="00091331">
        <w:trPr>
          <w:cantSplit/>
        </w:trPr>
        <w:tc>
          <w:tcPr>
            <w:tcW w:w="1843" w:type="dxa"/>
            <w:tcBorders>
              <w:top w:val="single" w:sz="12" w:space="0" w:color="auto"/>
            </w:tcBorders>
          </w:tcPr>
          <w:p w14:paraId="5BFD6E9F" w14:textId="1D813E87" w:rsidR="00380F89" w:rsidRPr="00A23629" w:rsidRDefault="00380F89" w:rsidP="001A34D1">
            <w:pPr>
              <w:pStyle w:val="TableText"/>
              <w:rPr>
                <w:szCs w:val="18"/>
              </w:rPr>
            </w:pPr>
            <w:r w:rsidRPr="00A23629">
              <w:rPr>
                <w:lang w:eastAsia="en-AU"/>
              </w:rPr>
              <w:t>99</w:t>
            </w:r>
          </w:p>
        </w:tc>
        <w:tc>
          <w:tcPr>
            <w:tcW w:w="2405" w:type="dxa"/>
            <w:tcBorders>
              <w:top w:val="single" w:sz="12" w:space="0" w:color="auto"/>
            </w:tcBorders>
          </w:tcPr>
          <w:p w14:paraId="2489A8B3" w14:textId="6ADA016C" w:rsidR="00380F89" w:rsidRPr="00A23629" w:rsidRDefault="00620494" w:rsidP="001A34D1">
            <w:pPr>
              <w:pStyle w:val="TableText"/>
              <w:rPr>
                <w:szCs w:val="18"/>
              </w:rPr>
            </w:pPr>
            <w:r w:rsidRPr="00A23629">
              <w:rPr>
                <w:lang w:eastAsia="en-AU"/>
              </w:rPr>
              <w:t>6.</w:t>
            </w:r>
            <w:r w:rsidR="00DA5348" w:rsidRPr="00A23629">
              <w:rPr>
                <w:lang w:eastAsia="en-AU"/>
              </w:rPr>
              <w:t>1</w:t>
            </w:r>
            <w:r w:rsidR="00380F89" w:rsidRPr="00A23629">
              <w:rPr>
                <w:lang w:eastAsia="en-AU"/>
              </w:rPr>
              <w:t xml:space="preserve"> </w:t>
            </w:r>
          </w:p>
        </w:tc>
        <w:tc>
          <w:tcPr>
            <w:tcW w:w="2406" w:type="dxa"/>
            <w:tcBorders>
              <w:top w:val="single" w:sz="12" w:space="0" w:color="auto"/>
            </w:tcBorders>
          </w:tcPr>
          <w:p w14:paraId="501993D3" w14:textId="3F05B97E" w:rsidR="00380F89" w:rsidRPr="00A23629" w:rsidRDefault="00620494" w:rsidP="001A34D1">
            <w:pPr>
              <w:pStyle w:val="TableText"/>
              <w:rPr>
                <w:szCs w:val="18"/>
              </w:rPr>
            </w:pPr>
            <w:r w:rsidRPr="00A23629">
              <w:rPr>
                <w:lang w:eastAsia="en-AU"/>
              </w:rPr>
              <w:t>3.2</w:t>
            </w:r>
          </w:p>
        </w:tc>
        <w:tc>
          <w:tcPr>
            <w:tcW w:w="2406" w:type="dxa"/>
            <w:tcBorders>
              <w:top w:val="single" w:sz="12" w:space="0" w:color="auto"/>
            </w:tcBorders>
          </w:tcPr>
          <w:p w14:paraId="0048D35B" w14:textId="4875768F" w:rsidR="00380F89" w:rsidRPr="00A23629" w:rsidRDefault="00DA5348" w:rsidP="001A34D1">
            <w:pPr>
              <w:pStyle w:val="TableText"/>
              <w:rPr>
                <w:szCs w:val="18"/>
              </w:rPr>
            </w:pPr>
            <w:r w:rsidRPr="00A23629">
              <w:rPr>
                <w:lang w:eastAsia="en-AU"/>
              </w:rPr>
              <w:t>7.1</w:t>
            </w:r>
          </w:p>
        </w:tc>
      </w:tr>
      <w:tr w:rsidR="00380F89" w:rsidRPr="00A23629" w14:paraId="7AB848D2" w14:textId="1301AEC2" w:rsidTr="00091331">
        <w:trPr>
          <w:cantSplit/>
        </w:trPr>
        <w:tc>
          <w:tcPr>
            <w:tcW w:w="1843" w:type="dxa"/>
          </w:tcPr>
          <w:p w14:paraId="487F0A84" w14:textId="27441E3F" w:rsidR="00380F89" w:rsidRPr="00A23629" w:rsidRDefault="00380F89" w:rsidP="001A34D1">
            <w:pPr>
              <w:pStyle w:val="TableText"/>
              <w:rPr>
                <w:szCs w:val="18"/>
              </w:rPr>
            </w:pPr>
            <w:r w:rsidRPr="00A23629">
              <w:rPr>
                <w:lang w:eastAsia="en-AU"/>
              </w:rPr>
              <w:t>95</w:t>
            </w:r>
          </w:p>
        </w:tc>
        <w:tc>
          <w:tcPr>
            <w:tcW w:w="2405" w:type="dxa"/>
          </w:tcPr>
          <w:p w14:paraId="4CC35696" w14:textId="3210989C" w:rsidR="00380F89" w:rsidRPr="00A23629" w:rsidRDefault="00DA5348" w:rsidP="001A34D1">
            <w:pPr>
              <w:pStyle w:val="TableText"/>
              <w:rPr>
                <w:szCs w:val="18"/>
              </w:rPr>
            </w:pPr>
            <w:r w:rsidRPr="00A23629">
              <w:rPr>
                <w:lang w:eastAsia="en-AU"/>
              </w:rPr>
              <w:t xml:space="preserve">15 </w:t>
            </w:r>
          </w:p>
        </w:tc>
        <w:tc>
          <w:tcPr>
            <w:tcW w:w="2406" w:type="dxa"/>
          </w:tcPr>
          <w:p w14:paraId="7CDD8A03" w14:textId="03C5469D" w:rsidR="00380F89" w:rsidRPr="00A23629" w:rsidRDefault="00620494" w:rsidP="001A34D1">
            <w:pPr>
              <w:pStyle w:val="TableText"/>
              <w:rPr>
                <w:szCs w:val="18"/>
              </w:rPr>
            </w:pPr>
            <w:r w:rsidRPr="00A23629">
              <w:rPr>
                <w:lang w:eastAsia="en-AU"/>
              </w:rPr>
              <w:t>15</w:t>
            </w:r>
          </w:p>
        </w:tc>
        <w:tc>
          <w:tcPr>
            <w:tcW w:w="2406" w:type="dxa"/>
          </w:tcPr>
          <w:p w14:paraId="5A0486E8" w14:textId="41BB6879" w:rsidR="00380F89" w:rsidRPr="00A23629" w:rsidRDefault="00DA5348" w:rsidP="001A34D1">
            <w:pPr>
              <w:pStyle w:val="TableText"/>
              <w:rPr>
                <w:szCs w:val="18"/>
              </w:rPr>
            </w:pPr>
            <w:r w:rsidRPr="00A23629">
              <w:rPr>
                <w:lang w:eastAsia="en-AU"/>
              </w:rPr>
              <w:t>17</w:t>
            </w:r>
          </w:p>
        </w:tc>
      </w:tr>
      <w:tr w:rsidR="00380F89" w:rsidRPr="00A23629" w14:paraId="02F8523B" w14:textId="06D74341" w:rsidTr="00091331">
        <w:trPr>
          <w:cantSplit/>
        </w:trPr>
        <w:tc>
          <w:tcPr>
            <w:tcW w:w="1843" w:type="dxa"/>
            <w:tcBorders>
              <w:bottom w:val="single" w:sz="4" w:space="0" w:color="auto"/>
            </w:tcBorders>
          </w:tcPr>
          <w:p w14:paraId="0ACE98A1" w14:textId="1132981D" w:rsidR="00380F89" w:rsidRPr="00A23629" w:rsidRDefault="00380F89" w:rsidP="001A34D1">
            <w:pPr>
              <w:pStyle w:val="TableText"/>
              <w:rPr>
                <w:szCs w:val="18"/>
              </w:rPr>
            </w:pPr>
            <w:r w:rsidRPr="00A23629">
              <w:rPr>
                <w:lang w:eastAsia="en-AU"/>
              </w:rPr>
              <w:t>90</w:t>
            </w:r>
          </w:p>
        </w:tc>
        <w:tc>
          <w:tcPr>
            <w:tcW w:w="2405" w:type="dxa"/>
            <w:tcBorders>
              <w:bottom w:val="single" w:sz="4" w:space="0" w:color="auto"/>
            </w:tcBorders>
          </w:tcPr>
          <w:p w14:paraId="32C2012D" w14:textId="1B6DBF62" w:rsidR="00380F89" w:rsidRPr="00A23629" w:rsidRDefault="00DA5348" w:rsidP="001A34D1">
            <w:pPr>
              <w:pStyle w:val="TableText"/>
              <w:rPr>
                <w:szCs w:val="18"/>
              </w:rPr>
            </w:pPr>
            <w:r w:rsidRPr="00A23629">
              <w:rPr>
                <w:lang w:eastAsia="en-AU"/>
              </w:rPr>
              <w:t>24</w:t>
            </w:r>
          </w:p>
        </w:tc>
        <w:tc>
          <w:tcPr>
            <w:tcW w:w="2406" w:type="dxa"/>
            <w:tcBorders>
              <w:bottom w:val="single" w:sz="4" w:space="0" w:color="auto"/>
            </w:tcBorders>
          </w:tcPr>
          <w:p w14:paraId="57B3E706" w14:textId="349E4563" w:rsidR="00380F89" w:rsidRPr="00A23629" w:rsidRDefault="00620494" w:rsidP="001A34D1">
            <w:pPr>
              <w:pStyle w:val="TableText"/>
              <w:rPr>
                <w:szCs w:val="18"/>
              </w:rPr>
            </w:pPr>
            <w:r w:rsidRPr="00A23629">
              <w:rPr>
                <w:lang w:eastAsia="en-AU"/>
              </w:rPr>
              <w:t>29</w:t>
            </w:r>
          </w:p>
        </w:tc>
        <w:tc>
          <w:tcPr>
            <w:tcW w:w="2406" w:type="dxa"/>
            <w:tcBorders>
              <w:bottom w:val="single" w:sz="4" w:space="0" w:color="auto"/>
            </w:tcBorders>
          </w:tcPr>
          <w:p w14:paraId="2BB2BC8E" w14:textId="5C53D4FD" w:rsidR="00380F89" w:rsidRPr="00A23629" w:rsidRDefault="00DA5348" w:rsidP="001A34D1">
            <w:pPr>
              <w:pStyle w:val="TableText"/>
              <w:rPr>
                <w:szCs w:val="18"/>
              </w:rPr>
            </w:pPr>
            <w:r w:rsidRPr="00A23629">
              <w:rPr>
                <w:lang w:eastAsia="en-AU"/>
              </w:rPr>
              <w:t>27</w:t>
            </w:r>
          </w:p>
        </w:tc>
      </w:tr>
      <w:tr w:rsidR="00380F89" w:rsidRPr="00A23629" w14:paraId="22774ADE" w14:textId="0ECB55E5" w:rsidTr="00091331">
        <w:trPr>
          <w:cantSplit/>
        </w:trPr>
        <w:tc>
          <w:tcPr>
            <w:tcW w:w="1843" w:type="dxa"/>
            <w:tcBorders>
              <w:bottom w:val="single" w:sz="12" w:space="0" w:color="auto"/>
            </w:tcBorders>
          </w:tcPr>
          <w:p w14:paraId="0B774F38" w14:textId="1A84B674" w:rsidR="00380F89" w:rsidRPr="00A23629" w:rsidRDefault="00380F89" w:rsidP="001A34D1">
            <w:pPr>
              <w:pStyle w:val="TableText"/>
              <w:rPr>
                <w:szCs w:val="18"/>
              </w:rPr>
            </w:pPr>
            <w:r w:rsidRPr="00A23629">
              <w:rPr>
                <w:lang w:eastAsia="en-AU"/>
              </w:rPr>
              <w:t>80</w:t>
            </w:r>
          </w:p>
        </w:tc>
        <w:tc>
          <w:tcPr>
            <w:tcW w:w="2405" w:type="dxa"/>
            <w:tcBorders>
              <w:bottom w:val="single" w:sz="12" w:space="0" w:color="auto"/>
            </w:tcBorders>
          </w:tcPr>
          <w:p w14:paraId="7B26CA25" w14:textId="128026D2" w:rsidR="00380F89" w:rsidRPr="00A23629" w:rsidRDefault="00DA5348" w:rsidP="001A34D1">
            <w:pPr>
              <w:pStyle w:val="TableText"/>
              <w:rPr>
                <w:szCs w:val="18"/>
              </w:rPr>
            </w:pPr>
            <w:r w:rsidRPr="00A23629">
              <w:rPr>
                <w:lang w:eastAsia="en-AU"/>
              </w:rPr>
              <w:t>40</w:t>
            </w:r>
          </w:p>
        </w:tc>
        <w:tc>
          <w:tcPr>
            <w:tcW w:w="2406" w:type="dxa"/>
            <w:tcBorders>
              <w:bottom w:val="single" w:sz="12" w:space="0" w:color="auto"/>
            </w:tcBorders>
          </w:tcPr>
          <w:p w14:paraId="1A25E41F" w14:textId="2780FD98" w:rsidR="00380F89" w:rsidRPr="00A23629" w:rsidRDefault="00620494" w:rsidP="001A34D1">
            <w:pPr>
              <w:pStyle w:val="TableText"/>
              <w:rPr>
                <w:szCs w:val="18"/>
              </w:rPr>
            </w:pPr>
            <w:r w:rsidRPr="00A23629">
              <w:rPr>
                <w:lang w:eastAsia="en-AU"/>
              </w:rPr>
              <w:t>57</w:t>
            </w:r>
          </w:p>
        </w:tc>
        <w:tc>
          <w:tcPr>
            <w:tcW w:w="2406" w:type="dxa"/>
            <w:tcBorders>
              <w:bottom w:val="single" w:sz="12" w:space="0" w:color="auto"/>
            </w:tcBorders>
          </w:tcPr>
          <w:p w14:paraId="3AAD392D" w14:textId="595E1257" w:rsidR="00380F89" w:rsidRPr="00A23629" w:rsidRDefault="00DA5348" w:rsidP="001A34D1">
            <w:pPr>
              <w:pStyle w:val="TableText"/>
              <w:rPr>
                <w:szCs w:val="18"/>
              </w:rPr>
            </w:pPr>
            <w:r w:rsidRPr="00A23629">
              <w:rPr>
                <w:lang w:eastAsia="en-AU"/>
              </w:rPr>
              <w:t>43</w:t>
            </w:r>
          </w:p>
        </w:tc>
      </w:tr>
    </w:tbl>
    <w:p w14:paraId="16515992" w14:textId="74AB68E4" w:rsidR="00806ECD" w:rsidRDefault="00522145" w:rsidP="00091331">
      <w:pPr>
        <w:pStyle w:val="FigureTableNoteSource"/>
      </w:pPr>
      <w:r w:rsidRPr="001A34D1">
        <w:rPr>
          <w:rStyle w:val="Strong"/>
        </w:rPr>
        <w:t>a</w:t>
      </w:r>
      <w:r w:rsidRPr="00A23629">
        <w:t xml:space="preserve"> </w:t>
      </w:r>
      <w:r w:rsidR="002F2DC4">
        <w:t>C</w:t>
      </w:r>
      <w:r w:rsidRPr="00A23629">
        <w:t>onversion to DGVs requires multiplication by an ACR of 0.6</w:t>
      </w:r>
      <w:r w:rsidR="002F2DC4">
        <w:t>.</w:t>
      </w:r>
    </w:p>
    <w:p w14:paraId="61FB9CBB" w14:textId="61AC8A14" w:rsidR="003F5AB9" w:rsidRDefault="003F5AB9" w:rsidP="001A34D1">
      <w:r>
        <w:br w:type="page"/>
      </w:r>
    </w:p>
    <w:p w14:paraId="42798C0A" w14:textId="19A6AF16" w:rsidR="00806ECD" w:rsidRPr="00A23629" w:rsidRDefault="00806ECD" w:rsidP="00806ECD">
      <w:pPr>
        <w:pStyle w:val="Heading2"/>
        <w:numPr>
          <w:ilvl w:val="0"/>
          <w:numId w:val="0"/>
        </w:numPr>
      </w:pPr>
      <w:bookmarkStart w:id="67" w:name="_Toc178451658"/>
      <w:bookmarkStart w:id="68" w:name="_Ref178602744"/>
      <w:bookmarkStart w:id="69" w:name="_Ref178602786"/>
      <w:bookmarkStart w:id="70" w:name="_Ref178602814"/>
      <w:bookmarkStart w:id="71" w:name="_Toc189409347"/>
      <w:r w:rsidRPr="00A23629">
        <w:lastRenderedPageBreak/>
        <w:t>Appendix</w:t>
      </w:r>
      <w:r w:rsidR="000300D2">
        <w:t> </w:t>
      </w:r>
      <w:r w:rsidRPr="00A23629">
        <w:t>C: Assessment of reliability of echinoderm toxicity data from Dinnel et al. (1981)</w:t>
      </w:r>
      <w:bookmarkEnd w:id="67"/>
      <w:bookmarkEnd w:id="68"/>
      <w:bookmarkEnd w:id="69"/>
      <w:bookmarkEnd w:id="70"/>
      <w:bookmarkEnd w:id="71"/>
    </w:p>
    <w:p w14:paraId="15E88B5C" w14:textId="1976EB53" w:rsidR="00806ECD" w:rsidRPr="00A23629" w:rsidRDefault="0056282E" w:rsidP="003F5AB9">
      <w:pPr>
        <w:rPr>
          <w:lang w:eastAsia="en-AU"/>
        </w:rPr>
      </w:pPr>
      <w:r w:rsidRPr="00A23629">
        <w:t xml:space="preserve">Wallis </w:t>
      </w:r>
      <w:r w:rsidR="003F5AB9">
        <w:t>and</w:t>
      </w:r>
      <w:r w:rsidRPr="00A23629">
        <w:t xml:space="preserve"> Chidgey et al. (2022) </w:t>
      </w:r>
      <w:r w:rsidRPr="00A23629">
        <w:rPr>
          <w:lang w:eastAsia="en-AU"/>
        </w:rPr>
        <w:t xml:space="preserve">questioned the reliability of the chlorine toxicity data reported by Dinnel et al. (1981) for the two echinoderm species </w:t>
      </w:r>
      <w:r w:rsidRPr="00A23629">
        <w:rPr>
          <w:i/>
          <w:iCs/>
          <w:lang w:eastAsia="en-AU"/>
        </w:rPr>
        <w:t>S.</w:t>
      </w:r>
      <w:r w:rsidR="003F5AB9">
        <w:rPr>
          <w:lang w:eastAsia="en-AU"/>
        </w:rPr>
        <w:t> </w:t>
      </w:r>
      <w:r w:rsidRPr="00A23629">
        <w:rPr>
          <w:i/>
          <w:iCs/>
          <w:lang w:eastAsia="en-AU"/>
        </w:rPr>
        <w:t>droebachiensis</w:t>
      </w:r>
      <w:r w:rsidRPr="00A23629">
        <w:rPr>
          <w:lang w:eastAsia="en-AU"/>
        </w:rPr>
        <w:t xml:space="preserve"> and </w:t>
      </w:r>
      <w:r w:rsidRPr="00A23629">
        <w:rPr>
          <w:i/>
          <w:iCs/>
          <w:lang w:eastAsia="en-AU"/>
        </w:rPr>
        <w:t>D.</w:t>
      </w:r>
      <w:r w:rsidR="003F5AB9">
        <w:rPr>
          <w:i/>
          <w:iCs/>
          <w:lang w:eastAsia="en-AU"/>
        </w:rPr>
        <w:t> </w:t>
      </w:r>
      <w:r w:rsidRPr="00A23629">
        <w:rPr>
          <w:i/>
          <w:iCs/>
          <w:lang w:eastAsia="en-AU"/>
        </w:rPr>
        <w:t>excentricus</w:t>
      </w:r>
      <w:r w:rsidRPr="00A23629">
        <w:rPr>
          <w:lang w:eastAsia="en-AU"/>
        </w:rPr>
        <w:t xml:space="preserve">, and suggested that they should </w:t>
      </w:r>
      <w:r w:rsidR="00501C21" w:rsidRPr="00A23629">
        <w:rPr>
          <w:lang w:eastAsia="en-AU"/>
        </w:rPr>
        <w:t>not be included in</w:t>
      </w:r>
      <w:r w:rsidRPr="00A23629">
        <w:rPr>
          <w:lang w:eastAsia="en-AU"/>
        </w:rPr>
        <w:t xml:space="preserve"> dataset</w:t>
      </w:r>
      <w:r w:rsidR="00501C21" w:rsidRPr="00A23629">
        <w:rPr>
          <w:lang w:eastAsia="en-AU"/>
        </w:rPr>
        <w:t>s</w:t>
      </w:r>
      <w:r w:rsidRPr="00A23629">
        <w:rPr>
          <w:lang w:eastAsia="en-AU"/>
        </w:rPr>
        <w:t xml:space="preserve"> used to derive guideline values for chlorine in marine water. An assessment of their arguments </w:t>
      </w:r>
      <w:r w:rsidR="004E5B2A">
        <w:rPr>
          <w:lang w:eastAsia="en-AU"/>
        </w:rPr>
        <w:t>follows</w:t>
      </w:r>
      <w:r w:rsidRPr="00A23629">
        <w:rPr>
          <w:lang w:eastAsia="en-AU"/>
        </w:rPr>
        <w:t>.</w:t>
      </w:r>
    </w:p>
    <w:p w14:paraId="4C5D0FE8" w14:textId="1E3AC7E1" w:rsidR="0056282E" w:rsidRPr="00A23629" w:rsidRDefault="0056282E" w:rsidP="003F5AB9">
      <w:r w:rsidRPr="00A23629">
        <w:rPr>
          <w:lang w:eastAsia="en-AU"/>
        </w:rPr>
        <w:t>The details of the echinoderm toxicity tests and associated result</w:t>
      </w:r>
      <w:r w:rsidR="000D244B" w:rsidRPr="00A23629">
        <w:rPr>
          <w:lang w:eastAsia="en-AU"/>
        </w:rPr>
        <w:t>s</w:t>
      </w:r>
      <w:r w:rsidRPr="00A23629">
        <w:rPr>
          <w:lang w:eastAsia="en-AU"/>
        </w:rPr>
        <w:t xml:space="preserve"> reported by Dinnel et al. (1981) </w:t>
      </w:r>
      <w:r w:rsidR="009B723C">
        <w:rPr>
          <w:lang w:eastAsia="en-AU"/>
        </w:rPr>
        <w:t>are</w:t>
      </w:r>
      <w:r w:rsidR="009B723C" w:rsidRPr="00A23629">
        <w:rPr>
          <w:lang w:eastAsia="en-AU"/>
        </w:rPr>
        <w:t xml:space="preserve"> </w:t>
      </w:r>
      <w:r w:rsidRPr="00A23629">
        <w:rPr>
          <w:lang w:eastAsia="en-AU"/>
        </w:rPr>
        <w:t>described in Section</w:t>
      </w:r>
      <w:r w:rsidR="000300D2">
        <w:rPr>
          <w:lang w:eastAsia="en-AU"/>
        </w:rPr>
        <w:t> </w:t>
      </w:r>
      <w:r w:rsidR="000300D2">
        <w:rPr>
          <w:lang w:eastAsia="en-AU"/>
        </w:rPr>
        <w:fldChar w:fldCharType="begin"/>
      </w:r>
      <w:r w:rsidR="000300D2">
        <w:rPr>
          <w:lang w:eastAsia="en-AU"/>
        </w:rPr>
        <w:instrText xml:space="preserve"> REF _Ref178602581 \r \h </w:instrText>
      </w:r>
      <w:r w:rsidR="000300D2">
        <w:rPr>
          <w:lang w:eastAsia="en-AU"/>
        </w:rPr>
      </w:r>
      <w:r w:rsidR="000300D2">
        <w:rPr>
          <w:lang w:eastAsia="en-AU"/>
        </w:rPr>
        <w:fldChar w:fldCharType="separate"/>
      </w:r>
      <w:r w:rsidR="003E6080">
        <w:rPr>
          <w:lang w:eastAsia="en-AU"/>
        </w:rPr>
        <w:t>2.2</w:t>
      </w:r>
      <w:r w:rsidR="000300D2">
        <w:rPr>
          <w:lang w:eastAsia="en-AU"/>
        </w:rPr>
        <w:fldChar w:fldCharType="end"/>
      </w:r>
      <w:r w:rsidRPr="00A23629">
        <w:rPr>
          <w:lang w:eastAsia="en-AU"/>
        </w:rPr>
        <w:t xml:space="preserve">. </w:t>
      </w:r>
      <w:r w:rsidR="00915837" w:rsidRPr="00A23629">
        <w:rPr>
          <w:lang w:eastAsia="en-AU"/>
        </w:rPr>
        <w:t xml:space="preserve">A summary </w:t>
      </w:r>
      <w:r w:rsidR="000D244B" w:rsidRPr="00A23629">
        <w:rPr>
          <w:lang w:eastAsia="en-AU"/>
        </w:rPr>
        <w:t>of</w:t>
      </w:r>
      <w:r w:rsidR="00915837" w:rsidRPr="00A23629">
        <w:rPr>
          <w:lang w:eastAsia="en-AU"/>
        </w:rPr>
        <w:t xml:space="preserve"> the experimental design for both species is shown in </w:t>
      </w:r>
      <w:r w:rsidR="00DA22B2">
        <w:rPr>
          <w:lang w:eastAsia="en-AU"/>
        </w:rPr>
        <w:fldChar w:fldCharType="begin"/>
      </w:r>
      <w:r w:rsidR="00DA22B2">
        <w:rPr>
          <w:lang w:eastAsia="en-AU"/>
        </w:rPr>
        <w:instrText xml:space="preserve"> REF _Ref178602241 \h </w:instrText>
      </w:r>
      <w:r w:rsidR="00DA22B2">
        <w:rPr>
          <w:lang w:eastAsia="en-AU"/>
        </w:rPr>
      </w:r>
      <w:r w:rsidR="00DA22B2">
        <w:rPr>
          <w:lang w:eastAsia="en-AU"/>
        </w:rPr>
        <w:fldChar w:fldCharType="separate"/>
      </w:r>
      <w:r w:rsidR="003E6080">
        <w:t>Table C </w:t>
      </w:r>
      <w:r w:rsidR="003E6080">
        <w:rPr>
          <w:noProof/>
        </w:rPr>
        <w:t>1</w:t>
      </w:r>
      <w:r w:rsidR="00DA22B2">
        <w:rPr>
          <w:lang w:eastAsia="en-AU"/>
        </w:rPr>
        <w:fldChar w:fldCharType="end"/>
      </w:r>
      <w:r w:rsidR="00915837" w:rsidRPr="00A23629">
        <w:rPr>
          <w:lang w:eastAsia="en-AU"/>
        </w:rPr>
        <w:t xml:space="preserve">. </w:t>
      </w:r>
      <w:r w:rsidRPr="00A23629">
        <w:rPr>
          <w:lang w:eastAsia="en-AU"/>
        </w:rPr>
        <w:t xml:space="preserve">In assessing the </w:t>
      </w:r>
      <w:r w:rsidR="009B723C">
        <w:rPr>
          <w:lang w:eastAsia="en-AU"/>
        </w:rPr>
        <w:t xml:space="preserve">quality of the </w:t>
      </w:r>
      <w:r w:rsidRPr="00A23629">
        <w:rPr>
          <w:lang w:eastAsia="en-AU"/>
        </w:rPr>
        <w:t xml:space="preserve">Dinnel et al. (1981) study for </w:t>
      </w:r>
      <w:r w:rsidR="009B723C">
        <w:rPr>
          <w:lang w:eastAsia="en-AU"/>
        </w:rPr>
        <w:t xml:space="preserve">inclusion in </w:t>
      </w:r>
      <w:r w:rsidRPr="00A23629">
        <w:rPr>
          <w:lang w:eastAsia="en-AU"/>
        </w:rPr>
        <w:t>current DGV derivation, the data for both echinoderm species received a score of approximately 60% (</w:t>
      </w:r>
      <w:commentRangeStart w:id="72"/>
      <w:r w:rsidRPr="00A23629">
        <w:rPr>
          <w:lang w:eastAsia="en-AU"/>
        </w:rPr>
        <w:t>see quality assessment supporting information</w:t>
      </w:r>
      <w:commentRangeEnd w:id="72"/>
      <w:r w:rsidRPr="00A23629">
        <w:rPr>
          <w:rStyle w:val="CommentReference"/>
        </w:rPr>
        <w:commentReference w:id="72"/>
      </w:r>
      <w:r w:rsidRPr="00A23629">
        <w:rPr>
          <w:lang w:eastAsia="en-AU"/>
        </w:rPr>
        <w:t xml:space="preserve">). While this is considered acceptable for </w:t>
      </w:r>
      <w:r w:rsidR="009B723C">
        <w:rPr>
          <w:lang w:eastAsia="en-AU"/>
        </w:rPr>
        <w:t xml:space="preserve">deriving </w:t>
      </w:r>
      <w:r w:rsidRPr="00A23629">
        <w:rPr>
          <w:lang w:eastAsia="en-AU"/>
        </w:rPr>
        <w:t>DGV</w:t>
      </w:r>
      <w:r w:rsidR="009B723C">
        <w:rPr>
          <w:lang w:eastAsia="en-AU"/>
        </w:rPr>
        <w:t>s</w:t>
      </w:r>
      <w:r w:rsidR="0098106D" w:rsidRPr="00A23629">
        <w:rPr>
          <w:lang w:eastAsia="en-AU"/>
        </w:rPr>
        <w:t xml:space="preserve"> (i.e. a score of ≥50% is required for a toxicity value to be deemed acceptable)</w:t>
      </w:r>
      <w:r w:rsidRPr="00A23629">
        <w:rPr>
          <w:lang w:eastAsia="en-AU"/>
        </w:rPr>
        <w:t xml:space="preserve">, </w:t>
      </w:r>
      <w:r w:rsidR="0098106D" w:rsidRPr="00A23629">
        <w:rPr>
          <w:lang w:eastAsia="en-AU"/>
        </w:rPr>
        <w:t>it is possible for acceptable quality studies to be excluded based on critical flaws that might not have been identified or did not sufficiently penalise the study during the formal quality assessment process</w:t>
      </w:r>
      <w:r w:rsidRPr="00A23629">
        <w:rPr>
          <w:lang w:eastAsia="en-AU"/>
        </w:rPr>
        <w:t>.</w:t>
      </w:r>
      <w:r w:rsidR="00915837" w:rsidRPr="00A23629">
        <w:rPr>
          <w:lang w:eastAsia="en-AU"/>
        </w:rPr>
        <w:t xml:space="preserve"> </w:t>
      </w:r>
      <w:r w:rsidR="0098106D" w:rsidRPr="00A23629">
        <w:t>Consequently, the</w:t>
      </w:r>
      <w:r w:rsidR="00915837" w:rsidRPr="00A23629">
        <w:t xml:space="preserve"> concerns raised by Wallis </w:t>
      </w:r>
      <w:r w:rsidR="003F5AB9">
        <w:t>and</w:t>
      </w:r>
      <w:r w:rsidR="00915837" w:rsidRPr="00A23629">
        <w:t xml:space="preserve"> Chidgey (2022) </w:t>
      </w:r>
      <w:r w:rsidR="000D244B" w:rsidRPr="00A23629">
        <w:t>we</w:t>
      </w:r>
      <w:r w:rsidR="00915837" w:rsidRPr="00A23629">
        <w:t xml:space="preserve">re individually </w:t>
      </w:r>
      <w:r w:rsidR="006B7968" w:rsidRPr="00A23629">
        <w:t>addr</w:t>
      </w:r>
      <w:r w:rsidR="00915837" w:rsidRPr="00A23629">
        <w:t>essed below.</w:t>
      </w:r>
    </w:p>
    <w:p w14:paraId="59A8E8DF" w14:textId="7A3FD9AE" w:rsidR="00915837" w:rsidRPr="001A34D1" w:rsidRDefault="00B4308F" w:rsidP="00B4308F">
      <w:pPr>
        <w:pStyle w:val="Caption"/>
      </w:pPr>
      <w:bookmarkStart w:id="73" w:name="_Ref178602241"/>
      <w:bookmarkStart w:id="74" w:name="_Toc185441671"/>
      <w:r>
        <w:t>Table C </w:t>
      </w:r>
      <w:r w:rsidR="00141D27">
        <w:fldChar w:fldCharType="begin"/>
      </w:r>
      <w:r w:rsidR="00141D27">
        <w:instrText xml:space="preserve"> SEQ Table_C \* ARABIC </w:instrText>
      </w:r>
      <w:r w:rsidR="00141D27">
        <w:fldChar w:fldCharType="separate"/>
      </w:r>
      <w:r w:rsidR="003E6080">
        <w:rPr>
          <w:noProof/>
        </w:rPr>
        <w:t>1</w:t>
      </w:r>
      <w:r w:rsidR="00141D27">
        <w:rPr>
          <w:noProof/>
        </w:rPr>
        <w:fldChar w:fldCharType="end"/>
      </w:r>
      <w:bookmarkEnd w:id="73"/>
      <w:r w:rsidR="00915837" w:rsidRPr="001A34D1">
        <w:t xml:space="preserve"> Bioassay details for assessing chlorine toxicity in unfiltered </w:t>
      </w:r>
      <w:r w:rsidR="003D0DCE" w:rsidRPr="001A34D1">
        <w:t xml:space="preserve">seawater </w:t>
      </w:r>
      <w:r w:rsidR="00915837" w:rsidRPr="001A34D1">
        <w:t xml:space="preserve">to two sea urchins, </w:t>
      </w:r>
      <w:r w:rsidR="00D230CF">
        <w:t>sourced from</w:t>
      </w:r>
      <w:r w:rsidR="00915837" w:rsidRPr="001A34D1">
        <w:t xml:space="preserve"> Dinnel et al. (1981)</w:t>
      </w:r>
      <w:bookmarkEnd w:id="74"/>
    </w:p>
    <w:tbl>
      <w:tblPr>
        <w:tblStyle w:val="TableGrid"/>
        <w:tblW w:w="9060" w:type="dxa"/>
        <w:tblBorders>
          <w:left w:val="none" w:sz="0" w:space="0" w:color="auto"/>
          <w:right w:val="none" w:sz="0" w:space="0" w:color="auto"/>
          <w:insideV w:val="none" w:sz="0" w:space="0" w:color="auto"/>
        </w:tblBorders>
        <w:tblLook w:val="04A0" w:firstRow="1" w:lastRow="0" w:firstColumn="1" w:lastColumn="0" w:noHBand="0" w:noVBand="1"/>
        <w:tblCaption w:val="Bioassay details for assessing chlorine toxicity in unfiltered seawater to two sea urchins, sourced from Dinnel et al. (1981)"/>
        <w:tblDescription w:val="Table shows two sea urchin species and their chlorine toxicity bioassay details, which inlude endpoint, reaction time, sperm exposure duration, and sperm-egg incubation duration."/>
      </w:tblPr>
      <w:tblGrid>
        <w:gridCol w:w="2242"/>
        <w:gridCol w:w="1539"/>
        <w:gridCol w:w="1675"/>
        <w:gridCol w:w="1813"/>
        <w:gridCol w:w="1791"/>
      </w:tblGrid>
      <w:tr w:rsidR="001E0626" w:rsidRPr="00A23629" w14:paraId="4590701B" w14:textId="132393AF" w:rsidTr="0064302C">
        <w:trPr>
          <w:cantSplit/>
          <w:tblHeader/>
        </w:trPr>
        <w:tc>
          <w:tcPr>
            <w:tcW w:w="2242" w:type="dxa"/>
            <w:tcBorders>
              <w:top w:val="single" w:sz="12" w:space="0" w:color="auto"/>
              <w:bottom w:val="single" w:sz="12" w:space="0" w:color="auto"/>
            </w:tcBorders>
          </w:tcPr>
          <w:p w14:paraId="3FFA8775" w14:textId="77777777" w:rsidR="001E0626" w:rsidRPr="00A23629" w:rsidRDefault="001E0626" w:rsidP="001A34D1">
            <w:pPr>
              <w:pStyle w:val="TableHeading"/>
            </w:pPr>
            <w:r w:rsidRPr="00A23629">
              <w:t>Species</w:t>
            </w:r>
          </w:p>
        </w:tc>
        <w:tc>
          <w:tcPr>
            <w:tcW w:w="1539" w:type="dxa"/>
            <w:tcBorders>
              <w:top w:val="single" w:sz="12" w:space="0" w:color="auto"/>
              <w:bottom w:val="single" w:sz="12" w:space="0" w:color="auto"/>
            </w:tcBorders>
          </w:tcPr>
          <w:p w14:paraId="092B622F" w14:textId="77777777" w:rsidR="001E0626" w:rsidRPr="00A23629" w:rsidRDefault="001E0626" w:rsidP="001A34D1">
            <w:pPr>
              <w:pStyle w:val="TableHeading"/>
            </w:pPr>
            <w:r w:rsidRPr="00A23629">
              <w:t>Endpoint</w:t>
            </w:r>
          </w:p>
        </w:tc>
        <w:tc>
          <w:tcPr>
            <w:tcW w:w="1675" w:type="dxa"/>
            <w:tcBorders>
              <w:top w:val="single" w:sz="12" w:space="0" w:color="auto"/>
              <w:bottom w:val="single" w:sz="12" w:space="0" w:color="auto"/>
            </w:tcBorders>
          </w:tcPr>
          <w:p w14:paraId="60624DE9" w14:textId="77777777" w:rsidR="001E0626" w:rsidRPr="00A23629" w:rsidRDefault="001E0626" w:rsidP="001A34D1">
            <w:pPr>
              <w:pStyle w:val="TableHeading"/>
            </w:pPr>
            <w:r w:rsidRPr="00A23629">
              <w:t xml:space="preserve">Reaction time </w:t>
            </w:r>
            <w:r w:rsidRPr="00FB4F15">
              <w:rPr>
                <w:rStyle w:val="Strong"/>
                <w:vertAlign w:val="superscript"/>
              </w:rPr>
              <w:t>a</w:t>
            </w:r>
          </w:p>
        </w:tc>
        <w:tc>
          <w:tcPr>
            <w:tcW w:w="1813" w:type="dxa"/>
            <w:tcBorders>
              <w:top w:val="single" w:sz="12" w:space="0" w:color="auto"/>
              <w:bottom w:val="single" w:sz="12" w:space="0" w:color="auto"/>
            </w:tcBorders>
          </w:tcPr>
          <w:p w14:paraId="3653BD42" w14:textId="1DB22A96" w:rsidR="001E0626" w:rsidRPr="00A23629" w:rsidRDefault="002E2C3E" w:rsidP="001A34D1">
            <w:pPr>
              <w:pStyle w:val="TableHeading"/>
            </w:pPr>
            <w:r w:rsidRPr="00A23629">
              <w:t>Sperm e</w:t>
            </w:r>
            <w:r w:rsidR="001E0626" w:rsidRPr="00A23629">
              <w:t>xposure duration</w:t>
            </w:r>
          </w:p>
        </w:tc>
        <w:tc>
          <w:tcPr>
            <w:tcW w:w="1791" w:type="dxa"/>
            <w:tcBorders>
              <w:top w:val="single" w:sz="12" w:space="0" w:color="auto"/>
              <w:bottom w:val="single" w:sz="12" w:space="0" w:color="auto"/>
            </w:tcBorders>
          </w:tcPr>
          <w:p w14:paraId="56E55F96" w14:textId="00830C80" w:rsidR="001E0626" w:rsidRPr="00A23629" w:rsidRDefault="001E0626" w:rsidP="001A34D1">
            <w:pPr>
              <w:pStyle w:val="TableHeading"/>
            </w:pPr>
            <w:r w:rsidRPr="00A23629">
              <w:t xml:space="preserve">Sperm-egg incubation </w:t>
            </w:r>
            <w:r w:rsidR="00B67F2B" w:rsidRPr="00A23629">
              <w:t>duration</w:t>
            </w:r>
          </w:p>
        </w:tc>
      </w:tr>
      <w:tr w:rsidR="001E0626" w:rsidRPr="00A23629" w14:paraId="542308E4" w14:textId="3890F47B" w:rsidTr="001A34D1">
        <w:trPr>
          <w:cantSplit/>
        </w:trPr>
        <w:tc>
          <w:tcPr>
            <w:tcW w:w="2242" w:type="dxa"/>
            <w:tcBorders>
              <w:top w:val="single" w:sz="12" w:space="0" w:color="auto"/>
            </w:tcBorders>
          </w:tcPr>
          <w:p w14:paraId="5129A18F" w14:textId="5CD710C5" w:rsidR="001E0626" w:rsidRPr="00A23629" w:rsidRDefault="001E0626" w:rsidP="001A34D1">
            <w:pPr>
              <w:pStyle w:val="TableText"/>
            </w:pPr>
            <w:r w:rsidRPr="00A23629">
              <w:rPr>
                <w:i/>
                <w:iCs/>
              </w:rPr>
              <w:t>Dendraster excentricus</w:t>
            </w:r>
          </w:p>
        </w:tc>
        <w:tc>
          <w:tcPr>
            <w:tcW w:w="1539" w:type="dxa"/>
            <w:tcBorders>
              <w:top w:val="single" w:sz="12" w:space="0" w:color="auto"/>
            </w:tcBorders>
          </w:tcPr>
          <w:p w14:paraId="4527DE6A" w14:textId="77777777" w:rsidR="001E0626" w:rsidRPr="00A23629" w:rsidRDefault="001E0626" w:rsidP="001A34D1">
            <w:pPr>
              <w:pStyle w:val="TableText"/>
            </w:pPr>
            <w:r w:rsidRPr="00A23629">
              <w:t>Sperm viability</w:t>
            </w:r>
          </w:p>
        </w:tc>
        <w:tc>
          <w:tcPr>
            <w:tcW w:w="1675" w:type="dxa"/>
            <w:tcBorders>
              <w:top w:val="single" w:sz="12" w:space="0" w:color="auto"/>
            </w:tcBorders>
          </w:tcPr>
          <w:p w14:paraId="258C5ED4" w14:textId="6D9DBEA8" w:rsidR="001E0626" w:rsidRPr="00A23629" w:rsidRDefault="001E0626" w:rsidP="001A34D1">
            <w:pPr>
              <w:pStyle w:val="TableText"/>
            </w:pPr>
            <w:r w:rsidRPr="00A23629">
              <w:t>1</w:t>
            </w:r>
            <w:r w:rsidR="003B2816">
              <w:t>–</w:t>
            </w:r>
            <w:r w:rsidRPr="00A23629">
              <w:t>60</w:t>
            </w:r>
            <w:r w:rsidR="001A34D1">
              <w:t> </w:t>
            </w:r>
            <w:r w:rsidRPr="00A23629">
              <w:t>min</w:t>
            </w:r>
          </w:p>
        </w:tc>
        <w:tc>
          <w:tcPr>
            <w:tcW w:w="1813" w:type="dxa"/>
            <w:tcBorders>
              <w:top w:val="single" w:sz="12" w:space="0" w:color="auto"/>
            </w:tcBorders>
          </w:tcPr>
          <w:p w14:paraId="151EA816" w14:textId="57A823F2" w:rsidR="001E0626" w:rsidRPr="00A23629" w:rsidRDefault="001E0626" w:rsidP="001A34D1">
            <w:pPr>
              <w:pStyle w:val="TableText"/>
            </w:pPr>
            <w:r w:rsidRPr="00A23629">
              <w:t>5</w:t>
            </w:r>
            <w:r w:rsidR="001A34D1">
              <w:t> </w:t>
            </w:r>
            <w:r w:rsidRPr="00A23629">
              <w:t>min</w:t>
            </w:r>
          </w:p>
        </w:tc>
        <w:tc>
          <w:tcPr>
            <w:tcW w:w="1791" w:type="dxa"/>
            <w:tcBorders>
              <w:top w:val="single" w:sz="12" w:space="0" w:color="auto"/>
            </w:tcBorders>
          </w:tcPr>
          <w:p w14:paraId="2BFFD73F" w14:textId="6877F0ED" w:rsidR="001E0626" w:rsidRPr="00A23629" w:rsidRDefault="002E2C3E" w:rsidP="001A34D1">
            <w:pPr>
              <w:pStyle w:val="TableText"/>
            </w:pPr>
            <w:r w:rsidRPr="00A23629">
              <w:t>1</w:t>
            </w:r>
            <w:r w:rsidR="001E0626" w:rsidRPr="00A23629">
              <w:t>5</w:t>
            </w:r>
            <w:r w:rsidR="001A34D1">
              <w:t> </w:t>
            </w:r>
            <w:r w:rsidR="001E0626" w:rsidRPr="00A23629">
              <w:t>min</w:t>
            </w:r>
          </w:p>
        </w:tc>
      </w:tr>
      <w:tr w:rsidR="001E0626" w:rsidRPr="00A23629" w14:paraId="666CF652" w14:textId="10F14715" w:rsidTr="001A34D1">
        <w:trPr>
          <w:cantSplit/>
        </w:trPr>
        <w:tc>
          <w:tcPr>
            <w:tcW w:w="2242" w:type="dxa"/>
          </w:tcPr>
          <w:p w14:paraId="5F18F5CF" w14:textId="41AB3B2C" w:rsidR="001E0626" w:rsidRPr="00A23629" w:rsidRDefault="001E0626" w:rsidP="001A34D1">
            <w:pPr>
              <w:pStyle w:val="TableText"/>
            </w:pPr>
            <w:r w:rsidRPr="00A23629">
              <w:rPr>
                <w:i/>
                <w:iCs/>
              </w:rPr>
              <w:t>Strongylocentrotus droebachiensis</w:t>
            </w:r>
            <w:r w:rsidRPr="00A23629">
              <w:t xml:space="preserve"> </w:t>
            </w:r>
          </w:p>
        </w:tc>
        <w:tc>
          <w:tcPr>
            <w:tcW w:w="1539" w:type="dxa"/>
          </w:tcPr>
          <w:p w14:paraId="5B9ADE04" w14:textId="77777777" w:rsidR="001E0626" w:rsidRPr="00A23629" w:rsidRDefault="001E0626" w:rsidP="001A34D1">
            <w:pPr>
              <w:pStyle w:val="TableText"/>
            </w:pPr>
            <w:r w:rsidRPr="00A23629">
              <w:t>Sperm viability</w:t>
            </w:r>
          </w:p>
        </w:tc>
        <w:tc>
          <w:tcPr>
            <w:tcW w:w="1675" w:type="dxa"/>
          </w:tcPr>
          <w:p w14:paraId="5F4414CB" w14:textId="1D198FA8" w:rsidR="001E0626" w:rsidRPr="00A23629" w:rsidRDefault="001E0626" w:rsidP="001A34D1">
            <w:pPr>
              <w:pStyle w:val="TableText"/>
            </w:pPr>
            <w:r w:rsidRPr="00A23629">
              <w:t>24</w:t>
            </w:r>
            <w:r w:rsidR="001A34D1">
              <w:t>–</w:t>
            </w:r>
            <w:r w:rsidRPr="00A23629">
              <w:t>48</w:t>
            </w:r>
            <w:r w:rsidR="001A34D1">
              <w:t> </w:t>
            </w:r>
            <w:r w:rsidRPr="00A23629">
              <w:t>h</w:t>
            </w:r>
          </w:p>
        </w:tc>
        <w:tc>
          <w:tcPr>
            <w:tcW w:w="1813" w:type="dxa"/>
          </w:tcPr>
          <w:p w14:paraId="51DEABAD" w14:textId="5C629128" w:rsidR="001E0626" w:rsidRPr="00A23629" w:rsidRDefault="001E0626" w:rsidP="001A34D1">
            <w:pPr>
              <w:pStyle w:val="TableText"/>
            </w:pPr>
            <w:r w:rsidRPr="00A23629">
              <w:t>5</w:t>
            </w:r>
            <w:r w:rsidR="001A34D1">
              <w:t> </w:t>
            </w:r>
            <w:r w:rsidRPr="00A23629">
              <w:t>min</w:t>
            </w:r>
          </w:p>
        </w:tc>
        <w:tc>
          <w:tcPr>
            <w:tcW w:w="1791" w:type="dxa"/>
          </w:tcPr>
          <w:p w14:paraId="1340B724" w14:textId="4C679C4C" w:rsidR="001E0626" w:rsidRPr="00A23629" w:rsidRDefault="002E2C3E" w:rsidP="001A34D1">
            <w:pPr>
              <w:pStyle w:val="TableText"/>
            </w:pPr>
            <w:r w:rsidRPr="00A23629">
              <w:t>1</w:t>
            </w:r>
            <w:r w:rsidR="001E0626" w:rsidRPr="00A23629">
              <w:t>5</w:t>
            </w:r>
            <w:r w:rsidR="001A34D1">
              <w:t> </w:t>
            </w:r>
            <w:r w:rsidR="001E0626" w:rsidRPr="00A23629">
              <w:t>min</w:t>
            </w:r>
          </w:p>
        </w:tc>
      </w:tr>
    </w:tbl>
    <w:p w14:paraId="5F589118" w14:textId="4B4031BA" w:rsidR="002E2C3E" w:rsidRPr="00A23629" w:rsidRDefault="00915837" w:rsidP="0030242F">
      <w:pPr>
        <w:pStyle w:val="FigureTableNoteSource"/>
      </w:pPr>
      <w:r w:rsidRPr="0030242F">
        <w:rPr>
          <w:rStyle w:val="Strong"/>
        </w:rPr>
        <w:t>a</w:t>
      </w:r>
      <w:r w:rsidRPr="00A23629">
        <w:t xml:space="preserve"> Reaction time refers to the time allowed for chlorine or bromine in the test solution to react with the dilution seawater </w:t>
      </w:r>
      <w:r w:rsidRPr="00A23629">
        <w:rPr>
          <w:i/>
          <w:iCs/>
        </w:rPr>
        <w:t>before</w:t>
      </w:r>
      <w:r w:rsidRPr="00A23629">
        <w:t xml:space="preserve"> adding the sperm.</w:t>
      </w:r>
    </w:p>
    <w:p w14:paraId="4A848B19" w14:textId="22DA3780" w:rsidR="00915837" w:rsidRPr="00FB4F15" w:rsidRDefault="00915837" w:rsidP="00FB4F15">
      <w:pPr>
        <w:pStyle w:val="Heading5"/>
      </w:pPr>
      <w:r w:rsidRPr="00FB4F15">
        <w:t>Canadian guideline values for chlorine in marine water did not use the Dinnel et al. (1981) data</w:t>
      </w:r>
    </w:p>
    <w:p w14:paraId="04099671" w14:textId="084CBB4C" w:rsidR="00915837" w:rsidRPr="00A23629" w:rsidRDefault="00915837" w:rsidP="003F5AB9">
      <w:r w:rsidRPr="00A23629">
        <w:t>CCME (1999) stated that there were reservations about the analytical method</w:t>
      </w:r>
      <w:r w:rsidR="000E4A16">
        <w:t>s</w:t>
      </w:r>
      <w:r w:rsidRPr="00A23629">
        <w:t xml:space="preserve"> and testing protocols reported by Dinnel at al. (1981). However, no further details of these reservations were provided in the </w:t>
      </w:r>
      <w:r w:rsidR="000E4A16">
        <w:t>CCME (1999)</w:t>
      </w:r>
      <w:r w:rsidRPr="00A23629">
        <w:t xml:space="preserve"> guideline document</w:t>
      </w:r>
      <w:r w:rsidR="000D244B" w:rsidRPr="00A23629">
        <w:t>, making it difficult to assess the justification for this decision</w:t>
      </w:r>
      <w:r w:rsidRPr="00A23629">
        <w:t xml:space="preserve">. </w:t>
      </w:r>
      <w:r w:rsidR="000E4A16" w:rsidRPr="00A23629">
        <w:t>Nevertheless</w:t>
      </w:r>
      <w:r w:rsidR="004A72C9" w:rsidRPr="00A23629">
        <w:t xml:space="preserve">, the data met the quality requirements for derivation of ANZG DGVs (as per Warne et al. 2018). Moreover, the methods were sufficiently clear in terms of the exposure regimes </w:t>
      </w:r>
      <w:r w:rsidR="000E4A16">
        <w:t>used</w:t>
      </w:r>
      <w:r w:rsidR="004A72C9" w:rsidRPr="00A23629">
        <w:t xml:space="preserve"> (</w:t>
      </w:r>
      <w:r w:rsidR="00DA22B2">
        <w:fldChar w:fldCharType="begin"/>
      </w:r>
      <w:r w:rsidR="00DA22B2">
        <w:instrText xml:space="preserve"> REF _Ref178602241 \h </w:instrText>
      </w:r>
      <w:r w:rsidR="00DA22B2">
        <w:fldChar w:fldCharType="separate"/>
      </w:r>
      <w:r w:rsidR="003E6080">
        <w:t>Table C </w:t>
      </w:r>
      <w:r w:rsidR="003E6080">
        <w:rPr>
          <w:noProof/>
        </w:rPr>
        <w:t>1</w:t>
      </w:r>
      <w:r w:rsidR="00DA22B2">
        <w:fldChar w:fldCharType="end"/>
      </w:r>
      <w:r w:rsidR="004A72C9" w:rsidRPr="00A23629">
        <w:t xml:space="preserve">). In terms of the analytical methods, Dinnel et al. (1981) clearly stated that they measured chlorine as total residual oxidant (TRO; analogous to CPO) and cited the APHA </w:t>
      </w:r>
      <w:r w:rsidR="004A72C9" w:rsidRPr="00A23629">
        <w:rPr>
          <w:lang w:val="en-GB"/>
        </w:rPr>
        <w:t>iodometric</w:t>
      </w:r>
      <w:r w:rsidR="004A72C9" w:rsidRPr="00A23629">
        <w:t xml:space="preserve"> method by which this was done. They also reported the limit of detection, which was below the reported EC50 values. </w:t>
      </w:r>
    </w:p>
    <w:p w14:paraId="0F25329F" w14:textId="14558043" w:rsidR="00915837" w:rsidRPr="00FB4F15" w:rsidRDefault="00915837" w:rsidP="00FB4F15">
      <w:pPr>
        <w:pStyle w:val="Heading5"/>
      </w:pPr>
      <w:r w:rsidRPr="00FB4F15">
        <w:t>Information lacking on the time gap between the toxicity tests and chlorine analyses</w:t>
      </w:r>
    </w:p>
    <w:p w14:paraId="398BE284" w14:textId="686A6795" w:rsidR="004A72C9" w:rsidRPr="00A23629" w:rsidRDefault="00F511CF" w:rsidP="003F5AB9">
      <w:r>
        <w:t>T</w:t>
      </w:r>
      <w:r w:rsidR="004A72C9" w:rsidRPr="00A23629">
        <w:t xml:space="preserve">he study did not state when and how often during the experiment the samples for analysis were collected. While this </w:t>
      </w:r>
      <w:r w:rsidR="00166737">
        <w:t>is</w:t>
      </w:r>
      <w:r w:rsidR="004A72C9" w:rsidRPr="00A23629">
        <w:t xml:space="preserve"> a limitation, it does not automatically </w:t>
      </w:r>
      <w:r>
        <w:t>exclude the data</w:t>
      </w:r>
      <w:r w:rsidR="00B1079A">
        <w:t xml:space="preserve"> from the derivation</w:t>
      </w:r>
      <w:r w:rsidR="004A72C9" w:rsidRPr="00A23629">
        <w:t xml:space="preserve">. </w:t>
      </w:r>
    </w:p>
    <w:p w14:paraId="2475BEA2" w14:textId="3412BB35" w:rsidR="00915837" w:rsidRPr="00A23629" w:rsidRDefault="00915837" w:rsidP="00915837">
      <w:pPr>
        <w:pStyle w:val="Heading5"/>
      </w:pPr>
      <w:r w:rsidRPr="00A23629">
        <w:lastRenderedPageBreak/>
        <w:t>Long reaction times (24</w:t>
      </w:r>
      <w:r w:rsidR="00FB4F15">
        <w:t>–</w:t>
      </w:r>
      <w:r w:rsidRPr="00A23629">
        <w:t>48</w:t>
      </w:r>
      <w:r w:rsidR="00FB4F15">
        <w:t> </w:t>
      </w:r>
      <w:r w:rsidRPr="00A23629">
        <w:t xml:space="preserve">h) would reduce chlorine in the test water to very low </w:t>
      </w:r>
      <w:r w:rsidR="00927ADA">
        <w:t xml:space="preserve">concentrations </w:t>
      </w:r>
    </w:p>
    <w:p w14:paraId="5E81A10D" w14:textId="24382867" w:rsidR="00915837" w:rsidRPr="00A23629" w:rsidRDefault="001169EF" w:rsidP="003F5AB9">
      <w:r w:rsidRPr="00A23629">
        <w:t xml:space="preserve">Theoretically, long reaction times reduce chlorine and CPO </w:t>
      </w:r>
      <w:r w:rsidR="00927ADA">
        <w:t>concentrations</w:t>
      </w:r>
      <w:r w:rsidR="00927ADA" w:rsidRPr="00A23629">
        <w:t xml:space="preserve"> </w:t>
      </w:r>
      <w:r w:rsidRPr="00A23629">
        <w:t xml:space="preserve">and, therefore, </w:t>
      </w:r>
      <w:r w:rsidR="00927ADA">
        <w:t xml:space="preserve">reduce </w:t>
      </w:r>
      <w:r w:rsidRPr="00A23629">
        <w:t xml:space="preserve">toxicity. </w:t>
      </w:r>
      <w:r w:rsidR="003D0DCE" w:rsidRPr="00A23629">
        <w:t xml:space="preserve">Wallis </w:t>
      </w:r>
      <w:r w:rsidR="00927ADA">
        <w:t>and</w:t>
      </w:r>
      <w:r w:rsidR="003D0DCE" w:rsidRPr="00A23629">
        <w:t xml:space="preserve"> Chidgey (2022) showed that, at CPO concentrations of </w:t>
      </w:r>
      <w:r w:rsidR="00927ADA">
        <w:t>approximately</w:t>
      </w:r>
      <w:r w:rsidR="00927ADA" w:rsidRPr="00A23629">
        <w:t xml:space="preserve"> </w:t>
      </w:r>
      <w:r w:rsidR="003D0DCE" w:rsidRPr="00A23629">
        <w:t>600</w:t>
      </w:r>
      <w:r w:rsidR="00927ADA">
        <w:t> </w:t>
      </w:r>
      <w:r w:rsidR="003D0DCE" w:rsidRPr="00A23629">
        <w:rPr>
          <w:rFonts w:ascii="Calibri" w:hAnsi="Calibri" w:cs="Calibri"/>
        </w:rPr>
        <w:t>µ</w:t>
      </w:r>
      <w:r w:rsidR="003D0DCE" w:rsidRPr="00A23629">
        <w:t xml:space="preserve">g/L, most </w:t>
      </w:r>
      <w:r w:rsidR="0002188A" w:rsidRPr="00A23629">
        <w:t>of the CPO had reacted within 1</w:t>
      </w:r>
      <w:r w:rsidR="003F5AB9">
        <w:t> </w:t>
      </w:r>
      <w:r w:rsidR="0002188A" w:rsidRPr="00A23629">
        <w:t>h.</w:t>
      </w:r>
      <w:r w:rsidR="003D0DCE" w:rsidRPr="00A23629">
        <w:t xml:space="preserve"> </w:t>
      </w:r>
      <w:r w:rsidR="00B86534" w:rsidRPr="00A23629">
        <w:t>B</w:t>
      </w:r>
      <w:r w:rsidR="001B5D90" w:rsidRPr="00A23629">
        <w:t>o</w:t>
      </w:r>
      <w:r w:rsidRPr="00A23629">
        <w:t xml:space="preserve">th </w:t>
      </w:r>
      <w:r w:rsidR="005405A8" w:rsidRPr="00A23629">
        <w:t>echinoderms</w:t>
      </w:r>
      <w:r w:rsidRPr="00A23629">
        <w:t xml:space="preserve"> exhibited very high sensitivity to chlorine. </w:t>
      </w:r>
      <w:r w:rsidR="00175F9A" w:rsidRPr="00A23629">
        <w:t xml:space="preserve">Dinnel et al. (1981) acknowledged the unexpected high toxicity of chlorine </w:t>
      </w:r>
      <w:r w:rsidRPr="00A23629">
        <w:t xml:space="preserve">to </w:t>
      </w:r>
      <w:r w:rsidRPr="00A23629">
        <w:rPr>
          <w:i/>
          <w:iCs/>
        </w:rPr>
        <w:t>S.</w:t>
      </w:r>
      <w:r w:rsidR="003F5AB9">
        <w:rPr>
          <w:i/>
          <w:iCs/>
        </w:rPr>
        <w:t> </w:t>
      </w:r>
      <w:r w:rsidRPr="00A23629">
        <w:rPr>
          <w:i/>
          <w:iCs/>
        </w:rPr>
        <w:t>droebachiensis</w:t>
      </w:r>
      <w:r w:rsidRPr="00A23629">
        <w:t xml:space="preserve"> </w:t>
      </w:r>
      <w:r w:rsidR="00175F9A" w:rsidRPr="00A23629">
        <w:t>after the longer reaction times of 24</w:t>
      </w:r>
      <w:r w:rsidR="003F5AB9">
        <w:t>–</w:t>
      </w:r>
      <w:r w:rsidR="00175F9A" w:rsidRPr="00A23629">
        <w:t>48</w:t>
      </w:r>
      <w:r w:rsidR="003F5AB9">
        <w:t> </w:t>
      </w:r>
      <w:r w:rsidR="00175F9A" w:rsidRPr="00A23629">
        <w:t xml:space="preserve">h. In discussing chlorine fate, Dinnel et al. (1981) referred to an initial phase of rapid loss followed by a second phase of slower loss that is not measurable as TRO, </w:t>
      </w:r>
      <w:r w:rsidR="00972E74" w:rsidRPr="00A23629">
        <w:t>but which represents a potential</w:t>
      </w:r>
      <w:r w:rsidR="00175F9A" w:rsidRPr="00A23629">
        <w:t xml:space="preserve"> source of toxicity until shown otherwise.</w:t>
      </w:r>
      <w:r w:rsidR="00972E74" w:rsidRPr="00A23629">
        <w:t xml:space="preserve"> They also noted</w:t>
      </w:r>
      <w:r w:rsidR="00175F9A" w:rsidRPr="00A23629">
        <w:t xml:space="preserve"> that measurable TRO may not be a completely adequate measure of toxicity</w:t>
      </w:r>
      <w:r w:rsidR="00321ADF">
        <w:t>,</w:t>
      </w:r>
      <w:r w:rsidR="00972E74" w:rsidRPr="00A23629">
        <w:t xml:space="preserve"> and that</w:t>
      </w:r>
      <w:r w:rsidR="00175F9A" w:rsidRPr="00A23629">
        <w:t xml:space="preserve"> </w:t>
      </w:r>
      <w:r w:rsidR="003F5AB9">
        <w:t>‘</w:t>
      </w:r>
      <w:r w:rsidR="00972E74" w:rsidRPr="00A23629">
        <w:t>l</w:t>
      </w:r>
      <w:r w:rsidR="00175F9A" w:rsidRPr="00A23629">
        <w:t>ost chlorine</w:t>
      </w:r>
      <w:r w:rsidR="003F5AB9">
        <w:t>’</w:t>
      </w:r>
      <w:r w:rsidR="00175F9A" w:rsidRPr="00A23629">
        <w:t xml:space="preserve"> may produce chlorinated by-products not measurable as TRO</w:t>
      </w:r>
      <w:r w:rsidR="00972E74" w:rsidRPr="00A23629">
        <w:t>,</w:t>
      </w:r>
      <w:r w:rsidR="00175F9A" w:rsidRPr="00A23629">
        <w:t xml:space="preserve"> </w:t>
      </w:r>
      <w:r w:rsidR="00972E74" w:rsidRPr="00A23629">
        <w:t>which are</w:t>
      </w:r>
      <w:r w:rsidR="00175F9A" w:rsidRPr="00A23629">
        <w:t xml:space="preserve"> persistent in the marine environment.</w:t>
      </w:r>
    </w:p>
    <w:p w14:paraId="6013FD45" w14:textId="36D6CADF" w:rsidR="00972E74" w:rsidRPr="00A23629" w:rsidRDefault="00972E74" w:rsidP="003F5AB9">
      <w:r w:rsidRPr="00A23629">
        <w:t xml:space="preserve">Notwithstanding the discussion by Dinnel et al. (1981), the </w:t>
      </w:r>
      <w:r w:rsidR="00940947" w:rsidRPr="00A23629">
        <w:t xml:space="preserve">uncertainty introduced by the </w:t>
      </w:r>
      <w:r w:rsidRPr="00A23629">
        <w:t>relatively long reaction times of 24</w:t>
      </w:r>
      <w:r w:rsidR="001A1C81">
        <w:t>–</w:t>
      </w:r>
      <w:r w:rsidRPr="00A23629">
        <w:t>48</w:t>
      </w:r>
      <w:r w:rsidR="001A1C81">
        <w:t> </w:t>
      </w:r>
      <w:r w:rsidRPr="00A23629">
        <w:t xml:space="preserve">h for </w:t>
      </w:r>
      <w:r w:rsidRPr="00A23629">
        <w:rPr>
          <w:i/>
          <w:iCs/>
        </w:rPr>
        <w:t>S.</w:t>
      </w:r>
      <w:r w:rsidR="001A1C81">
        <w:rPr>
          <w:i/>
          <w:iCs/>
        </w:rPr>
        <w:t> </w:t>
      </w:r>
      <w:r w:rsidRPr="00A23629">
        <w:rPr>
          <w:i/>
          <w:iCs/>
        </w:rPr>
        <w:t>droebachiensis</w:t>
      </w:r>
      <w:r w:rsidRPr="00A23629">
        <w:t xml:space="preserve"> tests may provide sufficient </w:t>
      </w:r>
      <w:r w:rsidR="00927ADA">
        <w:t xml:space="preserve">justification for excluding these data </w:t>
      </w:r>
      <w:r w:rsidRPr="00A23629">
        <w:t>from the DGV derivation.</w:t>
      </w:r>
    </w:p>
    <w:p w14:paraId="47832628" w14:textId="12981B66" w:rsidR="00972E74" w:rsidRPr="00A23629" w:rsidRDefault="00972E74" w:rsidP="00972E74">
      <w:pPr>
        <w:pStyle w:val="Heading5"/>
      </w:pPr>
      <w:r w:rsidRPr="00A23629">
        <w:t>Using data for unfiltered water confounded the chlorine toxicity results</w:t>
      </w:r>
    </w:p>
    <w:p w14:paraId="4D388C32" w14:textId="41305CB8" w:rsidR="00972E74" w:rsidRPr="00A23629" w:rsidRDefault="00972E74" w:rsidP="00972E74">
      <w:r w:rsidRPr="00A23629">
        <w:t xml:space="preserve">Wallis </w:t>
      </w:r>
      <w:r w:rsidR="001A1C81">
        <w:t>and</w:t>
      </w:r>
      <w:r w:rsidRPr="00A23629">
        <w:t xml:space="preserve"> Chidgey </w:t>
      </w:r>
      <w:r w:rsidRPr="00A23629">
        <w:rPr>
          <w:bCs/>
        </w:rPr>
        <w:t xml:space="preserve">(2022) </w:t>
      </w:r>
      <w:r w:rsidRPr="00A23629">
        <w:t xml:space="preserve">claimed that the data for the </w:t>
      </w:r>
      <w:r w:rsidR="00927ADA" w:rsidRPr="00927ADA">
        <w:rPr>
          <w:i/>
          <w:iCs/>
        </w:rPr>
        <w:t>D.</w:t>
      </w:r>
      <w:r w:rsidR="00927ADA">
        <w:rPr>
          <w:i/>
          <w:iCs/>
        </w:rPr>
        <w:t> </w:t>
      </w:r>
      <w:r w:rsidR="00927ADA" w:rsidRPr="00927ADA">
        <w:rPr>
          <w:i/>
          <w:iCs/>
        </w:rPr>
        <w:t>excentricus</w:t>
      </w:r>
      <w:r w:rsidR="00927ADA" w:rsidRPr="00927ADA">
        <w:t xml:space="preserve"> </w:t>
      </w:r>
      <w:r w:rsidRPr="00A23629">
        <w:t xml:space="preserve">in unfiltered seawater showed higher toxicity, which suggests that there was an additional stressor. </w:t>
      </w:r>
      <w:r w:rsidR="004329C3" w:rsidRPr="00A23629">
        <w:t xml:space="preserve">However, there was no evidence for this. </w:t>
      </w:r>
      <w:r w:rsidR="005405A8" w:rsidRPr="00A23629">
        <w:t>Moreover</w:t>
      </w:r>
      <w:r w:rsidR="004329C3" w:rsidRPr="00A23629">
        <w:t>,</w:t>
      </w:r>
      <w:r w:rsidRPr="00A23629">
        <w:t xml:space="preserve"> no direct comparison can be made between </w:t>
      </w:r>
      <w:r w:rsidR="004329C3" w:rsidRPr="00A23629">
        <w:t xml:space="preserve">the </w:t>
      </w:r>
      <w:r w:rsidRPr="00A23629">
        <w:t xml:space="preserve">filtered and unfiltered seawater </w:t>
      </w:r>
      <w:r w:rsidR="004329C3" w:rsidRPr="00A23629">
        <w:t xml:space="preserve">used by Dinnel et al. (1981) </w:t>
      </w:r>
      <w:r w:rsidRPr="00A23629">
        <w:t>because the reaction time for the filtered sample was longer (1</w:t>
      </w:r>
      <w:r w:rsidR="001A1C81">
        <w:t>–</w:t>
      </w:r>
      <w:r w:rsidRPr="00A23629">
        <w:t>2</w:t>
      </w:r>
      <w:r w:rsidR="001A1C81">
        <w:t> </w:t>
      </w:r>
      <w:r w:rsidRPr="00A23629">
        <w:t>h) than for the unfiltered sample (1</w:t>
      </w:r>
      <w:r w:rsidR="001A1C81">
        <w:t> </w:t>
      </w:r>
      <w:r w:rsidRPr="00A23629">
        <w:t>min to 1</w:t>
      </w:r>
      <w:r w:rsidR="001A1C81">
        <w:t> </w:t>
      </w:r>
      <w:r w:rsidRPr="00A23629">
        <w:t xml:space="preserve">h). Thus, the change in toxicity could also be attributed to the reaction time length. Also, if there was an additional stressor in the unfiltered water causing toxicity, this would </w:t>
      </w:r>
      <w:r w:rsidR="004329C3" w:rsidRPr="00A23629">
        <w:t xml:space="preserve">presumably have been </w:t>
      </w:r>
      <w:r w:rsidRPr="00A23629">
        <w:t xml:space="preserve">seen across all the </w:t>
      </w:r>
      <w:r w:rsidR="004329C3" w:rsidRPr="00A23629">
        <w:t xml:space="preserve">chlorine </w:t>
      </w:r>
      <w:r w:rsidRPr="00A23629">
        <w:t xml:space="preserve">treatments because there </w:t>
      </w:r>
      <w:r w:rsidR="004329C3" w:rsidRPr="00A23629">
        <w:t>was</w:t>
      </w:r>
      <w:r w:rsidRPr="00A23629">
        <w:t xml:space="preserve"> no dilution series of the seawater, just straight seawater </w:t>
      </w:r>
      <w:r w:rsidR="004329C3" w:rsidRPr="00A23629">
        <w:t>with different chlorine</w:t>
      </w:r>
      <w:r w:rsidRPr="00A23629">
        <w:t xml:space="preserve"> </w:t>
      </w:r>
      <w:r w:rsidR="004329C3" w:rsidRPr="00A23629">
        <w:t>concentrations</w:t>
      </w:r>
      <w:r w:rsidRPr="00A23629">
        <w:t xml:space="preserve">. </w:t>
      </w:r>
      <w:r w:rsidR="004329C3" w:rsidRPr="00A23629">
        <w:t>However</w:t>
      </w:r>
      <w:r w:rsidRPr="00A23629">
        <w:t xml:space="preserve">, Dinnel et al. </w:t>
      </w:r>
      <w:r w:rsidR="00894A1E">
        <w:t xml:space="preserve">(1981) </w:t>
      </w:r>
      <w:r w:rsidRPr="00A23629">
        <w:t xml:space="preserve">stated that </w:t>
      </w:r>
      <w:r w:rsidR="004329C3" w:rsidRPr="00A23629">
        <w:t>f</w:t>
      </w:r>
      <w:r w:rsidRPr="00A23629">
        <w:t>ertilisation in seawater control was ≥90</w:t>
      </w:r>
      <w:r w:rsidR="004329C3" w:rsidRPr="00A23629">
        <w:t xml:space="preserve">% and that any tests </w:t>
      </w:r>
      <w:r w:rsidR="007B4140" w:rsidRPr="00A23629">
        <w:t>for which</w:t>
      </w:r>
      <w:r w:rsidRPr="00A23629">
        <w:t xml:space="preserve"> control fertilisation </w:t>
      </w:r>
      <w:r w:rsidR="007B4140" w:rsidRPr="00A23629">
        <w:t xml:space="preserve">was &lt;90% </w:t>
      </w:r>
      <w:r w:rsidRPr="00A23629">
        <w:t>were discarded</w:t>
      </w:r>
      <w:r w:rsidR="00DB094C" w:rsidRPr="00A23629">
        <w:t>. This provides</w:t>
      </w:r>
      <w:r w:rsidRPr="00A23629">
        <w:t xml:space="preserve"> evidence that</w:t>
      </w:r>
      <w:r w:rsidR="00894A1E">
        <w:t>:</w:t>
      </w:r>
      <w:r w:rsidR="007B4140" w:rsidRPr="00A23629">
        <w:t xml:space="preserve"> </w:t>
      </w:r>
      <w:r w:rsidRPr="00A23629">
        <w:t>the seawater was not having an adverse effect on the sperm</w:t>
      </w:r>
      <w:r w:rsidR="00894A1E">
        <w:t>;</w:t>
      </w:r>
      <w:r w:rsidRPr="00A23629">
        <w:t xml:space="preserve"> and</w:t>
      </w:r>
      <w:r w:rsidR="007B4140" w:rsidRPr="00A23629">
        <w:t xml:space="preserve"> </w:t>
      </w:r>
      <w:r w:rsidRPr="00A23629">
        <w:t xml:space="preserve">where control performance was below acceptability, the test data were not used for the analyses. </w:t>
      </w:r>
      <w:r w:rsidR="00894A1E">
        <w:t>T</w:t>
      </w:r>
      <w:r w:rsidR="007B4140" w:rsidRPr="00A23629">
        <w:t xml:space="preserve">hese factors were </w:t>
      </w:r>
      <w:r w:rsidR="00894A1E">
        <w:t xml:space="preserve">not </w:t>
      </w:r>
      <w:r w:rsidR="007B4140" w:rsidRPr="00A23629">
        <w:t xml:space="preserve">acknowledged by Wallis </w:t>
      </w:r>
      <w:r w:rsidR="001A1C81">
        <w:t>and</w:t>
      </w:r>
      <w:r w:rsidR="007B4140" w:rsidRPr="00A23629">
        <w:t xml:space="preserve"> Chidgey (2022).</w:t>
      </w:r>
    </w:p>
    <w:p w14:paraId="2BFD2881" w14:textId="25F9D3A1" w:rsidR="0065121E" w:rsidRPr="00A23629" w:rsidRDefault="0065121E" w:rsidP="0065121E">
      <w:pPr>
        <w:pStyle w:val="Heading5"/>
      </w:pPr>
      <w:r w:rsidRPr="00A23629">
        <w:t>Replacement of Dinnel et al. (1981) echinoderm toxicity data with new toxicity data for another echinoderm species</w:t>
      </w:r>
    </w:p>
    <w:p w14:paraId="376CEB24" w14:textId="52D15460" w:rsidR="00972E74" w:rsidRPr="00A23629" w:rsidRDefault="0065121E" w:rsidP="00972E74">
      <w:r w:rsidRPr="00A23629">
        <w:t xml:space="preserve">In deriving marine guideline values for chlorine, Wallis </w:t>
      </w:r>
      <w:r w:rsidR="001A1C81">
        <w:t>and</w:t>
      </w:r>
      <w:r w:rsidRPr="00A23629">
        <w:t xml:space="preserve"> Chidgey (2022) suggested replacing the Dinnel et al. (1981) data for </w:t>
      </w:r>
      <w:r w:rsidRPr="00A23629">
        <w:rPr>
          <w:rFonts w:eastAsia="Cambria" w:cstheme="minorHAnsi"/>
          <w:i/>
          <w:iCs/>
          <w:lang w:eastAsia="en-AU"/>
        </w:rPr>
        <w:t>S.</w:t>
      </w:r>
      <w:r w:rsidR="001A1C81">
        <w:rPr>
          <w:rFonts w:eastAsia="Cambria" w:cstheme="minorHAnsi"/>
          <w:lang w:eastAsia="en-AU"/>
        </w:rPr>
        <w:t> </w:t>
      </w:r>
      <w:r w:rsidRPr="00A23629">
        <w:rPr>
          <w:rFonts w:eastAsia="Cambria" w:cstheme="minorHAnsi"/>
          <w:i/>
          <w:iCs/>
          <w:lang w:eastAsia="en-AU"/>
        </w:rPr>
        <w:t>droebachiensis</w:t>
      </w:r>
      <w:r w:rsidRPr="00A23629">
        <w:rPr>
          <w:rFonts w:eastAsia="Cambria" w:cstheme="minorHAnsi"/>
          <w:lang w:eastAsia="en-AU"/>
        </w:rPr>
        <w:t xml:space="preserve"> and </w:t>
      </w:r>
      <w:r w:rsidRPr="00A23629">
        <w:rPr>
          <w:rFonts w:eastAsia="Cambria" w:cstheme="minorHAnsi"/>
          <w:i/>
          <w:iCs/>
          <w:lang w:eastAsia="en-AU"/>
        </w:rPr>
        <w:t>D.</w:t>
      </w:r>
      <w:r w:rsidR="001A1C81">
        <w:rPr>
          <w:rFonts w:eastAsia="Cambria" w:cstheme="minorHAnsi"/>
          <w:i/>
          <w:iCs/>
          <w:lang w:eastAsia="en-AU"/>
        </w:rPr>
        <w:t> </w:t>
      </w:r>
      <w:r w:rsidRPr="00A23629">
        <w:rPr>
          <w:rFonts w:eastAsia="Cambria" w:cstheme="minorHAnsi"/>
          <w:i/>
          <w:iCs/>
          <w:lang w:eastAsia="en-AU"/>
        </w:rPr>
        <w:t>excentricus</w:t>
      </w:r>
      <w:r w:rsidRPr="00A23629">
        <w:rPr>
          <w:rFonts w:eastAsia="Cambria" w:cstheme="minorHAnsi"/>
          <w:lang w:eastAsia="en-AU"/>
        </w:rPr>
        <w:t xml:space="preserve"> with new toxicity data for the echinoderm </w:t>
      </w:r>
      <w:r w:rsidR="00D90BA1" w:rsidRPr="00D90BA1">
        <w:rPr>
          <w:rFonts w:eastAsia="Cambria" w:cstheme="minorHAnsi"/>
          <w:i/>
          <w:iCs/>
          <w:lang w:eastAsia="en-AU"/>
        </w:rPr>
        <w:t>Heliocidaris</w:t>
      </w:r>
      <w:r w:rsidRPr="00A23629">
        <w:rPr>
          <w:rFonts w:eastAsia="Cambria" w:cstheme="minorHAnsi"/>
          <w:i/>
          <w:iCs/>
          <w:lang w:eastAsia="en-AU"/>
        </w:rPr>
        <w:t xml:space="preserve"> tuberculata</w:t>
      </w:r>
      <w:r w:rsidRPr="00A23629">
        <w:rPr>
          <w:rFonts w:eastAsia="Cambria" w:cstheme="minorHAnsi"/>
          <w:lang w:eastAsia="en-AU"/>
        </w:rPr>
        <w:t xml:space="preserve">. However, the DGV derivation method (Warne et al. 2018) does not permit the replacement of data for one or more species from a taxonomic group with data for another species from the same taxonomic group. </w:t>
      </w:r>
      <w:r w:rsidR="00347099" w:rsidRPr="00A23629">
        <w:rPr>
          <w:rFonts w:eastAsia="Cambria" w:cstheme="minorHAnsi"/>
          <w:lang w:eastAsia="en-AU"/>
        </w:rPr>
        <w:t>In such cases, if all data are acceptable, all species would be included.</w:t>
      </w:r>
    </w:p>
    <w:p w14:paraId="0E9A9634" w14:textId="2F4ED51D" w:rsidR="00972E74" w:rsidRPr="00A23629" w:rsidRDefault="00687FB3" w:rsidP="00687FB3">
      <w:pPr>
        <w:pStyle w:val="Heading5"/>
      </w:pPr>
      <w:r w:rsidRPr="00A23629">
        <w:t>Conclusion</w:t>
      </w:r>
    </w:p>
    <w:p w14:paraId="66EC2F84" w14:textId="5979CD70" w:rsidR="007C5724" w:rsidRDefault="00687FB3" w:rsidP="00FB4F15">
      <w:pPr>
        <w:rPr>
          <w:rFonts w:eastAsia="Cambria" w:cstheme="minorHAnsi"/>
          <w:lang w:eastAsia="en-AU"/>
        </w:rPr>
      </w:pPr>
      <w:r w:rsidRPr="00A23629">
        <w:t>Although the evidence is not strong, the relatively long reaction times (24</w:t>
      </w:r>
      <w:r w:rsidR="003B6943">
        <w:t>–</w:t>
      </w:r>
      <w:r w:rsidRPr="00A23629">
        <w:t>48</w:t>
      </w:r>
      <w:r w:rsidR="003B6943">
        <w:t> </w:t>
      </w:r>
      <w:r w:rsidRPr="00A23629">
        <w:t xml:space="preserve">h) used for </w:t>
      </w:r>
      <w:r w:rsidRPr="00A23629">
        <w:rPr>
          <w:rFonts w:eastAsia="Cambria" w:cstheme="minorHAnsi"/>
          <w:i/>
          <w:iCs/>
          <w:lang w:eastAsia="en-AU"/>
        </w:rPr>
        <w:t>S.</w:t>
      </w:r>
      <w:r w:rsidR="003B6943">
        <w:rPr>
          <w:rFonts w:eastAsia="Cambria" w:cstheme="minorHAnsi"/>
          <w:lang w:eastAsia="en-AU"/>
        </w:rPr>
        <w:t> </w:t>
      </w:r>
      <w:r w:rsidRPr="00A23629">
        <w:rPr>
          <w:rFonts w:eastAsia="Cambria" w:cstheme="minorHAnsi"/>
          <w:i/>
          <w:iCs/>
          <w:lang w:eastAsia="en-AU"/>
        </w:rPr>
        <w:t>droebachiensis</w:t>
      </w:r>
      <w:r w:rsidRPr="00A23629">
        <w:t xml:space="preserve"> provide sufficient </w:t>
      </w:r>
      <w:r w:rsidR="001D0E3E">
        <w:t>justification to exclude the data from the derivation</w:t>
      </w:r>
      <w:r w:rsidRPr="00A23629">
        <w:t xml:space="preserve">. However, there is insufficient </w:t>
      </w:r>
      <w:r w:rsidR="001D0E3E">
        <w:t xml:space="preserve">justification </w:t>
      </w:r>
      <w:r w:rsidRPr="00A23629">
        <w:t xml:space="preserve">to exclude the data for </w:t>
      </w:r>
      <w:r w:rsidRPr="00A23629">
        <w:rPr>
          <w:rFonts w:eastAsia="Cambria" w:cstheme="minorHAnsi"/>
          <w:i/>
          <w:iCs/>
          <w:lang w:eastAsia="en-AU"/>
        </w:rPr>
        <w:t>D.</w:t>
      </w:r>
      <w:r w:rsidR="003B6943">
        <w:rPr>
          <w:rFonts w:eastAsia="Cambria" w:cstheme="minorHAnsi"/>
          <w:i/>
          <w:iCs/>
          <w:lang w:eastAsia="en-AU"/>
        </w:rPr>
        <w:t> </w:t>
      </w:r>
      <w:r w:rsidRPr="00A23629">
        <w:rPr>
          <w:rFonts w:eastAsia="Cambria" w:cstheme="minorHAnsi"/>
          <w:i/>
          <w:iCs/>
          <w:lang w:eastAsia="en-AU"/>
        </w:rPr>
        <w:t>excentricus</w:t>
      </w:r>
      <w:r w:rsidRPr="00A23629">
        <w:rPr>
          <w:rFonts w:eastAsia="Cambria" w:cstheme="minorHAnsi"/>
          <w:lang w:eastAsia="en-AU"/>
        </w:rPr>
        <w:t xml:space="preserve">. Thus, the final dataset </w:t>
      </w:r>
      <w:r w:rsidR="001D0E3E">
        <w:rPr>
          <w:rFonts w:eastAsia="Cambria" w:cstheme="minorHAnsi"/>
          <w:lang w:eastAsia="en-AU"/>
        </w:rPr>
        <w:t xml:space="preserve">for the </w:t>
      </w:r>
      <w:r w:rsidRPr="00A23629">
        <w:rPr>
          <w:rFonts w:eastAsia="Cambria" w:cstheme="minorHAnsi"/>
          <w:lang w:eastAsia="en-AU"/>
        </w:rPr>
        <w:t>DGV</w:t>
      </w:r>
      <w:r w:rsidR="001D0E3E">
        <w:rPr>
          <w:rFonts w:eastAsia="Cambria" w:cstheme="minorHAnsi"/>
          <w:lang w:eastAsia="en-AU"/>
        </w:rPr>
        <w:t xml:space="preserve"> derivation</w:t>
      </w:r>
      <w:r w:rsidRPr="00A23629">
        <w:rPr>
          <w:rFonts w:eastAsia="Cambria" w:cstheme="minorHAnsi"/>
          <w:lang w:eastAsia="en-AU"/>
        </w:rPr>
        <w:t xml:space="preserve"> included data for </w:t>
      </w:r>
      <w:r w:rsidRPr="00A23629">
        <w:rPr>
          <w:rFonts w:eastAsia="Cambria" w:cstheme="minorHAnsi"/>
          <w:i/>
          <w:iCs/>
          <w:lang w:eastAsia="en-AU"/>
        </w:rPr>
        <w:t>D.</w:t>
      </w:r>
      <w:r w:rsidR="003B6943">
        <w:rPr>
          <w:rFonts w:eastAsia="Cambria" w:cstheme="minorHAnsi"/>
          <w:i/>
          <w:iCs/>
          <w:lang w:eastAsia="en-AU"/>
        </w:rPr>
        <w:t> </w:t>
      </w:r>
      <w:r w:rsidRPr="00A23629">
        <w:rPr>
          <w:rFonts w:eastAsia="Cambria" w:cstheme="minorHAnsi"/>
          <w:i/>
          <w:iCs/>
          <w:lang w:eastAsia="en-AU"/>
        </w:rPr>
        <w:t xml:space="preserve">excentricus </w:t>
      </w:r>
      <w:r w:rsidRPr="00A23629">
        <w:rPr>
          <w:rFonts w:eastAsia="Cambria" w:cstheme="minorHAnsi"/>
          <w:lang w:eastAsia="en-AU"/>
        </w:rPr>
        <w:t xml:space="preserve">but excluded data for </w:t>
      </w:r>
      <w:r w:rsidRPr="00A23629">
        <w:rPr>
          <w:rFonts w:eastAsia="Cambria" w:cstheme="minorHAnsi"/>
          <w:i/>
          <w:iCs/>
          <w:lang w:eastAsia="en-AU"/>
        </w:rPr>
        <w:t>S.</w:t>
      </w:r>
      <w:r w:rsidR="003B6943">
        <w:rPr>
          <w:rFonts w:eastAsia="Cambria" w:cstheme="minorHAnsi"/>
          <w:i/>
          <w:iCs/>
          <w:lang w:eastAsia="en-AU"/>
        </w:rPr>
        <w:t> </w:t>
      </w:r>
      <w:r w:rsidRPr="00A23629">
        <w:rPr>
          <w:rFonts w:eastAsia="Cambria" w:cstheme="minorHAnsi"/>
          <w:i/>
          <w:iCs/>
          <w:lang w:eastAsia="en-AU"/>
        </w:rPr>
        <w:t>droebachiensis</w:t>
      </w:r>
      <w:r w:rsidRPr="00A23629">
        <w:rPr>
          <w:rFonts w:eastAsia="Cambria" w:cstheme="minorHAnsi"/>
          <w:lang w:eastAsia="en-AU"/>
        </w:rPr>
        <w:t>.</w:t>
      </w:r>
      <w:r>
        <w:rPr>
          <w:rFonts w:eastAsia="Cambria" w:cstheme="minorHAnsi"/>
          <w:lang w:eastAsia="en-AU"/>
        </w:rPr>
        <w:t xml:space="preserve"> </w:t>
      </w:r>
    </w:p>
    <w:p w14:paraId="338C7785" w14:textId="3DBF1743" w:rsidR="00512B1D" w:rsidRDefault="00512B1D" w:rsidP="00FB4F15">
      <w:r>
        <w:br w:type="page"/>
      </w:r>
    </w:p>
    <w:p w14:paraId="11B57B04" w14:textId="1E91D877" w:rsidR="00FE30CC" w:rsidRPr="00A23629" w:rsidRDefault="00C11CB4" w:rsidP="004B4208">
      <w:pPr>
        <w:pStyle w:val="Heading2"/>
        <w:numPr>
          <w:ilvl w:val="0"/>
          <w:numId w:val="0"/>
        </w:numPr>
      </w:pPr>
      <w:bookmarkStart w:id="75" w:name="_Toc178451659"/>
      <w:bookmarkStart w:id="76" w:name="_Ref178602764"/>
      <w:bookmarkStart w:id="77" w:name="_Toc189409348"/>
      <w:r w:rsidRPr="00A23629">
        <w:lastRenderedPageBreak/>
        <w:t>Appendix</w:t>
      </w:r>
      <w:r w:rsidR="000300D2">
        <w:t> </w:t>
      </w:r>
      <w:r w:rsidR="00806ECD" w:rsidRPr="00A23629">
        <w:t>D</w:t>
      </w:r>
      <w:r w:rsidRPr="00A23629">
        <w:t xml:space="preserve">: </w:t>
      </w:r>
      <w:r w:rsidR="00C55240" w:rsidRPr="00A23629">
        <w:t>M</w:t>
      </w:r>
      <w:r w:rsidRPr="00A23629">
        <w:t>odality assessment</w:t>
      </w:r>
      <w:r w:rsidR="00C55240" w:rsidRPr="00A23629">
        <w:t xml:space="preserve"> for </w:t>
      </w:r>
      <w:r w:rsidR="00D60DCC">
        <w:t>chlorine</w:t>
      </w:r>
      <w:bookmarkEnd w:id="75"/>
      <w:bookmarkEnd w:id="76"/>
      <w:bookmarkEnd w:id="77"/>
    </w:p>
    <w:p w14:paraId="2E636DFA" w14:textId="3C2B2B75" w:rsidR="00F23E63" w:rsidRPr="00A23629" w:rsidRDefault="00005F2F" w:rsidP="00512B1D">
      <w:pPr>
        <w:rPr>
          <w:lang w:eastAsia="ja-JP"/>
        </w:rPr>
      </w:pPr>
      <w:r w:rsidRPr="00005F2F">
        <w:rPr>
          <w:lang w:eastAsia="ja-JP"/>
        </w:rPr>
        <w:t xml:space="preserve">A modality assessment was undertaken for the </w:t>
      </w:r>
      <w:r>
        <w:rPr>
          <w:lang w:eastAsia="ja-JP"/>
        </w:rPr>
        <w:t>chlorine</w:t>
      </w:r>
      <w:r w:rsidRPr="00005F2F">
        <w:rPr>
          <w:lang w:eastAsia="ja-JP"/>
        </w:rPr>
        <w:t xml:space="preserve"> in marine water toxicity dataset according to the four questions stipulated in Warne et al. (2018). These questions and their answers are as follows.</w:t>
      </w:r>
    </w:p>
    <w:p w14:paraId="176FD141" w14:textId="643C7503" w:rsidR="00F23E63" w:rsidRPr="00A23629" w:rsidRDefault="00DC65B1" w:rsidP="00FB4F15">
      <w:pPr>
        <w:pStyle w:val="Heading5"/>
        <w:rPr>
          <w:lang w:eastAsia="ja-JP"/>
        </w:rPr>
      </w:pPr>
      <w:r w:rsidRPr="00A23629">
        <w:t>Is there a specific mode of action that could result in taxa-specific sensitivity?</w:t>
      </w:r>
    </w:p>
    <w:p w14:paraId="135A63C8" w14:textId="25C452D4" w:rsidR="00DC65B1" w:rsidRPr="00A23629" w:rsidRDefault="00DC65B1" w:rsidP="00512B1D">
      <w:pPr>
        <w:rPr>
          <w:lang w:eastAsia="ja-JP"/>
        </w:rPr>
      </w:pPr>
      <w:r w:rsidRPr="00A23629">
        <w:rPr>
          <w:lang w:eastAsia="ja-JP"/>
        </w:rPr>
        <w:t xml:space="preserve">Although the specific mode of action of chlorine toxicity is unclear, it is understood to not be specific to any taxa-specific biological processes and, as such, its toxicity </w:t>
      </w:r>
      <w:r w:rsidR="005A7457">
        <w:rPr>
          <w:lang w:eastAsia="ja-JP"/>
        </w:rPr>
        <w:t>is</w:t>
      </w:r>
      <w:r w:rsidRPr="00A23629">
        <w:rPr>
          <w:lang w:eastAsia="ja-JP"/>
        </w:rPr>
        <w:t xml:space="preserve"> not expected to result in taxa-specific sensitivity.</w:t>
      </w:r>
    </w:p>
    <w:p w14:paraId="2C354A8F" w14:textId="137A2200" w:rsidR="00DC65B1" w:rsidRPr="00A23629" w:rsidRDefault="00DC65B1" w:rsidP="00FB4F15">
      <w:pPr>
        <w:pStyle w:val="Heading5"/>
        <w:rPr>
          <w:lang w:eastAsia="ja-JP"/>
        </w:rPr>
      </w:pPr>
      <w:r w:rsidRPr="00A23629">
        <w:t>Does the dataset suggest bimodality?</w:t>
      </w:r>
    </w:p>
    <w:p w14:paraId="71FF86FC" w14:textId="66CB48ED" w:rsidR="00C11CB4" w:rsidRPr="00A23629" w:rsidRDefault="00C11CB4" w:rsidP="00C11CB4">
      <w:pPr>
        <w:rPr>
          <w:lang w:eastAsia="ja-JP"/>
        </w:rPr>
      </w:pPr>
      <w:r w:rsidRPr="00A23629">
        <w:rPr>
          <w:lang w:eastAsia="ja-JP"/>
        </w:rPr>
        <w:t xml:space="preserve">A histogram of the </w:t>
      </w:r>
      <w:r w:rsidR="00AB11F3" w:rsidRPr="00A23629">
        <w:rPr>
          <w:lang w:eastAsia="ja-JP"/>
        </w:rPr>
        <w:t>ln</w:t>
      </w:r>
      <w:r w:rsidRPr="00A23629">
        <w:rPr>
          <w:lang w:eastAsia="ja-JP"/>
        </w:rPr>
        <w:t xml:space="preserve">-transformed toxicity data </w:t>
      </w:r>
      <w:r w:rsidR="005A7457">
        <w:rPr>
          <w:lang w:eastAsia="ja-JP"/>
        </w:rPr>
        <w:t>(</w:t>
      </w:r>
      <w:r w:rsidR="00EE74EC">
        <w:rPr>
          <w:lang w:eastAsia="ja-JP"/>
        </w:rPr>
        <w:fldChar w:fldCharType="begin"/>
      </w:r>
      <w:r w:rsidR="00EE74EC">
        <w:rPr>
          <w:lang w:eastAsia="ja-JP"/>
        </w:rPr>
        <w:instrText xml:space="preserve"> REF _Ref178602448 \h </w:instrText>
      </w:r>
      <w:r w:rsidR="00EE74EC">
        <w:rPr>
          <w:lang w:eastAsia="ja-JP"/>
        </w:rPr>
      </w:r>
      <w:r w:rsidR="00EE74EC">
        <w:rPr>
          <w:lang w:eastAsia="ja-JP"/>
        </w:rPr>
        <w:fldChar w:fldCharType="separate"/>
      </w:r>
      <w:r w:rsidR="003E6080">
        <w:t>Figure D </w:t>
      </w:r>
      <w:r w:rsidR="003E6080">
        <w:rPr>
          <w:noProof/>
        </w:rPr>
        <w:t>1</w:t>
      </w:r>
      <w:r w:rsidR="00EE74EC">
        <w:rPr>
          <w:lang w:eastAsia="ja-JP"/>
        </w:rPr>
        <w:fldChar w:fldCharType="end"/>
      </w:r>
      <w:r w:rsidR="005A7457">
        <w:rPr>
          <w:lang w:eastAsia="ja-JP"/>
        </w:rPr>
        <w:t>)</w:t>
      </w:r>
      <w:r w:rsidR="00D659CD" w:rsidRPr="00A23629">
        <w:rPr>
          <w:lang w:eastAsia="ja-JP"/>
        </w:rPr>
        <w:t xml:space="preserve"> indicates that the dataset has a unimodal</w:t>
      </w:r>
      <w:r w:rsidR="00911208" w:rsidRPr="00A23629">
        <w:rPr>
          <w:lang w:eastAsia="ja-JP"/>
        </w:rPr>
        <w:t>, albeit slightly right skewed,</w:t>
      </w:r>
      <w:r w:rsidR="00D659CD" w:rsidRPr="00A23629">
        <w:rPr>
          <w:lang w:eastAsia="ja-JP"/>
        </w:rPr>
        <w:t xml:space="preserve"> distribution. </w:t>
      </w:r>
      <w:r w:rsidR="00D659CD" w:rsidRPr="00A23629">
        <w:t>Calculation of the bimodality coefficient (BC) on</w:t>
      </w:r>
      <w:r w:rsidR="005A7457">
        <w:t xml:space="preserve"> the</w:t>
      </w:r>
      <w:r w:rsidR="00D659CD" w:rsidRPr="00A23629">
        <w:t xml:space="preserve"> l</w:t>
      </w:r>
      <w:r w:rsidR="00AB11F3" w:rsidRPr="00A23629">
        <w:t>n</w:t>
      </w:r>
      <w:r w:rsidR="00D659CD" w:rsidRPr="00A23629">
        <w:t>-transformed data yielded a value of 0.2</w:t>
      </w:r>
      <w:r w:rsidR="00911208" w:rsidRPr="00A23629">
        <w:t>6</w:t>
      </w:r>
      <w:r w:rsidR="00D659CD" w:rsidRPr="00A23629">
        <w:t xml:space="preserve">, which is below the </w:t>
      </w:r>
      <w:r w:rsidR="005A7457">
        <w:t xml:space="preserve">BC </w:t>
      </w:r>
      <w:r w:rsidR="00D659CD" w:rsidRPr="00A23629">
        <w:t xml:space="preserve">threshold </w:t>
      </w:r>
      <w:r w:rsidR="005A7457">
        <w:t>(0.55) that indicates</w:t>
      </w:r>
      <w:r w:rsidR="00D659CD" w:rsidRPr="00A23629">
        <w:t xml:space="preserve"> bimodality, suggesting the dataset is not bimodal.</w:t>
      </w:r>
    </w:p>
    <w:p w14:paraId="27684115" w14:textId="289D909B" w:rsidR="00C11CB4" w:rsidRPr="00A23629" w:rsidRDefault="002E79E3" w:rsidP="007C5724">
      <w:pPr>
        <w:spacing w:after="120"/>
        <w:rPr>
          <w:lang w:eastAsia="ja-JP"/>
        </w:rPr>
      </w:pPr>
      <w:r>
        <w:rPr>
          <w:noProof/>
        </w:rPr>
        <w:drawing>
          <wp:inline distT="0" distB="0" distL="0" distR="0" wp14:anchorId="1CDC834C" wp14:editId="7512CA17">
            <wp:extent cx="4320540" cy="2991055"/>
            <wp:effectExtent l="0" t="0" r="3810" b="0"/>
            <wp:docPr id="1233715440" name="Picture 1" descr="Figure is a histogram of the ln-transformed toxicity data. It indicates that the dataset has a unimodal, albeit slightly right skewed,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15440" name="Picture 1" descr="Figure is a histogram of the ln-transformed toxicity data. It indicates that the dataset has a unimodal, albeit slightly right skewed, distribution."/>
                    <pic:cNvPicPr/>
                  </pic:nvPicPr>
                  <pic:blipFill rotWithShape="1">
                    <a:blip r:embed="rId47"/>
                    <a:srcRect l="1478" t="2282" r="1111" b="2248"/>
                    <a:stretch/>
                  </pic:blipFill>
                  <pic:spPr bwMode="auto">
                    <a:xfrm>
                      <a:off x="0" y="0"/>
                      <a:ext cx="4330824" cy="2998174"/>
                    </a:xfrm>
                    <a:prstGeom prst="rect">
                      <a:avLst/>
                    </a:prstGeom>
                    <a:ln>
                      <a:noFill/>
                    </a:ln>
                    <a:extLst>
                      <a:ext uri="{53640926-AAD7-44D8-BBD7-CCE9431645EC}">
                        <a14:shadowObscured xmlns:a14="http://schemas.microsoft.com/office/drawing/2010/main"/>
                      </a:ext>
                    </a:extLst>
                  </pic:spPr>
                </pic:pic>
              </a:graphicData>
            </a:graphic>
          </wp:inline>
        </w:drawing>
      </w:r>
    </w:p>
    <w:p w14:paraId="100E63CC" w14:textId="6F677B01" w:rsidR="00C11CB4" w:rsidRPr="00A23629" w:rsidRDefault="00624F24" w:rsidP="00624F24">
      <w:pPr>
        <w:pStyle w:val="Caption"/>
        <w:rPr>
          <w:lang w:eastAsia="ja-JP"/>
        </w:rPr>
      </w:pPr>
      <w:bookmarkStart w:id="78" w:name="_Ref178602448"/>
      <w:bookmarkStart w:id="79" w:name="_Toc185441662"/>
      <w:r>
        <w:t>Figure D </w:t>
      </w:r>
      <w:r w:rsidR="00141D27">
        <w:fldChar w:fldCharType="begin"/>
      </w:r>
      <w:r w:rsidR="00141D27">
        <w:instrText xml:space="preserve"> SEQ Figure_D \* ARABIC </w:instrText>
      </w:r>
      <w:r w:rsidR="00141D27">
        <w:fldChar w:fldCharType="separate"/>
      </w:r>
      <w:r w:rsidR="003E6080">
        <w:rPr>
          <w:noProof/>
        </w:rPr>
        <w:t>1</w:t>
      </w:r>
      <w:r w:rsidR="00141D27">
        <w:rPr>
          <w:noProof/>
        </w:rPr>
        <w:fldChar w:fldCharType="end"/>
      </w:r>
      <w:bookmarkEnd w:id="78"/>
      <w:r w:rsidR="00C11CB4" w:rsidRPr="00A23629">
        <w:rPr>
          <w:lang w:eastAsia="ja-JP"/>
        </w:rPr>
        <w:t xml:space="preserve"> Histogram</w:t>
      </w:r>
      <w:r w:rsidR="00F11CFA">
        <w:rPr>
          <w:lang w:eastAsia="ja-JP"/>
        </w:rPr>
        <w:t>,</w:t>
      </w:r>
      <w:r w:rsidR="00C11CB4" w:rsidRPr="00A23629">
        <w:rPr>
          <w:lang w:eastAsia="ja-JP"/>
        </w:rPr>
        <w:t xml:space="preserve"> </w:t>
      </w:r>
      <w:r w:rsidR="00E45D2F" w:rsidRPr="00A23629">
        <w:rPr>
          <w:lang w:eastAsia="ja-JP"/>
        </w:rPr>
        <w:t xml:space="preserve">ln-transformed </w:t>
      </w:r>
      <w:r w:rsidR="001F6A1E" w:rsidRPr="00A23629">
        <w:rPr>
          <w:lang w:eastAsia="ja-JP"/>
        </w:rPr>
        <w:t>chlorine marine</w:t>
      </w:r>
      <w:r w:rsidR="00C11CB4" w:rsidRPr="00A23629">
        <w:rPr>
          <w:lang w:eastAsia="ja-JP"/>
        </w:rPr>
        <w:t xml:space="preserve"> </w:t>
      </w:r>
      <w:r w:rsidR="001F6A1E" w:rsidRPr="00A23629">
        <w:rPr>
          <w:lang w:eastAsia="ja-JP"/>
        </w:rPr>
        <w:t xml:space="preserve">acute </w:t>
      </w:r>
      <w:r w:rsidR="00C11CB4" w:rsidRPr="00A23629">
        <w:rPr>
          <w:lang w:eastAsia="ja-JP"/>
        </w:rPr>
        <w:t>to</w:t>
      </w:r>
      <w:r w:rsidR="006B58C4" w:rsidRPr="00A23629">
        <w:rPr>
          <w:lang w:eastAsia="ja-JP"/>
        </w:rPr>
        <w:t>xicity data</w:t>
      </w:r>
      <w:bookmarkEnd w:id="79"/>
    </w:p>
    <w:p w14:paraId="02392CEA" w14:textId="0EB7FA49" w:rsidR="00DC65B1" w:rsidRPr="00A23629" w:rsidRDefault="00DC65B1" w:rsidP="00FB4F15">
      <w:pPr>
        <w:pStyle w:val="Heading5"/>
        <w:rPr>
          <w:lang w:eastAsia="ja-JP"/>
        </w:rPr>
      </w:pPr>
      <w:r w:rsidRPr="00A23629">
        <w:rPr>
          <w:lang w:eastAsia="ja-JP"/>
        </w:rPr>
        <w:t>Do data show taxa-specific sensitivity (i.e. through distinct groupings of different taxa types)?</w:t>
      </w:r>
    </w:p>
    <w:p w14:paraId="7F659CC8" w14:textId="48F00D36" w:rsidR="00736863" w:rsidRDefault="00736863" w:rsidP="00512B1D">
      <w:pPr>
        <w:rPr>
          <w:lang w:eastAsia="ja-JP"/>
        </w:rPr>
      </w:pPr>
      <w:r w:rsidRPr="00A23629">
        <w:t>The sample sizes for most taxonomic groups are very small, making it difficult to draw conclusions</w:t>
      </w:r>
      <w:r w:rsidR="00A96BF5" w:rsidRPr="00A23629">
        <w:t xml:space="preserve"> about taxa-specific sensitivity, except that fish appear to be slightly more sensitive to chlorine than crustaceans</w:t>
      </w:r>
      <w:r w:rsidR="00EE74EC">
        <w:t xml:space="preserve"> (</w:t>
      </w:r>
      <w:r w:rsidR="00EE74EC">
        <w:fldChar w:fldCharType="begin"/>
      </w:r>
      <w:r w:rsidR="00EE74EC">
        <w:instrText xml:space="preserve"> REF _Ref178602494 \h </w:instrText>
      </w:r>
      <w:r w:rsidR="00EE74EC">
        <w:fldChar w:fldCharType="separate"/>
      </w:r>
      <w:r w:rsidR="003E6080">
        <w:t>Figure D </w:t>
      </w:r>
      <w:r w:rsidR="003E6080">
        <w:rPr>
          <w:noProof/>
        </w:rPr>
        <w:t>2</w:t>
      </w:r>
      <w:r w:rsidR="00EE74EC">
        <w:fldChar w:fldCharType="end"/>
      </w:r>
      <w:r w:rsidR="00EE74EC">
        <w:t>)</w:t>
      </w:r>
      <w:r w:rsidR="00A96BF5" w:rsidRPr="00A23629">
        <w:t xml:space="preserve">. Based on the data of Dinnel et al. (1981), echinoderms appear to be highly sensitive to chlorine; however, the data of Wallis </w:t>
      </w:r>
      <w:r w:rsidR="00512B1D">
        <w:t>and</w:t>
      </w:r>
      <w:r w:rsidR="00A96BF5" w:rsidRPr="00A23629">
        <w:t xml:space="preserve"> Chidgey (2022) suggest the high sensitivity does not exist </w:t>
      </w:r>
      <w:r w:rsidR="00EB5BEB">
        <w:t>for</w:t>
      </w:r>
      <w:r w:rsidR="00A96BF5" w:rsidRPr="00A23629">
        <w:t xml:space="preserve"> all echinoderms.</w:t>
      </w:r>
      <w:r w:rsidR="00A96BF5" w:rsidRPr="00A23629">
        <w:rPr>
          <w:lang w:eastAsia="ja-JP"/>
        </w:rPr>
        <w:t xml:space="preserve"> </w:t>
      </w:r>
    </w:p>
    <w:p w14:paraId="05F8E76F" w14:textId="684661E6" w:rsidR="00BF7E8F" w:rsidRDefault="003A763A" w:rsidP="007C5724">
      <w:pPr>
        <w:spacing w:after="120"/>
        <w:rPr>
          <w:lang w:eastAsia="ja-JP"/>
        </w:rPr>
      </w:pPr>
      <w:r>
        <w:rPr>
          <w:noProof/>
        </w:rPr>
        <w:lastRenderedPageBreak/>
        <mc:AlternateContent>
          <mc:Choice Requires="cx1">
            <w:drawing>
              <wp:inline distT="0" distB="0" distL="0" distR="0" wp14:anchorId="6F26A445" wp14:editId="328F23CF">
                <wp:extent cx="4570222" cy="3251200"/>
                <wp:effectExtent l="0" t="0" r="1905" b="6350"/>
                <wp:docPr id="1535732489" name="Chart 1" descr="Figure displays the sensitivity of taxonomic groups to chlorine in marine water. The groups are bivalve, rotifer, crustacean, echinoderm and fish.">
                  <a:extLst xmlns:a="http://schemas.openxmlformats.org/drawingml/2006/main">
                    <a:ext uri="{FF2B5EF4-FFF2-40B4-BE49-F238E27FC236}">
                      <a16:creationId xmlns:a16="http://schemas.microsoft.com/office/drawing/2014/main" id="{09633F80-C1F4-4BFE-A02D-02E90F0E644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8"/>
                  </a:graphicData>
                </a:graphic>
              </wp:inline>
            </w:drawing>
          </mc:Choice>
          <mc:Fallback>
            <w:drawing>
              <wp:inline distT="0" distB="0" distL="0" distR="0" wp14:anchorId="6F26A445" wp14:editId="328F23CF">
                <wp:extent cx="4570222" cy="3251200"/>
                <wp:effectExtent l="0" t="0" r="1905" b="6350"/>
                <wp:docPr id="1535732489" name="Chart 1" descr="Figure displays the sensitivity of taxonomic groups to chlorine in marine water. The groups are bivalve, rotifer, crustacean, echinoderm and fish.">
                  <a:extLst xmlns:a="http://schemas.openxmlformats.org/drawingml/2006/main">
                    <a:ext uri="{FF2B5EF4-FFF2-40B4-BE49-F238E27FC236}">
                      <a16:creationId xmlns:a16="http://schemas.microsoft.com/office/drawing/2014/main" id="{09633F80-C1F4-4BFE-A02D-02E90F0E644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35732489" name="Chart 1" descr="Figure displays the sensitivity of taxonomic groups to chlorine in marine water. The groups are bivalve, rotifer, crustacean, echinoderm and fish.">
                          <a:extLst>
                            <a:ext uri="{FF2B5EF4-FFF2-40B4-BE49-F238E27FC236}">
                              <a16:creationId xmlns:a16="http://schemas.microsoft.com/office/drawing/2014/main" id="{09633F80-C1F4-4BFE-A02D-02E90F0E644D}"/>
                            </a:ext>
                          </a:extLst>
                        </pic:cNvPr>
                        <pic:cNvPicPr>
                          <a:picLocks noGrp="1" noRot="1" noChangeAspect="1" noMove="1" noResize="1" noEditPoints="1" noAdjustHandles="1" noChangeArrowheads="1" noChangeShapeType="1"/>
                        </pic:cNvPicPr>
                      </pic:nvPicPr>
                      <pic:blipFill>
                        <a:blip r:embed="rId49"/>
                        <a:stretch>
                          <a:fillRect/>
                        </a:stretch>
                      </pic:blipFill>
                      <pic:spPr>
                        <a:xfrm>
                          <a:off x="0" y="0"/>
                          <a:ext cx="4570095" cy="3251200"/>
                        </a:xfrm>
                        <a:prstGeom prst="rect">
                          <a:avLst/>
                        </a:prstGeom>
                      </pic:spPr>
                    </pic:pic>
                  </a:graphicData>
                </a:graphic>
              </wp:inline>
            </w:drawing>
          </mc:Fallback>
        </mc:AlternateContent>
      </w:r>
    </w:p>
    <w:p w14:paraId="7B9F5EC3" w14:textId="66FD1E74" w:rsidR="00647FE5" w:rsidRPr="00A23629" w:rsidRDefault="00647FE5" w:rsidP="007C5724">
      <w:pPr>
        <w:pStyle w:val="FigureTableNoteSource"/>
        <w:spacing w:after="120"/>
        <w:rPr>
          <w:lang w:eastAsia="ja-JP"/>
        </w:rPr>
      </w:pPr>
      <w:r w:rsidRPr="00647FE5">
        <w:rPr>
          <w:lang w:eastAsia="ja-JP"/>
        </w:rPr>
        <w:t>Note: the line in the box represents the median; ‘x’ represents the mean; unfilled circles represent suspected outliers; filled circles represent known outliers; error bars represent minimum and maximum values.</w:t>
      </w:r>
    </w:p>
    <w:p w14:paraId="52BD1419" w14:textId="65BD2ADF" w:rsidR="00736863" w:rsidRPr="00A23629" w:rsidRDefault="009C0B32" w:rsidP="009C0B32">
      <w:pPr>
        <w:pStyle w:val="Caption"/>
        <w:rPr>
          <w:lang w:eastAsia="ja-JP"/>
        </w:rPr>
      </w:pPr>
      <w:bookmarkStart w:id="80" w:name="_Ref178602494"/>
      <w:bookmarkStart w:id="81" w:name="_Toc185441663"/>
      <w:r>
        <w:t>Figure D </w:t>
      </w:r>
      <w:r w:rsidR="00141D27">
        <w:fldChar w:fldCharType="begin"/>
      </w:r>
      <w:r w:rsidR="00141D27">
        <w:instrText xml:space="preserve"> SEQ Figure_D \* ARABIC </w:instrText>
      </w:r>
      <w:r w:rsidR="00141D27">
        <w:fldChar w:fldCharType="separate"/>
      </w:r>
      <w:r w:rsidR="003E6080">
        <w:rPr>
          <w:noProof/>
        </w:rPr>
        <w:t>2</w:t>
      </w:r>
      <w:r w:rsidR="00141D27">
        <w:rPr>
          <w:noProof/>
        </w:rPr>
        <w:fldChar w:fldCharType="end"/>
      </w:r>
      <w:bookmarkEnd w:id="80"/>
      <w:r w:rsidR="00F15C89" w:rsidRPr="00A23629">
        <w:rPr>
          <w:lang w:eastAsia="ja-JP"/>
        </w:rPr>
        <w:t xml:space="preserve"> Box plot</w:t>
      </w:r>
      <w:r w:rsidR="00F11CFA">
        <w:rPr>
          <w:lang w:eastAsia="ja-JP"/>
        </w:rPr>
        <w:t>,</w:t>
      </w:r>
      <w:r w:rsidR="00F15C89" w:rsidRPr="00A23629">
        <w:rPr>
          <w:lang w:eastAsia="ja-JP"/>
        </w:rPr>
        <w:t xml:space="preserve"> sensitivity of taxonomic groups to chlorine in marine water</w:t>
      </w:r>
      <w:bookmarkStart w:id="82" w:name="_Toc4498839"/>
      <w:bookmarkEnd w:id="81"/>
    </w:p>
    <w:p w14:paraId="30C770DD" w14:textId="3AB8E889" w:rsidR="00DC65B1" w:rsidRPr="00A23629" w:rsidRDefault="00DC65B1" w:rsidP="00FB4F15">
      <w:pPr>
        <w:pStyle w:val="Heading5"/>
        <w:rPr>
          <w:lang w:eastAsia="ja-JP"/>
        </w:rPr>
      </w:pPr>
      <w:r w:rsidRPr="00A23629">
        <w:t>Is it likely that indications of bimodality or multimodality or distinct clustering of taxa groups are not due to artefacts of data selection, small sample size, test procedures, or other reasons unrelated to a specific mode of action?</w:t>
      </w:r>
    </w:p>
    <w:p w14:paraId="5A2DF9AD" w14:textId="7AB4D354" w:rsidR="00CB7F7D" w:rsidRDefault="00983913" w:rsidP="00FB4F15">
      <w:pPr>
        <w:rPr>
          <w:lang w:eastAsia="ja-JP"/>
        </w:rPr>
      </w:pPr>
      <w:r w:rsidRPr="00A23629">
        <w:rPr>
          <w:lang w:eastAsia="ja-JP"/>
        </w:rPr>
        <w:t>Based on the outcomes of the above questions, the dataset is not bimodal and, o</w:t>
      </w:r>
      <w:r w:rsidR="00CB7F7D" w:rsidRPr="00A23629">
        <w:rPr>
          <w:lang w:eastAsia="ja-JP"/>
        </w:rPr>
        <w:t xml:space="preserve">n </w:t>
      </w:r>
      <w:r w:rsidRPr="00A23629">
        <w:rPr>
          <w:lang w:eastAsia="ja-JP"/>
        </w:rPr>
        <w:t xml:space="preserve">this </w:t>
      </w:r>
      <w:r w:rsidR="00CB7F7D" w:rsidRPr="00A23629">
        <w:rPr>
          <w:lang w:eastAsia="ja-JP"/>
        </w:rPr>
        <w:t xml:space="preserve">basis, </w:t>
      </w:r>
      <w:r w:rsidRPr="00A23629">
        <w:rPr>
          <w:lang w:eastAsia="ja-JP"/>
        </w:rPr>
        <w:t xml:space="preserve">was </w:t>
      </w:r>
      <w:r w:rsidR="00647FE5">
        <w:rPr>
          <w:lang w:eastAsia="ja-JP"/>
        </w:rPr>
        <w:t>used</w:t>
      </w:r>
      <w:r w:rsidRPr="00A23629">
        <w:rPr>
          <w:lang w:eastAsia="ja-JP"/>
        </w:rPr>
        <w:t xml:space="preserve"> for the DGV derivation</w:t>
      </w:r>
      <w:r w:rsidR="00CB7F7D" w:rsidRPr="00A23629">
        <w:rPr>
          <w:lang w:eastAsia="ja-JP"/>
        </w:rPr>
        <w:t>.</w:t>
      </w:r>
    </w:p>
    <w:p w14:paraId="46187186" w14:textId="312BE8B7" w:rsidR="00512B1D" w:rsidRDefault="00512B1D" w:rsidP="00FB4F15">
      <w:pPr>
        <w:rPr>
          <w:lang w:eastAsia="ja-JP"/>
        </w:rPr>
      </w:pPr>
      <w:r>
        <w:rPr>
          <w:lang w:eastAsia="ja-JP"/>
        </w:rPr>
        <w:br w:type="page"/>
      </w:r>
    </w:p>
    <w:p w14:paraId="5CE3283A" w14:textId="4BA846EB" w:rsidR="00606A7B" w:rsidRDefault="00606A7B" w:rsidP="00606A7B">
      <w:pPr>
        <w:pStyle w:val="Heading2"/>
        <w:numPr>
          <w:ilvl w:val="0"/>
          <w:numId w:val="0"/>
        </w:numPr>
        <w:ind w:left="680" w:hanging="680"/>
      </w:pPr>
      <w:bookmarkStart w:id="83" w:name="_Toc178451660"/>
      <w:bookmarkStart w:id="84" w:name="_Toc189409349"/>
      <w:r w:rsidRPr="00585FD8">
        <w:lastRenderedPageBreak/>
        <w:t>References</w:t>
      </w:r>
      <w:bookmarkEnd w:id="82"/>
      <w:bookmarkEnd w:id="83"/>
      <w:bookmarkEnd w:id="84"/>
    </w:p>
    <w:p w14:paraId="753FF39F" w14:textId="77777777" w:rsidR="00C01634" w:rsidRDefault="00C01634" w:rsidP="00206DEC">
      <w:r>
        <w:t xml:space="preserve">Abarnou A and Miossec L (1992) ‘Chlorinated waters discharged to the marine environment chemistry and environmental impact: an overview’, </w:t>
      </w:r>
      <w:r w:rsidRPr="00270D5F">
        <w:rPr>
          <w:i/>
          <w:iCs/>
        </w:rPr>
        <w:t>Science of the Total Environment</w:t>
      </w:r>
      <w:r>
        <w:t>, 126:173–197.</w:t>
      </w:r>
    </w:p>
    <w:p w14:paraId="3172211C" w14:textId="77777777" w:rsidR="00C01634" w:rsidRDefault="00C01634" w:rsidP="00206DEC">
      <w:r>
        <w:t>Alderson R (1972) ‘Effects of low concentrations of free chlorine on eggs and larvae of plaice (</w:t>
      </w:r>
      <w:r w:rsidRPr="00270D5F">
        <w:rPr>
          <w:i/>
          <w:iCs/>
        </w:rPr>
        <w:t>Pleuronectes platessa L.</w:t>
      </w:r>
      <w:r>
        <w:t xml:space="preserve">)’, in Riuvo M (ed) </w:t>
      </w:r>
      <w:r w:rsidRPr="00270D5F">
        <w:rPr>
          <w:i/>
          <w:iCs/>
        </w:rPr>
        <w:t>Marine pollution and sea life</w:t>
      </w:r>
      <w:r>
        <w:t xml:space="preserve">, Fishing News (Books) Ltd, Surrey, England. </w:t>
      </w:r>
    </w:p>
    <w:p w14:paraId="026D086A" w14:textId="77777777" w:rsidR="00C01634" w:rsidRDefault="00C01634" w:rsidP="00206DEC">
      <w:r>
        <w:t xml:space="preserve">Alderson R (1974) ‘Sea-water chlorination and the survival and growth of the early development stages of plaice, </w:t>
      </w:r>
      <w:r w:rsidRPr="00177807">
        <w:rPr>
          <w:i/>
          <w:iCs/>
        </w:rPr>
        <w:t>Pleuronectes platessa</w:t>
      </w:r>
      <w:r>
        <w:t xml:space="preserve"> (L) and Dover sole, </w:t>
      </w:r>
      <w:r w:rsidRPr="00177807">
        <w:rPr>
          <w:i/>
          <w:iCs/>
        </w:rPr>
        <w:t>Solea solea</w:t>
      </w:r>
      <w:r>
        <w:t xml:space="preserve"> (L)’, </w:t>
      </w:r>
      <w:r w:rsidRPr="00177807">
        <w:rPr>
          <w:i/>
          <w:iCs/>
        </w:rPr>
        <w:t>Aquaculture</w:t>
      </w:r>
      <w:r>
        <w:t>, 4:41–53.</w:t>
      </w:r>
    </w:p>
    <w:p w14:paraId="2BE88ACC" w14:textId="77777777" w:rsidR="00C01634" w:rsidRDefault="00C01634" w:rsidP="00206DEC">
      <w:r>
        <w:t xml:space="preserve">Anasco N, Koyama J, Imai S and Nakamura K (2008) ‘Toxicity of residual chlorines from hypochlorite treated seawater to marine amphipod </w:t>
      </w:r>
      <w:r w:rsidRPr="004A0A08">
        <w:rPr>
          <w:i/>
          <w:iCs/>
        </w:rPr>
        <w:t>Hyale barbicornis</w:t>
      </w:r>
      <w:r>
        <w:t xml:space="preserve"> and estuarine fish </w:t>
      </w:r>
      <w:r w:rsidRPr="004A0A08">
        <w:rPr>
          <w:i/>
          <w:iCs/>
        </w:rPr>
        <w:t>Oryzias javanicus</w:t>
      </w:r>
      <w:r>
        <w:t xml:space="preserve">’, </w:t>
      </w:r>
      <w:r w:rsidRPr="004A0A08">
        <w:rPr>
          <w:i/>
          <w:iCs/>
        </w:rPr>
        <w:t>Water Air and Soil Pollution</w:t>
      </w:r>
      <w:r>
        <w:t xml:space="preserve">, 195:129–136. </w:t>
      </w:r>
    </w:p>
    <w:p w14:paraId="1321881C" w14:textId="77777777" w:rsidR="00C01634" w:rsidRDefault="00C01634" w:rsidP="00AC0158">
      <w:r w:rsidRPr="00987218">
        <w:t xml:space="preserve">ANZECC/ARMCANZ </w:t>
      </w:r>
      <w:r>
        <w:t>(</w:t>
      </w:r>
      <w:r w:rsidRPr="00987218">
        <w:t>2000</w:t>
      </w:r>
      <w:r>
        <w:t>)</w:t>
      </w:r>
      <w:r w:rsidRPr="00987218">
        <w:t xml:space="preserve"> </w:t>
      </w:r>
      <w:r w:rsidRPr="00987218">
        <w:rPr>
          <w:i/>
          <w:iCs/>
        </w:rPr>
        <w:t>Australian and New Zealand guidelines for fresh and marine water quality</w:t>
      </w:r>
      <w:r>
        <w:t>,</w:t>
      </w:r>
      <w:r w:rsidRPr="00987218">
        <w:t xml:space="preserve"> Australian and New Zealand Environment and Conservation Council and Agriculture and Resource Management Council of Australia and New Zealand</w:t>
      </w:r>
      <w:r>
        <w:t>.</w:t>
      </w:r>
    </w:p>
    <w:p w14:paraId="086F560B" w14:textId="77777777" w:rsidR="00C01634" w:rsidRDefault="00C01634" w:rsidP="00AC0158">
      <w:r>
        <w:t xml:space="preserve">ANZG (2018) </w:t>
      </w:r>
      <w:hyperlink r:id="rId50" w:history="1">
        <w:r w:rsidRPr="00037D2B">
          <w:rPr>
            <w:rStyle w:val="Hyperlink"/>
            <w:i/>
            <w:iCs/>
          </w:rPr>
          <w:t>Australian and New Zealand Guidelines for Fresh &amp; Marine Water Quality</w:t>
        </w:r>
      </w:hyperlink>
      <w:r>
        <w:t xml:space="preserve"> [website], Australian and New Zealand governments and Australian state and territory governments.</w:t>
      </w:r>
    </w:p>
    <w:p w14:paraId="32449C7E" w14:textId="5BE4F500" w:rsidR="00C01634" w:rsidRDefault="00C01634" w:rsidP="00206DEC">
      <w:r w:rsidRPr="00225C46">
        <w:t>APHA</w:t>
      </w:r>
      <w:r>
        <w:t xml:space="preserve"> </w:t>
      </w:r>
      <w:r w:rsidRPr="00225C46">
        <w:t>(20</w:t>
      </w:r>
      <w:r>
        <w:t>17</w:t>
      </w:r>
      <w:r w:rsidRPr="00225C46">
        <w:t xml:space="preserve">) </w:t>
      </w:r>
      <w:r w:rsidRPr="00FC5AE1">
        <w:rPr>
          <w:i/>
          <w:iCs/>
        </w:rPr>
        <w:t xml:space="preserve">Standard methods for the examination of water and </w:t>
      </w:r>
      <w:r w:rsidR="00DB3EEC" w:rsidRPr="00FC5AE1">
        <w:rPr>
          <w:i/>
          <w:iCs/>
        </w:rPr>
        <w:t>wastewater</w:t>
      </w:r>
      <w:r w:rsidRPr="00225C46">
        <w:t>, 2</w:t>
      </w:r>
      <w:r>
        <w:t>3rd</w:t>
      </w:r>
      <w:r w:rsidRPr="00225C46">
        <w:t xml:space="preserve"> ed</w:t>
      </w:r>
      <w:r>
        <w:t>n,</w:t>
      </w:r>
      <w:r w:rsidRPr="00225C46">
        <w:t xml:space="preserve"> American Public Health Association, Washington, DC</w:t>
      </w:r>
      <w:r>
        <w:t>.</w:t>
      </w:r>
    </w:p>
    <w:p w14:paraId="0D3465F8" w14:textId="77777777" w:rsidR="00C01634" w:rsidRDefault="00C01634" w:rsidP="00206DEC">
      <w:r>
        <w:t xml:space="preserve">ATSDR (2010) </w:t>
      </w:r>
      <w:r w:rsidRPr="00AC0158">
        <w:rPr>
          <w:i/>
          <w:iCs/>
        </w:rPr>
        <w:t>Toxicological profile for chlorine</w:t>
      </w:r>
      <w:r>
        <w:t>, Agency for Toxic Substances and Disease Registry, US Department of Health and Human Services.</w:t>
      </w:r>
    </w:p>
    <w:p w14:paraId="2E38868E" w14:textId="77777777" w:rsidR="00C01634" w:rsidRDefault="00C01634" w:rsidP="00206DEC">
      <w:r>
        <w:t xml:space="preserve">Batley GE and Simpson SL (2020) ‘A short-term guideline value for chlorine in marine waters’, </w:t>
      </w:r>
      <w:r w:rsidRPr="00771958">
        <w:rPr>
          <w:i/>
          <w:iCs/>
        </w:rPr>
        <w:t>Environmental Toxicology and Chemistry</w:t>
      </w:r>
      <w:r>
        <w:t>, 39:754–764.</w:t>
      </w:r>
    </w:p>
    <w:p w14:paraId="498EB68C" w14:textId="77777777" w:rsidR="00C01634" w:rsidRDefault="00C01634" w:rsidP="00206DEC">
      <w:r>
        <w:t xml:space="preserve">Batley GE, van Dam RA, Warne MStJ, Chapman JC, Fox DR, Hickey CW and Stauber JL (2018) </w:t>
      </w:r>
      <w:r w:rsidRPr="006D7215">
        <w:rPr>
          <w:i/>
          <w:iCs/>
        </w:rPr>
        <w:t>Technical rationale for changes to the method for deriving Australian and New Zealand water quality guideline values for toxicants</w:t>
      </w:r>
      <w:r>
        <w:rPr>
          <w:i/>
          <w:iCs/>
        </w:rPr>
        <w:t xml:space="preserve"> </w:t>
      </w:r>
      <w:r w:rsidRPr="006D7215">
        <w:rPr>
          <w:i/>
          <w:iCs/>
        </w:rPr>
        <w:t>– update of 2014 version</w:t>
      </w:r>
      <w:r>
        <w:t>, Australian and New Zealand governments and Australian state and territory governments.</w:t>
      </w:r>
    </w:p>
    <w:p w14:paraId="02FE0536" w14:textId="77777777" w:rsidR="00C01634" w:rsidRDefault="00C01634" w:rsidP="00206DEC">
      <w:r>
        <w:t xml:space="preserve">Capuzzo JM (1979) ‘The effect of temperature on the toxicity of chlorinated cooling waters to marine animals – a preliminary review’, </w:t>
      </w:r>
      <w:r w:rsidRPr="00162C0A">
        <w:rPr>
          <w:i/>
          <w:iCs/>
        </w:rPr>
        <w:t>Marine Pollution Bulletin</w:t>
      </w:r>
      <w:r>
        <w:t>, 10:45–47.</w:t>
      </w:r>
    </w:p>
    <w:p w14:paraId="661A8EC1" w14:textId="77777777" w:rsidR="00C01634" w:rsidRDefault="00C01634" w:rsidP="00206DEC">
      <w:r>
        <w:t xml:space="preserve">Capuzzo JM, Lawrence SA and Davidson JA (1976) ‘Combined toxicity of free chlorine, chloramine and temperature to Stage I larvae of the American lobster </w:t>
      </w:r>
      <w:r w:rsidRPr="00162C0A">
        <w:rPr>
          <w:i/>
          <w:iCs/>
        </w:rPr>
        <w:t>Homarus americanus</w:t>
      </w:r>
      <w:r>
        <w:t xml:space="preserve">’, </w:t>
      </w:r>
      <w:r w:rsidRPr="00162C0A">
        <w:rPr>
          <w:i/>
          <w:iCs/>
        </w:rPr>
        <w:t>Water Research</w:t>
      </w:r>
      <w:r>
        <w:t>, 10:1093–1099.</w:t>
      </w:r>
    </w:p>
    <w:p w14:paraId="23E36D6A" w14:textId="77777777" w:rsidR="00C01634" w:rsidRDefault="00C01634" w:rsidP="00206DEC">
      <w:r>
        <w:t xml:space="preserve">CCME (1999) ‘Canadian water quality guidelines for the protection of aquatic life: reactive chlorine’, in </w:t>
      </w:r>
      <w:r w:rsidRPr="00162C0A">
        <w:rPr>
          <w:i/>
          <w:iCs/>
        </w:rPr>
        <w:t>Canadian Environmental Quality Guidelines</w:t>
      </w:r>
      <w:r>
        <w:t>, Canadian Council of Ministers of the Environment.</w:t>
      </w:r>
    </w:p>
    <w:p w14:paraId="66E94A2E" w14:textId="77777777" w:rsidR="00C01634" w:rsidRDefault="00C01634" w:rsidP="00206DEC">
      <w:r>
        <w:t xml:space="preserve">Chariton AA and Stauber JL (2008) </w:t>
      </w:r>
      <w:r w:rsidRPr="00162C0A">
        <w:rPr>
          <w:i/>
          <w:iCs/>
        </w:rPr>
        <w:t>Toxicity of chlorine and its major by-products in seawater: a literature review</w:t>
      </w:r>
      <w:r>
        <w:t>, Report No. 54/08, CSIRO Land and Water Science.</w:t>
      </w:r>
    </w:p>
    <w:p w14:paraId="1ECFBC47" w14:textId="77777777" w:rsidR="00C01634" w:rsidRDefault="00C01634" w:rsidP="00206DEC">
      <w:r w:rsidRPr="009B7836">
        <w:lastRenderedPageBreak/>
        <w:t>Dilling WL, Tefertiller NB</w:t>
      </w:r>
      <w:r>
        <w:t xml:space="preserve"> and</w:t>
      </w:r>
      <w:r w:rsidRPr="009B7836">
        <w:t xml:space="preserve"> Kallos, GJ (1975) </w:t>
      </w:r>
      <w:r>
        <w:t>‘</w:t>
      </w:r>
      <w:r w:rsidRPr="009B7836">
        <w:t>Evaporation rates and reactivities of methylene chloride, chloroform, 1, 1, 1-trichloroethane, trichloroethylene, tetrachloroethylene, and other chlorinated compounds in dilute aqueous solutions</w:t>
      </w:r>
      <w:r>
        <w:t xml:space="preserve">’, </w:t>
      </w:r>
      <w:r w:rsidRPr="009B7836">
        <w:rPr>
          <w:i/>
          <w:iCs/>
        </w:rPr>
        <w:t>Environmental Science &amp; Technology</w:t>
      </w:r>
      <w:r w:rsidRPr="009B7836">
        <w:t>,</w:t>
      </w:r>
      <w:r>
        <w:t xml:space="preserve"> </w:t>
      </w:r>
      <w:r w:rsidRPr="00A542D5">
        <w:t>9:</w:t>
      </w:r>
      <w:r w:rsidRPr="009B7836">
        <w:t>833</w:t>
      </w:r>
      <w:r>
        <w:t>–</w:t>
      </w:r>
      <w:r w:rsidRPr="009B7836">
        <w:t>838.</w:t>
      </w:r>
    </w:p>
    <w:p w14:paraId="2276A30C" w14:textId="77777777" w:rsidR="00C01634" w:rsidRDefault="00C01634" w:rsidP="00206DEC">
      <w:r>
        <w:t xml:space="preserve">Dinnel PA, Stober QJ and DiJulio DH (1981) ‘Sea urchin sperm bioassay for sewage and chlorinated seawater and its relation to fish bioassays’, </w:t>
      </w:r>
      <w:r w:rsidRPr="00635DA7">
        <w:rPr>
          <w:i/>
          <w:iCs/>
        </w:rPr>
        <w:t>Marine Environmental Research</w:t>
      </w:r>
      <w:r>
        <w:t xml:space="preserve">, 5:29–39. </w:t>
      </w:r>
    </w:p>
    <w:p w14:paraId="3C59C020" w14:textId="77777777" w:rsidR="00C01634" w:rsidRDefault="00C01634" w:rsidP="00206DEC">
      <w:r>
        <w:t xml:space="preserve">Ebenezer V and Ki J-S (2013) ‘Physiological and biochemical responses of the marine dinoflagellate </w:t>
      </w:r>
      <w:r w:rsidRPr="008C0D7C">
        <w:rPr>
          <w:i/>
          <w:iCs/>
        </w:rPr>
        <w:t>Prorocentrum minimum</w:t>
      </w:r>
      <w:r>
        <w:t xml:space="preserve"> exposed to the oxidizing biocide chlorine’, </w:t>
      </w:r>
      <w:r w:rsidRPr="00525D85">
        <w:rPr>
          <w:i/>
          <w:iCs/>
        </w:rPr>
        <w:t>Ecotoxicology and Environmental Safety</w:t>
      </w:r>
      <w:r>
        <w:t>, 92:129–134.</w:t>
      </w:r>
    </w:p>
    <w:p w14:paraId="5A2C7160" w14:textId="77777777" w:rsidR="00C01634" w:rsidRDefault="00C01634" w:rsidP="00DF10A1">
      <w:r>
        <w:t xml:space="preserve">ECB (2002) </w:t>
      </w:r>
      <w:hyperlink r:id="rId51" w:history="1">
        <w:r w:rsidRPr="00504857">
          <w:rPr>
            <w:rStyle w:val="Hyperlink"/>
            <w:i/>
            <w:iCs/>
          </w:rPr>
          <w:t>Technical guidance document on risk assessment, Part II</w:t>
        </w:r>
      </w:hyperlink>
      <w:r>
        <w:t>, European Chemicals Bureau report no. EUR 20418 EN/2, European Commission Joint Research Centre, accessed 17 April 2019.</w:t>
      </w:r>
    </w:p>
    <w:p w14:paraId="76066356" w14:textId="77777777" w:rsidR="00C01634" w:rsidRDefault="00C01634" w:rsidP="00206DEC">
      <w:r>
        <w:t xml:space="preserve">El-Sherbiny MM, Satheesh S and Ba-Akdah MA (2021) ‘Physiological responses of marine macroalgae to chlorine dioxide treatment’, </w:t>
      </w:r>
      <w:r w:rsidRPr="00DF10A1">
        <w:rPr>
          <w:i/>
          <w:iCs/>
        </w:rPr>
        <w:t>Thalassas: An International Journal of Marine Sciences</w:t>
      </w:r>
      <w:r>
        <w:t>, 37:291–302.</w:t>
      </w:r>
    </w:p>
    <w:p w14:paraId="6E1DD6EC" w14:textId="77777777" w:rsidR="00C01634" w:rsidRDefault="00C01634" w:rsidP="00206DEC">
      <w:r>
        <w:t xml:space="preserve">Eppley RW, Renger EH and Williams PM (1976) ‘Chlorine reactions with sea-water constituents and the inhibition of photosynthesis of natural marine phytoplankton’ </w:t>
      </w:r>
      <w:r w:rsidRPr="008961F5">
        <w:rPr>
          <w:i/>
          <w:iCs/>
        </w:rPr>
        <w:t>Estuarine Coastal and Marine Science</w:t>
      </w:r>
      <w:r>
        <w:t xml:space="preserve">, 4:147–161. </w:t>
      </w:r>
    </w:p>
    <w:p w14:paraId="09CAFF2B" w14:textId="77777777" w:rsidR="00C01634" w:rsidRDefault="00C01634" w:rsidP="00206DEC">
      <w:r>
        <w:t xml:space="preserve">Fisher DJ, Burton DJ, Yonkos LT, Turley SD and Ziegler GP (1999) ‘The relative acute toxicity of continuous and intermittent exposures of chlorine and bromine to aquatic organisms in the presence and absence of ammonia’, </w:t>
      </w:r>
      <w:r w:rsidRPr="006A228E">
        <w:rPr>
          <w:i/>
          <w:iCs/>
        </w:rPr>
        <w:t>Water Research</w:t>
      </w:r>
      <w:r>
        <w:t>, 33:760–779.</w:t>
      </w:r>
    </w:p>
    <w:p w14:paraId="4BABC998" w14:textId="77777777" w:rsidR="00C01634" w:rsidRDefault="00C01634" w:rsidP="00206DEC">
      <w:r>
        <w:t xml:space="preserve">Fisher DJ, Burton DT, Yonkos LT, Turley SD, Turley BS, Ziegler GP and Zillioux EJ (1994) ‘Acute and short-term chronic effects of continuous and intermittent chlorination on </w:t>
      </w:r>
      <w:r w:rsidRPr="004D13E4">
        <w:rPr>
          <w:i/>
          <w:iCs/>
        </w:rPr>
        <w:t>Mysidopsis bahia</w:t>
      </w:r>
      <w:r>
        <w:t xml:space="preserve"> and </w:t>
      </w:r>
      <w:r w:rsidRPr="004D13E4">
        <w:rPr>
          <w:i/>
          <w:iCs/>
        </w:rPr>
        <w:t>Menidia beryllina</w:t>
      </w:r>
      <w:r>
        <w:t xml:space="preserve">’, </w:t>
      </w:r>
      <w:r w:rsidRPr="004D13E4">
        <w:rPr>
          <w:i/>
          <w:iCs/>
        </w:rPr>
        <w:t>Environmental Toxicology and Chemistry</w:t>
      </w:r>
      <w:r>
        <w:t>, 13:1525–1534.</w:t>
      </w:r>
    </w:p>
    <w:p w14:paraId="1861B62C" w14:textId="77777777" w:rsidR="00C01634" w:rsidRDefault="00C01634" w:rsidP="00206DEC">
      <w:r>
        <w:t xml:space="preserve">Gibson CI, Thatcher TO and Apts CW (1975) </w:t>
      </w:r>
      <w:r w:rsidRPr="00A556C7">
        <w:rPr>
          <w:i/>
          <w:iCs/>
        </w:rPr>
        <w:t>Some effects of temperature, chlorine and copper on the survival and growth of the coon stripe shrimp, Pandalus danae</w:t>
      </w:r>
      <w:r>
        <w:t>, report no. BNWL-SA-5344, Battelle Northwest.</w:t>
      </w:r>
    </w:p>
    <w:p w14:paraId="77966350" w14:textId="77777777" w:rsidR="00C01634" w:rsidRDefault="00C01634" w:rsidP="00206DEC">
      <w:r>
        <w:t>Goodman L, Douglas P, Middaugh DJ, Hansen PJ, Higdon PK and Cripe GM (1983) ‘Early life-stage toxicity test with tidewater silversides (</w:t>
      </w:r>
      <w:r w:rsidRPr="00A556C7">
        <w:rPr>
          <w:i/>
          <w:iCs/>
        </w:rPr>
        <w:t>Menidia peninsulae</w:t>
      </w:r>
      <w:r>
        <w:t xml:space="preserve">) and chlorine-produced oxidants’, </w:t>
      </w:r>
      <w:r w:rsidRPr="00A556C7">
        <w:rPr>
          <w:i/>
          <w:iCs/>
        </w:rPr>
        <w:t>Environmental Toxicology and Chemistry</w:t>
      </w:r>
      <w:r>
        <w:t>, 2:337–342.</w:t>
      </w:r>
    </w:p>
    <w:p w14:paraId="5F6CF024" w14:textId="77777777" w:rsidR="00C01634" w:rsidRDefault="00C01634" w:rsidP="00206DEC">
      <w:r>
        <w:t xml:space="preserve">Harp DL (2002) </w:t>
      </w:r>
      <w:r w:rsidRPr="008B3917">
        <w:rPr>
          <w:i/>
          <w:iCs/>
        </w:rPr>
        <w:t>Current technology of chlorine analysis for water and wastewater</w:t>
      </w:r>
      <w:r>
        <w:t>, technical information series booklet no.17, Hach Company.</w:t>
      </w:r>
    </w:p>
    <w:p w14:paraId="71458D7C" w14:textId="77777777" w:rsidR="00C01634" w:rsidRDefault="00C01634" w:rsidP="00206DEC">
      <w:r>
        <w:t xml:space="preserve">Jenner HA, Taylor CJL, van Donk M and Khalanski M (1997) ‘Chlorination by-products in chlorinated cooling water of some European coastal power stations’, </w:t>
      </w:r>
      <w:r w:rsidRPr="00C40634">
        <w:rPr>
          <w:i/>
          <w:iCs/>
        </w:rPr>
        <w:t>Marine Environmental Research</w:t>
      </w:r>
      <w:r>
        <w:t>, 43:279–293.</w:t>
      </w:r>
    </w:p>
    <w:p w14:paraId="1451CA48" w14:textId="77777777" w:rsidR="00C01634" w:rsidRDefault="00C01634" w:rsidP="00206DEC">
      <w:r>
        <w:t xml:space="preserve">Kinani S, Roumiguières A and Bouchonnet S (2022) ‘A critical review on chemical speciation of chlorine-produced oxidants (CPOs) in seawater. Part 1: chlorine chemistry in seawater and its consequences in terms of biocidal effectiveness and environmental impact’, </w:t>
      </w:r>
      <w:r w:rsidRPr="001B67B7">
        <w:rPr>
          <w:i/>
          <w:iCs/>
        </w:rPr>
        <w:t>Critical Reviews in Analytical Chemistry</w:t>
      </w:r>
      <w:r>
        <w:t>, Nov 3:1–14, doi: 10.1080/10408347.2022.2139590.</w:t>
      </w:r>
    </w:p>
    <w:p w14:paraId="20C9E5EE" w14:textId="77777777" w:rsidR="00C01634" w:rsidRDefault="00C01634" w:rsidP="00206DEC">
      <w:r>
        <w:lastRenderedPageBreak/>
        <w:t xml:space="preserve">Lewis S, Cartwright NG, Jerman E, Tynan P, Sims IR and Wellstein N (1994) </w:t>
      </w:r>
      <w:r w:rsidRPr="008679B0">
        <w:rPr>
          <w:i/>
          <w:iCs/>
        </w:rPr>
        <w:t>Proposed environmental quality standards for chlorine in fresh and marine waters</w:t>
      </w:r>
      <w:r>
        <w:t>, Water Research Centre, Medmenham, UK.</w:t>
      </w:r>
    </w:p>
    <w:p w14:paraId="7C8690A8" w14:textId="77777777" w:rsidR="00C01634" w:rsidRDefault="00C01634" w:rsidP="00206DEC">
      <w:r>
        <w:t xml:space="preserve">Lopez-Galindo C, Garrido MC, Casanueva JF and Nebot E (2010) ‘Degradation models and ecotoxicity in marine waters of two antifouling compounds: sodium hypochlorite and an alkylamine surfactant’, </w:t>
      </w:r>
      <w:r w:rsidRPr="00E7108D">
        <w:rPr>
          <w:i/>
          <w:iCs/>
        </w:rPr>
        <w:t>Science of the Total Environment</w:t>
      </w:r>
      <w:r>
        <w:t>, 408:1779–1785.</w:t>
      </w:r>
    </w:p>
    <w:p w14:paraId="51687BE2" w14:textId="77777777" w:rsidR="00C01634" w:rsidRDefault="00C01634" w:rsidP="00206DEC">
      <w:r>
        <w:t xml:space="preserve">Morgan RP and Prince RD (1977) ‘Chlorine toxicity to eggs and larvae of five Chesapeake Bay fishes’, </w:t>
      </w:r>
      <w:r w:rsidRPr="000D4EE3">
        <w:rPr>
          <w:i/>
          <w:iCs/>
        </w:rPr>
        <w:t>Transactions of the American Fisheries Society</w:t>
      </w:r>
      <w:r>
        <w:t>, 106:380–385.</w:t>
      </w:r>
    </w:p>
    <w:p w14:paraId="30657ADF" w14:textId="77777777" w:rsidR="00C01634" w:rsidRDefault="00C01634" w:rsidP="00206DEC">
      <w:r>
        <w:t xml:space="preserve">Nguyen T, Roddick FA and Fan L (2012) ‘Biofouling of water treatment membranes: a review of the underlying causes, monitoring techniques and control measures’, </w:t>
      </w:r>
      <w:r w:rsidRPr="00C01ECC">
        <w:rPr>
          <w:i/>
          <w:iCs/>
        </w:rPr>
        <w:t>Membranes</w:t>
      </w:r>
      <w:r>
        <w:t xml:space="preserve">, 2:804–840. </w:t>
      </w:r>
    </w:p>
    <w:p w14:paraId="40279AD2" w14:textId="77777777" w:rsidR="00C01634" w:rsidRDefault="00C01634" w:rsidP="00206DEC">
      <w:r>
        <w:t xml:space="preserve">Patrick R and McLean R (1971) </w:t>
      </w:r>
      <w:r w:rsidRPr="00D45A6E">
        <w:rPr>
          <w:i/>
          <w:iCs/>
        </w:rPr>
        <w:t>Entrainment simulation studies on some estuarine organisms for the Potomac Electric Power Company</w:t>
      </w:r>
      <w:r>
        <w:t>, Academy of Natural Sciences, Department of Limnology, Philadelphia.</w:t>
      </w:r>
    </w:p>
    <w:p w14:paraId="4A6B5403" w14:textId="77777777" w:rsidR="00C01634" w:rsidRDefault="00C01634" w:rsidP="00206DEC">
      <w:r>
        <w:t xml:space="preserve">Rajagopal S (2011) ‘Chlorination and biofouling control in industrial cooling water systems’, in Rajagopal S, Jenner HA and Venugopalan VP (eds) </w:t>
      </w:r>
      <w:r w:rsidRPr="00734509">
        <w:rPr>
          <w:i/>
          <w:iCs/>
        </w:rPr>
        <w:t>Operational and Environmental Consequences of Large Industrial Cooling Water Systems</w:t>
      </w:r>
      <w:r>
        <w:t>, Springer, New York.</w:t>
      </w:r>
    </w:p>
    <w:p w14:paraId="1282DC3F" w14:textId="77777777" w:rsidR="00C01634" w:rsidRDefault="00C01634" w:rsidP="00206DEC">
      <w:r>
        <w:t xml:space="preserve">Roberts MH and Gleeson RA (1978) ‘Acute toxicity of bromochlorinated seawater to selected estuarine species with a comparison to chlorinated seawater toxicity’, </w:t>
      </w:r>
      <w:r w:rsidRPr="001C57B6">
        <w:rPr>
          <w:i/>
          <w:iCs/>
        </w:rPr>
        <w:t>Marine Environmental Research</w:t>
      </w:r>
      <w:r>
        <w:t>, 1:19–30.</w:t>
      </w:r>
    </w:p>
    <w:p w14:paraId="4148189B" w14:textId="77777777" w:rsidR="00C01634" w:rsidRDefault="00C01634" w:rsidP="00206DEC">
      <w:r>
        <w:t xml:space="preserve">Roberts MH, Diaz RJ, Bender ME and Huggett RJ (1975) ‘Acute toxicity of chlorine to selected estuarine species’, </w:t>
      </w:r>
      <w:r w:rsidRPr="00EC3A1B">
        <w:rPr>
          <w:i/>
          <w:iCs/>
        </w:rPr>
        <w:t>Journal of the Fisheries Research Board of Canada</w:t>
      </w:r>
      <w:r>
        <w:t>, 32:2525–2528.</w:t>
      </w:r>
    </w:p>
    <w:p w14:paraId="05E4C33C" w14:textId="77777777" w:rsidR="00C01634" w:rsidRDefault="00C01634" w:rsidP="00206DEC">
      <w:r>
        <w:t xml:space="preserve">Saeed S, Prakash S, Deb N, Campbell R, Kolluru V, Febbo E and Dupont J (2015) ‘Development of a site-specific kinetic model for chlorine decay and the formation of chlorination by-products in seawater’, </w:t>
      </w:r>
      <w:r w:rsidRPr="00220F88">
        <w:rPr>
          <w:i/>
          <w:iCs/>
        </w:rPr>
        <w:t>Journal of Marine Science and Engineering</w:t>
      </w:r>
      <w:r>
        <w:t>, 3:772–792.</w:t>
      </w:r>
    </w:p>
    <w:p w14:paraId="34228EDE" w14:textId="77777777" w:rsidR="00C01634" w:rsidRDefault="00C01634" w:rsidP="00206DEC">
      <w:r>
        <w:t xml:space="preserve">Sorokin N, Atkinson C, Aldous E, Rule K and Comber S (2007) </w:t>
      </w:r>
      <w:hyperlink r:id="rId52" w:history="1">
        <w:r w:rsidRPr="00504857">
          <w:rPr>
            <w:rStyle w:val="Hyperlink"/>
            <w:i/>
            <w:iCs/>
          </w:rPr>
          <w:t>Proposed EQS for water framework directive annex VIII substances: chlorine (free available)</w:t>
        </w:r>
      </w:hyperlink>
      <w:r>
        <w:t xml:space="preserve">, Science Report No. SC040038/SR4, Environment Agency, Bristol. </w:t>
      </w:r>
    </w:p>
    <w:p w14:paraId="2CCFABB9" w14:textId="77777777" w:rsidR="00C01634" w:rsidRDefault="00C01634" w:rsidP="00206DEC">
      <w:r>
        <w:t xml:space="preserve">Stewart ME, Blogoslawski WJ, Hsu RY and Helz GR (1979) ‘By-products of oxidative biocides: toxicity to oyster larvae’, </w:t>
      </w:r>
      <w:r w:rsidRPr="009E3455">
        <w:rPr>
          <w:i/>
          <w:iCs/>
        </w:rPr>
        <w:t>Marine Pollution Bulletin</w:t>
      </w:r>
      <w:r>
        <w:t>, 10:166–169.</w:t>
      </w:r>
    </w:p>
    <w:p w14:paraId="35FBA037" w14:textId="77777777" w:rsidR="00C01634" w:rsidRDefault="00C01634" w:rsidP="00206DEC">
      <w:r>
        <w:t xml:space="preserve">Sugam R and Helz GR (1977) ‘Speciation of chlorine produced oxidants in marine waters’, </w:t>
      </w:r>
      <w:r w:rsidRPr="00C10A64">
        <w:rPr>
          <w:i/>
          <w:iCs/>
        </w:rPr>
        <w:t>Chesapeake Science</w:t>
      </w:r>
      <w:r>
        <w:t xml:space="preserve">, 18:113–115. </w:t>
      </w:r>
    </w:p>
    <w:p w14:paraId="113E26D0" w14:textId="77777777" w:rsidR="00C01634" w:rsidRDefault="00C01634" w:rsidP="00206DEC">
      <w:r>
        <w:t xml:space="preserve">Thatcher TO (1978) ‘The relative sensitivity of Pacific Northwest fishes and invertebrates to chlorinated sea water’, in Jolley RL, Gorchev H and Hamilton DH (eds) </w:t>
      </w:r>
      <w:r w:rsidRPr="006743FC">
        <w:rPr>
          <w:i/>
          <w:iCs/>
        </w:rPr>
        <w:t>Water chlorination: environmental impact and health effects, Vol. 2</w:t>
      </w:r>
      <w:r>
        <w:t>, Ann Arbor Science Publishers, USA.</w:t>
      </w:r>
    </w:p>
    <w:p w14:paraId="1863C252" w14:textId="77777777" w:rsidR="00C01634" w:rsidRDefault="00C01634" w:rsidP="00206DEC">
      <w:r>
        <w:t xml:space="preserve">UK Marine SAC (2019) </w:t>
      </w:r>
      <w:hyperlink r:id="rId53" w:history="1">
        <w:r w:rsidRPr="001924EE">
          <w:rPr>
            <w:rStyle w:val="Hyperlink"/>
          </w:rPr>
          <w:t>Biocides used in cooling water disinfection</w:t>
        </w:r>
      </w:hyperlink>
      <w:r>
        <w:t xml:space="preserve">, UK Marine Special Areas of Conservation website, accessed 15 April 2019. </w:t>
      </w:r>
      <w:hyperlink w:history="1"/>
    </w:p>
    <w:p w14:paraId="46228593" w14:textId="77777777" w:rsidR="00C01634" w:rsidRDefault="00C01634" w:rsidP="00206DEC">
      <w:r>
        <w:lastRenderedPageBreak/>
        <w:t xml:space="preserve">USEPA (1985) </w:t>
      </w:r>
      <w:r w:rsidRPr="00962FBF">
        <w:rPr>
          <w:i/>
          <w:iCs/>
        </w:rPr>
        <w:t>Ambient water quality criteria for chlorine – 1984</w:t>
      </w:r>
      <w:r>
        <w:t>, report no. EPA 440/5-84-030, United States Environmental Protection Agency, Office of Water, Washington, DC.</w:t>
      </w:r>
    </w:p>
    <w:p w14:paraId="356B44AD" w14:textId="77777777" w:rsidR="00C01634" w:rsidRDefault="00C01634" w:rsidP="00206DEC">
      <w:r>
        <w:t xml:space="preserve">Vannoni M, Creach V, Barry J and Sheahan D (2018) ‘Chlorine toxicity to </w:t>
      </w:r>
      <w:r w:rsidRPr="0005458A">
        <w:rPr>
          <w:i/>
          <w:iCs/>
        </w:rPr>
        <w:t>Navicula pelliculosa</w:t>
      </w:r>
      <w:r>
        <w:t xml:space="preserve"> and </w:t>
      </w:r>
      <w:r w:rsidRPr="0005458A">
        <w:rPr>
          <w:i/>
          <w:iCs/>
        </w:rPr>
        <w:t>Achnanthes</w:t>
      </w:r>
      <w:r>
        <w:t xml:space="preserve"> spp. in a flowthrough system: the use of immobilised microalgae and variable chlorophyll fluorescence’, </w:t>
      </w:r>
      <w:r w:rsidRPr="0005458A">
        <w:rPr>
          <w:i/>
          <w:iCs/>
        </w:rPr>
        <w:t>Aquatic Toxicology</w:t>
      </w:r>
      <w:r>
        <w:t>, 202:80–89.</w:t>
      </w:r>
    </w:p>
    <w:p w14:paraId="6F366661" w14:textId="77777777" w:rsidR="00C01634" w:rsidRDefault="00C01634" w:rsidP="00206DEC">
      <w:r>
        <w:t xml:space="preserve">Wallis I and Chidgey S (2022) ‘New guidance values for chlorine in marine waters’, </w:t>
      </w:r>
      <w:r w:rsidRPr="00B557CA">
        <w:rPr>
          <w:i/>
          <w:iCs/>
        </w:rPr>
        <w:t>Water e-Journal</w:t>
      </w:r>
      <w:r>
        <w:t xml:space="preserve">, 8(1), doi: </w:t>
      </w:r>
      <w:r w:rsidRPr="00B557CA">
        <w:t>10.21139/wej.2022.030</w:t>
      </w:r>
      <w:r>
        <w:t xml:space="preserve">. </w:t>
      </w:r>
    </w:p>
    <w:p w14:paraId="150286A9" w14:textId="77777777" w:rsidR="00C01634" w:rsidRDefault="00C01634" w:rsidP="00206DEC">
      <w:r>
        <w:t xml:space="preserve">Wan MT, Van Aggelen G, Cheng W and Watts RG (2000) ‘Acute toxicity of chlorine-produced oxidants (CPO) to the marine invertebrates </w:t>
      </w:r>
      <w:r w:rsidRPr="00B557CA">
        <w:rPr>
          <w:i/>
          <w:iCs/>
        </w:rPr>
        <w:t>Amphiporeia virgiiana</w:t>
      </w:r>
      <w:r>
        <w:t xml:space="preserve"> and </w:t>
      </w:r>
      <w:r w:rsidRPr="00B557CA">
        <w:rPr>
          <w:i/>
          <w:iCs/>
        </w:rPr>
        <w:t>Eohaustorius washingtonianus</w:t>
      </w:r>
      <w:r>
        <w:t xml:space="preserve">’, </w:t>
      </w:r>
      <w:r w:rsidRPr="00B557CA">
        <w:rPr>
          <w:i/>
          <w:iCs/>
        </w:rPr>
        <w:t>Bulletin of Environmental Contamination and Toxicology</w:t>
      </w:r>
      <w:r>
        <w:t>, 64:205–212.</w:t>
      </w:r>
    </w:p>
    <w:p w14:paraId="1CF4B8C5" w14:textId="77777777" w:rsidR="00C01634" w:rsidRDefault="00C01634" w:rsidP="00206DEC">
      <w:r>
        <w:t xml:space="preserve">Wang J-T, Chen M-H, Lee H-J, Chang W-B, Chen C-C, Pai S-C and Meng P-J (2008) ‘A model to predict total chlorine residue in the cooling seawater of a power plant using iodine colorimetric method’, </w:t>
      </w:r>
      <w:r w:rsidRPr="003007F4">
        <w:rPr>
          <w:i/>
          <w:iCs/>
        </w:rPr>
        <w:t>International Journal of Molecular Science</w:t>
      </w:r>
      <w:r>
        <w:t>, 9:542–553.</w:t>
      </w:r>
    </w:p>
    <w:p w14:paraId="736119F5" w14:textId="77777777" w:rsidR="00C01634" w:rsidRDefault="00C01634" w:rsidP="00A031C9">
      <w:r>
        <w:t xml:space="preserve">Warne MStJ, Batley GE, van Dam RA, Chapman JC, Fox DR, Hickey CW, and Stauber JL (2018) </w:t>
      </w:r>
      <w:r w:rsidRPr="00A65020">
        <w:rPr>
          <w:i/>
          <w:iCs/>
        </w:rPr>
        <w:t>Revised method for deriving Australian and New Zealand water quality guideline values for toxicants – update of 2015 version</w:t>
      </w:r>
      <w:r>
        <w:t>, Australian and New Zealand governments and Australian state and territory governments.</w:t>
      </w:r>
    </w:p>
    <w:p w14:paraId="6F2DB547" w14:textId="77777777" w:rsidR="00C01634" w:rsidRDefault="00C01634" w:rsidP="00206DEC">
      <w:r>
        <w:t xml:space="preserve">Wilson RE, Stoianov I and O’Hare D (2019) ‘Continuous chlorine detection in drinking water and a review of new detection methods’, </w:t>
      </w:r>
      <w:r w:rsidRPr="00A031C9">
        <w:rPr>
          <w:i/>
          <w:iCs/>
        </w:rPr>
        <w:t>Johnson Matthey Technology Reviews</w:t>
      </w:r>
      <w:r>
        <w:t xml:space="preserve">, 63:103–118. </w:t>
      </w:r>
    </w:p>
    <w:p w14:paraId="47904693" w14:textId="77777777" w:rsidR="00C01634" w:rsidRDefault="00C01634" w:rsidP="00206DEC">
      <w:r>
        <w:t xml:space="preserve">Zeng J, Jiang Z, Chen Q, Zheng P and Huang Y (2009) ‘The decay kinetics of residual chlorine in cooling seawater simulation experiments’, </w:t>
      </w:r>
      <w:r w:rsidRPr="004A07A9">
        <w:rPr>
          <w:i/>
          <w:iCs/>
        </w:rPr>
        <w:t>Acta Oceanologica Sinica</w:t>
      </w:r>
      <w:r>
        <w:t>, 28:54–59.</w:t>
      </w:r>
    </w:p>
    <w:p w14:paraId="21C7E87E" w14:textId="77777777" w:rsidR="00206DEC" w:rsidRDefault="00206DEC" w:rsidP="00206DEC"/>
    <w:sectPr w:rsidR="00206DEC" w:rsidSect="00D971E6">
      <w:headerReference w:type="even" r:id="rId54"/>
      <w:headerReference w:type="default" r:id="rId55"/>
      <w:footerReference w:type="even" r:id="rId56"/>
      <w:footerReference w:type="default" r:id="rId57"/>
      <w:headerReference w:type="first" r:id="rId58"/>
      <w:footerReference w:type="first" r:id="rId59"/>
      <w:pgSz w:w="11906" w:h="16838"/>
      <w:pgMar w:top="1418" w:right="1418" w:bottom="1418" w:left="1418" w:header="567"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uthor" w:initials="A">
    <w:p w14:paraId="4F17389F" w14:textId="0CAB7C7B" w:rsidR="001B1E6A" w:rsidRDefault="001B1E6A" w:rsidP="00547928">
      <w:r>
        <w:rPr>
          <w:rStyle w:val="CommentReference"/>
        </w:rPr>
        <w:annotationRef/>
      </w:r>
      <w:r>
        <w:rPr>
          <w:sz w:val="20"/>
          <w:szCs w:val="20"/>
        </w:rPr>
        <w:t>Note to DCCEEW: Add hyperlink to data quality assessment spreadsheet once url known.</w:t>
      </w:r>
    </w:p>
  </w:comment>
  <w:comment w:id="23" w:author="Author" w:initials="A">
    <w:p w14:paraId="48E40C1F" w14:textId="77777777" w:rsidR="001B1E6A" w:rsidRDefault="001B1E6A" w:rsidP="00A42AD9">
      <w:r>
        <w:rPr>
          <w:rStyle w:val="CommentReference"/>
        </w:rPr>
        <w:annotationRef/>
      </w:r>
      <w:r>
        <w:rPr>
          <w:sz w:val="20"/>
          <w:szCs w:val="20"/>
        </w:rPr>
        <w:t>Note to DCCEEW: Add hyperlink to data entry spreadsheet once url known.</w:t>
      </w:r>
    </w:p>
  </w:comment>
  <w:comment w:id="72" w:author="Author" w:initials="A">
    <w:p w14:paraId="33E1DEDC" w14:textId="1D93A23C" w:rsidR="0056282E" w:rsidRDefault="0056282E" w:rsidP="00557023">
      <w:r>
        <w:rPr>
          <w:rStyle w:val="CommentReference"/>
        </w:rPr>
        <w:annotationRef/>
      </w:r>
      <w:r>
        <w:rPr>
          <w:sz w:val="20"/>
          <w:szCs w:val="20"/>
        </w:rPr>
        <w:t>Note to DCCEEW web team - add hyperlink to accompanying data quality assessment spreadsheet.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17389F" w15:done="0"/>
  <w15:commentEx w15:paraId="48E40C1F" w15:done="0"/>
  <w15:commentEx w15:paraId="33E1DE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17389F" w16cid:durableId="2372045B"/>
  <w16cid:commentId w16cid:paraId="48E40C1F" w16cid:durableId="23720472"/>
  <w16cid:commentId w16cid:paraId="33E1DEDC" w16cid:durableId="27790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5E7FD" w14:textId="77777777" w:rsidR="0075099B" w:rsidRDefault="0075099B">
      <w:pPr>
        <w:spacing w:after="0" w:line="240" w:lineRule="auto"/>
      </w:pPr>
      <w:r>
        <w:separator/>
      </w:r>
    </w:p>
  </w:endnote>
  <w:endnote w:type="continuationSeparator" w:id="0">
    <w:p w14:paraId="342FC93A" w14:textId="77777777" w:rsidR="0075099B" w:rsidRDefault="0075099B">
      <w:pPr>
        <w:spacing w:after="0" w:line="240" w:lineRule="auto"/>
      </w:pPr>
      <w:r>
        <w:continuationSeparator/>
      </w:r>
    </w:p>
  </w:endnote>
  <w:endnote w:type="continuationNotice" w:id="1">
    <w:p w14:paraId="5CE449C1" w14:textId="77777777" w:rsidR="0075099B" w:rsidRDefault="0075099B">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vOT8608a8d1+20">
    <w:altName w:val="Cambri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2492" w14:textId="5947D275" w:rsidR="000B59E3" w:rsidRDefault="000B59E3">
    <w:pPr>
      <w:pStyle w:val="Footer"/>
    </w:pPr>
    <w:r>
      <w:rPr>
        <w:noProof/>
      </w:rPr>
      <mc:AlternateContent>
        <mc:Choice Requires="wps">
          <w:drawing>
            <wp:anchor distT="0" distB="0" distL="0" distR="0" simplePos="0" relativeHeight="251658254" behindDoc="0" locked="0" layoutInCell="1" allowOverlap="1" wp14:anchorId="3361C944" wp14:editId="7DF6B74C">
              <wp:simplePos x="635" y="635"/>
              <wp:positionH relativeFrom="page">
                <wp:align>center</wp:align>
              </wp:positionH>
              <wp:positionV relativeFrom="page">
                <wp:align>bottom</wp:align>
              </wp:positionV>
              <wp:extent cx="748030" cy="404495"/>
              <wp:effectExtent l="0" t="0" r="13970" b="0"/>
              <wp:wrapNone/>
              <wp:docPr id="1687095200" name="Text Box 1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B534796" w14:textId="54EE26F9"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61C944" id="_x0000_t202" coordsize="21600,21600" o:spt="202" path="m,l,21600r21600,l21600,xe">
              <v:stroke joinstyle="miter"/>
              <v:path gradientshapeok="t" o:connecttype="rect"/>
            </v:shapetype>
            <v:shape id="Text Box 14" o:spid="_x0000_s1028" type="#_x0000_t202" alt="UNOFFICIAL" style="position:absolute;left:0;text-align:left;margin-left:0;margin-top:0;width:58.9pt;height:31.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" filled="f" stroked="f">
              <v:textbox style="mso-fit-shape-to-text:t" inset="0,0,0,15pt">
                <w:txbxContent>
                  <w:p w14:paraId="4B534796" w14:textId="54EE26F9"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5CC3" w14:textId="1B744545" w:rsidR="000B59E3" w:rsidRDefault="000B59E3">
    <w:pPr>
      <w:pStyle w:val="Footer"/>
    </w:pPr>
    <w:r>
      <w:rPr>
        <w:noProof/>
      </w:rPr>
      <mc:AlternateContent>
        <mc:Choice Requires="wps">
          <w:drawing>
            <wp:anchor distT="0" distB="0" distL="0" distR="0" simplePos="0" relativeHeight="251658262" behindDoc="0" locked="0" layoutInCell="1" allowOverlap="1" wp14:anchorId="569217CB" wp14:editId="1E36258B">
              <wp:simplePos x="635" y="635"/>
              <wp:positionH relativeFrom="page">
                <wp:align>center</wp:align>
              </wp:positionH>
              <wp:positionV relativeFrom="page">
                <wp:align>bottom</wp:align>
              </wp:positionV>
              <wp:extent cx="748030" cy="404495"/>
              <wp:effectExtent l="0" t="0" r="13970" b="0"/>
              <wp:wrapNone/>
              <wp:docPr id="1801995374" name="Text Box 2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F35B32D" w14:textId="0A27A7BB"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9217CB" id="_x0000_t202" coordsize="21600,21600" o:spt="202" path="m,l,21600r21600,l21600,xe">
              <v:stroke joinstyle="miter"/>
              <v:path gradientshapeok="t" o:connecttype="rect"/>
            </v:shapetype>
            <v:shape id="Text Box 23" o:spid="_x0000_s1046" type="#_x0000_t202" alt="UNOFFICIAL" style="position:absolute;left:0;text-align:left;margin-left:0;margin-top:0;width:58.9pt;height:31.8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DRBaImDgIAABwE&#10;AAAOAAAAAAAAAAAAAAAAAC4CAABkcnMvZTJvRG9jLnhtbFBLAQItABQABgAIAAAAIQBVH6Cl2gAA&#10;AAQBAAAPAAAAAAAAAAAAAAAAAGgEAABkcnMvZG93bnJldi54bWxQSwUGAAAAAAQABADzAAAAbwUA&#10;AAAA&#10;" filled="f" stroked="f">
              <v:textbox style="mso-fit-shape-to-text:t" inset="0,0,0,15pt">
                <w:txbxContent>
                  <w:p w14:paraId="3F35B32D" w14:textId="0A27A7BB"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F1FB" w14:textId="277846A4" w:rsidR="001A6DA3" w:rsidRDefault="006F124E" w:rsidP="001A6DA3">
    <w:pPr>
      <w:pStyle w:val="Footer"/>
      <w:tabs>
        <w:tab w:val="clear" w:pos="4536"/>
        <w:tab w:val="left" w:pos="8647"/>
        <w:tab w:val="left" w:pos="14034"/>
      </w:tabs>
      <w:spacing w:before="120"/>
    </w:pPr>
    <w:r>
      <w:rPr>
        <w:noProof/>
      </w:rPr>
      <mc:AlternateContent>
        <mc:Choice Requires="wps">
          <w:drawing>
            <wp:anchor distT="0" distB="0" distL="0" distR="0" simplePos="0" relativeHeight="251684888" behindDoc="0" locked="0" layoutInCell="1" allowOverlap="1" wp14:anchorId="4F9347F8" wp14:editId="6A4225AD">
              <wp:simplePos x="0" y="0"/>
              <wp:positionH relativeFrom="margin">
                <wp:align>center</wp:align>
              </wp:positionH>
              <wp:positionV relativeFrom="page">
                <wp:posOffset>9885273</wp:posOffset>
              </wp:positionV>
              <wp:extent cx="551815" cy="404495"/>
              <wp:effectExtent l="0" t="0" r="635" b="14605"/>
              <wp:wrapNone/>
              <wp:docPr id="10075153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998265"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347F8" id="_x0000_t202" coordsize="21600,21600" o:spt="202" path="m,l,21600r21600,l21600,xe">
              <v:stroke joinstyle="miter"/>
              <v:path gradientshapeok="t" o:connecttype="rect"/>
            </v:shapetype>
            <v:shape id="_x0000_s1047" type="#_x0000_t202" alt="OFFICIAL" style="position:absolute;left:0;text-align:left;margin-left:0;margin-top:778.35pt;width:43.45pt;height:31.85pt;z-index:251684888;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OeDgIAAB0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" filled="f" stroked="f">
              <v:textbox style="mso-fit-shape-to-text:t" inset="0,15pt,0,0">
                <w:txbxContent>
                  <w:p w14:paraId="65998265"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1A6DA3">
      <w:t>Australian and New Zealand Guidelines for Fresh and Marine Water Quality</w:t>
    </w:r>
    <w:r w:rsidR="001A6DA3">
      <w:tab/>
    </w:r>
    <w:r w:rsidR="001A6DA3">
      <w:fldChar w:fldCharType="begin"/>
    </w:r>
    <w:r w:rsidR="001A6DA3">
      <w:instrText xml:space="preserve"> PAGE   \* MERGEFORMAT </w:instrText>
    </w:r>
    <w:r w:rsidR="001A6DA3">
      <w:fldChar w:fldCharType="separate"/>
    </w:r>
    <w:r w:rsidR="001A6DA3">
      <w:t>17</w:t>
    </w:r>
    <w:r w:rsidR="001A6DA3">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E5A5" w14:textId="3CE0B6C5" w:rsidR="000B59E3" w:rsidRDefault="000B59E3">
    <w:pPr>
      <w:pStyle w:val="Footer"/>
    </w:pPr>
    <w:r>
      <w:rPr>
        <w:noProof/>
      </w:rPr>
      <mc:AlternateContent>
        <mc:Choice Requires="wps">
          <w:drawing>
            <wp:anchor distT="0" distB="0" distL="0" distR="0" simplePos="0" relativeHeight="251658264" behindDoc="0" locked="0" layoutInCell="1" allowOverlap="1" wp14:anchorId="13D08893" wp14:editId="02D34069">
              <wp:simplePos x="635" y="635"/>
              <wp:positionH relativeFrom="page">
                <wp:align>center</wp:align>
              </wp:positionH>
              <wp:positionV relativeFrom="page">
                <wp:align>bottom</wp:align>
              </wp:positionV>
              <wp:extent cx="748030" cy="404495"/>
              <wp:effectExtent l="0" t="0" r="13970" b="0"/>
              <wp:wrapNone/>
              <wp:docPr id="1527113205" name="Text Box 2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35B9CD8" w14:textId="2C9CE296"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08893" id="_x0000_t202" coordsize="21600,21600" o:spt="202" path="m,l,21600r21600,l21600,xe">
              <v:stroke joinstyle="miter"/>
              <v:path gradientshapeok="t" o:connecttype="rect"/>
            </v:shapetype>
            <v:shape id="Text Box 22" o:spid="_x0000_s1049" type="#_x0000_t202" alt="UNOFFICIAL" style="position:absolute;left:0;text-align:left;margin-left:0;margin-top:0;width:58.9pt;height:31.8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CI51QRDgIAAB0E&#10;AAAOAAAAAAAAAAAAAAAAAC4CAABkcnMvZTJvRG9jLnhtbFBLAQItABQABgAIAAAAIQBVH6Cl2gAA&#10;AAQBAAAPAAAAAAAAAAAAAAAAAGgEAABkcnMvZG93bnJldi54bWxQSwUGAAAAAAQABADzAAAAbwUA&#10;AAAA&#10;" filled="f" stroked="f">
              <v:textbox style="mso-fit-shape-to-text:t" inset="0,0,0,15pt">
                <w:txbxContent>
                  <w:p w14:paraId="435B9CD8" w14:textId="2C9CE296"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901FD" w14:textId="37E2D526" w:rsidR="00DD6A0B" w:rsidRDefault="006F124E" w:rsidP="005A7864">
    <w:pPr>
      <w:pStyle w:val="Footer"/>
      <w:tabs>
        <w:tab w:val="clear" w:pos="4536"/>
        <w:tab w:val="left" w:pos="8647"/>
        <w:tab w:val="left" w:pos="14034"/>
      </w:tabs>
      <w:spacing w:before="120"/>
    </w:pPr>
    <w:r>
      <w:rPr>
        <w:noProof/>
      </w:rPr>
      <mc:AlternateContent>
        <mc:Choice Requires="wps">
          <w:drawing>
            <wp:anchor distT="0" distB="0" distL="0" distR="0" simplePos="0" relativeHeight="251701272" behindDoc="0" locked="0" layoutInCell="1" allowOverlap="1" wp14:anchorId="790F8199" wp14:editId="6CD6B3AE">
              <wp:simplePos x="0" y="0"/>
              <wp:positionH relativeFrom="margin">
                <wp:align>center</wp:align>
              </wp:positionH>
              <wp:positionV relativeFrom="page">
                <wp:posOffset>9859394</wp:posOffset>
              </wp:positionV>
              <wp:extent cx="551815" cy="404495"/>
              <wp:effectExtent l="0" t="0" r="635" b="14605"/>
              <wp:wrapNone/>
              <wp:docPr id="21222977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1F0B1D"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0F8199" id="_x0000_t202" coordsize="21600,21600" o:spt="202" path="m,l,21600r21600,l21600,xe">
              <v:stroke joinstyle="miter"/>
              <v:path gradientshapeok="t" o:connecttype="rect"/>
            </v:shapetype>
            <v:shape id="_x0000_s1029" type="#_x0000_t202" alt="OFFICIAL" style="position:absolute;left:0;text-align:left;margin-left:0;margin-top:776.35pt;width:43.45pt;height:31.85pt;z-index:251701272;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" filled="f" stroked="f">
              <v:textbox style="mso-fit-shape-to-text:t" inset="0,15pt,0,0">
                <w:txbxContent>
                  <w:p w14:paraId="251F0B1D"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DD6A0B">
      <w:t>Australian and New Zealand Guidelines for Fresh and Marine Water Quality</w:t>
    </w:r>
    <w:r w:rsidR="00DD6A0B">
      <w:tab/>
    </w:r>
    <w:r w:rsidR="00DD6A0B">
      <w:fldChar w:fldCharType="begin"/>
    </w:r>
    <w:r w:rsidR="00DD6A0B">
      <w:instrText xml:space="preserve"> PAGE   \* MERGEFORMAT </w:instrText>
    </w:r>
    <w:r w:rsidR="00DD6A0B">
      <w:fldChar w:fldCharType="separate"/>
    </w:r>
    <w:r w:rsidR="00DD6A0B">
      <w:rPr>
        <w:noProof/>
      </w:rPr>
      <w:t>16</w:t>
    </w:r>
    <w:r w:rsidR="00DD6A0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ABA7" w14:textId="2A0BF251" w:rsidR="008746F6" w:rsidRDefault="006F124E">
    <w:pPr>
      <w:pStyle w:val="Footer"/>
    </w:pPr>
    <w:r>
      <w:rPr>
        <w:noProof/>
      </w:rPr>
      <mc:AlternateContent>
        <mc:Choice Requires="wps">
          <w:drawing>
            <wp:anchor distT="0" distB="0" distL="0" distR="0" simplePos="0" relativeHeight="251705368" behindDoc="0" locked="0" layoutInCell="1" allowOverlap="1" wp14:anchorId="275BE911" wp14:editId="2989CA66">
              <wp:simplePos x="0" y="0"/>
              <wp:positionH relativeFrom="margin">
                <wp:align>center</wp:align>
              </wp:positionH>
              <wp:positionV relativeFrom="page">
                <wp:posOffset>9719933</wp:posOffset>
              </wp:positionV>
              <wp:extent cx="551815" cy="404495"/>
              <wp:effectExtent l="0" t="0" r="635" b="14605"/>
              <wp:wrapNone/>
              <wp:docPr id="15521504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C90816"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5BE911" id="_x0000_t202" coordsize="21600,21600" o:spt="202" path="m,l,21600r21600,l21600,xe">
              <v:stroke joinstyle="miter"/>
              <v:path gradientshapeok="t" o:connecttype="rect"/>
            </v:shapetype>
            <v:shape id="_x0000_s1031" type="#_x0000_t202" alt="OFFICIAL" style="position:absolute;left:0;text-align:left;margin-left:0;margin-top:765.35pt;width:43.45pt;height:31.85pt;z-index:251705368;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DLDwIAAB0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" filled="f" stroked="f">
              <v:textbox style="mso-fit-shape-to-text:t" inset="0,15pt,0,0">
                <w:txbxContent>
                  <w:p w14:paraId="11C90816"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1DD4" w14:textId="2F725A30" w:rsidR="000B59E3" w:rsidRDefault="000B59E3">
    <w:pPr>
      <w:pStyle w:val="Footer"/>
    </w:pPr>
    <w:r>
      <w:rPr>
        <w:noProof/>
      </w:rPr>
      <mc:AlternateContent>
        <mc:Choice Requires="wps">
          <w:drawing>
            <wp:anchor distT="0" distB="0" distL="0" distR="0" simplePos="0" relativeHeight="251658256" behindDoc="0" locked="0" layoutInCell="1" allowOverlap="1" wp14:anchorId="50FAA3E0" wp14:editId="4F4E74E0">
              <wp:simplePos x="635" y="635"/>
              <wp:positionH relativeFrom="page">
                <wp:align>center</wp:align>
              </wp:positionH>
              <wp:positionV relativeFrom="page">
                <wp:align>bottom</wp:align>
              </wp:positionV>
              <wp:extent cx="748030" cy="404495"/>
              <wp:effectExtent l="0" t="0" r="13970" b="0"/>
              <wp:wrapNone/>
              <wp:docPr id="1299036674" name="Text Box 1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6693140" w14:textId="4C933493"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AA3E0" id="_x0000_t202" coordsize="21600,21600" o:spt="202" path="m,l,21600r21600,l21600,xe">
              <v:stroke joinstyle="miter"/>
              <v:path gradientshapeok="t" o:connecttype="rect"/>
            </v:shapetype>
            <v:shape id="Text Box 17" o:spid="_x0000_s1034" type="#_x0000_t202" alt="UNOFFICIAL" style="position:absolute;left:0;text-align:left;margin-left:0;margin-top:0;width:58.9pt;height:31.8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" filled="f" stroked="f">
              <v:textbox style="mso-fit-shape-to-text:t" inset="0,0,0,15pt">
                <w:txbxContent>
                  <w:p w14:paraId="46693140" w14:textId="4C933493"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4180" w14:textId="3CE5D26A" w:rsidR="00716A9F" w:rsidRDefault="006F124E" w:rsidP="00716A9F">
    <w:pPr>
      <w:pStyle w:val="Footer"/>
      <w:tabs>
        <w:tab w:val="clear" w:pos="4536"/>
        <w:tab w:val="left" w:pos="8647"/>
        <w:tab w:val="left" w:pos="14034"/>
      </w:tabs>
      <w:spacing w:before="120"/>
    </w:pPr>
    <w:r>
      <w:rPr>
        <w:noProof/>
      </w:rPr>
      <mc:AlternateContent>
        <mc:Choice Requires="wps">
          <w:drawing>
            <wp:anchor distT="0" distB="0" distL="0" distR="0" simplePos="0" relativeHeight="251693080" behindDoc="0" locked="0" layoutInCell="1" allowOverlap="1" wp14:anchorId="55A7AE20" wp14:editId="6069A06A">
              <wp:simplePos x="0" y="0"/>
              <wp:positionH relativeFrom="margin">
                <wp:align>center</wp:align>
              </wp:positionH>
              <wp:positionV relativeFrom="page">
                <wp:posOffset>9885272</wp:posOffset>
              </wp:positionV>
              <wp:extent cx="551815" cy="404495"/>
              <wp:effectExtent l="0" t="0" r="635" b="14605"/>
              <wp:wrapNone/>
              <wp:docPr id="13713873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93C8B49"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A7AE20" id="_x0000_t202" coordsize="21600,21600" o:spt="202" path="m,l,21600r21600,l21600,xe">
              <v:stroke joinstyle="miter"/>
              <v:path gradientshapeok="t" o:connecttype="rect"/>
            </v:shapetype>
            <v:shape id="_x0000_s1035" type="#_x0000_t202" alt="OFFICIAL" style="position:absolute;left:0;text-align:left;margin-left:0;margin-top:778.35pt;width:43.45pt;height:31.85pt;z-index:251693080;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loDgIAAB0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" filled="f" stroked="f">
              <v:textbox style="mso-fit-shape-to-text:t" inset="0,15pt,0,0">
                <w:txbxContent>
                  <w:p w14:paraId="093C8B49"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716A9F">
      <w:t>Australian and New Zealand Guidelines for Fresh and Marine Water Quality</w:t>
    </w:r>
    <w:r w:rsidR="00716A9F">
      <w:tab/>
    </w:r>
    <w:r w:rsidR="00716A9F">
      <w:fldChar w:fldCharType="begin"/>
    </w:r>
    <w:r w:rsidR="00716A9F">
      <w:instrText xml:space="preserve"> PAGE   \* MERGEFORMAT </w:instrText>
    </w:r>
    <w:r w:rsidR="00716A9F">
      <w:fldChar w:fldCharType="separate"/>
    </w:r>
    <w:r w:rsidR="00716A9F">
      <w:t>2</w:t>
    </w:r>
    <w:r w:rsidR="00716A9F">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C826" w14:textId="656C8888" w:rsidR="00DD6A0B" w:rsidRDefault="006F124E">
    <w:pPr>
      <w:pStyle w:val="Footer"/>
      <w:tabs>
        <w:tab w:val="clear" w:pos="4536"/>
        <w:tab w:val="left" w:pos="8647"/>
        <w:tab w:val="left" w:pos="14034"/>
      </w:tabs>
      <w:spacing w:before="120"/>
      <w:jc w:val="left"/>
    </w:pPr>
    <w:r>
      <w:rPr>
        <w:noProof/>
      </w:rPr>
      <mc:AlternateContent>
        <mc:Choice Requires="wps">
          <w:drawing>
            <wp:anchor distT="0" distB="0" distL="0" distR="0" simplePos="0" relativeHeight="251697176" behindDoc="0" locked="0" layoutInCell="1" allowOverlap="1" wp14:anchorId="0FBEC2F1" wp14:editId="2326082B">
              <wp:simplePos x="0" y="0"/>
              <wp:positionH relativeFrom="margin">
                <wp:align>center</wp:align>
              </wp:positionH>
              <wp:positionV relativeFrom="page">
                <wp:posOffset>9876646</wp:posOffset>
              </wp:positionV>
              <wp:extent cx="551815" cy="404495"/>
              <wp:effectExtent l="0" t="0" r="635" b="14605"/>
              <wp:wrapNone/>
              <wp:docPr id="130234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56557E"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BEC2F1" id="_x0000_t202" coordsize="21600,21600" o:spt="202" path="m,l,21600r21600,l21600,xe">
              <v:stroke joinstyle="miter"/>
              <v:path gradientshapeok="t" o:connecttype="rect"/>
            </v:shapetype>
            <v:shape id="_x0000_s1037" type="#_x0000_t202" alt="OFFICIAL" style="position:absolute;margin-left:0;margin-top:777.7pt;width:43.45pt;height:31.85pt;z-index:251697176;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" filled="f" stroked="f">
              <v:textbox style="mso-fit-shape-to-text:t" inset="0,15pt,0,0">
                <w:txbxContent>
                  <w:p w14:paraId="6C56557E"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DD6A0B">
      <w:t>Australian and New Zealand Guidelines for Fresh and Marine Water Quality</w:t>
    </w:r>
    <w:r w:rsidR="00DD6A0B">
      <w:tab/>
    </w:r>
    <w:r w:rsidR="00DD6A0B">
      <w:fldChar w:fldCharType="begin"/>
    </w:r>
    <w:r w:rsidR="00DD6A0B">
      <w:instrText xml:space="preserve"> PAGE   \* MERGEFORMAT </w:instrText>
    </w:r>
    <w:r w:rsidR="00DD6A0B">
      <w:fldChar w:fldCharType="separate"/>
    </w:r>
    <w:r w:rsidR="00DD6A0B">
      <w:rPr>
        <w:noProof/>
      </w:rPr>
      <w:t>5</w:t>
    </w:r>
    <w:r w:rsidR="00DD6A0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DAC" w14:textId="502DE716" w:rsidR="000B59E3" w:rsidRDefault="000B59E3">
    <w:pPr>
      <w:pStyle w:val="Footer"/>
    </w:pPr>
    <w:r>
      <w:rPr>
        <w:noProof/>
      </w:rPr>
      <mc:AlternateContent>
        <mc:Choice Requires="wps">
          <w:drawing>
            <wp:anchor distT="0" distB="0" distL="0" distR="0" simplePos="0" relativeHeight="251658258" behindDoc="0" locked="0" layoutInCell="1" allowOverlap="1" wp14:anchorId="0C070718" wp14:editId="5D3A3E58">
              <wp:simplePos x="635" y="635"/>
              <wp:positionH relativeFrom="page">
                <wp:align>center</wp:align>
              </wp:positionH>
              <wp:positionV relativeFrom="page">
                <wp:align>bottom</wp:align>
              </wp:positionV>
              <wp:extent cx="748030" cy="404495"/>
              <wp:effectExtent l="0" t="0" r="13970" b="0"/>
              <wp:wrapNone/>
              <wp:docPr id="1010320716" name="Text Box 2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6453D67" w14:textId="6951619F"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70718" id="_x0000_t202" coordsize="21600,21600" o:spt="202" path="m,l,21600r21600,l21600,xe">
              <v:stroke joinstyle="miter"/>
              <v:path gradientshapeok="t" o:connecttype="rect"/>
            </v:shapetype>
            <v:shape id="Text Box 20" o:spid="_x0000_s1040" type="#_x0000_t202" alt="UNOFFICIAL" style="position:absolute;left:0;text-align:left;margin-left:0;margin-top:0;width:58.9pt;height:31.8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EwFjOYNAgAAHAQA&#10;AA4AAAAAAAAAAAAAAAAALgIAAGRycy9lMm9Eb2MueG1sUEsBAi0AFAAGAAgAAAAhAFUfoKXaAAAA&#10;BAEAAA8AAAAAAAAAAAAAAAAAZwQAAGRycy9kb3ducmV2LnhtbFBLBQYAAAAABAAEAPMAAABuBQAA&#10;AAA=&#10;" filled="f" stroked="f">
              <v:textbox style="mso-fit-shape-to-text:t" inset="0,0,0,15pt">
                <w:txbxContent>
                  <w:p w14:paraId="46453D67" w14:textId="6951619F"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50AE" w14:textId="03BD9A1C" w:rsidR="001A6DA3" w:rsidRDefault="006F124E" w:rsidP="001A6DA3">
    <w:pPr>
      <w:pStyle w:val="Footer"/>
      <w:tabs>
        <w:tab w:val="clear" w:pos="4536"/>
        <w:tab w:val="left" w:pos="8647"/>
        <w:tab w:val="left" w:pos="14034"/>
      </w:tabs>
      <w:spacing w:before="120"/>
    </w:pPr>
    <w:r>
      <w:rPr>
        <w:noProof/>
      </w:rPr>
      <mc:AlternateContent>
        <mc:Choice Requires="wps">
          <w:drawing>
            <wp:anchor distT="0" distB="0" distL="0" distR="0" simplePos="0" relativeHeight="251688984" behindDoc="0" locked="0" layoutInCell="1" allowOverlap="1" wp14:anchorId="754301E5" wp14:editId="3D75968A">
              <wp:simplePos x="0" y="0"/>
              <wp:positionH relativeFrom="margin">
                <wp:align>center</wp:align>
              </wp:positionH>
              <wp:positionV relativeFrom="page">
                <wp:posOffset>6770705</wp:posOffset>
              </wp:positionV>
              <wp:extent cx="551815" cy="404495"/>
              <wp:effectExtent l="0" t="0" r="635" b="14605"/>
              <wp:wrapNone/>
              <wp:docPr id="4618267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4092CC7"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4301E5" id="_x0000_t202" coordsize="21600,21600" o:spt="202" path="m,l,21600r21600,l21600,xe">
              <v:stroke joinstyle="miter"/>
              <v:path gradientshapeok="t" o:connecttype="rect"/>
            </v:shapetype>
            <v:shape id="_x0000_s1041" type="#_x0000_t202" alt="OFFICIAL" style="position:absolute;left:0;text-align:left;margin-left:0;margin-top:533.15pt;width:43.45pt;height:31.85pt;z-index:251688984;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wTDgIAAB0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" filled="f" stroked="f">
              <v:textbox style="mso-fit-shape-to-text:t" inset="0,15pt,0,0">
                <w:txbxContent>
                  <w:p w14:paraId="64092CC7"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1A6DA3">
      <w:t>Australian and New Zealand Guidelines for Fresh and Marine Water Quality</w:t>
    </w:r>
    <w:r w:rsidR="001A6DA3">
      <w:tab/>
    </w:r>
    <w:r w:rsidR="001A6DA3">
      <w:fldChar w:fldCharType="begin"/>
    </w:r>
    <w:r w:rsidR="001A6DA3">
      <w:instrText xml:space="preserve"> PAGE   \* MERGEFORMAT </w:instrText>
    </w:r>
    <w:r w:rsidR="001A6DA3">
      <w:fldChar w:fldCharType="separate"/>
    </w:r>
    <w:r w:rsidR="001A6DA3">
      <w:t>17</w:t>
    </w:r>
    <w:r w:rsidR="001A6DA3">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56D1" w14:textId="3AEC8374" w:rsidR="000B59E3" w:rsidRDefault="000B59E3">
    <w:pPr>
      <w:pStyle w:val="Footer"/>
    </w:pPr>
    <w:r>
      <w:rPr>
        <w:noProof/>
      </w:rPr>
      <mc:AlternateContent>
        <mc:Choice Requires="wps">
          <w:drawing>
            <wp:anchor distT="0" distB="0" distL="0" distR="0" simplePos="0" relativeHeight="251658260" behindDoc="0" locked="0" layoutInCell="1" allowOverlap="1" wp14:anchorId="1E7BDD3F" wp14:editId="1333B6A1">
              <wp:simplePos x="635" y="635"/>
              <wp:positionH relativeFrom="page">
                <wp:align>center</wp:align>
              </wp:positionH>
              <wp:positionV relativeFrom="page">
                <wp:align>bottom</wp:align>
              </wp:positionV>
              <wp:extent cx="748030" cy="404495"/>
              <wp:effectExtent l="0" t="0" r="13970" b="0"/>
              <wp:wrapNone/>
              <wp:docPr id="2046559597" name="Text Box 19"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18245E49" w14:textId="4641CC2B"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BDD3F" id="_x0000_t202" coordsize="21600,21600" o:spt="202" path="m,l,21600r21600,l21600,xe">
              <v:stroke joinstyle="miter"/>
              <v:path gradientshapeok="t" o:connecttype="rect"/>
            </v:shapetype>
            <v:shape id="Text Box 19" o:spid="_x0000_s1043" type="#_x0000_t202" alt="UNOFFICIAL" style="position:absolute;left:0;text-align:left;margin-left:0;margin-top:0;width:58.9pt;height:31.8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" filled="f" stroked="f">
              <v:textbox style="mso-fit-shape-to-text:t" inset="0,0,0,15pt">
                <w:txbxContent>
                  <w:p w14:paraId="18245E49" w14:textId="4641CC2B"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57603" w14:textId="77777777" w:rsidR="0075099B" w:rsidRDefault="0075099B">
      <w:pPr>
        <w:spacing w:after="0" w:line="240" w:lineRule="auto"/>
      </w:pPr>
      <w:r>
        <w:separator/>
      </w:r>
    </w:p>
  </w:footnote>
  <w:footnote w:type="continuationSeparator" w:id="0">
    <w:p w14:paraId="142D8F69" w14:textId="77777777" w:rsidR="0075099B" w:rsidRDefault="0075099B">
      <w:pPr>
        <w:spacing w:after="0" w:line="240" w:lineRule="auto"/>
      </w:pPr>
      <w:r>
        <w:continuationSeparator/>
      </w:r>
    </w:p>
  </w:footnote>
  <w:footnote w:type="continuationNotice" w:id="1">
    <w:p w14:paraId="57CFA4FE" w14:textId="77777777" w:rsidR="0075099B" w:rsidRDefault="0075099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CBEF" w14:textId="7F46C037" w:rsidR="000B59E3" w:rsidRDefault="00CB69CF">
    <w:pPr>
      <w:pStyle w:val="Header"/>
    </w:pPr>
    <w:r>
      <w:rPr>
        <w:noProof/>
      </w:rPr>
      <w:pict w14:anchorId="26E6C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44" o:spid="_x0000_s1026" type="#_x0000_t136" style="position:absolute;left:0;text-align:left;margin-left:0;margin-top:0;width:399.6pt;height:239.75pt;rotation:315;z-index:-251654120;mso-position-horizontal:center;mso-position-horizontal-relative:margin;mso-position-vertical:center;mso-position-vertical-relative:margin" o:allowincell="f" fillcolor="silver" stroked="f">
          <v:fill opacity=".5"/>
          <v:textpath style="font-family:&quot;Calibri&quot;;font-size:1pt" string="DRAFT"/>
        </v:shape>
      </w:pict>
    </w:r>
    <w:r w:rsidR="000B59E3">
      <w:rPr>
        <w:noProof/>
      </w:rPr>
      <mc:AlternateContent>
        <mc:Choice Requires="wps">
          <w:drawing>
            <wp:anchor distT="0" distB="0" distL="0" distR="0" simplePos="0" relativeHeight="251658253" behindDoc="0" locked="0" layoutInCell="1" allowOverlap="1" wp14:anchorId="704FF832" wp14:editId="0673ECCD">
              <wp:simplePos x="635" y="635"/>
              <wp:positionH relativeFrom="page">
                <wp:align>center</wp:align>
              </wp:positionH>
              <wp:positionV relativeFrom="page">
                <wp:align>top</wp:align>
              </wp:positionV>
              <wp:extent cx="748030" cy="404495"/>
              <wp:effectExtent l="0" t="0" r="13970" b="14605"/>
              <wp:wrapNone/>
              <wp:docPr id="1408517620"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3105CE60" w14:textId="46CAFBC9"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FF832" id="_x0000_t202" coordsize="21600,21600" o:spt="202" path="m,l,21600r21600,l21600,xe">
              <v:stroke joinstyle="miter"/>
              <v:path gradientshapeok="t" o:connecttype="rect"/>
            </v:shapetype>
            <v:shape id="Text Box 2" o:spid="_x0000_s1026" type="#_x0000_t202" alt="UNOFFICIAL" style="position:absolute;left:0;text-align:left;margin-left:0;margin-top:0;width:58.9pt;height:31.8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" filled="f" stroked="f">
              <v:textbox style="mso-fit-shape-to-text:t" inset="0,15pt,0,0">
                <w:txbxContent>
                  <w:p w14:paraId="3105CE60" w14:textId="46CAFBC9"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528F" w14:textId="14340D13" w:rsidR="00DD6A0B" w:rsidRDefault="00CB69CF">
    <w:pPr>
      <w:spacing w:after="0" w:line="200" w:lineRule="exact"/>
      <w:rPr>
        <w:sz w:val="20"/>
        <w:szCs w:val="20"/>
      </w:rPr>
    </w:pPr>
    <w:r>
      <w:rPr>
        <w:noProof/>
      </w:rPr>
      <w:pict w14:anchorId="0EB36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53" o:spid="_x0000_s1035" type="#_x0000_t136" style="position:absolute;margin-left:0;margin-top:0;width:399.6pt;height:239.75pt;rotation:315;z-index:-251635688;mso-position-horizontal:center;mso-position-horizontal-relative:margin;mso-position-vertical:center;mso-position-vertical-relative:margin" o:allowincell="f" fillcolor="silver" stroked="f">
          <v:fill opacity=".5"/>
          <v:textpath style="font-family:&quot;Calibri&quot;;font-size:1pt" string="DRAFT"/>
        </v:shape>
      </w:pict>
    </w:r>
    <w:r w:rsidR="000B59E3">
      <w:rPr>
        <w:noProof/>
        <w:sz w:val="20"/>
        <w:szCs w:val="20"/>
      </w:rPr>
      <mc:AlternateContent>
        <mc:Choice Requires="wps">
          <w:drawing>
            <wp:anchor distT="0" distB="0" distL="0" distR="0" simplePos="0" relativeHeight="251658250" behindDoc="0" locked="0" layoutInCell="1" allowOverlap="1" wp14:anchorId="515E20C3" wp14:editId="1E5B71E4">
              <wp:simplePos x="635" y="635"/>
              <wp:positionH relativeFrom="page">
                <wp:align>center</wp:align>
              </wp:positionH>
              <wp:positionV relativeFrom="page">
                <wp:align>top</wp:align>
              </wp:positionV>
              <wp:extent cx="748030" cy="404495"/>
              <wp:effectExtent l="0" t="0" r="13970" b="14605"/>
              <wp:wrapNone/>
              <wp:docPr id="203311039" name="Text Box 1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5636A5ED" w14:textId="09886844"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5E20C3" id="_x0000_t202" coordsize="21600,21600" o:spt="202" path="m,l,21600r21600,l21600,xe">
              <v:stroke joinstyle="miter"/>
              <v:path gradientshapeok="t" o:connecttype="rect"/>
            </v:shapetype>
            <v:shape id="Text Box 11" o:spid="_x0000_s1044" type="#_x0000_t202" alt="UNOFFICIAL" style="position:absolute;margin-left:0;margin-top:0;width:58.9pt;height:31.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AifUGvDgIAABwE&#10;AAAOAAAAAAAAAAAAAAAAAC4CAABkcnMvZTJvRG9jLnhtbFBLAQItABQABgAIAAAAIQBkcByc2gAA&#10;AAQBAAAPAAAAAAAAAAAAAAAAAGgEAABkcnMvZG93bnJldi54bWxQSwUGAAAAAAQABADzAAAAbwUA&#10;AAAA&#10;" filled="f" stroked="f">
              <v:textbox style="mso-fit-shape-to-text:t" inset="0,15pt,0,0">
                <w:txbxContent>
                  <w:p w14:paraId="5636A5ED" w14:textId="09886844"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CC32" w14:textId="4C3ACFE1" w:rsidR="001A6DA3" w:rsidRPr="000756BD" w:rsidRDefault="006F124E" w:rsidP="001A6DA3">
    <w:pPr>
      <w:pStyle w:val="Header"/>
    </w:pPr>
    <w:r>
      <w:rPr>
        <w:noProof/>
      </w:rPr>
      <mc:AlternateContent>
        <mc:Choice Requires="wps">
          <w:drawing>
            <wp:anchor distT="0" distB="0" distL="0" distR="0" simplePos="0" relativeHeight="251686936" behindDoc="0" locked="0" layoutInCell="1" allowOverlap="1" wp14:anchorId="13BB0FAF" wp14:editId="3E4E7C73">
              <wp:simplePos x="0" y="0"/>
              <wp:positionH relativeFrom="margin">
                <wp:align>center</wp:align>
              </wp:positionH>
              <wp:positionV relativeFrom="page">
                <wp:posOffset>32241</wp:posOffset>
              </wp:positionV>
              <wp:extent cx="551815" cy="404495"/>
              <wp:effectExtent l="0" t="0" r="635" b="14605"/>
              <wp:wrapNone/>
              <wp:docPr id="17846491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AC4E78"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BB0FAF" id="_x0000_t202" coordsize="21600,21600" o:spt="202" path="m,l,21600r21600,l21600,xe">
              <v:stroke joinstyle="miter"/>
              <v:path gradientshapeok="t" o:connecttype="rect"/>
            </v:shapetype>
            <v:shape id="_x0000_s1045" type="#_x0000_t202" alt="OFFICIAL" style="position:absolute;left:0;text-align:left;margin-left:0;margin-top:2.55pt;width:43.45pt;height:31.85pt;z-index:251686936;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GjDgIAAB0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" filled="f" stroked="f">
              <v:textbox style="mso-fit-shape-to-text:t" inset="0,15pt,0,0">
                <w:txbxContent>
                  <w:p w14:paraId="06AC4E78"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CB69CF">
      <w:rPr>
        <w:noProof/>
      </w:rPr>
      <w:pict w14:anchorId="0E64F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54" o:spid="_x0000_s1036" type="#_x0000_t136" style="position:absolute;left:0;text-align:left;margin-left:0;margin-top:0;width:399.6pt;height:239.75pt;rotation:315;z-index:-251633640;mso-position-horizontal:center;mso-position-horizontal-relative:margin;mso-position-vertical:center;mso-position-vertical-relative:margin" o:allowincell="f" fillcolor="silver" stroked="f">
          <v:fill opacity=".5"/>
          <v:textpath style="font-family:&quot;Calibri&quot;;font-size:1pt" string="DRAFT"/>
        </v:shape>
      </w:pict>
    </w:r>
    <w:r w:rsidR="001A6DA3">
      <w:t>Toxicant default guideline values for aquatic ecosystem protection: Chlorine in marine water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B38C" w14:textId="43EDE6F3" w:rsidR="00630E63" w:rsidRDefault="00CB69CF">
    <w:pPr>
      <w:pStyle w:val="Header"/>
    </w:pPr>
    <w:r>
      <w:rPr>
        <w:noProof/>
      </w:rPr>
      <w:pict w14:anchorId="7A2A4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52" o:spid="_x0000_s1034" type="#_x0000_t136" style="position:absolute;left:0;text-align:left;margin-left:0;margin-top:0;width:399.6pt;height:239.75pt;rotation:315;z-index:-251637736;mso-position-horizontal:center;mso-position-horizontal-relative:margin;mso-position-vertical:center;mso-position-vertical-relative:margin" o:allowincell="f" fillcolor="silver" stroked="f">
          <v:fill opacity=".5"/>
          <v:textpath style="font-family:&quot;Calibri&quot;;font-size:1pt" string="DRAFT"/>
        </v:shape>
      </w:pict>
    </w:r>
    <w:r w:rsidR="000B59E3">
      <w:rPr>
        <w:noProof/>
      </w:rPr>
      <mc:AlternateContent>
        <mc:Choice Requires="wps">
          <w:drawing>
            <wp:anchor distT="0" distB="0" distL="0" distR="0" simplePos="0" relativeHeight="251658249" behindDoc="0" locked="0" layoutInCell="1" allowOverlap="1" wp14:anchorId="2B839857" wp14:editId="40D9E13F">
              <wp:simplePos x="635" y="635"/>
              <wp:positionH relativeFrom="page">
                <wp:align>center</wp:align>
              </wp:positionH>
              <wp:positionV relativeFrom="page">
                <wp:align>top</wp:align>
              </wp:positionV>
              <wp:extent cx="748030" cy="404495"/>
              <wp:effectExtent l="0" t="0" r="13970" b="14605"/>
              <wp:wrapNone/>
              <wp:docPr id="1113154325" name="Text Box 10"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1CC3812F" w14:textId="133FB8B4"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839857" id="_x0000_t202" coordsize="21600,21600" o:spt="202" path="m,l,21600r21600,l21600,xe">
              <v:stroke joinstyle="miter"/>
              <v:path gradientshapeok="t" o:connecttype="rect"/>
            </v:shapetype>
            <v:shape id="Text Box 10" o:spid="_x0000_s1048" type="#_x0000_t202" alt="UNOFFICIAL" style="position:absolute;left:0;text-align:left;margin-left:0;margin-top:0;width:58.9pt;height:31.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Huft5gNAgAAHQQA&#10;AA4AAAAAAAAAAAAAAAAALgIAAGRycy9lMm9Eb2MueG1sUEsBAi0AFAAGAAgAAAAhAGRwHJzaAAAA&#10;BAEAAA8AAAAAAAAAAAAAAAAAZwQAAGRycy9kb3ducmV2LnhtbFBLBQYAAAAABAAEAPMAAABuBQAA&#10;AAA=&#10;" filled="f" stroked="f">
              <v:textbox style="mso-fit-shape-to-text:t" inset="0,15pt,0,0">
                <w:txbxContent>
                  <w:p w14:paraId="1CC3812F" w14:textId="133FB8B4"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C935" w14:textId="1417EF45" w:rsidR="00DD6A0B" w:rsidRDefault="006F124E">
    <w:pPr>
      <w:pStyle w:val="Header"/>
    </w:pPr>
    <w:r>
      <w:rPr>
        <w:noProof/>
      </w:rPr>
      <mc:AlternateContent>
        <mc:Choice Requires="wps">
          <w:drawing>
            <wp:anchor distT="0" distB="0" distL="0" distR="0" simplePos="0" relativeHeight="251703320" behindDoc="0" locked="0" layoutInCell="1" allowOverlap="1" wp14:anchorId="03CA573C" wp14:editId="1EE6A808">
              <wp:simplePos x="0" y="0"/>
              <wp:positionH relativeFrom="margin">
                <wp:align>center</wp:align>
              </wp:positionH>
              <wp:positionV relativeFrom="page">
                <wp:posOffset>23614</wp:posOffset>
              </wp:positionV>
              <wp:extent cx="551815" cy="404495"/>
              <wp:effectExtent l="0" t="0" r="635" b="14605"/>
              <wp:wrapNone/>
              <wp:docPr id="19360582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B8042A"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CA573C" id="_x0000_t202" coordsize="21600,21600" o:spt="202" path="m,l,21600r21600,l21600,xe">
              <v:stroke joinstyle="miter"/>
              <v:path gradientshapeok="t" o:connecttype="rect"/>
            </v:shapetype>
            <v:shape id="Text Box 1" o:spid="_x0000_s1027" type="#_x0000_t202" alt="OFFICIAL" style="position:absolute;left:0;text-align:left;margin-left:0;margin-top:1.85pt;width:43.45pt;height:31.85pt;z-index:251703320;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eNDgIAAB0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" filled="f" stroked="f">
              <v:textbox style="mso-fit-shape-to-text:t" inset="0,15pt,0,0">
                <w:txbxContent>
                  <w:p w14:paraId="03B8042A"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CB69CF">
      <w:rPr>
        <w:noProof/>
      </w:rPr>
      <w:pict w14:anchorId="17534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45" o:spid="_x0000_s1027" type="#_x0000_t136" style="position:absolute;left:0;text-align:left;margin-left:0;margin-top:0;width:399.6pt;height:239.75pt;rotation:315;z-index:-251652072;mso-position-horizontal:center;mso-position-horizontal-relative:margin;mso-position-vertical:center;mso-position-vertical-relative:margin" o:allowincell="f" fillcolor="silver" stroked="f">
          <v:fill opacity=".5"/>
          <v:textpath style="font-family:&quot;Calibri&quot;;font-size:1pt" string="DRAFT"/>
        </v:shape>
      </w:pict>
    </w:r>
    <w:r w:rsidR="00DD6A0B">
      <w:t>Toxicant default guideline values for aquatic ecosystem protection: Chlorine in marine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3671" w14:textId="50A79E76" w:rsidR="00DD6A0B" w:rsidRDefault="006F124E">
    <w:pPr>
      <w:pStyle w:val="Header"/>
    </w:pPr>
    <w:r>
      <w:rPr>
        <w:noProof/>
      </w:rPr>
      <mc:AlternateContent>
        <mc:Choice Requires="wps">
          <w:drawing>
            <wp:anchor distT="0" distB="0" distL="0" distR="0" simplePos="0" relativeHeight="251707416" behindDoc="0" locked="0" layoutInCell="1" allowOverlap="1" wp14:anchorId="4976FA65" wp14:editId="41C5B806">
              <wp:simplePos x="0" y="0"/>
              <wp:positionH relativeFrom="margin">
                <wp:align>center</wp:align>
              </wp:positionH>
              <wp:positionV relativeFrom="page">
                <wp:posOffset>135759</wp:posOffset>
              </wp:positionV>
              <wp:extent cx="551815" cy="404495"/>
              <wp:effectExtent l="0" t="0" r="635" b="14605"/>
              <wp:wrapNone/>
              <wp:docPr id="5739309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26728A"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76FA65" id="_x0000_t202" coordsize="21600,21600" o:spt="202" path="m,l,21600r21600,l21600,xe">
              <v:stroke joinstyle="miter"/>
              <v:path gradientshapeok="t" o:connecttype="rect"/>
            </v:shapetype>
            <v:shape id="_x0000_s1030" type="#_x0000_t202" alt="OFFICIAL" style="position:absolute;left:0;text-align:left;margin-left:0;margin-top:10.7pt;width:43.45pt;height:31.85pt;z-index:251707416;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" filled="f" stroked="f">
              <v:textbox style="mso-fit-shape-to-text:t" inset="0,15pt,0,0">
                <w:txbxContent>
                  <w:p w14:paraId="2626728A"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CB69CF">
      <w:rPr>
        <w:noProof/>
      </w:rPr>
      <w:pict w14:anchorId="41E4D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43" o:spid="_x0000_s1025" type="#_x0000_t136" style="position:absolute;left:0;text-align:left;margin-left:0;margin-top:0;width:399.6pt;height:239.75pt;rotation:315;z-index:-251656168;mso-position-horizontal:center;mso-position-horizontal-relative:margin;mso-position-vertical:center;mso-position-vertical-relative:margin" o:allowincell="f" fillcolor="silver" stroked="f">
          <v:fill opacity=".5"/>
          <v:textpath style="font-family:&quot;Calibri&quot;;font-size:1pt" string="DRAFT"/>
        </v:shape>
      </w:pict>
    </w:r>
    <w:r w:rsidR="00DD6A0B">
      <w:rPr>
        <w:noProof/>
        <w:lang w:eastAsia="en-AU"/>
      </w:rPr>
      <w:drawing>
        <wp:anchor distT="0" distB="0" distL="114300" distR="114300" simplePos="0" relativeHeight="251658240" behindDoc="1" locked="0" layoutInCell="1" allowOverlap="1" wp14:anchorId="3B3AB162" wp14:editId="68577E73">
          <wp:simplePos x="0" y="0"/>
          <wp:positionH relativeFrom="page">
            <wp:align>left</wp:align>
          </wp:positionH>
          <wp:positionV relativeFrom="paragraph">
            <wp:posOffset>-365851</wp:posOffset>
          </wp:positionV>
          <wp:extent cx="7556977" cy="10688400"/>
          <wp:effectExtent l="0" t="0" r="0" b="5080"/>
          <wp:wrapNone/>
          <wp:docPr id="840412435" name="Picture 840412435"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361" cy="1068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8521" w14:textId="6719FAD1" w:rsidR="00DD6A0B" w:rsidRDefault="00CB69CF">
    <w:pPr>
      <w:pStyle w:val="Header"/>
    </w:pPr>
    <w:r>
      <w:rPr>
        <w:noProof/>
      </w:rPr>
      <w:pict w14:anchorId="28BFF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47" o:spid="_x0000_s1029" type="#_x0000_t136" style="position:absolute;left:0;text-align:left;margin-left:0;margin-top:0;width:399.6pt;height:239.75pt;rotation:315;z-index:-251647976;mso-position-horizontal:center;mso-position-horizontal-relative:margin;mso-position-vertical:center;mso-position-vertical-relative:margin" o:allowincell="f" fillcolor="silver" stroked="f">
          <v:fill opacity=".5"/>
          <v:textpath style="font-family:&quot;Calibri&quot;;font-size:1pt" string="DRAFT"/>
        </v:shape>
      </w:pict>
    </w:r>
    <w:r w:rsidR="000B59E3">
      <w:rPr>
        <w:noProof/>
      </w:rPr>
      <mc:AlternateContent>
        <mc:Choice Requires="wps">
          <w:drawing>
            <wp:anchor distT="0" distB="0" distL="0" distR="0" simplePos="0" relativeHeight="251658244" behindDoc="0" locked="0" layoutInCell="1" allowOverlap="1" wp14:anchorId="353BAA49" wp14:editId="6D0CE26F">
              <wp:simplePos x="635" y="635"/>
              <wp:positionH relativeFrom="page">
                <wp:align>center</wp:align>
              </wp:positionH>
              <wp:positionV relativeFrom="page">
                <wp:align>top</wp:align>
              </wp:positionV>
              <wp:extent cx="748030" cy="404495"/>
              <wp:effectExtent l="0" t="0" r="13970" b="14605"/>
              <wp:wrapNone/>
              <wp:docPr id="399780852" name="Text Box 5"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A910C93" w14:textId="799C154D"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BAA49" id="_x0000_t202" coordsize="21600,21600" o:spt="202" path="m,l,21600r21600,l21600,xe">
              <v:stroke joinstyle="miter"/>
              <v:path gradientshapeok="t" o:connecttype="rect"/>
            </v:shapetype>
            <v:shape id="Text Box 5" o:spid="_x0000_s1032" type="#_x0000_t202" alt="UNOFFICIAL" style="position:absolute;left:0;text-align:left;margin-left:0;margin-top:0;width:58.9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DR/sDiDgIAABwE&#10;AAAOAAAAAAAAAAAAAAAAAC4CAABkcnMvZTJvRG9jLnhtbFBLAQItABQABgAIAAAAIQBkcByc2gAA&#10;AAQBAAAPAAAAAAAAAAAAAAAAAGgEAABkcnMvZG93bnJldi54bWxQSwUGAAAAAAQABADzAAAAbwUA&#10;AAAA&#10;" filled="f" stroked="f">
              <v:textbox style="mso-fit-shape-to-text:t" inset="0,15pt,0,0">
                <w:txbxContent>
                  <w:p w14:paraId="0A910C93" w14:textId="799C154D"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5B7A" w14:textId="57C5EFA4" w:rsidR="00DD6A0B" w:rsidRPr="001303C0" w:rsidRDefault="006F124E" w:rsidP="001303C0">
    <w:pPr>
      <w:pStyle w:val="Header"/>
    </w:pPr>
    <w:r>
      <w:rPr>
        <w:noProof/>
      </w:rPr>
      <mc:AlternateContent>
        <mc:Choice Requires="wps">
          <w:drawing>
            <wp:anchor distT="0" distB="0" distL="0" distR="0" simplePos="0" relativeHeight="251695128" behindDoc="0" locked="0" layoutInCell="1" allowOverlap="1" wp14:anchorId="3B5DD4AD" wp14:editId="1B963405">
              <wp:simplePos x="0" y="0"/>
              <wp:positionH relativeFrom="margin">
                <wp:align>center</wp:align>
              </wp:positionH>
              <wp:positionV relativeFrom="page">
                <wp:posOffset>23614</wp:posOffset>
              </wp:positionV>
              <wp:extent cx="551815" cy="404495"/>
              <wp:effectExtent l="0" t="0" r="635" b="14605"/>
              <wp:wrapNone/>
              <wp:docPr id="21046567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F3BFB24"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DD4AD" id="_x0000_t202" coordsize="21600,21600" o:spt="202" path="m,l,21600r21600,l21600,xe">
              <v:stroke joinstyle="miter"/>
              <v:path gradientshapeok="t" o:connecttype="rect"/>
            </v:shapetype>
            <v:shape id="_x0000_s1033" type="#_x0000_t202" alt="OFFICIAL" style="position:absolute;left:0;text-align:left;margin-left:0;margin-top:1.85pt;width:43.45pt;height:31.85pt;z-index:251695128;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VDgIAAB0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" filled="f" stroked="f">
              <v:textbox style="mso-fit-shape-to-text:t" inset="0,15pt,0,0">
                <w:txbxContent>
                  <w:p w14:paraId="4F3BFB24"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CB69CF">
      <w:rPr>
        <w:noProof/>
      </w:rPr>
      <w:pict w14:anchorId="55F33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48" o:spid="_x0000_s1030" type="#_x0000_t136" style="position:absolute;left:0;text-align:left;margin-left:0;margin-top:0;width:399.6pt;height:239.75pt;rotation:315;z-index:-251645928;mso-position-horizontal:center;mso-position-horizontal-relative:margin;mso-position-vertical:center;mso-position-vertical-relative:margin" o:allowincell="f" fillcolor="silver" stroked="f">
          <v:fill opacity=".5"/>
          <v:textpath style="font-family:&quot;Calibri&quot;;font-size:1pt" string="DRAFT"/>
        </v:shape>
      </w:pict>
    </w:r>
    <w:r w:rsidR="00DD6A0B">
      <w:t>Toxicant default guideline values for aquatic ecosystem protection: Chlorine in marine 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1163" w14:textId="01022BA0" w:rsidR="00DD6A0B" w:rsidRPr="001303C0" w:rsidRDefault="006F124E" w:rsidP="001303C0">
    <w:pPr>
      <w:pStyle w:val="Header"/>
    </w:pPr>
    <w:r>
      <w:rPr>
        <w:noProof/>
      </w:rPr>
      <mc:AlternateContent>
        <mc:Choice Requires="wps">
          <w:drawing>
            <wp:anchor distT="0" distB="0" distL="0" distR="0" simplePos="0" relativeHeight="251699224" behindDoc="0" locked="0" layoutInCell="1" allowOverlap="1" wp14:anchorId="7986632B" wp14:editId="683EEF15">
              <wp:simplePos x="0" y="0"/>
              <wp:positionH relativeFrom="margin">
                <wp:align>center</wp:align>
              </wp:positionH>
              <wp:positionV relativeFrom="page">
                <wp:posOffset>23615</wp:posOffset>
              </wp:positionV>
              <wp:extent cx="551815" cy="404495"/>
              <wp:effectExtent l="0" t="0" r="635" b="14605"/>
              <wp:wrapNone/>
              <wp:docPr id="1268384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141831"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6632B" id="_x0000_t202" coordsize="21600,21600" o:spt="202" path="m,l,21600r21600,l21600,xe">
              <v:stroke joinstyle="miter"/>
              <v:path gradientshapeok="t" o:connecttype="rect"/>
            </v:shapetype>
            <v:shape id="_x0000_s1036" type="#_x0000_t202" alt="OFFICIAL" style="position:absolute;left:0;text-align:left;margin-left:0;margin-top:1.85pt;width:43.45pt;height:31.85pt;z-index:251699224;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" filled="f" stroked="f">
              <v:textbox style="mso-fit-shape-to-text:t" inset="0,15pt,0,0">
                <w:txbxContent>
                  <w:p w14:paraId="05141831"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CB69CF">
      <w:rPr>
        <w:noProof/>
      </w:rPr>
      <w:pict w14:anchorId="308EE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46" o:spid="_x0000_s1028" type="#_x0000_t136" style="position:absolute;left:0;text-align:left;margin-left:0;margin-top:0;width:399.6pt;height:239.75pt;rotation:315;z-index:-251650024;mso-position-horizontal:center;mso-position-horizontal-relative:margin;mso-position-vertical:center;mso-position-vertical-relative:margin" o:allowincell="f" fillcolor="silver" stroked="f">
          <v:fill opacity=".5"/>
          <v:textpath style="font-family:&quot;Calibri&quot;;font-size:1pt" string="DRAFT"/>
        </v:shape>
      </w:pict>
    </w:r>
    <w:r w:rsidR="00DD6A0B">
      <w:t>Toxicant default guideline values for aquatic ecosystem protection: Chlorine in marine 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AFAE" w14:textId="6F833F79" w:rsidR="00DD6A0B" w:rsidRDefault="00CB69CF">
    <w:pPr>
      <w:pStyle w:val="Header"/>
    </w:pPr>
    <w:r>
      <w:rPr>
        <w:noProof/>
      </w:rPr>
      <w:pict w14:anchorId="3B4C0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50" o:spid="_x0000_s1032" type="#_x0000_t136" style="position:absolute;left:0;text-align:left;margin-left:0;margin-top:0;width:399.6pt;height:239.75pt;rotation:315;z-index:-251641832;mso-position-horizontal:center;mso-position-horizontal-relative:margin;mso-position-vertical:center;mso-position-vertical-relative:margin" o:allowincell="f" fillcolor="silver" stroked="f">
          <v:fill opacity=".5"/>
          <v:textpath style="font-family:&quot;Calibri&quot;;font-size:1pt" string="DRAFT"/>
        </v:shape>
      </w:pict>
    </w:r>
    <w:r w:rsidR="000B59E3">
      <w:rPr>
        <w:noProof/>
      </w:rPr>
      <mc:AlternateContent>
        <mc:Choice Requires="wps">
          <w:drawing>
            <wp:anchor distT="0" distB="0" distL="0" distR="0" simplePos="0" relativeHeight="251658247" behindDoc="0" locked="0" layoutInCell="1" allowOverlap="1" wp14:anchorId="738E0DD2" wp14:editId="6340F65E">
              <wp:simplePos x="635" y="635"/>
              <wp:positionH relativeFrom="page">
                <wp:align>center</wp:align>
              </wp:positionH>
              <wp:positionV relativeFrom="page">
                <wp:align>top</wp:align>
              </wp:positionV>
              <wp:extent cx="748030" cy="404495"/>
              <wp:effectExtent l="0" t="0" r="13970" b="14605"/>
              <wp:wrapNone/>
              <wp:docPr id="2036706165" name="Text Box 8"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01036902" w14:textId="7AE023DA"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8E0DD2" id="_x0000_t202" coordsize="21600,21600" o:spt="202" path="m,l,21600r21600,l21600,xe">
              <v:stroke joinstyle="miter"/>
              <v:path gradientshapeok="t" o:connecttype="rect"/>
            </v:shapetype>
            <v:shape id="Text Box 8" o:spid="_x0000_s1038" type="#_x0000_t202" alt="UNOFFICIAL" style="position:absolute;left:0;text-align:left;margin-left:0;margin-top:0;width:58.9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" filled="f" stroked="f">
              <v:textbox style="mso-fit-shape-to-text:t" inset="0,15pt,0,0">
                <w:txbxContent>
                  <w:p w14:paraId="01036902" w14:textId="7AE023DA"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E45E" w14:textId="1BCDDC39" w:rsidR="00DD6A0B" w:rsidRPr="000756BD" w:rsidRDefault="006F124E" w:rsidP="000756BD">
    <w:pPr>
      <w:pStyle w:val="Header"/>
    </w:pPr>
    <w:r>
      <w:rPr>
        <w:noProof/>
      </w:rPr>
      <mc:AlternateContent>
        <mc:Choice Requires="wps">
          <w:drawing>
            <wp:anchor distT="0" distB="0" distL="0" distR="0" simplePos="0" relativeHeight="251691032" behindDoc="0" locked="0" layoutInCell="1" allowOverlap="1" wp14:anchorId="727878E4" wp14:editId="3DEB5C31">
              <wp:simplePos x="0" y="0"/>
              <wp:positionH relativeFrom="margin">
                <wp:posOffset>4169410</wp:posOffset>
              </wp:positionH>
              <wp:positionV relativeFrom="page">
                <wp:posOffset>46450</wp:posOffset>
              </wp:positionV>
              <wp:extent cx="551815" cy="444945"/>
              <wp:effectExtent l="0" t="0" r="635" b="12700"/>
              <wp:wrapNone/>
              <wp:docPr id="7921676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945"/>
                      </a:xfrm>
                      <a:prstGeom prst="rect">
                        <a:avLst/>
                      </a:prstGeom>
                      <a:noFill/>
                      <a:ln>
                        <a:noFill/>
                      </a:ln>
                    </wps:spPr>
                    <wps:txbx>
                      <w:txbxContent>
                        <w:p w14:paraId="631CF111"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7878E4" id="_x0000_t202" coordsize="21600,21600" o:spt="202" path="m,l,21600r21600,l21600,xe">
              <v:stroke joinstyle="miter"/>
              <v:path gradientshapeok="t" o:connecttype="rect"/>
            </v:shapetype>
            <v:shape id="_x0000_s1039" type="#_x0000_t202" alt="OFFICIAL" style="position:absolute;left:0;text-align:left;margin-left:328.3pt;margin-top:3.65pt;width:43.45pt;height:35.05pt;z-index:251691032;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AGDAIAAB0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" filled="f" stroked="f">
              <v:textbox inset="0,15pt,0,0">
                <w:txbxContent>
                  <w:p w14:paraId="631CF111" w14:textId="77777777" w:rsidR="006F124E" w:rsidRPr="001B6CFF" w:rsidRDefault="006F124E" w:rsidP="006F124E">
                    <w:pPr>
                      <w:spacing w:after="0"/>
                      <w:rPr>
                        <w:rFonts w:ascii="Calibri" w:eastAsia="Calibri" w:hAnsi="Calibri" w:cs="Calibri"/>
                        <w:noProof/>
                        <w:color w:val="FF0000"/>
                        <w:sz w:val="24"/>
                        <w:szCs w:val="24"/>
                      </w:rPr>
                    </w:pPr>
                    <w:r w:rsidRPr="001B6CFF">
                      <w:rPr>
                        <w:rFonts w:ascii="Calibri" w:eastAsia="Calibri" w:hAnsi="Calibri" w:cs="Calibri"/>
                        <w:noProof/>
                        <w:color w:val="FF0000"/>
                        <w:sz w:val="24"/>
                        <w:szCs w:val="24"/>
                      </w:rPr>
                      <w:t>OFFICIAL</w:t>
                    </w:r>
                  </w:p>
                </w:txbxContent>
              </v:textbox>
              <w10:wrap anchorx="margin" anchory="page"/>
            </v:shape>
          </w:pict>
        </mc:Fallback>
      </mc:AlternateContent>
    </w:r>
    <w:r w:rsidR="00CB69CF">
      <w:rPr>
        <w:noProof/>
      </w:rPr>
      <w:pict w14:anchorId="7F772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51" o:spid="_x0000_s1033" type="#_x0000_t136" style="position:absolute;left:0;text-align:left;margin-left:0;margin-top:0;width:399.6pt;height:239.75pt;rotation:315;z-index:-251639784;mso-position-horizontal:center;mso-position-horizontal-relative:margin;mso-position-vertical:center;mso-position-vertical-relative:margin" o:allowincell="f" fillcolor="silver" stroked="f">
          <v:fill opacity=".5"/>
          <v:textpath style="font-family:&quot;Calibri&quot;;font-size:1pt" string="DRAFT"/>
        </v:shape>
      </w:pict>
    </w:r>
    <w:r w:rsidR="00DD6A0B">
      <w:t>Toxicant default guideline values for aquatic ecosystem protection: Chlorine in marine 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E6E5" w14:textId="2F2517FC" w:rsidR="00DD6A0B" w:rsidRDefault="00CB69CF">
    <w:pPr>
      <w:pStyle w:val="Header"/>
    </w:pPr>
    <w:r>
      <w:rPr>
        <w:noProof/>
      </w:rPr>
      <w:pict w14:anchorId="05D3F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4349" o:spid="_x0000_s1031" type="#_x0000_t136" style="position:absolute;left:0;text-align:left;margin-left:0;margin-top:0;width:399.6pt;height:239.75pt;rotation:315;z-index:-251643880;mso-position-horizontal:center;mso-position-horizontal-relative:margin;mso-position-vertical:center;mso-position-vertical-relative:margin" o:allowincell="f" fillcolor="silver" stroked="f">
          <v:fill opacity=".5"/>
          <v:textpath style="font-family:&quot;Calibri&quot;;font-size:1pt" string="DRAFT"/>
        </v:shape>
      </w:pict>
    </w:r>
    <w:r w:rsidR="000B59E3">
      <w:rPr>
        <w:noProof/>
      </w:rPr>
      <mc:AlternateContent>
        <mc:Choice Requires="wps">
          <w:drawing>
            <wp:anchor distT="0" distB="0" distL="0" distR="0" simplePos="0" relativeHeight="251658246" behindDoc="0" locked="0" layoutInCell="1" allowOverlap="1" wp14:anchorId="192A6CA1" wp14:editId="1A117F95">
              <wp:simplePos x="635" y="635"/>
              <wp:positionH relativeFrom="page">
                <wp:align>center</wp:align>
              </wp:positionH>
              <wp:positionV relativeFrom="page">
                <wp:align>top</wp:align>
              </wp:positionV>
              <wp:extent cx="748030" cy="404495"/>
              <wp:effectExtent l="0" t="0" r="13970" b="14605"/>
              <wp:wrapNone/>
              <wp:docPr id="645119995" name="Text Box 7"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04495"/>
                      </a:xfrm>
                      <a:prstGeom prst="rect">
                        <a:avLst/>
                      </a:prstGeom>
                      <a:noFill/>
                      <a:ln>
                        <a:noFill/>
                      </a:ln>
                    </wps:spPr>
                    <wps:txbx>
                      <w:txbxContent>
                        <w:p w14:paraId="4D1B2524" w14:textId="256CACC6"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2A6CA1" id="_x0000_t202" coordsize="21600,21600" o:spt="202" path="m,l,21600r21600,l21600,xe">
              <v:stroke joinstyle="miter"/>
              <v:path gradientshapeok="t" o:connecttype="rect"/>
            </v:shapetype>
            <v:shape id="Text Box 7" o:spid="_x0000_s1042" type="#_x0000_t202" alt="UNOFFICIAL" style="position:absolute;left:0;text-align:left;margin-left:0;margin-top:0;width:58.9pt;height:31.8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" filled="f" stroked="f">
              <v:textbox style="mso-fit-shape-to-text:t" inset="0,15pt,0,0">
                <w:txbxContent>
                  <w:p w14:paraId="4D1B2524" w14:textId="256CACC6" w:rsidR="000B59E3" w:rsidRPr="000B59E3" w:rsidRDefault="000B59E3" w:rsidP="000B59E3">
                    <w:pPr>
                      <w:spacing w:after="0"/>
                      <w:rPr>
                        <w:rFonts w:ascii="Calibri" w:eastAsia="Calibri" w:hAnsi="Calibri" w:cs="Calibri"/>
                        <w:noProof/>
                        <w:color w:val="FF0000"/>
                        <w:sz w:val="24"/>
                        <w:szCs w:val="24"/>
                      </w:rPr>
                    </w:pPr>
                    <w:r w:rsidRPr="000B59E3">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492"/>
    <w:multiLevelType w:val="hybridMultilevel"/>
    <w:tmpl w:val="92AEA21C"/>
    <w:lvl w:ilvl="0" w:tplc="1744FE76">
      <w:start w:val="201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E6681"/>
    <w:multiLevelType w:val="hybridMultilevel"/>
    <w:tmpl w:val="3A0EAECE"/>
    <w:lvl w:ilvl="0" w:tplc="38AA61AA">
      <w:start w:val="1"/>
      <w:numFmt w:val="lowerRoman"/>
      <w:lvlText w:val="(%1)"/>
      <w:lvlJc w:val="left"/>
      <w:pPr>
        <w:ind w:left="1080" w:hanging="72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1C06C2"/>
    <w:multiLevelType w:val="hybridMultilevel"/>
    <w:tmpl w:val="DED06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3"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5" w15:restartNumberingAfterBreak="0">
    <w:nsid w:val="17FA091E"/>
    <w:multiLevelType w:val="multilevel"/>
    <w:tmpl w:val="757ED760"/>
    <w:numStyleLink w:val="Style1"/>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3399E"/>
    <w:multiLevelType w:val="multilevel"/>
    <w:tmpl w:val="88964F4C"/>
    <w:numStyleLink w:val="heading"/>
  </w:abstractNum>
  <w:abstractNum w:abstractNumId="8"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9" w15:restartNumberingAfterBreak="0">
    <w:nsid w:val="2D595B46"/>
    <w:multiLevelType w:val="multilevel"/>
    <w:tmpl w:val="C32AB9AA"/>
    <w:numStyleLink w:val="ListNumber1"/>
  </w:abstractNum>
  <w:abstractNum w:abstractNumId="10"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6D54222"/>
    <w:multiLevelType w:val="multilevel"/>
    <w:tmpl w:val="757ED760"/>
    <w:numStyleLink w:val="Style1"/>
  </w:abstractNum>
  <w:abstractNum w:abstractNumId="12"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6B3E7885"/>
    <w:multiLevelType w:val="hybridMultilevel"/>
    <w:tmpl w:val="E0BAF096"/>
    <w:lvl w:ilvl="0" w:tplc="1A6889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60A59"/>
    <w:multiLevelType w:val="hybridMultilevel"/>
    <w:tmpl w:val="6D302CF4"/>
    <w:lvl w:ilvl="0" w:tplc="4D9AA5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36387C"/>
    <w:multiLevelType w:val="multilevel"/>
    <w:tmpl w:val="6346ED0E"/>
    <w:numStyleLink w:val="listbullets"/>
  </w:abstractNum>
  <w:num w:numId="1" w16cid:durableId="350499507">
    <w:abstractNumId w:val="14"/>
  </w:num>
  <w:num w:numId="2" w16cid:durableId="902565807">
    <w:abstractNumId w:val="6"/>
  </w:num>
  <w:num w:numId="3" w16cid:durableId="1085884644">
    <w:abstractNumId w:val="16"/>
  </w:num>
  <w:num w:numId="4" w16cid:durableId="1802189746">
    <w:abstractNumId w:val="8"/>
  </w:num>
  <w:num w:numId="5" w16cid:durableId="460269895">
    <w:abstractNumId w:val="10"/>
  </w:num>
  <w:num w:numId="6" w16cid:durableId="164632700">
    <w:abstractNumId w:val="15"/>
  </w:num>
  <w:num w:numId="7" w16cid:durableId="438841049">
    <w:abstractNumId w:val="19"/>
  </w:num>
  <w:num w:numId="8" w16cid:durableId="2070612459">
    <w:abstractNumId w:val="13"/>
  </w:num>
  <w:num w:numId="9" w16cid:durableId="26951757">
    <w:abstractNumId w:val="9"/>
  </w:num>
  <w:num w:numId="10" w16cid:durableId="2048411782">
    <w:abstractNumId w:val="3"/>
  </w:num>
  <w:num w:numId="11" w16cid:durableId="1524856950">
    <w:abstractNumId w:val="7"/>
  </w:num>
  <w:num w:numId="12" w16cid:durableId="132646561">
    <w:abstractNumId w:val="12"/>
  </w:num>
  <w:num w:numId="13" w16cid:durableId="326791831">
    <w:abstractNumId w:val="4"/>
  </w:num>
  <w:num w:numId="14" w16cid:durableId="1869948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0683653">
    <w:abstractNumId w:val="11"/>
  </w:num>
  <w:num w:numId="16" w16cid:durableId="1238394925">
    <w:abstractNumId w:val="5"/>
  </w:num>
  <w:num w:numId="17" w16cid:durableId="1438868790">
    <w:abstractNumId w:val="5"/>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730857784">
    <w:abstractNumId w:val="2"/>
  </w:num>
  <w:num w:numId="19" w16cid:durableId="279577638">
    <w:abstractNumId w:val="1"/>
  </w:num>
  <w:num w:numId="20" w16cid:durableId="329717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868403">
    <w:abstractNumId w:val="17"/>
  </w:num>
  <w:num w:numId="22" w16cid:durableId="2042439522">
    <w:abstractNumId w:val="18"/>
  </w:num>
  <w:num w:numId="23" w16cid:durableId="119847239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SortMethod w:val="0000"/>
  <w:doNotTrackFormattin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0113"/>
    <w:rsid w:val="00000330"/>
    <w:rsid w:val="00001114"/>
    <w:rsid w:val="0000135A"/>
    <w:rsid w:val="00001435"/>
    <w:rsid w:val="0000176A"/>
    <w:rsid w:val="00003743"/>
    <w:rsid w:val="00005F2F"/>
    <w:rsid w:val="00010840"/>
    <w:rsid w:val="00012266"/>
    <w:rsid w:val="00012506"/>
    <w:rsid w:val="00012CEC"/>
    <w:rsid w:val="00016033"/>
    <w:rsid w:val="00016172"/>
    <w:rsid w:val="00016223"/>
    <w:rsid w:val="0001784B"/>
    <w:rsid w:val="00017922"/>
    <w:rsid w:val="000207B3"/>
    <w:rsid w:val="00020C99"/>
    <w:rsid w:val="0002188A"/>
    <w:rsid w:val="00021A5B"/>
    <w:rsid w:val="00024A2F"/>
    <w:rsid w:val="00025328"/>
    <w:rsid w:val="0002683D"/>
    <w:rsid w:val="00027976"/>
    <w:rsid w:val="000300D2"/>
    <w:rsid w:val="000303B8"/>
    <w:rsid w:val="000304C8"/>
    <w:rsid w:val="000320D8"/>
    <w:rsid w:val="0003671F"/>
    <w:rsid w:val="00036A53"/>
    <w:rsid w:val="0004222E"/>
    <w:rsid w:val="00043E14"/>
    <w:rsid w:val="000443EB"/>
    <w:rsid w:val="000453A7"/>
    <w:rsid w:val="00045EFF"/>
    <w:rsid w:val="000474F2"/>
    <w:rsid w:val="00047E4C"/>
    <w:rsid w:val="000511C8"/>
    <w:rsid w:val="00051AD7"/>
    <w:rsid w:val="00053EBF"/>
    <w:rsid w:val="000542D9"/>
    <w:rsid w:val="0005458A"/>
    <w:rsid w:val="00054B58"/>
    <w:rsid w:val="00055C25"/>
    <w:rsid w:val="0005610C"/>
    <w:rsid w:val="000568B2"/>
    <w:rsid w:val="00057362"/>
    <w:rsid w:val="00061430"/>
    <w:rsid w:val="00061882"/>
    <w:rsid w:val="00062058"/>
    <w:rsid w:val="000666BC"/>
    <w:rsid w:val="0006677F"/>
    <w:rsid w:val="000677BC"/>
    <w:rsid w:val="00067914"/>
    <w:rsid w:val="000713B1"/>
    <w:rsid w:val="00071974"/>
    <w:rsid w:val="000727B6"/>
    <w:rsid w:val="0007417C"/>
    <w:rsid w:val="000756BD"/>
    <w:rsid w:val="00076141"/>
    <w:rsid w:val="000766B7"/>
    <w:rsid w:val="00076F11"/>
    <w:rsid w:val="000771F9"/>
    <w:rsid w:val="00080CB3"/>
    <w:rsid w:val="000812FA"/>
    <w:rsid w:val="000814D3"/>
    <w:rsid w:val="000815B0"/>
    <w:rsid w:val="00084A14"/>
    <w:rsid w:val="0008552C"/>
    <w:rsid w:val="0008558A"/>
    <w:rsid w:val="000857D3"/>
    <w:rsid w:val="0008776C"/>
    <w:rsid w:val="000878EE"/>
    <w:rsid w:val="00090AD0"/>
    <w:rsid w:val="00091331"/>
    <w:rsid w:val="00091DEB"/>
    <w:rsid w:val="000931E1"/>
    <w:rsid w:val="00094B18"/>
    <w:rsid w:val="00095686"/>
    <w:rsid w:val="00096219"/>
    <w:rsid w:val="00096C5A"/>
    <w:rsid w:val="00097223"/>
    <w:rsid w:val="000A09DB"/>
    <w:rsid w:val="000A2E71"/>
    <w:rsid w:val="000A39EE"/>
    <w:rsid w:val="000A5631"/>
    <w:rsid w:val="000A5780"/>
    <w:rsid w:val="000A5D98"/>
    <w:rsid w:val="000A68FE"/>
    <w:rsid w:val="000A6C57"/>
    <w:rsid w:val="000B05BE"/>
    <w:rsid w:val="000B0AE0"/>
    <w:rsid w:val="000B26DA"/>
    <w:rsid w:val="000B3AD8"/>
    <w:rsid w:val="000B3D0C"/>
    <w:rsid w:val="000B3F4A"/>
    <w:rsid w:val="000B57C9"/>
    <w:rsid w:val="000B5875"/>
    <w:rsid w:val="000B59E3"/>
    <w:rsid w:val="000B5A01"/>
    <w:rsid w:val="000B6C25"/>
    <w:rsid w:val="000B6F67"/>
    <w:rsid w:val="000B702A"/>
    <w:rsid w:val="000C0D06"/>
    <w:rsid w:val="000C2212"/>
    <w:rsid w:val="000C2CC0"/>
    <w:rsid w:val="000C446F"/>
    <w:rsid w:val="000C4C76"/>
    <w:rsid w:val="000C583A"/>
    <w:rsid w:val="000C5C1D"/>
    <w:rsid w:val="000D0D5E"/>
    <w:rsid w:val="000D1B17"/>
    <w:rsid w:val="000D244B"/>
    <w:rsid w:val="000D4D9A"/>
    <w:rsid w:val="000D4EE3"/>
    <w:rsid w:val="000D58B8"/>
    <w:rsid w:val="000D5AD1"/>
    <w:rsid w:val="000D7599"/>
    <w:rsid w:val="000D7E30"/>
    <w:rsid w:val="000D7F01"/>
    <w:rsid w:val="000E0052"/>
    <w:rsid w:val="000E02BA"/>
    <w:rsid w:val="000E07E7"/>
    <w:rsid w:val="000E1094"/>
    <w:rsid w:val="000E3054"/>
    <w:rsid w:val="000E3B6E"/>
    <w:rsid w:val="000E40C1"/>
    <w:rsid w:val="000E4A16"/>
    <w:rsid w:val="000E52A2"/>
    <w:rsid w:val="000E56F6"/>
    <w:rsid w:val="000E6738"/>
    <w:rsid w:val="000E6B89"/>
    <w:rsid w:val="000F0E2E"/>
    <w:rsid w:val="000F118B"/>
    <w:rsid w:val="000F1332"/>
    <w:rsid w:val="000F1EAC"/>
    <w:rsid w:val="000F2DAB"/>
    <w:rsid w:val="000F3D21"/>
    <w:rsid w:val="000F50EF"/>
    <w:rsid w:val="000F5437"/>
    <w:rsid w:val="000F58E8"/>
    <w:rsid w:val="000F5EEE"/>
    <w:rsid w:val="000F63C2"/>
    <w:rsid w:val="000F76E5"/>
    <w:rsid w:val="000F79A9"/>
    <w:rsid w:val="00101661"/>
    <w:rsid w:val="001048B0"/>
    <w:rsid w:val="0010591F"/>
    <w:rsid w:val="00111E49"/>
    <w:rsid w:val="00114141"/>
    <w:rsid w:val="0011643D"/>
    <w:rsid w:val="00116721"/>
    <w:rsid w:val="001169EF"/>
    <w:rsid w:val="00117317"/>
    <w:rsid w:val="00117350"/>
    <w:rsid w:val="001176E1"/>
    <w:rsid w:val="00117CEA"/>
    <w:rsid w:val="00117FD8"/>
    <w:rsid w:val="001202A0"/>
    <w:rsid w:val="001231C9"/>
    <w:rsid w:val="00123421"/>
    <w:rsid w:val="00123BBC"/>
    <w:rsid w:val="001256C6"/>
    <w:rsid w:val="001268AE"/>
    <w:rsid w:val="001271DE"/>
    <w:rsid w:val="001277A6"/>
    <w:rsid w:val="001278DA"/>
    <w:rsid w:val="00127BF8"/>
    <w:rsid w:val="001303C0"/>
    <w:rsid w:val="00130FFA"/>
    <w:rsid w:val="00131E8B"/>
    <w:rsid w:val="00132715"/>
    <w:rsid w:val="00132B7D"/>
    <w:rsid w:val="00132F83"/>
    <w:rsid w:val="0013446C"/>
    <w:rsid w:val="00136489"/>
    <w:rsid w:val="00137452"/>
    <w:rsid w:val="00141050"/>
    <w:rsid w:val="001419A7"/>
    <w:rsid w:val="00141D27"/>
    <w:rsid w:val="00142DCA"/>
    <w:rsid w:val="00144B44"/>
    <w:rsid w:val="001453D8"/>
    <w:rsid w:val="00151020"/>
    <w:rsid w:val="00151A55"/>
    <w:rsid w:val="00152533"/>
    <w:rsid w:val="00153539"/>
    <w:rsid w:val="001537A0"/>
    <w:rsid w:val="00154FFC"/>
    <w:rsid w:val="00157DD0"/>
    <w:rsid w:val="00160193"/>
    <w:rsid w:val="0016120A"/>
    <w:rsid w:val="00161970"/>
    <w:rsid w:val="001626F9"/>
    <w:rsid w:val="0016290F"/>
    <w:rsid w:val="00162C0A"/>
    <w:rsid w:val="00165AEB"/>
    <w:rsid w:val="00166737"/>
    <w:rsid w:val="00166C1E"/>
    <w:rsid w:val="00167499"/>
    <w:rsid w:val="001676E7"/>
    <w:rsid w:val="0016777B"/>
    <w:rsid w:val="00170E73"/>
    <w:rsid w:val="001729B3"/>
    <w:rsid w:val="00173951"/>
    <w:rsid w:val="0017404F"/>
    <w:rsid w:val="001740B1"/>
    <w:rsid w:val="00174364"/>
    <w:rsid w:val="00174744"/>
    <w:rsid w:val="00175F9A"/>
    <w:rsid w:val="00175FCC"/>
    <w:rsid w:val="00177807"/>
    <w:rsid w:val="0018001A"/>
    <w:rsid w:val="001805ED"/>
    <w:rsid w:val="00182633"/>
    <w:rsid w:val="00182B50"/>
    <w:rsid w:val="00182FF2"/>
    <w:rsid w:val="0018440B"/>
    <w:rsid w:val="00186AFC"/>
    <w:rsid w:val="001874E3"/>
    <w:rsid w:val="0019020A"/>
    <w:rsid w:val="0019132B"/>
    <w:rsid w:val="001914A0"/>
    <w:rsid w:val="00191804"/>
    <w:rsid w:val="00191E95"/>
    <w:rsid w:val="00191E99"/>
    <w:rsid w:val="001924EE"/>
    <w:rsid w:val="00192B1E"/>
    <w:rsid w:val="00192EEE"/>
    <w:rsid w:val="00195EB3"/>
    <w:rsid w:val="001965EB"/>
    <w:rsid w:val="00197711"/>
    <w:rsid w:val="00197849"/>
    <w:rsid w:val="001A00B0"/>
    <w:rsid w:val="001A1B67"/>
    <w:rsid w:val="001A1C81"/>
    <w:rsid w:val="001A34D1"/>
    <w:rsid w:val="001A49FF"/>
    <w:rsid w:val="001A52B7"/>
    <w:rsid w:val="001A5D7A"/>
    <w:rsid w:val="001A614D"/>
    <w:rsid w:val="001A6DA3"/>
    <w:rsid w:val="001B12A0"/>
    <w:rsid w:val="001B1DB2"/>
    <w:rsid w:val="001B1E6A"/>
    <w:rsid w:val="001B2019"/>
    <w:rsid w:val="001B324A"/>
    <w:rsid w:val="001B39E1"/>
    <w:rsid w:val="001B3FA2"/>
    <w:rsid w:val="001B402B"/>
    <w:rsid w:val="001B40B8"/>
    <w:rsid w:val="001B4349"/>
    <w:rsid w:val="001B45B6"/>
    <w:rsid w:val="001B5769"/>
    <w:rsid w:val="001B5D90"/>
    <w:rsid w:val="001B634C"/>
    <w:rsid w:val="001B67B7"/>
    <w:rsid w:val="001B6A7F"/>
    <w:rsid w:val="001B7EC2"/>
    <w:rsid w:val="001C0D1C"/>
    <w:rsid w:val="001C2B0E"/>
    <w:rsid w:val="001C30AF"/>
    <w:rsid w:val="001C3DCF"/>
    <w:rsid w:val="001C49CB"/>
    <w:rsid w:val="001C4C06"/>
    <w:rsid w:val="001C57B6"/>
    <w:rsid w:val="001C6236"/>
    <w:rsid w:val="001C6994"/>
    <w:rsid w:val="001C6BDC"/>
    <w:rsid w:val="001C7225"/>
    <w:rsid w:val="001C73B9"/>
    <w:rsid w:val="001D0E3E"/>
    <w:rsid w:val="001D2889"/>
    <w:rsid w:val="001D34E1"/>
    <w:rsid w:val="001D3975"/>
    <w:rsid w:val="001D450A"/>
    <w:rsid w:val="001D4552"/>
    <w:rsid w:val="001D49C4"/>
    <w:rsid w:val="001D65A1"/>
    <w:rsid w:val="001D68E1"/>
    <w:rsid w:val="001D73B0"/>
    <w:rsid w:val="001E055D"/>
    <w:rsid w:val="001E0626"/>
    <w:rsid w:val="001E083D"/>
    <w:rsid w:val="001E1354"/>
    <w:rsid w:val="001E20D1"/>
    <w:rsid w:val="001E2897"/>
    <w:rsid w:val="001E395E"/>
    <w:rsid w:val="001E4123"/>
    <w:rsid w:val="001E44FB"/>
    <w:rsid w:val="001E4A58"/>
    <w:rsid w:val="001E71E0"/>
    <w:rsid w:val="001E7A12"/>
    <w:rsid w:val="001F0F7D"/>
    <w:rsid w:val="001F2110"/>
    <w:rsid w:val="001F440F"/>
    <w:rsid w:val="001F5535"/>
    <w:rsid w:val="001F6A1E"/>
    <w:rsid w:val="001F6AC9"/>
    <w:rsid w:val="001F74FB"/>
    <w:rsid w:val="00200930"/>
    <w:rsid w:val="0020133F"/>
    <w:rsid w:val="00201EBF"/>
    <w:rsid w:val="002033B4"/>
    <w:rsid w:val="002060ED"/>
    <w:rsid w:val="00206D3B"/>
    <w:rsid w:val="00206DEC"/>
    <w:rsid w:val="00207871"/>
    <w:rsid w:val="00207C67"/>
    <w:rsid w:val="00210303"/>
    <w:rsid w:val="00210608"/>
    <w:rsid w:val="00211761"/>
    <w:rsid w:val="0021271D"/>
    <w:rsid w:val="00212BFF"/>
    <w:rsid w:val="00212DB4"/>
    <w:rsid w:val="002174C8"/>
    <w:rsid w:val="0022024B"/>
    <w:rsid w:val="00220F88"/>
    <w:rsid w:val="00221255"/>
    <w:rsid w:val="002223A7"/>
    <w:rsid w:val="00225C46"/>
    <w:rsid w:val="002301D5"/>
    <w:rsid w:val="002301F6"/>
    <w:rsid w:val="00231773"/>
    <w:rsid w:val="0023211A"/>
    <w:rsid w:val="0023213B"/>
    <w:rsid w:val="002321B7"/>
    <w:rsid w:val="0023324D"/>
    <w:rsid w:val="0023454E"/>
    <w:rsid w:val="00234DFA"/>
    <w:rsid w:val="00235067"/>
    <w:rsid w:val="00235329"/>
    <w:rsid w:val="00235AAE"/>
    <w:rsid w:val="00236319"/>
    <w:rsid w:val="00241967"/>
    <w:rsid w:val="00241F40"/>
    <w:rsid w:val="00242EA9"/>
    <w:rsid w:val="00243066"/>
    <w:rsid w:val="002451A6"/>
    <w:rsid w:val="00245D3E"/>
    <w:rsid w:val="00245FEC"/>
    <w:rsid w:val="00246263"/>
    <w:rsid w:val="00251576"/>
    <w:rsid w:val="00251D34"/>
    <w:rsid w:val="00251E37"/>
    <w:rsid w:val="00253E51"/>
    <w:rsid w:val="002560DD"/>
    <w:rsid w:val="00256400"/>
    <w:rsid w:val="00256402"/>
    <w:rsid w:val="00256CF6"/>
    <w:rsid w:val="002575D0"/>
    <w:rsid w:val="00260805"/>
    <w:rsid w:val="002609D2"/>
    <w:rsid w:val="002611D2"/>
    <w:rsid w:val="00261665"/>
    <w:rsid w:val="00261C77"/>
    <w:rsid w:val="00262290"/>
    <w:rsid w:val="00262DF2"/>
    <w:rsid w:val="002655C5"/>
    <w:rsid w:val="002657AF"/>
    <w:rsid w:val="00266B1F"/>
    <w:rsid w:val="0026769B"/>
    <w:rsid w:val="0026797E"/>
    <w:rsid w:val="00270C77"/>
    <w:rsid w:val="00270D5F"/>
    <w:rsid w:val="002712C5"/>
    <w:rsid w:val="0027139F"/>
    <w:rsid w:val="002713C4"/>
    <w:rsid w:val="002721B0"/>
    <w:rsid w:val="002730C1"/>
    <w:rsid w:val="002735C9"/>
    <w:rsid w:val="0027424D"/>
    <w:rsid w:val="00276523"/>
    <w:rsid w:val="00281437"/>
    <w:rsid w:val="00281D8A"/>
    <w:rsid w:val="00282EBF"/>
    <w:rsid w:val="002839DB"/>
    <w:rsid w:val="00286D7B"/>
    <w:rsid w:val="002907EF"/>
    <w:rsid w:val="002911C1"/>
    <w:rsid w:val="00291D91"/>
    <w:rsid w:val="00292EDE"/>
    <w:rsid w:val="00293BFB"/>
    <w:rsid w:val="00294E9C"/>
    <w:rsid w:val="002961EA"/>
    <w:rsid w:val="0029625B"/>
    <w:rsid w:val="002A4BC1"/>
    <w:rsid w:val="002A59ED"/>
    <w:rsid w:val="002A5C70"/>
    <w:rsid w:val="002A6919"/>
    <w:rsid w:val="002A7F17"/>
    <w:rsid w:val="002B03D6"/>
    <w:rsid w:val="002B2013"/>
    <w:rsid w:val="002B2487"/>
    <w:rsid w:val="002B2B62"/>
    <w:rsid w:val="002B4B5F"/>
    <w:rsid w:val="002B5491"/>
    <w:rsid w:val="002C1001"/>
    <w:rsid w:val="002C10E3"/>
    <w:rsid w:val="002C173E"/>
    <w:rsid w:val="002C2B6E"/>
    <w:rsid w:val="002C2E47"/>
    <w:rsid w:val="002C4086"/>
    <w:rsid w:val="002C4DE9"/>
    <w:rsid w:val="002C6ADC"/>
    <w:rsid w:val="002D1406"/>
    <w:rsid w:val="002D1F42"/>
    <w:rsid w:val="002D2778"/>
    <w:rsid w:val="002D4EE6"/>
    <w:rsid w:val="002D57F9"/>
    <w:rsid w:val="002D5AD7"/>
    <w:rsid w:val="002D60C9"/>
    <w:rsid w:val="002D68CD"/>
    <w:rsid w:val="002E0E71"/>
    <w:rsid w:val="002E2A92"/>
    <w:rsid w:val="002E2C3E"/>
    <w:rsid w:val="002E3BA5"/>
    <w:rsid w:val="002E500F"/>
    <w:rsid w:val="002E682E"/>
    <w:rsid w:val="002E72A1"/>
    <w:rsid w:val="002E74F2"/>
    <w:rsid w:val="002E79E3"/>
    <w:rsid w:val="002F1677"/>
    <w:rsid w:val="002F1AD5"/>
    <w:rsid w:val="002F2757"/>
    <w:rsid w:val="002F2DC4"/>
    <w:rsid w:val="002F39B0"/>
    <w:rsid w:val="003007F4"/>
    <w:rsid w:val="00301304"/>
    <w:rsid w:val="0030242F"/>
    <w:rsid w:val="00302DE8"/>
    <w:rsid w:val="00312AB0"/>
    <w:rsid w:val="00312ECD"/>
    <w:rsid w:val="003134B0"/>
    <w:rsid w:val="00313B64"/>
    <w:rsid w:val="003147D1"/>
    <w:rsid w:val="0031566C"/>
    <w:rsid w:val="003157AA"/>
    <w:rsid w:val="00316085"/>
    <w:rsid w:val="00320401"/>
    <w:rsid w:val="00321ADF"/>
    <w:rsid w:val="00321BD8"/>
    <w:rsid w:val="00322839"/>
    <w:rsid w:val="003232AD"/>
    <w:rsid w:val="0032338E"/>
    <w:rsid w:val="00323CAE"/>
    <w:rsid w:val="00325689"/>
    <w:rsid w:val="00325DB4"/>
    <w:rsid w:val="00325FC1"/>
    <w:rsid w:val="003279E0"/>
    <w:rsid w:val="00330054"/>
    <w:rsid w:val="00330CD5"/>
    <w:rsid w:val="00330F42"/>
    <w:rsid w:val="0033260B"/>
    <w:rsid w:val="00332931"/>
    <w:rsid w:val="00333475"/>
    <w:rsid w:val="00336C31"/>
    <w:rsid w:val="003376E6"/>
    <w:rsid w:val="0034027F"/>
    <w:rsid w:val="00340D14"/>
    <w:rsid w:val="00342D9C"/>
    <w:rsid w:val="00342DEF"/>
    <w:rsid w:val="00343147"/>
    <w:rsid w:val="00346DEA"/>
    <w:rsid w:val="00347099"/>
    <w:rsid w:val="003470CC"/>
    <w:rsid w:val="00347BBB"/>
    <w:rsid w:val="003521DA"/>
    <w:rsid w:val="00356C22"/>
    <w:rsid w:val="00357A99"/>
    <w:rsid w:val="00357CE9"/>
    <w:rsid w:val="00357D75"/>
    <w:rsid w:val="00360E01"/>
    <w:rsid w:val="003612D4"/>
    <w:rsid w:val="00361B60"/>
    <w:rsid w:val="00363990"/>
    <w:rsid w:val="00363C9F"/>
    <w:rsid w:val="003645E3"/>
    <w:rsid w:val="003663E0"/>
    <w:rsid w:val="00371A4F"/>
    <w:rsid w:val="0037429A"/>
    <w:rsid w:val="00374CB4"/>
    <w:rsid w:val="00375268"/>
    <w:rsid w:val="00375A90"/>
    <w:rsid w:val="00375F18"/>
    <w:rsid w:val="00377788"/>
    <w:rsid w:val="00377EFB"/>
    <w:rsid w:val="00377F10"/>
    <w:rsid w:val="00380165"/>
    <w:rsid w:val="00380F89"/>
    <w:rsid w:val="00381E83"/>
    <w:rsid w:val="0038204D"/>
    <w:rsid w:val="003832B1"/>
    <w:rsid w:val="003876F4"/>
    <w:rsid w:val="00390176"/>
    <w:rsid w:val="003924E1"/>
    <w:rsid w:val="00393DE2"/>
    <w:rsid w:val="0039596C"/>
    <w:rsid w:val="00396AB8"/>
    <w:rsid w:val="00397F43"/>
    <w:rsid w:val="003A0820"/>
    <w:rsid w:val="003A205A"/>
    <w:rsid w:val="003A59B2"/>
    <w:rsid w:val="003A763A"/>
    <w:rsid w:val="003A7A91"/>
    <w:rsid w:val="003B0800"/>
    <w:rsid w:val="003B17D4"/>
    <w:rsid w:val="003B25B5"/>
    <w:rsid w:val="003B2771"/>
    <w:rsid w:val="003B2816"/>
    <w:rsid w:val="003B361B"/>
    <w:rsid w:val="003B4F85"/>
    <w:rsid w:val="003B6943"/>
    <w:rsid w:val="003C0381"/>
    <w:rsid w:val="003C1B6F"/>
    <w:rsid w:val="003C39F9"/>
    <w:rsid w:val="003C3E47"/>
    <w:rsid w:val="003C4D43"/>
    <w:rsid w:val="003C4D5D"/>
    <w:rsid w:val="003C4D87"/>
    <w:rsid w:val="003C5781"/>
    <w:rsid w:val="003C7E2F"/>
    <w:rsid w:val="003C7F85"/>
    <w:rsid w:val="003D0097"/>
    <w:rsid w:val="003D012B"/>
    <w:rsid w:val="003D02AA"/>
    <w:rsid w:val="003D0767"/>
    <w:rsid w:val="003D0DCE"/>
    <w:rsid w:val="003D19EF"/>
    <w:rsid w:val="003D2047"/>
    <w:rsid w:val="003D2F6B"/>
    <w:rsid w:val="003D388A"/>
    <w:rsid w:val="003D4A96"/>
    <w:rsid w:val="003D5826"/>
    <w:rsid w:val="003D6146"/>
    <w:rsid w:val="003D685D"/>
    <w:rsid w:val="003D7798"/>
    <w:rsid w:val="003D77F9"/>
    <w:rsid w:val="003E30B3"/>
    <w:rsid w:val="003E5B85"/>
    <w:rsid w:val="003E6055"/>
    <w:rsid w:val="003E6080"/>
    <w:rsid w:val="003F3BE9"/>
    <w:rsid w:val="003F408F"/>
    <w:rsid w:val="003F48C2"/>
    <w:rsid w:val="003F552B"/>
    <w:rsid w:val="003F5AB9"/>
    <w:rsid w:val="003F6C83"/>
    <w:rsid w:val="003F75F8"/>
    <w:rsid w:val="00401C43"/>
    <w:rsid w:val="00403F32"/>
    <w:rsid w:val="00404745"/>
    <w:rsid w:val="00405CA1"/>
    <w:rsid w:val="004068C5"/>
    <w:rsid w:val="0041010D"/>
    <w:rsid w:val="004101A0"/>
    <w:rsid w:val="00410CB7"/>
    <w:rsid w:val="00411EAC"/>
    <w:rsid w:val="00412CCC"/>
    <w:rsid w:val="00413514"/>
    <w:rsid w:val="00414194"/>
    <w:rsid w:val="0041773A"/>
    <w:rsid w:val="00417BA8"/>
    <w:rsid w:val="004203B0"/>
    <w:rsid w:val="00420A0A"/>
    <w:rsid w:val="004213DF"/>
    <w:rsid w:val="004221E6"/>
    <w:rsid w:val="0042255B"/>
    <w:rsid w:val="00424F30"/>
    <w:rsid w:val="00425665"/>
    <w:rsid w:val="00426E82"/>
    <w:rsid w:val="00427787"/>
    <w:rsid w:val="00431F31"/>
    <w:rsid w:val="004329C3"/>
    <w:rsid w:val="0043501C"/>
    <w:rsid w:val="00435BDF"/>
    <w:rsid w:val="00437648"/>
    <w:rsid w:val="0044078A"/>
    <w:rsid w:val="0044113C"/>
    <w:rsid w:val="00441BB3"/>
    <w:rsid w:val="00442275"/>
    <w:rsid w:val="00443F49"/>
    <w:rsid w:val="00444223"/>
    <w:rsid w:val="00446750"/>
    <w:rsid w:val="004467D9"/>
    <w:rsid w:val="00446AF6"/>
    <w:rsid w:val="004471EB"/>
    <w:rsid w:val="00447303"/>
    <w:rsid w:val="004476CA"/>
    <w:rsid w:val="004526DF"/>
    <w:rsid w:val="0045390F"/>
    <w:rsid w:val="0045530E"/>
    <w:rsid w:val="00460CB8"/>
    <w:rsid w:val="00462187"/>
    <w:rsid w:val="00463BC4"/>
    <w:rsid w:val="004640C1"/>
    <w:rsid w:val="00464962"/>
    <w:rsid w:val="00465948"/>
    <w:rsid w:val="0046659C"/>
    <w:rsid w:val="00466BD4"/>
    <w:rsid w:val="00466BEB"/>
    <w:rsid w:val="00466F9E"/>
    <w:rsid w:val="0046761D"/>
    <w:rsid w:val="004712B0"/>
    <w:rsid w:val="00472064"/>
    <w:rsid w:val="004748C3"/>
    <w:rsid w:val="00474F27"/>
    <w:rsid w:val="004763C0"/>
    <w:rsid w:val="00477F6E"/>
    <w:rsid w:val="0048016F"/>
    <w:rsid w:val="00481796"/>
    <w:rsid w:val="004819DF"/>
    <w:rsid w:val="00481FE8"/>
    <w:rsid w:val="004824C4"/>
    <w:rsid w:val="00485196"/>
    <w:rsid w:val="0048619A"/>
    <w:rsid w:val="00487409"/>
    <w:rsid w:val="00487D2B"/>
    <w:rsid w:val="00487FAF"/>
    <w:rsid w:val="004907CA"/>
    <w:rsid w:val="0049390D"/>
    <w:rsid w:val="00494D9E"/>
    <w:rsid w:val="004958C4"/>
    <w:rsid w:val="00496446"/>
    <w:rsid w:val="004968B8"/>
    <w:rsid w:val="004A06BB"/>
    <w:rsid w:val="004A07A9"/>
    <w:rsid w:val="004A0A08"/>
    <w:rsid w:val="004A2A48"/>
    <w:rsid w:val="004A3032"/>
    <w:rsid w:val="004A4DCC"/>
    <w:rsid w:val="004A6408"/>
    <w:rsid w:val="004A72C9"/>
    <w:rsid w:val="004B0FCB"/>
    <w:rsid w:val="004B3622"/>
    <w:rsid w:val="004B3F96"/>
    <w:rsid w:val="004B4208"/>
    <w:rsid w:val="004B44C2"/>
    <w:rsid w:val="004B4A74"/>
    <w:rsid w:val="004B5D58"/>
    <w:rsid w:val="004B69DA"/>
    <w:rsid w:val="004C3ED6"/>
    <w:rsid w:val="004C43B8"/>
    <w:rsid w:val="004C4EAE"/>
    <w:rsid w:val="004C5EDC"/>
    <w:rsid w:val="004C6BD8"/>
    <w:rsid w:val="004D0C15"/>
    <w:rsid w:val="004D1349"/>
    <w:rsid w:val="004D13E4"/>
    <w:rsid w:val="004D2459"/>
    <w:rsid w:val="004D34F7"/>
    <w:rsid w:val="004D52CE"/>
    <w:rsid w:val="004D534F"/>
    <w:rsid w:val="004D5D13"/>
    <w:rsid w:val="004D654A"/>
    <w:rsid w:val="004D6B39"/>
    <w:rsid w:val="004D7A18"/>
    <w:rsid w:val="004E04A7"/>
    <w:rsid w:val="004E13CA"/>
    <w:rsid w:val="004E2C90"/>
    <w:rsid w:val="004E315F"/>
    <w:rsid w:val="004E5B2A"/>
    <w:rsid w:val="004E7AB3"/>
    <w:rsid w:val="004F2FCD"/>
    <w:rsid w:val="004F36C7"/>
    <w:rsid w:val="004F4FBF"/>
    <w:rsid w:val="004F600E"/>
    <w:rsid w:val="004F6114"/>
    <w:rsid w:val="005016C9"/>
    <w:rsid w:val="00501C21"/>
    <w:rsid w:val="0050296C"/>
    <w:rsid w:val="00504857"/>
    <w:rsid w:val="005055C5"/>
    <w:rsid w:val="005067F8"/>
    <w:rsid w:val="005100F3"/>
    <w:rsid w:val="005117BA"/>
    <w:rsid w:val="005118ED"/>
    <w:rsid w:val="005126E4"/>
    <w:rsid w:val="00512B1D"/>
    <w:rsid w:val="005138A3"/>
    <w:rsid w:val="005156CD"/>
    <w:rsid w:val="00516725"/>
    <w:rsid w:val="00516A4E"/>
    <w:rsid w:val="00517D00"/>
    <w:rsid w:val="00520147"/>
    <w:rsid w:val="00521683"/>
    <w:rsid w:val="0052181B"/>
    <w:rsid w:val="00522145"/>
    <w:rsid w:val="00522885"/>
    <w:rsid w:val="00522EF7"/>
    <w:rsid w:val="00524407"/>
    <w:rsid w:val="00525D85"/>
    <w:rsid w:val="00527F7E"/>
    <w:rsid w:val="0053068D"/>
    <w:rsid w:val="0053070D"/>
    <w:rsid w:val="005315D9"/>
    <w:rsid w:val="00531A9B"/>
    <w:rsid w:val="00533BD1"/>
    <w:rsid w:val="005347DF"/>
    <w:rsid w:val="005352E8"/>
    <w:rsid w:val="00535797"/>
    <w:rsid w:val="005360B0"/>
    <w:rsid w:val="00536D46"/>
    <w:rsid w:val="00536E9A"/>
    <w:rsid w:val="00537EA4"/>
    <w:rsid w:val="00537EC6"/>
    <w:rsid w:val="005405A8"/>
    <w:rsid w:val="00540A0C"/>
    <w:rsid w:val="00541835"/>
    <w:rsid w:val="00541AC3"/>
    <w:rsid w:val="005431C6"/>
    <w:rsid w:val="005439A6"/>
    <w:rsid w:val="00544133"/>
    <w:rsid w:val="0054464A"/>
    <w:rsid w:val="00545237"/>
    <w:rsid w:val="00552A9C"/>
    <w:rsid w:val="005535A2"/>
    <w:rsid w:val="00553B3E"/>
    <w:rsid w:val="00553D94"/>
    <w:rsid w:val="00557258"/>
    <w:rsid w:val="005600C0"/>
    <w:rsid w:val="00560668"/>
    <w:rsid w:val="00561C6C"/>
    <w:rsid w:val="005623F6"/>
    <w:rsid w:val="0056242E"/>
    <w:rsid w:val="0056282E"/>
    <w:rsid w:val="00563429"/>
    <w:rsid w:val="005662B5"/>
    <w:rsid w:val="005663A1"/>
    <w:rsid w:val="005708AF"/>
    <w:rsid w:val="00570D37"/>
    <w:rsid w:val="00571089"/>
    <w:rsid w:val="00571B81"/>
    <w:rsid w:val="0057288A"/>
    <w:rsid w:val="00573062"/>
    <w:rsid w:val="00574570"/>
    <w:rsid w:val="00574F95"/>
    <w:rsid w:val="00575394"/>
    <w:rsid w:val="005755B2"/>
    <w:rsid w:val="00576EA5"/>
    <w:rsid w:val="0058242B"/>
    <w:rsid w:val="005848B1"/>
    <w:rsid w:val="0058555C"/>
    <w:rsid w:val="00585D70"/>
    <w:rsid w:val="005905F8"/>
    <w:rsid w:val="00590E44"/>
    <w:rsid w:val="00592143"/>
    <w:rsid w:val="00597C7B"/>
    <w:rsid w:val="005A1EDE"/>
    <w:rsid w:val="005A324F"/>
    <w:rsid w:val="005A6454"/>
    <w:rsid w:val="005A6FF5"/>
    <w:rsid w:val="005A7457"/>
    <w:rsid w:val="005A7864"/>
    <w:rsid w:val="005B078C"/>
    <w:rsid w:val="005B15B6"/>
    <w:rsid w:val="005B20A6"/>
    <w:rsid w:val="005B418B"/>
    <w:rsid w:val="005B5C6A"/>
    <w:rsid w:val="005B62AB"/>
    <w:rsid w:val="005B6569"/>
    <w:rsid w:val="005B6950"/>
    <w:rsid w:val="005C0242"/>
    <w:rsid w:val="005C036B"/>
    <w:rsid w:val="005C21D8"/>
    <w:rsid w:val="005C237D"/>
    <w:rsid w:val="005C2770"/>
    <w:rsid w:val="005C3A23"/>
    <w:rsid w:val="005D12A8"/>
    <w:rsid w:val="005D2017"/>
    <w:rsid w:val="005D22E4"/>
    <w:rsid w:val="005D4FA4"/>
    <w:rsid w:val="005D505F"/>
    <w:rsid w:val="005D5582"/>
    <w:rsid w:val="005D622E"/>
    <w:rsid w:val="005D6A33"/>
    <w:rsid w:val="005E0121"/>
    <w:rsid w:val="005E118D"/>
    <w:rsid w:val="005E1818"/>
    <w:rsid w:val="005E1D6D"/>
    <w:rsid w:val="005E2D55"/>
    <w:rsid w:val="005E2F01"/>
    <w:rsid w:val="005E5047"/>
    <w:rsid w:val="005E6371"/>
    <w:rsid w:val="005E639C"/>
    <w:rsid w:val="005E6ACC"/>
    <w:rsid w:val="005E73BF"/>
    <w:rsid w:val="005F4F90"/>
    <w:rsid w:val="00600444"/>
    <w:rsid w:val="00600CB3"/>
    <w:rsid w:val="0060174A"/>
    <w:rsid w:val="00602783"/>
    <w:rsid w:val="00603885"/>
    <w:rsid w:val="00604202"/>
    <w:rsid w:val="006043E6"/>
    <w:rsid w:val="0060483E"/>
    <w:rsid w:val="00605DF5"/>
    <w:rsid w:val="00606A7B"/>
    <w:rsid w:val="006070DF"/>
    <w:rsid w:val="00613DC8"/>
    <w:rsid w:val="00613F0F"/>
    <w:rsid w:val="00614901"/>
    <w:rsid w:val="00617EFD"/>
    <w:rsid w:val="00620280"/>
    <w:rsid w:val="00620494"/>
    <w:rsid w:val="00621582"/>
    <w:rsid w:val="00621642"/>
    <w:rsid w:val="00622B25"/>
    <w:rsid w:val="006232B6"/>
    <w:rsid w:val="006232DD"/>
    <w:rsid w:val="00623A92"/>
    <w:rsid w:val="0062411A"/>
    <w:rsid w:val="00624F24"/>
    <w:rsid w:val="006274DB"/>
    <w:rsid w:val="00630E63"/>
    <w:rsid w:val="006312D6"/>
    <w:rsid w:val="00631F95"/>
    <w:rsid w:val="006329A8"/>
    <w:rsid w:val="00633579"/>
    <w:rsid w:val="00633A20"/>
    <w:rsid w:val="0063418D"/>
    <w:rsid w:val="00634E26"/>
    <w:rsid w:val="00635DA7"/>
    <w:rsid w:val="00636182"/>
    <w:rsid w:val="0063639A"/>
    <w:rsid w:val="0063758F"/>
    <w:rsid w:val="00637E74"/>
    <w:rsid w:val="0064021D"/>
    <w:rsid w:val="00641D3F"/>
    <w:rsid w:val="00641D94"/>
    <w:rsid w:val="0064302C"/>
    <w:rsid w:val="0064344A"/>
    <w:rsid w:val="006435FE"/>
    <w:rsid w:val="0064378B"/>
    <w:rsid w:val="00644318"/>
    <w:rsid w:val="0064536B"/>
    <w:rsid w:val="00645988"/>
    <w:rsid w:val="00646F34"/>
    <w:rsid w:val="00647FE5"/>
    <w:rsid w:val="0065000E"/>
    <w:rsid w:val="006505BF"/>
    <w:rsid w:val="0065121E"/>
    <w:rsid w:val="00651361"/>
    <w:rsid w:val="00652C17"/>
    <w:rsid w:val="006533A0"/>
    <w:rsid w:val="00653B43"/>
    <w:rsid w:val="00653C7C"/>
    <w:rsid w:val="00653E85"/>
    <w:rsid w:val="00654FCB"/>
    <w:rsid w:val="0065749B"/>
    <w:rsid w:val="00657C45"/>
    <w:rsid w:val="0066302C"/>
    <w:rsid w:val="006631B0"/>
    <w:rsid w:val="00663BE2"/>
    <w:rsid w:val="006649A0"/>
    <w:rsid w:val="00664A18"/>
    <w:rsid w:val="006651FF"/>
    <w:rsid w:val="006666D1"/>
    <w:rsid w:val="00671656"/>
    <w:rsid w:val="00671F43"/>
    <w:rsid w:val="00672130"/>
    <w:rsid w:val="00672332"/>
    <w:rsid w:val="00672AC4"/>
    <w:rsid w:val="00672C85"/>
    <w:rsid w:val="006743FC"/>
    <w:rsid w:val="006746B6"/>
    <w:rsid w:val="00675E55"/>
    <w:rsid w:val="00677662"/>
    <w:rsid w:val="00680F1E"/>
    <w:rsid w:val="00685444"/>
    <w:rsid w:val="00686861"/>
    <w:rsid w:val="00687232"/>
    <w:rsid w:val="00687F0C"/>
    <w:rsid w:val="00687FB3"/>
    <w:rsid w:val="0069125D"/>
    <w:rsid w:val="00691862"/>
    <w:rsid w:val="00693516"/>
    <w:rsid w:val="006946DA"/>
    <w:rsid w:val="006951B4"/>
    <w:rsid w:val="00695E13"/>
    <w:rsid w:val="0069729A"/>
    <w:rsid w:val="0069746F"/>
    <w:rsid w:val="006A0366"/>
    <w:rsid w:val="006A08F2"/>
    <w:rsid w:val="006A1182"/>
    <w:rsid w:val="006A1984"/>
    <w:rsid w:val="006A1BE3"/>
    <w:rsid w:val="006A228E"/>
    <w:rsid w:val="006A3A3E"/>
    <w:rsid w:val="006A4587"/>
    <w:rsid w:val="006A5C1A"/>
    <w:rsid w:val="006B0D0E"/>
    <w:rsid w:val="006B1528"/>
    <w:rsid w:val="006B2D4C"/>
    <w:rsid w:val="006B4D10"/>
    <w:rsid w:val="006B58C4"/>
    <w:rsid w:val="006B7968"/>
    <w:rsid w:val="006C05BE"/>
    <w:rsid w:val="006C1723"/>
    <w:rsid w:val="006C4BDD"/>
    <w:rsid w:val="006C7B65"/>
    <w:rsid w:val="006C7FBC"/>
    <w:rsid w:val="006D1785"/>
    <w:rsid w:val="006D2330"/>
    <w:rsid w:val="006D3058"/>
    <w:rsid w:val="006D4EC9"/>
    <w:rsid w:val="006D631B"/>
    <w:rsid w:val="006D6C1D"/>
    <w:rsid w:val="006D712F"/>
    <w:rsid w:val="006D7215"/>
    <w:rsid w:val="006D79CF"/>
    <w:rsid w:val="006D7E63"/>
    <w:rsid w:val="006E2ADF"/>
    <w:rsid w:val="006E3E45"/>
    <w:rsid w:val="006E3F2A"/>
    <w:rsid w:val="006E6929"/>
    <w:rsid w:val="006E7139"/>
    <w:rsid w:val="006E7492"/>
    <w:rsid w:val="006E7980"/>
    <w:rsid w:val="006F112E"/>
    <w:rsid w:val="006F124E"/>
    <w:rsid w:val="006F163E"/>
    <w:rsid w:val="006F204F"/>
    <w:rsid w:val="006F392E"/>
    <w:rsid w:val="006F4A20"/>
    <w:rsid w:val="006F4ECA"/>
    <w:rsid w:val="006F59C6"/>
    <w:rsid w:val="006F70D4"/>
    <w:rsid w:val="007008AD"/>
    <w:rsid w:val="007031AF"/>
    <w:rsid w:val="00705084"/>
    <w:rsid w:val="00705B21"/>
    <w:rsid w:val="00711D8E"/>
    <w:rsid w:val="00712D17"/>
    <w:rsid w:val="00716249"/>
    <w:rsid w:val="007169B0"/>
    <w:rsid w:val="00716A9F"/>
    <w:rsid w:val="00716F98"/>
    <w:rsid w:val="007178D4"/>
    <w:rsid w:val="007201F3"/>
    <w:rsid w:val="00720358"/>
    <w:rsid w:val="007214B5"/>
    <w:rsid w:val="007216A0"/>
    <w:rsid w:val="007216A3"/>
    <w:rsid w:val="00722C23"/>
    <w:rsid w:val="007236A5"/>
    <w:rsid w:val="00723967"/>
    <w:rsid w:val="00724527"/>
    <w:rsid w:val="00724813"/>
    <w:rsid w:val="0072481F"/>
    <w:rsid w:val="007255F0"/>
    <w:rsid w:val="0072585A"/>
    <w:rsid w:val="007258B3"/>
    <w:rsid w:val="007263B1"/>
    <w:rsid w:val="00726B8F"/>
    <w:rsid w:val="0073110E"/>
    <w:rsid w:val="00731D1D"/>
    <w:rsid w:val="00733266"/>
    <w:rsid w:val="007336AC"/>
    <w:rsid w:val="007341CA"/>
    <w:rsid w:val="007342F3"/>
    <w:rsid w:val="00734509"/>
    <w:rsid w:val="00734A5F"/>
    <w:rsid w:val="00734DEF"/>
    <w:rsid w:val="00736863"/>
    <w:rsid w:val="00740624"/>
    <w:rsid w:val="00740F26"/>
    <w:rsid w:val="00741564"/>
    <w:rsid w:val="00742323"/>
    <w:rsid w:val="00745BDA"/>
    <w:rsid w:val="00745DDF"/>
    <w:rsid w:val="007506B1"/>
    <w:rsid w:val="0075099B"/>
    <w:rsid w:val="00750EA6"/>
    <w:rsid w:val="007548ED"/>
    <w:rsid w:val="00755B10"/>
    <w:rsid w:val="00755F7F"/>
    <w:rsid w:val="0075744D"/>
    <w:rsid w:val="00757AA5"/>
    <w:rsid w:val="0076076D"/>
    <w:rsid w:val="0076303D"/>
    <w:rsid w:val="00763612"/>
    <w:rsid w:val="0076394B"/>
    <w:rsid w:val="00763D0E"/>
    <w:rsid w:val="007654CF"/>
    <w:rsid w:val="0077047E"/>
    <w:rsid w:val="00771958"/>
    <w:rsid w:val="00772A39"/>
    <w:rsid w:val="00773ABB"/>
    <w:rsid w:val="00773FE4"/>
    <w:rsid w:val="00774D4E"/>
    <w:rsid w:val="0077508C"/>
    <w:rsid w:val="0077660E"/>
    <w:rsid w:val="00776FB4"/>
    <w:rsid w:val="0078072A"/>
    <w:rsid w:val="00780BFD"/>
    <w:rsid w:val="00783EE7"/>
    <w:rsid w:val="00786D18"/>
    <w:rsid w:val="00787D91"/>
    <w:rsid w:val="0079194B"/>
    <w:rsid w:val="007938B0"/>
    <w:rsid w:val="0079450F"/>
    <w:rsid w:val="00796570"/>
    <w:rsid w:val="00796E05"/>
    <w:rsid w:val="007A17B7"/>
    <w:rsid w:val="007A1DBE"/>
    <w:rsid w:val="007A20B6"/>
    <w:rsid w:val="007A574F"/>
    <w:rsid w:val="007A57C1"/>
    <w:rsid w:val="007A5A47"/>
    <w:rsid w:val="007A6376"/>
    <w:rsid w:val="007B0062"/>
    <w:rsid w:val="007B2AA3"/>
    <w:rsid w:val="007B2C75"/>
    <w:rsid w:val="007B3976"/>
    <w:rsid w:val="007B4140"/>
    <w:rsid w:val="007B47C9"/>
    <w:rsid w:val="007B54F5"/>
    <w:rsid w:val="007B651F"/>
    <w:rsid w:val="007B7487"/>
    <w:rsid w:val="007B7742"/>
    <w:rsid w:val="007C1AA2"/>
    <w:rsid w:val="007C1F5F"/>
    <w:rsid w:val="007C285D"/>
    <w:rsid w:val="007C3BD5"/>
    <w:rsid w:val="007C4287"/>
    <w:rsid w:val="007C5724"/>
    <w:rsid w:val="007C6DE1"/>
    <w:rsid w:val="007D2872"/>
    <w:rsid w:val="007D2AC9"/>
    <w:rsid w:val="007D2CC2"/>
    <w:rsid w:val="007D3B29"/>
    <w:rsid w:val="007D41E1"/>
    <w:rsid w:val="007D5FBB"/>
    <w:rsid w:val="007D606B"/>
    <w:rsid w:val="007D6BDF"/>
    <w:rsid w:val="007E0CC0"/>
    <w:rsid w:val="007E0F8F"/>
    <w:rsid w:val="007E1C83"/>
    <w:rsid w:val="007E3BC6"/>
    <w:rsid w:val="007E4422"/>
    <w:rsid w:val="007E47F8"/>
    <w:rsid w:val="007E52E9"/>
    <w:rsid w:val="007E71B4"/>
    <w:rsid w:val="007E7698"/>
    <w:rsid w:val="007F1729"/>
    <w:rsid w:val="007F2491"/>
    <w:rsid w:val="007F2E30"/>
    <w:rsid w:val="007F32A7"/>
    <w:rsid w:val="007F3308"/>
    <w:rsid w:val="007F4F59"/>
    <w:rsid w:val="007F587E"/>
    <w:rsid w:val="007F7BD4"/>
    <w:rsid w:val="008010D7"/>
    <w:rsid w:val="0080288A"/>
    <w:rsid w:val="00803709"/>
    <w:rsid w:val="008041A8"/>
    <w:rsid w:val="008048FF"/>
    <w:rsid w:val="00805FF0"/>
    <w:rsid w:val="0080649D"/>
    <w:rsid w:val="0080692D"/>
    <w:rsid w:val="00806ECD"/>
    <w:rsid w:val="00810809"/>
    <w:rsid w:val="00811FCD"/>
    <w:rsid w:val="008141DF"/>
    <w:rsid w:val="00814A4E"/>
    <w:rsid w:val="008165FD"/>
    <w:rsid w:val="00816E9C"/>
    <w:rsid w:val="00817138"/>
    <w:rsid w:val="00820C5D"/>
    <w:rsid w:val="00821190"/>
    <w:rsid w:val="00821B33"/>
    <w:rsid w:val="008236E8"/>
    <w:rsid w:val="0082383C"/>
    <w:rsid w:val="00824850"/>
    <w:rsid w:val="00824E12"/>
    <w:rsid w:val="00824EBD"/>
    <w:rsid w:val="00826B63"/>
    <w:rsid w:val="00827B94"/>
    <w:rsid w:val="008310CD"/>
    <w:rsid w:val="00832B9C"/>
    <w:rsid w:val="00832C59"/>
    <w:rsid w:val="00833E6F"/>
    <w:rsid w:val="00833ED4"/>
    <w:rsid w:val="00834187"/>
    <w:rsid w:val="00834F32"/>
    <w:rsid w:val="00835749"/>
    <w:rsid w:val="0084363F"/>
    <w:rsid w:val="00845FE2"/>
    <w:rsid w:val="008479D8"/>
    <w:rsid w:val="00851114"/>
    <w:rsid w:val="0085507D"/>
    <w:rsid w:val="00856E04"/>
    <w:rsid w:val="00857BBB"/>
    <w:rsid w:val="008607B9"/>
    <w:rsid w:val="00862A77"/>
    <w:rsid w:val="008633E1"/>
    <w:rsid w:val="008636FA"/>
    <w:rsid w:val="00863B22"/>
    <w:rsid w:val="00867471"/>
    <w:rsid w:val="008677BE"/>
    <w:rsid w:val="008679B0"/>
    <w:rsid w:val="008702E8"/>
    <w:rsid w:val="00870626"/>
    <w:rsid w:val="008716E4"/>
    <w:rsid w:val="00871AA9"/>
    <w:rsid w:val="00871ED1"/>
    <w:rsid w:val="00871F56"/>
    <w:rsid w:val="00873476"/>
    <w:rsid w:val="0087360C"/>
    <w:rsid w:val="00873EC2"/>
    <w:rsid w:val="008745B5"/>
    <w:rsid w:val="008746F6"/>
    <w:rsid w:val="008754E4"/>
    <w:rsid w:val="00875EEA"/>
    <w:rsid w:val="00876D43"/>
    <w:rsid w:val="00877634"/>
    <w:rsid w:val="00877841"/>
    <w:rsid w:val="008806DC"/>
    <w:rsid w:val="008811BA"/>
    <w:rsid w:val="00881297"/>
    <w:rsid w:val="00882670"/>
    <w:rsid w:val="00882C13"/>
    <w:rsid w:val="00885120"/>
    <w:rsid w:val="00890A20"/>
    <w:rsid w:val="0089181D"/>
    <w:rsid w:val="00891983"/>
    <w:rsid w:val="00893BC0"/>
    <w:rsid w:val="00894A1E"/>
    <w:rsid w:val="0089535D"/>
    <w:rsid w:val="00895853"/>
    <w:rsid w:val="008961F5"/>
    <w:rsid w:val="00896696"/>
    <w:rsid w:val="008976D7"/>
    <w:rsid w:val="008978C9"/>
    <w:rsid w:val="008A0123"/>
    <w:rsid w:val="008A0BD3"/>
    <w:rsid w:val="008A1972"/>
    <w:rsid w:val="008A4A84"/>
    <w:rsid w:val="008A5762"/>
    <w:rsid w:val="008A6930"/>
    <w:rsid w:val="008B0BDA"/>
    <w:rsid w:val="008B10CF"/>
    <w:rsid w:val="008B11EE"/>
    <w:rsid w:val="008B1DC3"/>
    <w:rsid w:val="008B3917"/>
    <w:rsid w:val="008B3AA4"/>
    <w:rsid w:val="008B55D0"/>
    <w:rsid w:val="008B787A"/>
    <w:rsid w:val="008C0D7C"/>
    <w:rsid w:val="008C0E9F"/>
    <w:rsid w:val="008C0ECD"/>
    <w:rsid w:val="008C2B67"/>
    <w:rsid w:val="008C3D8D"/>
    <w:rsid w:val="008C6314"/>
    <w:rsid w:val="008C7183"/>
    <w:rsid w:val="008C7B66"/>
    <w:rsid w:val="008D0CB0"/>
    <w:rsid w:val="008D1868"/>
    <w:rsid w:val="008D24B6"/>
    <w:rsid w:val="008D2750"/>
    <w:rsid w:val="008E062E"/>
    <w:rsid w:val="008E06FC"/>
    <w:rsid w:val="008E43E6"/>
    <w:rsid w:val="008E5DBF"/>
    <w:rsid w:val="008E63E9"/>
    <w:rsid w:val="008E66A8"/>
    <w:rsid w:val="008E7039"/>
    <w:rsid w:val="008F0454"/>
    <w:rsid w:val="008F267D"/>
    <w:rsid w:val="008F30F5"/>
    <w:rsid w:val="008F4205"/>
    <w:rsid w:val="008F4270"/>
    <w:rsid w:val="008F4625"/>
    <w:rsid w:val="008F4916"/>
    <w:rsid w:val="008F5496"/>
    <w:rsid w:val="008F6580"/>
    <w:rsid w:val="008F66CC"/>
    <w:rsid w:val="008F7686"/>
    <w:rsid w:val="009005E4"/>
    <w:rsid w:val="00900E03"/>
    <w:rsid w:val="009012DC"/>
    <w:rsid w:val="00902393"/>
    <w:rsid w:val="0090280C"/>
    <w:rsid w:val="00902CD9"/>
    <w:rsid w:val="0090526C"/>
    <w:rsid w:val="0090538D"/>
    <w:rsid w:val="00907622"/>
    <w:rsid w:val="00907EB2"/>
    <w:rsid w:val="009101BC"/>
    <w:rsid w:val="00911208"/>
    <w:rsid w:val="00911B40"/>
    <w:rsid w:val="00911E54"/>
    <w:rsid w:val="00915376"/>
    <w:rsid w:val="00915837"/>
    <w:rsid w:val="00915D5F"/>
    <w:rsid w:val="0092080C"/>
    <w:rsid w:val="00921B7B"/>
    <w:rsid w:val="00922683"/>
    <w:rsid w:val="0092274A"/>
    <w:rsid w:val="00923956"/>
    <w:rsid w:val="0092509E"/>
    <w:rsid w:val="00927ADA"/>
    <w:rsid w:val="00930133"/>
    <w:rsid w:val="009304B9"/>
    <w:rsid w:val="00931663"/>
    <w:rsid w:val="009328DC"/>
    <w:rsid w:val="009334B1"/>
    <w:rsid w:val="009347AE"/>
    <w:rsid w:val="009358EF"/>
    <w:rsid w:val="00936080"/>
    <w:rsid w:val="0093750B"/>
    <w:rsid w:val="00940947"/>
    <w:rsid w:val="00941C93"/>
    <w:rsid w:val="009426EB"/>
    <w:rsid w:val="0094306E"/>
    <w:rsid w:val="00945381"/>
    <w:rsid w:val="0094547B"/>
    <w:rsid w:val="00945D04"/>
    <w:rsid w:val="00946870"/>
    <w:rsid w:val="00946980"/>
    <w:rsid w:val="009477FA"/>
    <w:rsid w:val="00950210"/>
    <w:rsid w:val="0095052F"/>
    <w:rsid w:val="00950A88"/>
    <w:rsid w:val="00951DFD"/>
    <w:rsid w:val="009527A9"/>
    <w:rsid w:val="00954716"/>
    <w:rsid w:val="0095541C"/>
    <w:rsid w:val="009566B0"/>
    <w:rsid w:val="00957F27"/>
    <w:rsid w:val="00961532"/>
    <w:rsid w:val="0096179C"/>
    <w:rsid w:val="00962481"/>
    <w:rsid w:val="00962FBF"/>
    <w:rsid w:val="009646FE"/>
    <w:rsid w:val="00965076"/>
    <w:rsid w:val="009651D0"/>
    <w:rsid w:val="00966918"/>
    <w:rsid w:val="00966AA7"/>
    <w:rsid w:val="009711E6"/>
    <w:rsid w:val="009714EB"/>
    <w:rsid w:val="00971E85"/>
    <w:rsid w:val="00972E74"/>
    <w:rsid w:val="00973303"/>
    <w:rsid w:val="00973801"/>
    <w:rsid w:val="00973DAB"/>
    <w:rsid w:val="00974095"/>
    <w:rsid w:val="00975246"/>
    <w:rsid w:val="00977E8D"/>
    <w:rsid w:val="00980118"/>
    <w:rsid w:val="009803EA"/>
    <w:rsid w:val="0098106D"/>
    <w:rsid w:val="009820F4"/>
    <w:rsid w:val="00983913"/>
    <w:rsid w:val="00983AF8"/>
    <w:rsid w:val="00987827"/>
    <w:rsid w:val="00992439"/>
    <w:rsid w:val="009932C4"/>
    <w:rsid w:val="00993564"/>
    <w:rsid w:val="00994811"/>
    <w:rsid w:val="0099522B"/>
    <w:rsid w:val="00995865"/>
    <w:rsid w:val="00997827"/>
    <w:rsid w:val="009A2759"/>
    <w:rsid w:val="009A3661"/>
    <w:rsid w:val="009A5EBF"/>
    <w:rsid w:val="009A6660"/>
    <w:rsid w:val="009A6E3E"/>
    <w:rsid w:val="009A7B7E"/>
    <w:rsid w:val="009B016A"/>
    <w:rsid w:val="009B0408"/>
    <w:rsid w:val="009B21F3"/>
    <w:rsid w:val="009B2BC4"/>
    <w:rsid w:val="009B390E"/>
    <w:rsid w:val="009B4170"/>
    <w:rsid w:val="009B723C"/>
    <w:rsid w:val="009B7836"/>
    <w:rsid w:val="009C0B32"/>
    <w:rsid w:val="009C10D5"/>
    <w:rsid w:val="009C2643"/>
    <w:rsid w:val="009C3961"/>
    <w:rsid w:val="009C45CE"/>
    <w:rsid w:val="009D0130"/>
    <w:rsid w:val="009D04E8"/>
    <w:rsid w:val="009D0B3D"/>
    <w:rsid w:val="009D12E2"/>
    <w:rsid w:val="009D22BA"/>
    <w:rsid w:val="009D3EAE"/>
    <w:rsid w:val="009D4396"/>
    <w:rsid w:val="009D4C70"/>
    <w:rsid w:val="009D54BA"/>
    <w:rsid w:val="009D5782"/>
    <w:rsid w:val="009D6726"/>
    <w:rsid w:val="009D6B32"/>
    <w:rsid w:val="009E0193"/>
    <w:rsid w:val="009E0D3D"/>
    <w:rsid w:val="009E1CE5"/>
    <w:rsid w:val="009E2089"/>
    <w:rsid w:val="009E335A"/>
    <w:rsid w:val="009E3455"/>
    <w:rsid w:val="009E4FB0"/>
    <w:rsid w:val="009E65B1"/>
    <w:rsid w:val="009E6CB0"/>
    <w:rsid w:val="009E6CD6"/>
    <w:rsid w:val="009F09C7"/>
    <w:rsid w:val="009F128D"/>
    <w:rsid w:val="009F133B"/>
    <w:rsid w:val="009F1C76"/>
    <w:rsid w:val="009F2035"/>
    <w:rsid w:val="009F278B"/>
    <w:rsid w:val="009F2A3E"/>
    <w:rsid w:val="009F5BFA"/>
    <w:rsid w:val="009F653C"/>
    <w:rsid w:val="009F6BB2"/>
    <w:rsid w:val="009F736C"/>
    <w:rsid w:val="00A00DD9"/>
    <w:rsid w:val="00A0125A"/>
    <w:rsid w:val="00A03192"/>
    <w:rsid w:val="00A031C9"/>
    <w:rsid w:val="00A0330B"/>
    <w:rsid w:val="00A03776"/>
    <w:rsid w:val="00A03D93"/>
    <w:rsid w:val="00A04CDD"/>
    <w:rsid w:val="00A05097"/>
    <w:rsid w:val="00A05867"/>
    <w:rsid w:val="00A066A9"/>
    <w:rsid w:val="00A10EAF"/>
    <w:rsid w:val="00A132D3"/>
    <w:rsid w:val="00A13BDC"/>
    <w:rsid w:val="00A15F6E"/>
    <w:rsid w:val="00A16869"/>
    <w:rsid w:val="00A16E49"/>
    <w:rsid w:val="00A2312E"/>
    <w:rsid w:val="00A23553"/>
    <w:rsid w:val="00A23629"/>
    <w:rsid w:val="00A25C50"/>
    <w:rsid w:val="00A26C9B"/>
    <w:rsid w:val="00A2724F"/>
    <w:rsid w:val="00A27612"/>
    <w:rsid w:val="00A27FB0"/>
    <w:rsid w:val="00A30527"/>
    <w:rsid w:val="00A30553"/>
    <w:rsid w:val="00A31048"/>
    <w:rsid w:val="00A32877"/>
    <w:rsid w:val="00A3304F"/>
    <w:rsid w:val="00A33B00"/>
    <w:rsid w:val="00A34C4E"/>
    <w:rsid w:val="00A352E9"/>
    <w:rsid w:val="00A354C3"/>
    <w:rsid w:val="00A37246"/>
    <w:rsid w:val="00A376A5"/>
    <w:rsid w:val="00A410DC"/>
    <w:rsid w:val="00A4242D"/>
    <w:rsid w:val="00A42BCB"/>
    <w:rsid w:val="00A4394B"/>
    <w:rsid w:val="00A439F2"/>
    <w:rsid w:val="00A45E84"/>
    <w:rsid w:val="00A460A4"/>
    <w:rsid w:val="00A47617"/>
    <w:rsid w:val="00A47F4E"/>
    <w:rsid w:val="00A51EC1"/>
    <w:rsid w:val="00A52E07"/>
    <w:rsid w:val="00A53291"/>
    <w:rsid w:val="00A534AB"/>
    <w:rsid w:val="00A542D5"/>
    <w:rsid w:val="00A5568E"/>
    <w:rsid w:val="00A556C7"/>
    <w:rsid w:val="00A55A37"/>
    <w:rsid w:val="00A609B6"/>
    <w:rsid w:val="00A62939"/>
    <w:rsid w:val="00A62AB2"/>
    <w:rsid w:val="00A657FA"/>
    <w:rsid w:val="00A65B11"/>
    <w:rsid w:val="00A66B62"/>
    <w:rsid w:val="00A7037C"/>
    <w:rsid w:val="00A721A9"/>
    <w:rsid w:val="00A73AD4"/>
    <w:rsid w:val="00A745A4"/>
    <w:rsid w:val="00A76E66"/>
    <w:rsid w:val="00A7751B"/>
    <w:rsid w:val="00A7762D"/>
    <w:rsid w:val="00A817BE"/>
    <w:rsid w:val="00A83AAB"/>
    <w:rsid w:val="00A8532F"/>
    <w:rsid w:val="00A865B5"/>
    <w:rsid w:val="00A875AB"/>
    <w:rsid w:val="00A878F6"/>
    <w:rsid w:val="00A87AA5"/>
    <w:rsid w:val="00A918D1"/>
    <w:rsid w:val="00A9255E"/>
    <w:rsid w:val="00A9264E"/>
    <w:rsid w:val="00A933D4"/>
    <w:rsid w:val="00A94C72"/>
    <w:rsid w:val="00A95E19"/>
    <w:rsid w:val="00A9672F"/>
    <w:rsid w:val="00A96BF5"/>
    <w:rsid w:val="00A97C9B"/>
    <w:rsid w:val="00AA1B81"/>
    <w:rsid w:val="00AA3035"/>
    <w:rsid w:val="00AA3803"/>
    <w:rsid w:val="00AA3E46"/>
    <w:rsid w:val="00AA558C"/>
    <w:rsid w:val="00AB11F3"/>
    <w:rsid w:val="00AB18FB"/>
    <w:rsid w:val="00AB196D"/>
    <w:rsid w:val="00AB207A"/>
    <w:rsid w:val="00AB2FD0"/>
    <w:rsid w:val="00AB36C2"/>
    <w:rsid w:val="00AB3E76"/>
    <w:rsid w:val="00AB4CA8"/>
    <w:rsid w:val="00AB6982"/>
    <w:rsid w:val="00AB6BAE"/>
    <w:rsid w:val="00AB6F12"/>
    <w:rsid w:val="00AB74EB"/>
    <w:rsid w:val="00AC0158"/>
    <w:rsid w:val="00AC1952"/>
    <w:rsid w:val="00AC1DD6"/>
    <w:rsid w:val="00AC2CEE"/>
    <w:rsid w:val="00AC2F02"/>
    <w:rsid w:val="00AC2F55"/>
    <w:rsid w:val="00AC396E"/>
    <w:rsid w:val="00AC3E3F"/>
    <w:rsid w:val="00AC4B76"/>
    <w:rsid w:val="00AC5496"/>
    <w:rsid w:val="00AC6862"/>
    <w:rsid w:val="00AD0EAE"/>
    <w:rsid w:val="00AD34D8"/>
    <w:rsid w:val="00AD37EB"/>
    <w:rsid w:val="00AD413A"/>
    <w:rsid w:val="00AD48B2"/>
    <w:rsid w:val="00AD4E60"/>
    <w:rsid w:val="00AD62AB"/>
    <w:rsid w:val="00AD65E2"/>
    <w:rsid w:val="00AD775F"/>
    <w:rsid w:val="00AD7C2B"/>
    <w:rsid w:val="00AE0285"/>
    <w:rsid w:val="00AE062A"/>
    <w:rsid w:val="00AE1AD3"/>
    <w:rsid w:val="00AE2808"/>
    <w:rsid w:val="00AE37C2"/>
    <w:rsid w:val="00AE3DDF"/>
    <w:rsid w:val="00AE52A1"/>
    <w:rsid w:val="00AE548A"/>
    <w:rsid w:val="00AE771B"/>
    <w:rsid w:val="00AF2410"/>
    <w:rsid w:val="00AF48E7"/>
    <w:rsid w:val="00AF644F"/>
    <w:rsid w:val="00AF6E22"/>
    <w:rsid w:val="00B00D0E"/>
    <w:rsid w:val="00B01EFC"/>
    <w:rsid w:val="00B02B5D"/>
    <w:rsid w:val="00B0469C"/>
    <w:rsid w:val="00B066E6"/>
    <w:rsid w:val="00B07EBB"/>
    <w:rsid w:val="00B10331"/>
    <w:rsid w:val="00B1079A"/>
    <w:rsid w:val="00B10B58"/>
    <w:rsid w:val="00B10FE9"/>
    <w:rsid w:val="00B129E8"/>
    <w:rsid w:val="00B13877"/>
    <w:rsid w:val="00B14AA5"/>
    <w:rsid w:val="00B150FB"/>
    <w:rsid w:val="00B151F6"/>
    <w:rsid w:val="00B1544C"/>
    <w:rsid w:val="00B15903"/>
    <w:rsid w:val="00B17922"/>
    <w:rsid w:val="00B20651"/>
    <w:rsid w:val="00B23846"/>
    <w:rsid w:val="00B241F5"/>
    <w:rsid w:val="00B2487D"/>
    <w:rsid w:val="00B2628B"/>
    <w:rsid w:val="00B279AC"/>
    <w:rsid w:val="00B301D9"/>
    <w:rsid w:val="00B309FD"/>
    <w:rsid w:val="00B30D49"/>
    <w:rsid w:val="00B31ED9"/>
    <w:rsid w:val="00B321C7"/>
    <w:rsid w:val="00B3281E"/>
    <w:rsid w:val="00B342D9"/>
    <w:rsid w:val="00B343BA"/>
    <w:rsid w:val="00B3493A"/>
    <w:rsid w:val="00B3493C"/>
    <w:rsid w:val="00B34E58"/>
    <w:rsid w:val="00B3719D"/>
    <w:rsid w:val="00B37BFE"/>
    <w:rsid w:val="00B411D7"/>
    <w:rsid w:val="00B41343"/>
    <w:rsid w:val="00B41C00"/>
    <w:rsid w:val="00B421BE"/>
    <w:rsid w:val="00B4308F"/>
    <w:rsid w:val="00B44B03"/>
    <w:rsid w:val="00B4531F"/>
    <w:rsid w:val="00B50410"/>
    <w:rsid w:val="00B50763"/>
    <w:rsid w:val="00B50BF5"/>
    <w:rsid w:val="00B51FD0"/>
    <w:rsid w:val="00B5310F"/>
    <w:rsid w:val="00B54C11"/>
    <w:rsid w:val="00B557CA"/>
    <w:rsid w:val="00B568E9"/>
    <w:rsid w:val="00B56E54"/>
    <w:rsid w:val="00B57092"/>
    <w:rsid w:val="00B609CC"/>
    <w:rsid w:val="00B61F2F"/>
    <w:rsid w:val="00B628B6"/>
    <w:rsid w:val="00B64635"/>
    <w:rsid w:val="00B64C26"/>
    <w:rsid w:val="00B655B1"/>
    <w:rsid w:val="00B663C0"/>
    <w:rsid w:val="00B67F2B"/>
    <w:rsid w:val="00B701CD"/>
    <w:rsid w:val="00B72B0C"/>
    <w:rsid w:val="00B72B38"/>
    <w:rsid w:val="00B73F00"/>
    <w:rsid w:val="00B74EDA"/>
    <w:rsid w:val="00B751C2"/>
    <w:rsid w:val="00B77FCE"/>
    <w:rsid w:val="00B800C2"/>
    <w:rsid w:val="00B81F1C"/>
    <w:rsid w:val="00B849D9"/>
    <w:rsid w:val="00B84EFD"/>
    <w:rsid w:val="00B86534"/>
    <w:rsid w:val="00B86DBB"/>
    <w:rsid w:val="00B87CBA"/>
    <w:rsid w:val="00B905DF"/>
    <w:rsid w:val="00B90CF6"/>
    <w:rsid w:val="00BA0549"/>
    <w:rsid w:val="00BA2231"/>
    <w:rsid w:val="00BA4FB5"/>
    <w:rsid w:val="00BA5DF2"/>
    <w:rsid w:val="00BA707A"/>
    <w:rsid w:val="00BB2999"/>
    <w:rsid w:val="00BB6BBA"/>
    <w:rsid w:val="00BC021E"/>
    <w:rsid w:val="00BC143C"/>
    <w:rsid w:val="00BC316E"/>
    <w:rsid w:val="00BC3CC6"/>
    <w:rsid w:val="00BC45A0"/>
    <w:rsid w:val="00BC54D8"/>
    <w:rsid w:val="00BC5F0A"/>
    <w:rsid w:val="00BC6B8F"/>
    <w:rsid w:val="00BC74A9"/>
    <w:rsid w:val="00BD0259"/>
    <w:rsid w:val="00BD0B13"/>
    <w:rsid w:val="00BD34FE"/>
    <w:rsid w:val="00BD41C6"/>
    <w:rsid w:val="00BD6F2C"/>
    <w:rsid w:val="00BD7E1D"/>
    <w:rsid w:val="00BD7FF3"/>
    <w:rsid w:val="00BE100C"/>
    <w:rsid w:val="00BE129D"/>
    <w:rsid w:val="00BE3009"/>
    <w:rsid w:val="00BE46F9"/>
    <w:rsid w:val="00BE4942"/>
    <w:rsid w:val="00BE4D70"/>
    <w:rsid w:val="00BE7BAE"/>
    <w:rsid w:val="00BF0280"/>
    <w:rsid w:val="00BF03D4"/>
    <w:rsid w:val="00BF25EB"/>
    <w:rsid w:val="00BF3614"/>
    <w:rsid w:val="00BF5ED1"/>
    <w:rsid w:val="00BF6B39"/>
    <w:rsid w:val="00BF7E8F"/>
    <w:rsid w:val="00BF7F74"/>
    <w:rsid w:val="00C001FD"/>
    <w:rsid w:val="00C00E97"/>
    <w:rsid w:val="00C01634"/>
    <w:rsid w:val="00C01A95"/>
    <w:rsid w:val="00C01ECC"/>
    <w:rsid w:val="00C022F7"/>
    <w:rsid w:val="00C02732"/>
    <w:rsid w:val="00C03375"/>
    <w:rsid w:val="00C0384C"/>
    <w:rsid w:val="00C06CBF"/>
    <w:rsid w:val="00C1033B"/>
    <w:rsid w:val="00C10A64"/>
    <w:rsid w:val="00C11AF4"/>
    <w:rsid w:val="00C11CB4"/>
    <w:rsid w:val="00C13672"/>
    <w:rsid w:val="00C1392D"/>
    <w:rsid w:val="00C139D1"/>
    <w:rsid w:val="00C13A33"/>
    <w:rsid w:val="00C13B18"/>
    <w:rsid w:val="00C1442C"/>
    <w:rsid w:val="00C14A0E"/>
    <w:rsid w:val="00C14AD0"/>
    <w:rsid w:val="00C14E10"/>
    <w:rsid w:val="00C158FC"/>
    <w:rsid w:val="00C17392"/>
    <w:rsid w:val="00C1742F"/>
    <w:rsid w:val="00C2055F"/>
    <w:rsid w:val="00C2067C"/>
    <w:rsid w:val="00C20EC7"/>
    <w:rsid w:val="00C2189A"/>
    <w:rsid w:val="00C24B7F"/>
    <w:rsid w:val="00C25511"/>
    <w:rsid w:val="00C34389"/>
    <w:rsid w:val="00C35C23"/>
    <w:rsid w:val="00C372F0"/>
    <w:rsid w:val="00C40468"/>
    <w:rsid w:val="00C40634"/>
    <w:rsid w:val="00C41E1E"/>
    <w:rsid w:val="00C4223D"/>
    <w:rsid w:val="00C428C1"/>
    <w:rsid w:val="00C43E10"/>
    <w:rsid w:val="00C4406D"/>
    <w:rsid w:val="00C44FDA"/>
    <w:rsid w:val="00C461F7"/>
    <w:rsid w:val="00C47611"/>
    <w:rsid w:val="00C4798F"/>
    <w:rsid w:val="00C51DEE"/>
    <w:rsid w:val="00C524A4"/>
    <w:rsid w:val="00C52648"/>
    <w:rsid w:val="00C53DFE"/>
    <w:rsid w:val="00C53E71"/>
    <w:rsid w:val="00C55240"/>
    <w:rsid w:val="00C60B29"/>
    <w:rsid w:val="00C6149C"/>
    <w:rsid w:val="00C6206F"/>
    <w:rsid w:val="00C73759"/>
    <w:rsid w:val="00C73B92"/>
    <w:rsid w:val="00C74B0C"/>
    <w:rsid w:val="00C76751"/>
    <w:rsid w:val="00C8215A"/>
    <w:rsid w:val="00C844F3"/>
    <w:rsid w:val="00C84E26"/>
    <w:rsid w:val="00C8514D"/>
    <w:rsid w:val="00C858F9"/>
    <w:rsid w:val="00C8632D"/>
    <w:rsid w:val="00C868F5"/>
    <w:rsid w:val="00C87419"/>
    <w:rsid w:val="00C87C86"/>
    <w:rsid w:val="00C90499"/>
    <w:rsid w:val="00C9053F"/>
    <w:rsid w:val="00C90633"/>
    <w:rsid w:val="00C937FD"/>
    <w:rsid w:val="00C942AA"/>
    <w:rsid w:val="00C95264"/>
    <w:rsid w:val="00C95DAA"/>
    <w:rsid w:val="00C972FE"/>
    <w:rsid w:val="00CA0F43"/>
    <w:rsid w:val="00CA0FA2"/>
    <w:rsid w:val="00CA1024"/>
    <w:rsid w:val="00CA147F"/>
    <w:rsid w:val="00CA276C"/>
    <w:rsid w:val="00CA2C1E"/>
    <w:rsid w:val="00CA568C"/>
    <w:rsid w:val="00CA5EB1"/>
    <w:rsid w:val="00CA6BDF"/>
    <w:rsid w:val="00CA7A89"/>
    <w:rsid w:val="00CB1C88"/>
    <w:rsid w:val="00CB1FC6"/>
    <w:rsid w:val="00CB21A5"/>
    <w:rsid w:val="00CB3182"/>
    <w:rsid w:val="00CB4259"/>
    <w:rsid w:val="00CB4F62"/>
    <w:rsid w:val="00CB54DD"/>
    <w:rsid w:val="00CB5FB1"/>
    <w:rsid w:val="00CB67BE"/>
    <w:rsid w:val="00CB69CF"/>
    <w:rsid w:val="00CB79F3"/>
    <w:rsid w:val="00CB7AFC"/>
    <w:rsid w:val="00CB7F7D"/>
    <w:rsid w:val="00CC0947"/>
    <w:rsid w:val="00CC0E62"/>
    <w:rsid w:val="00CC1160"/>
    <w:rsid w:val="00CC2107"/>
    <w:rsid w:val="00CC4887"/>
    <w:rsid w:val="00CC5721"/>
    <w:rsid w:val="00CC5A18"/>
    <w:rsid w:val="00CD0F9C"/>
    <w:rsid w:val="00CD3F20"/>
    <w:rsid w:val="00CD5459"/>
    <w:rsid w:val="00CE130C"/>
    <w:rsid w:val="00CE2F0F"/>
    <w:rsid w:val="00CE3679"/>
    <w:rsid w:val="00CE44F1"/>
    <w:rsid w:val="00CE4849"/>
    <w:rsid w:val="00CE4ABA"/>
    <w:rsid w:val="00CE71F5"/>
    <w:rsid w:val="00CE74BD"/>
    <w:rsid w:val="00CE76B8"/>
    <w:rsid w:val="00CE78CF"/>
    <w:rsid w:val="00CE7904"/>
    <w:rsid w:val="00CF0A4F"/>
    <w:rsid w:val="00CF10F0"/>
    <w:rsid w:val="00CF13DA"/>
    <w:rsid w:val="00CF2100"/>
    <w:rsid w:val="00CF6B4D"/>
    <w:rsid w:val="00D001DD"/>
    <w:rsid w:val="00D01415"/>
    <w:rsid w:val="00D01BE1"/>
    <w:rsid w:val="00D03BE5"/>
    <w:rsid w:val="00D041AC"/>
    <w:rsid w:val="00D0446E"/>
    <w:rsid w:val="00D04B7A"/>
    <w:rsid w:val="00D05E3A"/>
    <w:rsid w:val="00D0713F"/>
    <w:rsid w:val="00D14E1B"/>
    <w:rsid w:val="00D1591E"/>
    <w:rsid w:val="00D15F56"/>
    <w:rsid w:val="00D1603C"/>
    <w:rsid w:val="00D16F75"/>
    <w:rsid w:val="00D17082"/>
    <w:rsid w:val="00D22201"/>
    <w:rsid w:val="00D226AE"/>
    <w:rsid w:val="00D22F2D"/>
    <w:rsid w:val="00D230CF"/>
    <w:rsid w:val="00D23BE4"/>
    <w:rsid w:val="00D2581F"/>
    <w:rsid w:val="00D2655C"/>
    <w:rsid w:val="00D2784E"/>
    <w:rsid w:val="00D27BEC"/>
    <w:rsid w:val="00D31EB0"/>
    <w:rsid w:val="00D325A0"/>
    <w:rsid w:val="00D32FFB"/>
    <w:rsid w:val="00D33110"/>
    <w:rsid w:val="00D35899"/>
    <w:rsid w:val="00D37E94"/>
    <w:rsid w:val="00D437A1"/>
    <w:rsid w:val="00D45A6E"/>
    <w:rsid w:val="00D47696"/>
    <w:rsid w:val="00D47F84"/>
    <w:rsid w:val="00D502F9"/>
    <w:rsid w:val="00D5138A"/>
    <w:rsid w:val="00D519C3"/>
    <w:rsid w:val="00D52D21"/>
    <w:rsid w:val="00D55D75"/>
    <w:rsid w:val="00D564AF"/>
    <w:rsid w:val="00D56F22"/>
    <w:rsid w:val="00D57C99"/>
    <w:rsid w:val="00D601DB"/>
    <w:rsid w:val="00D601E8"/>
    <w:rsid w:val="00D602D4"/>
    <w:rsid w:val="00D60403"/>
    <w:rsid w:val="00D6073B"/>
    <w:rsid w:val="00D60DCC"/>
    <w:rsid w:val="00D659CD"/>
    <w:rsid w:val="00D666D5"/>
    <w:rsid w:val="00D67FB4"/>
    <w:rsid w:val="00D7008D"/>
    <w:rsid w:val="00D71269"/>
    <w:rsid w:val="00D71D7B"/>
    <w:rsid w:val="00D73540"/>
    <w:rsid w:val="00D773A5"/>
    <w:rsid w:val="00D800E5"/>
    <w:rsid w:val="00D8160A"/>
    <w:rsid w:val="00D84F7B"/>
    <w:rsid w:val="00D85178"/>
    <w:rsid w:val="00D87A33"/>
    <w:rsid w:val="00D904EA"/>
    <w:rsid w:val="00D908A3"/>
    <w:rsid w:val="00D90BA1"/>
    <w:rsid w:val="00D9158E"/>
    <w:rsid w:val="00D92375"/>
    <w:rsid w:val="00D94917"/>
    <w:rsid w:val="00D95BED"/>
    <w:rsid w:val="00D95FF5"/>
    <w:rsid w:val="00D9630A"/>
    <w:rsid w:val="00D971E6"/>
    <w:rsid w:val="00D9742A"/>
    <w:rsid w:val="00DA0A3B"/>
    <w:rsid w:val="00DA1009"/>
    <w:rsid w:val="00DA22B2"/>
    <w:rsid w:val="00DA31DA"/>
    <w:rsid w:val="00DA3263"/>
    <w:rsid w:val="00DA3881"/>
    <w:rsid w:val="00DA5348"/>
    <w:rsid w:val="00DA57DA"/>
    <w:rsid w:val="00DB094C"/>
    <w:rsid w:val="00DB0C7C"/>
    <w:rsid w:val="00DB10A3"/>
    <w:rsid w:val="00DB2588"/>
    <w:rsid w:val="00DB273F"/>
    <w:rsid w:val="00DB2E23"/>
    <w:rsid w:val="00DB32D3"/>
    <w:rsid w:val="00DB3EEC"/>
    <w:rsid w:val="00DB4809"/>
    <w:rsid w:val="00DB5AF4"/>
    <w:rsid w:val="00DB7470"/>
    <w:rsid w:val="00DC1C0B"/>
    <w:rsid w:val="00DC202D"/>
    <w:rsid w:val="00DC23AF"/>
    <w:rsid w:val="00DC241F"/>
    <w:rsid w:val="00DC2573"/>
    <w:rsid w:val="00DC65B1"/>
    <w:rsid w:val="00DD0E8B"/>
    <w:rsid w:val="00DD226E"/>
    <w:rsid w:val="00DD2B7B"/>
    <w:rsid w:val="00DD428C"/>
    <w:rsid w:val="00DD47F4"/>
    <w:rsid w:val="00DD6311"/>
    <w:rsid w:val="00DD6A0B"/>
    <w:rsid w:val="00DD6C76"/>
    <w:rsid w:val="00DD71A7"/>
    <w:rsid w:val="00DD7301"/>
    <w:rsid w:val="00DD7EF0"/>
    <w:rsid w:val="00DE03AA"/>
    <w:rsid w:val="00DE0502"/>
    <w:rsid w:val="00DE110A"/>
    <w:rsid w:val="00DE17C6"/>
    <w:rsid w:val="00DE4071"/>
    <w:rsid w:val="00DE47F1"/>
    <w:rsid w:val="00DE787A"/>
    <w:rsid w:val="00DE7DE6"/>
    <w:rsid w:val="00DF10A1"/>
    <w:rsid w:val="00DF12A6"/>
    <w:rsid w:val="00DF1801"/>
    <w:rsid w:val="00DF2F70"/>
    <w:rsid w:val="00DF2F7C"/>
    <w:rsid w:val="00DF3BB7"/>
    <w:rsid w:val="00DF44A0"/>
    <w:rsid w:val="00DF44C3"/>
    <w:rsid w:val="00DF49C2"/>
    <w:rsid w:val="00DF64FA"/>
    <w:rsid w:val="00DF77F6"/>
    <w:rsid w:val="00E00D37"/>
    <w:rsid w:val="00E02DCB"/>
    <w:rsid w:val="00E052CC"/>
    <w:rsid w:val="00E10D49"/>
    <w:rsid w:val="00E12403"/>
    <w:rsid w:val="00E1398B"/>
    <w:rsid w:val="00E13C3A"/>
    <w:rsid w:val="00E14212"/>
    <w:rsid w:val="00E14551"/>
    <w:rsid w:val="00E155CD"/>
    <w:rsid w:val="00E15A90"/>
    <w:rsid w:val="00E17BEB"/>
    <w:rsid w:val="00E17C0F"/>
    <w:rsid w:val="00E20C13"/>
    <w:rsid w:val="00E22750"/>
    <w:rsid w:val="00E22925"/>
    <w:rsid w:val="00E245F2"/>
    <w:rsid w:val="00E246A6"/>
    <w:rsid w:val="00E26104"/>
    <w:rsid w:val="00E26624"/>
    <w:rsid w:val="00E31686"/>
    <w:rsid w:val="00E32DD6"/>
    <w:rsid w:val="00E330CD"/>
    <w:rsid w:val="00E3367F"/>
    <w:rsid w:val="00E34D35"/>
    <w:rsid w:val="00E359DA"/>
    <w:rsid w:val="00E405B2"/>
    <w:rsid w:val="00E409CB"/>
    <w:rsid w:val="00E45075"/>
    <w:rsid w:val="00E45377"/>
    <w:rsid w:val="00E45A24"/>
    <w:rsid w:val="00E45D2F"/>
    <w:rsid w:val="00E50565"/>
    <w:rsid w:val="00E50F51"/>
    <w:rsid w:val="00E52DB3"/>
    <w:rsid w:val="00E5403B"/>
    <w:rsid w:val="00E5495F"/>
    <w:rsid w:val="00E55B1C"/>
    <w:rsid w:val="00E55C80"/>
    <w:rsid w:val="00E57FD4"/>
    <w:rsid w:val="00E601C0"/>
    <w:rsid w:val="00E60211"/>
    <w:rsid w:val="00E60BE0"/>
    <w:rsid w:val="00E61EF0"/>
    <w:rsid w:val="00E62B60"/>
    <w:rsid w:val="00E6377E"/>
    <w:rsid w:val="00E63882"/>
    <w:rsid w:val="00E64D9D"/>
    <w:rsid w:val="00E66C55"/>
    <w:rsid w:val="00E706D7"/>
    <w:rsid w:val="00E70A5B"/>
    <w:rsid w:val="00E70AC4"/>
    <w:rsid w:val="00E7108D"/>
    <w:rsid w:val="00E74085"/>
    <w:rsid w:val="00E7487B"/>
    <w:rsid w:val="00E75099"/>
    <w:rsid w:val="00E750DC"/>
    <w:rsid w:val="00E7548C"/>
    <w:rsid w:val="00E8050A"/>
    <w:rsid w:val="00E807B5"/>
    <w:rsid w:val="00E8105E"/>
    <w:rsid w:val="00E81EFD"/>
    <w:rsid w:val="00E830BF"/>
    <w:rsid w:val="00E83385"/>
    <w:rsid w:val="00E841FB"/>
    <w:rsid w:val="00E845B9"/>
    <w:rsid w:val="00E8492B"/>
    <w:rsid w:val="00E854EE"/>
    <w:rsid w:val="00E90256"/>
    <w:rsid w:val="00E90946"/>
    <w:rsid w:val="00E92127"/>
    <w:rsid w:val="00E93D6E"/>
    <w:rsid w:val="00E944D8"/>
    <w:rsid w:val="00E947AB"/>
    <w:rsid w:val="00E961EE"/>
    <w:rsid w:val="00E96539"/>
    <w:rsid w:val="00E96F96"/>
    <w:rsid w:val="00E978E7"/>
    <w:rsid w:val="00EA03AB"/>
    <w:rsid w:val="00EA5964"/>
    <w:rsid w:val="00EA639A"/>
    <w:rsid w:val="00EA66E7"/>
    <w:rsid w:val="00EA697C"/>
    <w:rsid w:val="00EA7F8D"/>
    <w:rsid w:val="00EB02B5"/>
    <w:rsid w:val="00EB10BF"/>
    <w:rsid w:val="00EB28FC"/>
    <w:rsid w:val="00EB3C57"/>
    <w:rsid w:val="00EB4A59"/>
    <w:rsid w:val="00EB5BEB"/>
    <w:rsid w:val="00EB7F27"/>
    <w:rsid w:val="00EC0974"/>
    <w:rsid w:val="00EC2C22"/>
    <w:rsid w:val="00EC2DDB"/>
    <w:rsid w:val="00EC3A1B"/>
    <w:rsid w:val="00EC4D74"/>
    <w:rsid w:val="00EC50EA"/>
    <w:rsid w:val="00ED0286"/>
    <w:rsid w:val="00ED0F4C"/>
    <w:rsid w:val="00ED239B"/>
    <w:rsid w:val="00ED3BAF"/>
    <w:rsid w:val="00ED3D20"/>
    <w:rsid w:val="00ED59F5"/>
    <w:rsid w:val="00ED7A4C"/>
    <w:rsid w:val="00EE1257"/>
    <w:rsid w:val="00EE1725"/>
    <w:rsid w:val="00EE17AD"/>
    <w:rsid w:val="00EE42F0"/>
    <w:rsid w:val="00EE62CF"/>
    <w:rsid w:val="00EE6427"/>
    <w:rsid w:val="00EE7040"/>
    <w:rsid w:val="00EE74EC"/>
    <w:rsid w:val="00EF2481"/>
    <w:rsid w:val="00EF4C33"/>
    <w:rsid w:val="00EF5FA8"/>
    <w:rsid w:val="00EF7A9C"/>
    <w:rsid w:val="00F00F83"/>
    <w:rsid w:val="00F013A3"/>
    <w:rsid w:val="00F02D7A"/>
    <w:rsid w:val="00F02E00"/>
    <w:rsid w:val="00F037B1"/>
    <w:rsid w:val="00F04046"/>
    <w:rsid w:val="00F0454F"/>
    <w:rsid w:val="00F04C71"/>
    <w:rsid w:val="00F05B04"/>
    <w:rsid w:val="00F05EDF"/>
    <w:rsid w:val="00F11BE2"/>
    <w:rsid w:val="00F11CFA"/>
    <w:rsid w:val="00F12551"/>
    <w:rsid w:val="00F1308A"/>
    <w:rsid w:val="00F14345"/>
    <w:rsid w:val="00F145AD"/>
    <w:rsid w:val="00F15A91"/>
    <w:rsid w:val="00F15C89"/>
    <w:rsid w:val="00F163D1"/>
    <w:rsid w:val="00F16D8E"/>
    <w:rsid w:val="00F16F6B"/>
    <w:rsid w:val="00F17E15"/>
    <w:rsid w:val="00F20BF2"/>
    <w:rsid w:val="00F22927"/>
    <w:rsid w:val="00F234D5"/>
    <w:rsid w:val="00F23BDA"/>
    <w:rsid w:val="00F23E63"/>
    <w:rsid w:val="00F252DD"/>
    <w:rsid w:val="00F2585A"/>
    <w:rsid w:val="00F25C2D"/>
    <w:rsid w:val="00F261BB"/>
    <w:rsid w:val="00F26291"/>
    <w:rsid w:val="00F269ED"/>
    <w:rsid w:val="00F27E4F"/>
    <w:rsid w:val="00F30059"/>
    <w:rsid w:val="00F3386C"/>
    <w:rsid w:val="00F40BB4"/>
    <w:rsid w:val="00F41E98"/>
    <w:rsid w:val="00F4313F"/>
    <w:rsid w:val="00F44402"/>
    <w:rsid w:val="00F445CD"/>
    <w:rsid w:val="00F44802"/>
    <w:rsid w:val="00F44ACF"/>
    <w:rsid w:val="00F44B4E"/>
    <w:rsid w:val="00F45EFC"/>
    <w:rsid w:val="00F46904"/>
    <w:rsid w:val="00F47216"/>
    <w:rsid w:val="00F4760F"/>
    <w:rsid w:val="00F5039E"/>
    <w:rsid w:val="00F511CF"/>
    <w:rsid w:val="00F53603"/>
    <w:rsid w:val="00F53DDD"/>
    <w:rsid w:val="00F5533F"/>
    <w:rsid w:val="00F576CF"/>
    <w:rsid w:val="00F57A40"/>
    <w:rsid w:val="00F607EE"/>
    <w:rsid w:val="00F6105F"/>
    <w:rsid w:val="00F641A3"/>
    <w:rsid w:val="00F6517F"/>
    <w:rsid w:val="00F6519F"/>
    <w:rsid w:val="00F65526"/>
    <w:rsid w:val="00F65CC6"/>
    <w:rsid w:val="00F6687D"/>
    <w:rsid w:val="00F675B0"/>
    <w:rsid w:val="00F704E8"/>
    <w:rsid w:val="00F727BE"/>
    <w:rsid w:val="00F729A3"/>
    <w:rsid w:val="00F72EF8"/>
    <w:rsid w:val="00F736E1"/>
    <w:rsid w:val="00F7371D"/>
    <w:rsid w:val="00F74125"/>
    <w:rsid w:val="00F76A1E"/>
    <w:rsid w:val="00F76FE2"/>
    <w:rsid w:val="00F77586"/>
    <w:rsid w:val="00F802D1"/>
    <w:rsid w:val="00F8067B"/>
    <w:rsid w:val="00F852D2"/>
    <w:rsid w:val="00F865D6"/>
    <w:rsid w:val="00F87CB0"/>
    <w:rsid w:val="00F901CD"/>
    <w:rsid w:val="00F92B93"/>
    <w:rsid w:val="00F93D8A"/>
    <w:rsid w:val="00F96661"/>
    <w:rsid w:val="00F96B7B"/>
    <w:rsid w:val="00F974B8"/>
    <w:rsid w:val="00FA1A91"/>
    <w:rsid w:val="00FA219E"/>
    <w:rsid w:val="00FA2FEF"/>
    <w:rsid w:val="00FA4267"/>
    <w:rsid w:val="00FA45C4"/>
    <w:rsid w:val="00FA5A4E"/>
    <w:rsid w:val="00FA6DE9"/>
    <w:rsid w:val="00FB033B"/>
    <w:rsid w:val="00FB03B6"/>
    <w:rsid w:val="00FB167E"/>
    <w:rsid w:val="00FB1BD6"/>
    <w:rsid w:val="00FB3849"/>
    <w:rsid w:val="00FB4F15"/>
    <w:rsid w:val="00FB4FFE"/>
    <w:rsid w:val="00FC04E1"/>
    <w:rsid w:val="00FC22C2"/>
    <w:rsid w:val="00FC3FB6"/>
    <w:rsid w:val="00FC48FB"/>
    <w:rsid w:val="00FC5AE1"/>
    <w:rsid w:val="00FD050A"/>
    <w:rsid w:val="00FD05DE"/>
    <w:rsid w:val="00FD2B27"/>
    <w:rsid w:val="00FD3FB5"/>
    <w:rsid w:val="00FD5A58"/>
    <w:rsid w:val="00FD6F19"/>
    <w:rsid w:val="00FE30CC"/>
    <w:rsid w:val="00FE3262"/>
    <w:rsid w:val="00FE5E34"/>
    <w:rsid w:val="00FE6384"/>
    <w:rsid w:val="00FE7257"/>
    <w:rsid w:val="00FF08D6"/>
    <w:rsid w:val="00FF0C5C"/>
    <w:rsid w:val="00FF0CB2"/>
    <w:rsid w:val="00FF13EA"/>
    <w:rsid w:val="00FF1998"/>
    <w:rsid w:val="00FF2A11"/>
    <w:rsid w:val="00FF2B8A"/>
    <w:rsid w:val="00FF49C0"/>
    <w:rsid w:val="00FF4E2B"/>
    <w:rsid w:val="00FF6F3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01C39697-B2EB-4FE6-BDFD-38157FD2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B20651"/>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ind w:left="68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99"/>
    <w:qFormat/>
    <w:pPr>
      <w:ind w:left="720"/>
    </w:pPr>
  </w:style>
  <w:style w:type="character" w:customStyle="1" w:styleId="Heading2Char">
    <w:name w:val="Heading 2 Char"/>
    <w:basedOn w:val="DefaultParagraphFont"/>
    <w:link w:val="Heading2"/>
    <w:uiPriority w:val="3"/>
    <w:rsid w:val="00B20651"/>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B87CBA"/>
    <w:pPr>
      <w:keepNext/>
      <w:spacing w:before="120" w:after="120" w:line="240" w:lineRule="auto"/>
      <w:jc w:val="both"/>
    </w:pPr>
    <w:rPr>
      <w:rFonts w:ascii="Arial" w:eastAsiaTheme="minorEastAsia" w:hAnsi="Arial"/>
      <w:sz w:val="18"/>
      <w:szCs w:val="20"/>
      <w:lang w:val="en-NZ" w:bidi="en-US"/>
    </w:rPr>
  </w:style>
  <w:style w:type="paragraph" w:customStyle="1" w:styleId="Table1caption">
    <w:name w:val="Table 1 caption"/>
    <w:basedOn w:val="Normal"/>
    <w:link w:val="Table1captionChar"/>
    <w:qFormat/>
    <w:rsid w:val="00FF6F31"/>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FF6F31"/>
    <w:rPr>
      <w:rFonts w:ascii="Myriad Pro" w:eastAsiaTheme="minorEastAsia" w:hAnsi="Myriad Pro" w:cstheme="minorHAnsi"/>
      <w:b/>
      <w:sz w:val="18"/>
      <w:szCs w:val="18"/>
      <w:lang w:val="en-US" w:eastAsia="en-US" w:bidi="en-US"/>
    </w:rPr>
  </w:style>
  <w:style w:type="paragraph" w:styleId="BodyText">
    <w:name w:val="Body Text"/>
    <w:link w:val="BodyTextChar"/>
    <w:qFormat/>
    <w:rsid w:val="003F552B"/>
    <w:pPr>
      <w:spacing w:before="120" w:after="120" w:line="264" w:lineRule="auto"/>
    </w:pPr>
    <w:rPr>
      <w:rFonts w:ascii="Calibri" w:eastAsia="Calibri" w:hAnsi="Calibri"/>
      <w:color w:val="000000"/>
      <w:sz w:val="22"/>
      <w:szCs w:val="22"/>
    </w:rPr>
  </w:style>
  <w:style w:type="character" w:customStyle="1" w:styleId="BodyTextChar">
    <w:name w:val="Body Text Char"/>
    <w:basedOn w:val="DefaultParagraphFont"/>
    <w:link w:val="BodyText"/>
    <w:rsid w:val="003F552B"/>
    <w:rPr>
      <w:rFonts w:ascii="Calibri" w:eastAsia="Calibri" w:hAnsi="Calibri"/>
      <w:color w:val="000000"/>
      <w:sz w:val="22"/>
      <w:szCs w:val="22"/>
    </w:rPr>
  </w:style>
  <w:style w:type="character" w:customStyle="1" w:styleId="ListParagraphChar">
    <w:name w:val="List Paragraph Char"/>
    <w:basedOn w:val="DefaultParagraphFont"/>
    <w:link w:val="ListParagraph"/>
    <w:uiPriority w:val="99"/>
    <w:rsid w:val="000B5875"/>
    <w:rPr>
      <w:rFonts w:asciiTheme="minorHAnsi" w:eastAsiaTheme="minorHAnsi" w:hAnsiTheme="minorHAnsi" w:cstheme="minorBidi"/>
      <w:sz w:val="22"/>
      <w:szCs w:val="22"/>
      <w:lang w:eastAsia="en-US"/>
    </w:rPr>
  </w:style>
  <w:style w:type="character" w:styleId="LineNumber">
    <w:name w:val="line number"/>
    <w:basedOn w:val="DefaultParagraphFont"/>
    <w:uiPriority w:val="99"/>
    <w:semiHidden/>
    <w:unhideWhenUsed/>
    <w:rsid w:val="00B13877"/>
  </w:style>
  <w:style w:type="table" w:customStyle="1" w:styleId="TableTxt1">
    <w:name w:val="Table Txt1"/>
    <w:basedOn w:val="TableNormal"/>
    <w:next w:val="TableGrid"/>
    <w:rsid w:val="007B3976"/>
    <w:pPr>
      <w:spacing w:after="120"/>
    </w:pPr>
    <w:rPr>
      <w:rFonts w:ascii="Calibri" w:eastAsia="Calibri" w:hAnsi="Calibri"/>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UnresolvedMention">
    <w:name w:val="Unresolved Mention"/>
    <w:basedOn w:val="DefaultParagraphFont"/>
    <w:uiPriority w:val="99"/>
    <w:semiHidden/>
    <w:unhideWhenUsed/>
    <w:rsid w:val="004213DF"/>
    <w:rPr>
      <w:color w:val="605E5C"/>
      <w:shd w:val="clear" w:color="auto" w:fill="E1DFDD"/>
    </w:rPr>
  </w:style>
  <w:style w:type="paragraph" w:styleId="PlainText">
    <w:name w:val="Plain Text"/>
    <w:basedOn w:val="Normal"/>
    <w:link w:val="PlainTextChar"/>
    <w:uiPriority w:val="99"/>
    <w:semiHidden/>
    <w:unhideWhenUsed/>
    <w:rsid w:val="00672C85"/>
    <w:pPr>
      <w:spacing w:after="0" w:line="240" w:lineRule="auto"/>
    </w:pPr>
    <w:rPr>
      <w:rFonts w:ascii="Calibri" w:hAnsi="Calibri" w:cs="Times New Roman"/>
      <w:sz w:val="24"/>
      <w:szCs w:val="24"/>
    </w:rPr>
  </w:style>
  <w:style w:type="character" w:customStyle="1" w:styleId="PlainTextChar">
    <w:name w:val="Plain Text Char"/>
    <w:basedOn w:val="DefaultParagraphFont"/>
    <w:link w:val="PlainText"/>
    <w:uiPriority w:val="99"/>
    <w:semiHidden/>
    <w:rsid w:val="00672C85"/>
    <w:rPr>
      <w:rFonts w:ascii="Calibri" w:eastAsiaTheme="minorHAns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344585">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21472194">
      <w:bodyDiv w:val="1"/>
      <w:marLeft w:val="0"/>
      <w:marRight w:val="0"/>
      <w:marTop w:val="0"/>
      <w:marBottom w:val="0"/>
      <w:divBdr>
        <w:top w:val="none" w:sz="0" w:space="0" w:color="auto"/>
        <w:left w:val="none" w:sz="0" w:space="0" w:color="auto"/>
        <w:bottom w:val="none" w:sz="0" w:space="0" w:color="auto"/>
        <w:right w:val="none" w:sz="0" w:space="0" w:color="auto"/>
      </w:divBdr>
    </w:div>
    <w:div w:id="32632480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848969">
      <w:bodyDiv w:val="1"/>
      <w:marLeft w:val="0"/>
      <w:marRight w:val="0"/>
      <w:marTop w:val="0"/>
      <w:marBottom w:val="0"/>
      <w:divBdr>
        <w:top w:val="none" w:sz="0" w:space="0" w:color="auto"/>
        <w:left w:val="none" w:sz="0" w:space="0" w:color="auto"/>
        <w:bottom w:val="none" w:sz="0" w:space="0" w:color="auto"/>
        <w:right w:val="none" w:sz="0" w:space="0" w:color="auto"/>
      </w:divBdr>
    </w:div>
    <w:div w:id="394012199">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53185">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4779">
      <w:bodyDiv w:val="1"/>
      <w:marLeft w:val="0"/>
      <w:marRight w:val="0"/>
      <w:marTop w:val="0"/>
      <w:marBottom w:val="0"/>
      <w:divBdr>
        <w:top w:val="none" w:sz="0" w:space="0" w:color="auto"/>
        <w:left w:val="none" w:sz="0" w:space="0" w:color="auto"/>
        <w:bottom w:val="none" w:sz="0" w:space="0" w:color="auto"/>
        <w:right w:val="none" w:sz="0" w:space="0" w:color="auto"/>
      </w:divBdr>
    </w:div>
    <w:div w:id="1227648162">
      <w:bodyDiv w:val="1"/>
      <w:marLeft w:val="0"/>
      <w:marRight w:val="0"/>
      <w:marTop w:val="0"/>
      <w:marBottom w:val="0"/>
      <w:divBdr>
        <w:top w:val="none" w:sz="0" w:space="0" w:color="auto"/>
        <w:left w:val="none" w:sz="0" w:space="0" w:color="auto"/>
        <w:bottom w:val="none" w:sz="0" w:space="0" w:color="auto"/>
        <w:right w:val="none" w:sz="0" w:space="0" w:color="auto"/>
      </w:divBdr>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772875">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972697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393733">
      <w:bodyDiv w:val="1"/>
      <w:marLeft w:val="0"/>
      <w:marRight w:val="0"/>
      <w:marTop w:val="0"/>
      <w:marBottom w:val="0"/>
      <w:divBdr>
        <w:top w:val="none" w:sz="0" w:space="0" w:color="auto"/>
        <w:left w:val="none" w:sz="0" w:space="0" w:color="auto"/>
        <w:bottom w:val="none" w:sz="0" w:space="0" w:color="auto"/>
        <w:right w:val="none" w:sz="0" w:space="0" w:color="auto"/>
      </w:divBdr>
      <w:divsChild>
        <w:div w:id="1901211630">
          <w:marLeft w:val="0"/>
          <w:marRight w:val="0"/>
          <w:marTop w:val="0"/>
          <w:marBottom w:val="0"/>
          <w:divBdr>
            <w:top w:val="none" w:sz="0" w:space="0" w:color="auto"/>
            <w:left w:val="none" w:sz="0" w:space="0" w:color="auto"/>
            <w:bottom w:val="none" w:sz="0" w:space="0" w:color="auto"/>
            <w:right w:val="none" w:sz="0" w:space="0" w:color="auto"/>
          </w:divBdr>
          <w:divsChild>
            <w:div w:id="1086341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5092589">
      <w:bodyDiv w:val="1"/>
      <w:marLeft w:val="0"/>
      <w:marRight w:val="0"/>
      <w:marTop w:val="0"/>
      <w:marBottom w:val="0"/>
      <w:divBdr>
        <w:top w:val="none" w:sz="0" w:space="0" w:color="auto"/>
        <w:left w:val="none" w:sz="0" w:space="0" w:color="auto"/>
        <w:bottom w:val="none" w:sz="0" w:space="0" w:color="auto"/>
        <w:right w:val="none" w:sz="0" w:space="0" w:color="auto"/>
      </w:divBdr>
      <w:divsChild>
        <w:div w:id="1459450465">
          <w:marLeft w:val="0"/>
          <w:marRight w:val="0"/>
          <w:marTop w:val="0"/>
          <w:marBottom w:val="0"/>
          <w:divBdr>
            <w:top w:val="none" w:sz="0" w:space="0" w:color="auto"/>
            <w:left w:val="none" w:sz="0" w:space="0" w:color="auto"/>
            <w:bottom w:val="none" w:sz="0" w:space="0" w:color="auto"/>
            <w:right w:val="none" w:sz="0" w:space="0" w:color="auto"/>
          </w:divBdr>
        </w:div>
        <w:div w:id="440757358">
          <w:marLeft w:val="0"/>
          <w:marRight w:val="0"/>
          <w:marTop w:val="0"/>
          <w:marBottom w:val="0"/>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362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0396">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2439426">
      <w:bodyDiv w:val="1"/>
      <w:marLeft w:val="0"/>
      <w:marRight w:val="0"/>
      <w:marTop w:val="0"/>
      <w:marBottom w:val="0"/>
      <w:divBdr>
        <w:top w:val="none" w:sz="0" w:space="0" w:color="auto"/>
        <w:left w:val="none" w:sz="0" w:space="0" w:color="auto"/>
        <w:bottom w:val="none" w:sz="0" w:space="0" w:color="auto"/>
        <w:right w:val="none" w:sz="0" w:space="0" w:color="auto"/>
      </w:divBdr>
      <w:divsChild>
        <w:div w:id="23793765">
          <w:marLeft w:val="0"/>
          <w:marRight w:val="0"/>
          <w:marTop w:val="0"/>
          <w:marBottom w:val="0"/>
          <w:divBdr>
            <w:top w:val="none" w:sz="0" w:space="0" w:color="auto"/>
            <w:left w:val="none" w:sz="0" w:space="0" w:color="auto"/>
            <w:bottom w:val="none" w:sz="0" w:space="0" w:color="auto"/>
            <w:right w:val="none" w:sz="0" w:space="0" w:color="auto"/>
          </w:divBdr>
        </w:div>
        <w:div w:id="2030331890">
          <w:marLeft w:val="0"/>
          <w:marRight w:val="0"/>
          <w:marTop w:val="0"/>
          <w:marBottom w:val="0"/>
          <w:divBdr>
            <w:top w:val="none" w:sz="0" w:space="0" w:color="auto"/>
            <w:left w:val="none" w:sz="0" w:space="0" w:color="auto"/>
            <w:bottom w:val="none" w:sz="0" w:space="0" w:color="auto"/>
            <w:right w:val="none" w:sz="0" w:space="0" w:color="auto"/>
          </w:divBdr>
        </w:div>
        <w:div w:id="1469124249">
          <w:marLeft w:val="0"/>
          <w:marRight w:val="0"/>
          <w:marTop w:val="0"/>
          <w:marBottom w:val="0"/>
          <w:divBdr>
            <w:top w:val="none" w:sz="0" w:space="0" w:color="auto"/>
            <w:left w:val="none" w:sz="0" w:space="0" w:color="auto"/>
            <w:bottom w:val="none" w:sz="0" w:space="0" w:color="auto"/>
            <w:right w:val="none" w:sz="0" w:space="0" w:color="auto"/>
          </w:divBdr>
        </w:div>
        <w:div w:id="419521052">
          <w:marLeft w:val="0"/>
          <w:marRight w:val="0"/>
          <w:marTop w:val="0"/>
          <w:marBottom w:val="0"/>
          <w:divBdr>
            <w:top w:val="none" w:sz="0" w:space="0" w:color="auto"/>
            <w:left w:val="none" w:sz="0" w:space="0" w:color="auto"/>
            <w:bottom w:val="none" w:sz="0" w:space="0" w:color="auto"/>
            <w:right w:val="none" w:sz="0" w:space="0" w:color="auto"/>
          </w:divBdr>
        </w:div>
        <w:div w:id="1526141416">
          <w:marLeft w:val="0"/>
          <w:marRight w:val="0"/>
          <w:marTop w:val="0"/>
          <w:marBottom w:val="0"/>
          <w:divBdr>
            <w:top w:val="none" w:sz="0" w:space="0" w:color="auto"/>
            <w:left w:val="none" w:sz="0" w:space="0" w:color="auto"/>
            <w:bottom w:val="none" w:sz="0" w:space="0" w:color="auto"/>
            <w:right w:val="none" w:sz="0" w:space="0" w:color="auto"/>
          </w:divBdr>
          <w:divsChild>
            <w:div w:id="20509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waterquality@dcceew.gov.au" TargetMode="External"/><Relationship Id="rId26" Type="http://schemas.openxmlformats.org/officeDocument/2006/relationships/footer" Target="footer3.xml"/><Relationship Id="rId39" Type="http://schemas.openxmlformats.org/officeDocument/2006/relationships/header" Target="header8.xml"/><Relationship Id="rId21" Type="http://schemas.openxmlformats.org/officeDocument/2006/relationships/header" Target="header1.xml"/><Relationship Id="rId34" Type="http://schemas.openxmlformats.org/officeDocument/2006/relationships/footer" Target="footer4.xml"/><Relationship Id="rId42" Type="http://schemas.openxmlformats.org/officeDocument/2006/relationships/header" Target="header9.xml"/><Relationship Id="rId47" Type="http://schemas.openxmlformats.org/officeDocument/2006/relationships/image" Target="media/image8.emf"/><Relationship Id="rId50" Type="http://schemas.openxmlformats.org/officeDocument/2006/relationships/hyperlink" Target="https://www.waterquality.gov.au/anz-guidelines" TargetMode="External"/><Relationship Id="rId55" Type="http://schemas.openxmlformats.org/officeDocument/2006/relationships/header" Target="header1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pyright@dcceew.gov.au" TargetMode="External"/><Relationship Id="rId29" Type="http://schemas.microsoft.com/office/2016/09/relationships/commentsIds" Target="commentsIds.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image" Target="media/image6.emf"/><Relationship Id="rId53" Type="http://schemas.openxmlformats.org/officeDocument/2006/relationships/hyperlink" Target="http://ukmpa.marinebiodiversity.org/uk_sacs/activities/water-quality/wq8_28.htm" TargetMode="External"/><Relationship Id="rId58" Type="http://schemas.openxmlformats.org/officeDocument/2006/relationships/header" Target="header1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2.jpg"/><Relationship Id="rId14" Type="http://schemas.openxmlformats.org/officeDocument/2006/relationships/hyperlink" Target="https://creativecommons.org/licenses/by/4.0/" TargetMode="External"/><Relationship Id="rId22" Type="http://schemas.openxmlformats.org/officeDocument/2006/relationships/header" Target="header2.xml"/><Relationship Id="rId27" Type="http://schemas.openxmlformats.org/officeDocument/2006/relationships/comments" Target="comments.xml"/><Relationship Id="rId30" Type="http://schemas.openxmlformats.org/officeDocument/2006/relationships/image" Target="media/image4.png"/><Relationship Id="rId35" Type="http://schemas.openxmlformats.org/officeDocument/2006/relationships/footer" Target="footer5.xml"/><Relationship Id="rId43" Type="http://schemas.openxmlformats.org/officeDocument/2006/relationships/footer" Target="footer9.xml"/><Relationship Id="rId48" Type="http://schemas.microsoft.com/office/2014/relationships/chartEx" Target="charts/chartEx1.xml"/><Relationship Id="rId56"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ettings" Target="settings.xml"/><Relationship Id="rId8" Type="http://schemas.openxmlformats.org/officeDocument/2006/relationships/styles" Target="styles.xml"/><Relationship Id="rId51" Type="http://schemas.openxmlformats.org/officeDocument/2006/relationships/hyperlink" Target="http://publications.jrc.ec.europa.eu/repository/bitstream/JRC23785/EUR%2020418%20EN-2.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waterquality.gov.au/anz-guidelines/guideline-values/default/water-quality-toxicants/toxicants" TargetMode="Externa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image" Target="media/image7.emf"/><Relationship Id="rId59" Type="http://schemas.openxmlformats.org/officeDocument/2006/relationships/footer" Target="footer12.xml"/><Relationship Id="rId20" Type="http://schemas.openxmlformats.org/officeDocument/2006/relationships/hyperlink" Target="http://www.waterquality.gov.au/anz-guidelines" TargetMode="External"/><Relationship Id="rId41" Type="http://schemas.openxmlformats.org/officeDocument/2006/relationships/footer" Target="footer8.xml"/><Relationship Id="rId54" Type="http://schemas.openxmlformats.org/officeDocument/2006/relationships/header" Target="header10.xml"/><Relationship Id="rId15" Type="http://schemas.openxmlformats.org/officeDocument/2006/relationships/hyperlink" Target="https://creativecommons.org/licenses/by/4.0/legalcode" TargetMode="External"/><Relationship Id="rId23" Type="http://schemas.openxmlformats.org/officeDocument/2006/relationships/footer" Target="footer1.xml"/><Relationship Id="rId28" Type="http://schemas.microsoft.com/office/2011/relationships/commentsExtended" Target="commentsExtended.xml"/><Relationship Id="rId36" Type="http://schemas.openxmlformats.org/officeDocument/2006/relationships/header" Target="header6.xml"/><Relationship Id="rId49" Type="http://schemas.openxmlformats.org/officeDocument/2006/relationships/image" Target="media/image9.png"/><Relationship Id="rId57" Type="http://schemas.openxmlformats.org/officeDocument/2006/relationships/footer" Target="footer11.xml"/><Relationship Id="rId10" Type="http://schemas.openxmlformats.org/officeDocument/2006/relationships/webSettings" Target="webSettings.xml"/><Relationship Id="rId31" Type="http://schemas.openxmlformats.org/officeDocument/2006/relationships/hyperlink" Target="https://www.waterquality.gov.au/anz-guidelines" TargetMode="External"/><Relationship Id="rId44" Type="http://schemas.openxmlformats.org/officeDocument/2006/relationships/image" Target="media/image5.emf"/><Relationship Id="rId52" Type="http://schemas.openxmlformats.org/officeDocument/2006/relationships/hyperlink" Target="https://www.wfduk.org/sites/default/files/Media/chlorine.pdf" TargetMode="External"/><Relationship Id="rId6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dcceew2-my.sharepoint.com/personal/melanie_trenfield_dcceew_gov_au/Documents/Documents%20-%20DesktopOne/DGV%20work/Chlorine%20Marine/Bimodality_Chlorine-marine_310123_updated%20091224.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'Box plot'!$B$5:$B$33</cx:f>
        <cx:lvl ptCount="29">
          <cx:pt idx="0">Bivalve</cx:pt>
          <cx:pt idx="1">Rotifer</cx:pt>
          <cx:pt idx="2">Crustacean</cx:pt>
          <cx:pt idx="3">Crustacean</cx:pt>
          <cx:pt idx="4">Crustacean</cx:pt>
          <cx:pt idx="5">Crustacean</cx:pt>
          <cx:pt idx="6">Crustacean</cx:pt>
          <cx:pt idx="7">Crustacean</cx:pt>
          <cx:pt idx="8">Crustacean</cx:pt>
          <cx:pt idx="9">Crustacean</cx:pt>
          <cx:pt idx="10">Crustacean</cx:pt>
          <cx:pt idx="11">Crustacean</cx:pt>
          <cx:pt idx="12">Crustacean</cx:pt>
          <cx:pt idx="13">Echinoderm</cx:pt>
          <cx:pt idx="14">Fish</cx:pt>
          <cx:pt idx="15">Fish</cx:pt>
          <cx:pt idx="16">Fish</cx:pt>
          <cx:pt idx="17">Fish</cx:pt>
          <cx:pt idx="18">Fish</cx:pt>
          <cx:pt idx="19">Fish</cx:pt>
          <cx:pt idx="20">Fish</cx:pt>
          <cx:pt idx="21">Fish</cx:pt>
          <cx:pt idx="22">Fish</cx:pt>
          <cx:pt idx="23">Fish</cx:pt>
          <cx:pt idx="24">Fish</cx:pt>
          <cx:pt idx="25">Fish</cx:pt>
          <cx:pt idx="26">Fish</cx:pt>
          <cx:pt idx="27">Fish</cx:pt>
          <cx:pt idx="28">Fish</cx:pt>
        </cx:lvl>
      </cx:strDim>
      <cx:numDim type="val">
        <cx:f>'Box plot'!$F$5:$F$33</cx:f>
        <cx:lvl ptCount="29" formatCode="General">
          <cx:pt idx="0">3.1354942159291497</cx:pt>
          <cx:pt idx="1">4.499809670330265</cx:pt>
          <cx:pt idx="2">3.3672958299864741</cx:pt>
          <cx:pt idx="3">6.5323342922223491</cx:pt>
          <cx:pt idx="4">4.9767337424205742</cx:pt>
          <cx:pt idx="5">7.9690117811064782</cx:pt>
          <cx:pt idx="6">5.0875963352323836</cx:pt>
          <cx:pt idx="7">4.219507705176107</cx:pt>
          <cx:pt idx="8">5.181783550292085</cx:pt>
          <cx:pt idx="9">4.499809670330265</cx:pt>
          <cx:pt idx="10">4.8978397999509111</cx:pt>
          <cx:pt idx="11">5.393627546352362</cx:pt>
          <cx:pt idx="12">7.2584121505953068</cx:pt>
          <cx:pt idx="13">1.8562979903656263</cx:pt>
          <cx:pt idx="14">3.9889840465642745</cx:pt>
          <cx:pt idx="15">3.1780538303479458</cx:pt>
          <cx:pt idx="16">3.4657359027997265</cx:pt>
          <cx:pt idx="17">4.1743872698956368</cx:pt>
          <cx:pt idx="18">5.1179938124167554</cx:pt>
          <cx:pt idx="19">4.2626798770413155</cx:pt>
          <cx:pt idx="20">4.4067192472642533</cx:pt>
          <cx:pt idx="21">4.290459441148391</cx:pt>
          <cx:pt idx="22">3.6109179126442243</cx:pt>
          <cx:pt idx="23">4.9052747784384296</cx:pt>
          <cx:pt idx="24">5.598421958998375</cx:pt>
          <cx:pt idx="25">4.3820266346738812</cx:pt>
          <cx:pt idx="26">5.598421958998375</cx:pt>
          <cx:pt idx="27">5.2983173665480363</cx:pt>
          <cx:pt idx="28">5.4806389233419912</cx:pt>
        </cx:lvl>
      </cx:numDim>
    </cx:data>
  </cx:chartData>
  <cx:chart>
    <cx:plotArea>
      <cx:plotAreaRegion>
        <cx:plotSurface>
          <cx:spPr>
            <a:ln>
              <a:solidFill>
                <a:schemeClr val="tx1"/>
              </a:solidFill>
            </a:ln>
          </cx:spPr>
        </cx:plotSurface>
        <cx:series layoutId="boxWhisker" uniqueId="{00000002-B22F-4BEC-B360-9751EB407BEB}">
          <cx:tx>
            <cx:txData>
              <cx:f>'Box plot'!$B$3</cx:f>
              <cx:v>Taxonomic group</cx:v>
            </cx:txData>
          </cx:tx>
          <cx:spPr>
            <a:solidFill>
              <a:schemeClr val="accent1">
                <a:lumMod val="75000"/>
              </a:schemeClr>
            </a:solidFill>
            <a:ln>
              <a:solidFill>
                <a:schemeClr val="bg1">
                  <a:lumMod val="65000"/>
                </a:schemeClr>
              </a:solidFill>
            </a:ln>
          </cx:spPr>
          <cx:dataId val="0"/>
          <cx:layoutPr>
            <cx:visibility meanLine="0" meanMarker="1" nonoutliers="1" outliers="1"/>
            <cx:statistics quartileMethod="exclusive"/>
          </cx:layoutPr>
        </cx:series>
      </cx:plotAreaRegion>
      <cx:axis id="0">
        <cx:catScaling gapWidth="1"/>
        <cx:title>
          <cx:tx>
            <cx:txData>
              <cx:v>Taxonomic grouping</cx:v>
            </cx:txData>
          </cx:tx>
          <cx:txPr>
            <a:bodyPr spcFirstLastPara="1" vertOverflow="ellipsis" horzOverflow="overflow" wrap="square" lIns="0" tIns="0" rIns="0" bIns="0" anchor="ctr" anchorCtr="1"/>
            <a:lstStyle/>
            <a:p>
              <a:pPr algn="ctr" rtl="0">
                <a:defRPr sz="1200">
                  <a:solidFill>
                    <a:schemeClr val="tx1"/>
                  </a:solidFill>
                </a:defRPr>
              </a:pPr>
              <a:r>
                <a:rPr lang="en-GB" sz="1200" b="1" i="0" u="none" strike="noStrike" baseline="0">
                  <a:solidFill>
                    <a:schemeClr val="tx1"/>
                  </a:solidFill>
                  <a:latin typeface="Calibri" panose="020F0502020204030204"/>
                </a:rPr>
                <a:t>Taxonomic grouping</a:t>
              </a:r>
            </a:p>
          </cx:txPr>
        </cx:title>
        <cx:tickLabels/>
        <cx:txPr>
          <a:bodyPr spcFirstLastPara="1" vertOverflow="ellipsis" horzOverflow="overflow" wrap="square" lIns="0" tIns="0" rIns="0" bIns="0" anchor="ctr" anchorCtr="1"/>
          <a:lstStyle/>
          <a:p>
            <a:pPr algn="ctr" rtl="0">
              <a:defRPr sz="1050">
                <a:solidFill>
                  <a:schemeClr val="tx1"/>
                </a:solidFill>
              </a:defRPr>
            </a:pPr>
            <a:endParaRPr lang="en-GB" sz="1050" b="0" i="0" u="none" strike="noStrike" baseline="0">
              <a:solidFill>
                <a:schemeClr val="tx1"/>
              </a:solidFill>
              <a:latin typeface="Calibri" panose="020F0502020204030204"/>
            </a:endParaRPr>
          </a:p>
        </cx:txPr>
      </cx:axis>
      <cx:axis id="1">
        <cx:valScaling/>
        <cx:title>
          <cx:tx>
            <cx:txData>
              <cx:v>ln (Chlorine concentration)</cx:v>
            </cx:txData>
          </cx:tx>
          <cx:txPr>
            <a:bodyPr spcFirstLastPara="1" vertOverflow="ellipsis" horzOverflow="overflow" wrap="square" lIns="0" tIns="0" rIns="0" bIns="0" anchor="ctr" anchorCtr="1"/>
            <a:lstStyle/>
            <a:p>
              <a:pPr algn="ctr" rtl="0">
                <a:defRPr/>
              </a:pPr>
              <a:r>
                <a:rPr lang="en-GB" sz="1200" b="1" i="0" u="none" strike="noStrike" baseline="0">
                  <a:solidFill>
                    <a:schemeClr val="tx1"/>
                  </a:solidFill>
                  <a:latin typeface="Calibri" panose="020F0502020204030204"/>
                </a:rPr>
                <a:t>ln (Chlorine concentration)</a:t>
              </a:r>
            </a:p>
          </cx:txPr>
        </cx:title>
        <cx:majorGridlines/>
        <cx:tickLabels/>
        <cx:txPr>
          <a:bodyPr spcFirstLastPara="1" vertOverflow="ellipsis" horzOverflow="overflow" wrap="square" lIns="0" tIns="0" rIns="0" bIns="0" anchor="ctr" anchorCtr="1"/>
          <a:lstStyle/>
          <a:p>
            <a:pPr algn="ctr" rtl="0">
              <a:defRPr sz="1050">
                <a:solidFill>
                  <a:schemeClr val="tx1"/>
                </a:solidFill>
              </a:defRPr>
            </a:pPr>
            <a:endParaRPr lang="en-GB" sz="1050" b="0" i="0" u="none" strike="noStrike" baseline="0">
              <a:solidFill>
                <a:schemeClr val="tx1"/>
              </a:solidFill>
              <a:latin typeface="Calibri" panose="020F0502020204030204"/>
            </a:endParaRPr>
          </a:p>
        </cx:txPr>
      </cx:axis>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18E0BDD1F7314546A944FB163ACEB71C" ma:contentTypeVersion="10" ma:contentTypeDescription="SPIRE Document" ma:contentTypeScope="" ma:versionID="9517c3cd7426ed7f9780ddff4aab9e73">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a5ccb46502d7f67011865d302baaff3"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CE546-3E0F-4174-A106-4E7F4E698FD2}">
  <ds:schemaRefs>
    <ds:schemaRef ds:uri="http://schemas.microsoft.com/office/2006/metadata/customXsn"/>
  </ds:schemaRefs>
</ds:datastoreItem>
</file>

<file path=customXml/itemProps2.xml><?xml version="1.0" encoding="utf-8"?>
<ds:datastoreItem xmlns:ds="http://schemas.openxmlformats.org/officeDocument/2006/customXml" ds:itemID="{68C88F7D-8214-4946-A9D0-BBAE4929E985}"/>
</file>

<file path=customXml/itemProps3.xml><?xml version="1.0" encoding="utf-8"?>
<ds:datastoreItem xmlns:ds="http://schemas.openxmlformats.org/officeDocument/2006/customXml" ds:itemID="{ACCA3D6E-3C18-FD49-94F6-150BFEA98EB3}">
  <ds:schemaRefs>
    <ds:schemaRef ds:uri="http://schemas.openxmlformats.org/officeDocument/2006/bibliography"/>
  </ds:schemaRefs>
</ds:datastoreItem>
</file>

<file path=customXml/itemProps4.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5.xml><?xml version="1.0" encoding="utf-8"?>
<ds:datastoreItem xmlns:ds="http://schemas.openxmlformats.org/officeDocument/2006/customXml" ds:itemID="{A1D323EF-822C-4E4A-9DA5-304476EA7B2B}">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c25cb30a-de11-40ab-bdcc-f1d56023b01d"/>
    <ds:schemaRef ds:uri="http://schemas.microsoft.com/sharepoint/v4"/>
    <ds:schemaRef ds:uri="http://www.w3.org/XML/1998/namespace"/>
  </ds:schemaRefs>
</ds:datastoreItem>
</file>

<file path=customXml/itemProps6.xml><?xml version="1.0" encoding="utf-8"?>
<ds:datastoreItem xmlns:ds="http://schemas.openxmlformats.org/officeDocument/2006/customXml" ds:itemID="{632F51C3-4D88-4C23-BA06-1DA6BB0D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38</TotalTime>
  <Pages>35</Pages>
  <Words>12594</Words>
  <Characters>71790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Chlorine in marine water</vt:lpstr>
    </vt:vector>
  </TitlesOfParts>
  <Manager/>
  <Company/>
  <LinksUpToDate>false</LinksUpToDate>
  <CharactersWithSpaces>84216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Chlorine in marine water</dc:title>
  <dc:subject/>
  <dc:creator>Kirsty Anderson</dc:creator>
  <cp:keywords/>
  <dc:description/>
  <cp:lastModifiedBy>Huda ALMAAROFI</cp:lastModifiedBy>
  <cp:revision>38</cp:revision>
  <cp:lastPrinted>2025-02-18T03:38:00Z</cp:lastPrinted>
  <dcterms:created xsi:type="dcterms:W3CDTF">2025-02-02T07:19:00Z</dcterms:created>
  <dcterms:modified xsi:type="dcterms:W3CDTF">2025-02-18T03:38:00Z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eDOCS AutoSave">
    <vt:lpwstr>20211119092154633</vt:lpwstr>
  </property>
  <property fmtid="{D5CDD505-2E9C-101B-9397-08002B2CF9AE}" pid="4" name="ClassificationContentMarkingHeaderShapeIds">
    <vt:lpwstr>89034d2,53f445f4,6515f855,7815be58,17d42bf4,7aa0456b,2673bffb,7965ab75,2977e1b4,42596315,c1e47bf,720f7c69</vt:lpwstr>
  </property>
  <property fmtid="{D5CDD505-2E9C-101B-9397-08002B2CF9AE}" pid="5" name="ClassificationContentMarkingHeaderFontProps">
    <vt:lpwstr>#ff0000,12,Calibri</vt:lpwstr>
  </property>
  <property fmtid="{D5CDD505-2E9C-101B-9397-08002B2CF9AE}" pid="6" name="ClassificationContentMarkingHeaderText">
    <vt:lpwstr>UNOFFICIAL</vt:lpwstr>
  </property>
  <property fmtid="{D5CDD505-2E9C-101B-9397-08002B2CF9AE}" pid="7" name="ClassificationContentMarkingFooterShapeIds">
    <vt:lpwstr>560dc144,648f07a0,71fe2bc5,4964cfe2,4d6dba02,3c883ae6,79fc056d,3c38454c,727cfe4,5b05e5f5,6b68446e,6e33bfa9</vt:lpwstr>
  </property>
  <property fmtid="{D5CDD505-2E9C-101B-9397-08002B2CF9AE}" pid="8" name="ClassificationContentMarkingFooterFontProps">
    <vt:lpwstr>#ff0000,12,Calibri</vt:lpwstr>
  </property>
  <property fmtid="{D5CDD505-2E9C-101B-9397-08002B2CF9AE}" pid="9" name="ClassificationContentMarkingFooterText">
    <vt:lpwstr>UNOFFICIAL</vt:lpwstr>
  </property>
</Properties>
</file>