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D42D" w14:textId="77777777" w:rsidR="001C0D1C" w:rsidRPr="007B593E" w:rsidRDefault="00324184" w:rsidP="004B471A">
      <w:pPr>
        <w:pStyle w:val="Heading1"/>
        <w:tabs>
          <w:tab w:val="left" w:pos="5103"/>
        </w:tabs>
      </w:pPr>
      <w:r w:rsidRPr="007B593E">
        <w:t>Toxicant default guideline values for aquatic ecosystem protection</w:t>
      </w:r>
    </w:p>
    <w:p w14:paraId="273CD42E" w14:textId="77777777" w:rsidR="001C0D1C" w:rsidRPr="007B593E" w:rsidRDefault="00324184">
      <w:pPr>
        <w:pStyle w:val="Subtitle"/>
      </w:pPr>
      <w:r>
        <w:t>Dissolved c</w:t>
      </w:r>
      <w:r w:rsidR="007B593E" w:rsidRPr="007B593E">
        <w:t xml:space="preserve">opper </w:t>
      </w:r>
      <w:r w:rsidR="004D52CE" w:rsidRPr="007B593E">
        <w:t xml:space="preserve">in </w:t>
      </w:r>
      <w:r w:rsidR="007B593E" w:rsidRPr="007B593E">
        <w:t>marine</w:t>
      </w:r>
      <w:r w:rsidR="004D52CE" w:rsidRPr="007B593E">
        <w:t xml:space="preserve"> water</w:t>
      </w:r>
    </w:p>
    <w:p w14:paraId="273CD42F" w14:textId="77777777" w:rsidR="001C0D1C" w:rsidRPr="007B593E" w:rsidRDefault="00324184">
      <w:pPr>
        <w:pStyle w:val="Documenttype"/>
      </w:pPr>
      <w:r w:rsidRPr="007B593E">
        <w:t>Technical brief</w:t>
      </w:r>
    </w:p>
    <w:p w14:paraId="273CD430" w14:textId="77777777" w:rsidR="001C0D1C" w:rsidRPr="007B593E" w:rsidRDefault="00324184">
      <w:pPr>
        <w:pStyle w:val="Publicationdate"/>
      </w:pPr>
      <w:r>
        <w:t>May 2023</w:t>
      </w:r>
    </w:p>
    <w:p w14:paraId="273CD431" w14:textId="77777777" w:rsidR="00AA73F7" w:rsidRDefault="00AA73F7">
      <w:pPr>
        <w:spacing w:after="0" w:line="240" w:lineRule="auto"/>
        <w:rPr>
          <w:noProof/>
          <w:lang w:eastAsia="en-AU"/>
        </w:rPr>
      </w:pPr>
    </w:p>
    <w:p w14:paraId="273CD432" w14:textId="77777777" w:rsidR="000411B0" w:rsidRDefault="000411B0">
      <w:pPr>
        <w:rPr>
          <w:sz w:val="18"/>
          <w:szCs w:val="18"/>
        </w:rPr>
        <w:sectPr w:rsidR="000411B0" w:rsidSect="00E120BE">
          <w:headerReference w:type="even" r:id="rId11"/>
          <w:headerReference w:type="default" r:id="rId12"/>
          <w:footerReference w:type="default" r:id="rId13"/>
          <w:headerReference w:type="first" r:id="rId14"/>
          <w:pgSz w:w="11906" w:h="16838" w:code="9"/>
          <w:pgMar w:top="1418" w:right="1418" w:bottom="1418" w:left="1418" w:header="567" w:footer="284" w:gutter="0"/>
          <w:pgNumType w:fmt="lowerRoman" w:start="1"/>
          <w:cols w:space="708"/>
          <w:titlePg/>
          <w:docGrid w:linePitch="360"/>
        </w:sectPr>
      </w:pPr>
    </w:p>
    <w:p w14:paraId="273CD433" w14:textId="77777777" w:rsidR="006406B5" w:rsidRDefault="00324184" w:rsidP="006406B5">
      <w:pPr>
        <w:rPr>
          <w:sz w:val="18"/>
          <w:szCs w:val="18"/>
        </w:rPr>
      </w:pPr>
      <w:r>
        <w:rPr>
          <w:sz w:val="18"/>
          <w:szCs w:val="18"/>
        </w:rPr>
        <w:lastRenderedPageBreak/>
        <w:t>© Commonwealth of Australia 202</w:t>
      </w:r>
      <w:r w:rsidR="00EB200E">
        <w:rPr>
          <w:sz w:val="18"/>
          <w:szCs w:val="18"/>
        </w:rPr>
        <w:t>3</w:t>
      </w:r>
    </w:p>
    <w:p w14:paraId="273CD434" w14:textId="77777777" w:rsidR="006406B5" w:rsidRDefault="00324184" w:rsidP="006406B5">
      <w:pPr>
        <w:spacing w:after="0"/>
        <w:rPr>
          <w:rFonts w:ascii="Calibri" w:hAnsi="Calibri"/>
          <w:b/>
          <w:sz w:val="18"/>
          <w:szCs w:val="18"/>
        </w:rPr>
      </w:pPr>
      <w:r>
        <w:rPr>
          <w:rFonts w:ascii="Calibri" w:hAnsi="Calibri"/>
          <w:b/>
          <w:sz w:val="18"/>
          <w:szCs w:val="18"/>
        </w:rPr>
        <w:t>Ownership of intellectual property rights</w:t>
      </w:r>
    </w:p>
    <w:p w14:paraId="273CD435" w14:textId="77777777" w:rsidR="006406B5" w:rsidRDefault="00324184" w:rsidP="006406B5">
      <w:pPr>
        <w:rPr>
          <w:sz w:val="18"/>
          <w:szCs w:val="18"/>
        </w:rPr>
      </w:pPr>
      <w:r>
        <w:rPr>
          <w:sz w:val="18"/>
          <w:szCs w:val="18"/>
        </w:rPr>
        <w:t xml:space="preserve">Unless otherwise noted, </w:t>
      </w:r>
      <w:r>
        <w:rPr>
          <w:sz w:val="18"/>
          <w:szCs w:val="18"/>
        </w:rPr>
        <w:t>copyright (and any other intellectual property rights, if any) in this publication is owned by the Commonwealth of Australia (referred to as the Commonwealth).</w:t>
      </w:r>
    </w:p>
    <w:p w14:paraId="273CD436" w14:textId="77777777" w:rsidR="006406B5" w:rsidRDefault="00324184" w:rsidP="006406B5">
      <w:pPr>
        <w:spacing w:after="0"/>
        <w:rPr>
          <w:rFonts w:ascii="Calibri" w:hAnsi="Calibri"/>
          <w:b/>
          <w:sz w:val="18"/>
          <w:szCs w:val="18"/>
        </w:rPr>
      </w:pPr>
      <w:r>
        <w:rPr>
          <w:rFonts w:ascii="Calibri" w:hAnsi="Calibri"/>
          <w:b/>
          <w:sz w:val="18"/>
          <w:szCs w:val="18"/>
        </w:rPr>
        <w:t>Creative Commons licence</w:t>
      </w:r>
    </w:p>
    <w:p w14:paraId="273CD437" w14:textId="77777777" w:rsidR="006406B5" w:rsidRDefault="00324184" w:rsidP="006406B5">
      <w:pPr>
        <w:rPr>
          <w:sz w:val="18"/>
          <w:szCs w:val="18"/>
        </w:rPr>
      </w:pPr>
      <w:r>
        <w:rPr>
          <w:sz w:val="18"/>
          <w:szCs w:val="18"/>
        </w:rPr>
        <w:t>All material in this publication is licensed under a Creative Commons A</w:t>
      </w:r>
      <w:r>
        <w:rPr>
          <w:sz w:val="18"/>
          <w:szCs w:val="18"/>
        </w:rPr>
        <w:t>ttribution 4.0 Australia Licence, save for content supplied by third parties, photographic images, logos and the Commonwealth Coat of Arms.</w:t>
      </w:r>
    </w:p>
    <w:p w14:paraId="273CD438" w14:textId="77777777" w:rsidR="006406B5" w:rsidRDefault="00324184" w:rsidP="006406B5">
      <w:pPr>
        <w:rPr>
          <w:sz w:val="18"/>
          <w:szCs w:val="18"/>
        </w:rPr>
      </w:pPr>
      <w:r>
        <w:rPr>
          <w:noProof/>
          <w:sz w:val="18"/>
          <w:szCs w:val="18"/>
          <w:lang w:eastAsia="en-AU"/>
        </w:rPr>
        <w:drawing>
          <wp:anchor distT="0" distB="0" distL="114300" distR="114300" simplePos="0" relativeHeight="251658240" behindDoc="0" locked="0" layoutInCell="1" allowOverlap="1" wp14:anchorId="273CDDF8" wp14:editId="273CDDF9">
            <wp:simplePos x="0" y="0"/>
            <wp:positionH relativeFrom="column">
              <wp:align>left</wp:align>
            </wp:positionH>
            <wp:positionV relativeFrom="paragraph">
              <wp:align>top</wp:align>
            </wp:positionV>
            <wp:extent cx="723900" cy="255905"/>
            <wp:effectExtent l="0" t="0" r="0" b="0"/>
            <wp:wrapSquare wrapText="bothSides"/>
            <wp:docPr id="6"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62270" name="Picture 1" descr="by"/>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anchor>
        </w:drawing>
      </w:r>
      <w:r>
        <w:rPr>
          <w:sz w:val="18"/>
          <w:szCs w:val="18"/>
        </w:rPr>
        <w:br w:type="textWrapping" w:clear="all"/>
      </w:r>
      <w:r>
        <w:rPr>
          <w:sz w:val="18"/>
          <w:szCs w:val="18"/>
        </w:rPr>
        <w:t>Creative Commons Attribution 4.0 Australia Licence is a standard form licence agreement that allows you to copy, d</w:t>
      </w:r>
      <w:r>
        <w:rPr>
          <w:sz w:val="18"/>
          <w:szCs w:val="18"/>
        </w:rPr>
        <w:t xml:space="preserve">istribute, transmit and adapt this publication provided you attribute the work. </w:t>
      </w:r>
      <w:r w:rsidR="00EB200E">
        <w:rPr>
          <w:sz w:val="18"/>
          <w:szCs w:val="18"/>
        </w:rPr>
        <w:t xml:space="preserve">See the </w:t>
      </w:r>
      <w:hyperlink r:id="rId16" w:history="1">
        <w:r w:rsidR="00EB200E">
          <w:rPr>
            <w:rStyle w:val="Hyperlink"/>
            <w:sz w:val="18"/>
            <w:szCs w:val="18"/>
          </w:rPr>
          <w:t>summary of the licence terms</w:t>
        </w:r>
      </w:hyperlink>
      <w:r w:rsidR="00EB200E">
        <w:rPr>
          <w:sz w:val="18"/>
          <w:szCs w:val="18"/>
        </w:rPr>
        <w:t xml:space="preserve"> or the </w:t>
      </w:r>
      <w:hyperlink r:id="rId17" w:history="1">
        <w:r w:rsidR="00EB200E">
          <w:rPr>
            <w:rStyle w:val="Hyperlink"/>
            <w:sz w:val="18"/>
            <w:szCs w:val="18"/>
          </w:rPr>
          <w:t>full licence terms</w:t>
        </w:r>
      </w:hyperlink>
      <w:r w:rsidR="00EB200E">
        <w:rPr>
          <w:sz w:val="18"/>
          <w:szCs w:val="18"/>
        </w:rPr>
        <w:t>.</w:t>
      </w:r>
    </w:p>
    <w:p w14:paraId="273CD439" w14:textId="77777777" w:rsidR="006406B5" w:rsidRDefault="00324184" w:rsidP="006406B5">
      <w:pPr>
        <w:rPr>
          <w:sz w:val="18"/>
          <w:szCs w:val="18"/>
        </w:rPr>
      </w:pPr>
      <w:r>
        <w:rPr>
          <w:sz w:val="18"/>
          <w:szCs w:val="18"/>
        </w:rPr>
        <w:t xml:space="preserve">Inquiries about the licence and any use of this document should be emailed to </w:t>
      </w:r>
      <w:hyperlink r:id="rId18" w:history="1">
        <w:r w:rsidR="00EB200E" w:rsidRPr="00B87B49">
          <w:rPr>
            <w:rStyle w:val="Hyperlink"/>
            <w:sz w:val="18"/>
            <w:szCs w:val="18"/>
          </w:rPr>
          <w:t>copyright@dcceew.gov.au</w:t>
        </w:r>
      </w:hyperlink>
      <w:r w:rsidR="00EB200E">
        <w:rPr>
          <w:sz w:val="18"/>
          <w:szCs w:val="18"/>
        </w:rPr>
        <w:t>.</w:t>
      </w:r>
    </w:p>
    <w:p w14:paraId="273CD43A" w14:textId="77777777" w:rsidR="006406B5" w:rsidRDefault="00324184" w:rsidP="006406B5">
      <w:pPr>
        <w:spacing w:after="0"/>
        <w:rPr>
          <w:rFonts w:ascii="Calibri" w:hAnsi="Calibri"/>
          <w:b/>
          <w:sz w:val="18"/>
          <w:szCs w:val="18"/>
        </w:rPr>
      </w:pPr>
      <w:r>
        <w:rPr>
          <w:rFonts w:ascii="Calibri" w:hAnsi="Calibri"/>
          <w:b/>
          <w:sz w:val="18"/>
          <w:szCs w:val="18"/>
        </w:rPr>
        <w:t>Cataloguing data</w:t>
      </w:r>
    </w:p>
    <w:p w14:paraId="273CD43B" w14:textId="77777777" w:rsidR="006406B5" w:rsidRDefault="00324184" w:rsidP="006406B5">
      <w:pPr>
        <w:rPr>
          <w:sz w:val="18"/>
          <w:szCs w:val="18"/>
        </w:rPr>
      </w:pPr>
      <w:r>
        <w:rPr>
          <w:sz w:val="18"/>
          <w:szCs w:val="18"/>
        </w:rPr>
        <w:t>This publication (and any material sourced from it) should be attributed as: ANZG 202</w:t>
      </w:r>
      <w:r w:rsidR="004600AD">
        <w:rPr>
          <w:sz w:val="18"/>
          <w:szCs w:val="18"/>
        </w:rPr>
        <w:t>3</w:t>
      </w:r>
      <w:r>
        <w:rPr>
          <w:sz w:val="18"/>
          <w:szCs w:val="18"/>
        </w:rPr>
        <w:t xml:space="preserve">, </w:t>
      </w:r>
      <w:r>
        <w:rPr>
          <w:i/>
          <w:sz w:val="18"/>
          <w:szCs w:val="18"/>
        </w:rPr>
        <w:t xml:space="preserve">Toxicant default guideline values for aquatic ecosystem protection: </w:t>
      </w:r>
      <w:r w:rsidR="009D2F6F">
        <w:rPr>
          <w:i/>
          <w:sz w:val="18"/>
          <w:szCs w:val="18"/>
        </w:rPr>
        <w:t>Dissolved c</w:t>
      </w:r>
      <w:r>
        <w:rPr>
          <w:i/>
          <w:sz w:val="18"/>
          <w:szCs w:val="18"/>
        </w:rPr>
        <w:t>opper in marine water.</w:t>
      </w:r>
      <w:r>
        <w:rPr>
          <w:iCs/>
          <w:sz w:val="18"/>
          <w:szCs w:val="18"/>
        </w:rPr>
        <w:t xml:space="preserve"> </w:t>
      </w:r>
      <w:r>
        <w:rPr>
          <w:sz w:val="18"/>
          <w:szCs w:val="18"/>
        </w:rPr>
        <w:t>Australian and New Zealand G</w:t>
      </w:r>
      <w:r>
        <w:rPr>
          <w:sz w:val="18"/>
          <w:szCs w:val="18"/>
        </w:rPr>
        <w:t>uidelines for Fresh and Marine Water Quality.</w:t>
      </w:r>
      <w:r>
        <w:rPr>
          <w:i/>
          <w:sz w:val="18"/>
          <w:szCs w:val="18"/>
        </w:rPr>
        <w:t xml:space="preserve"> </w:t>
      </w:r>
      <w:r w:rsidRPr="00D47CA4">
        <w:rPr>
          <w:sz w:val="18"/>
          <w:szCs w:val="18"/>
        </w:rPr>
        <w:t>CC BY 4.0. Australian and New Zealand Governments and Australian state and territory governments, Canberra, ACT, Australia</w:t>
      </w:r>
      <w:r>
        <w:rPr>
          <w:sz w:val="18"/>
          <w:szCs w:val="18"/>
        </w:rPr>
        <w:t>.</w:t>
      </w:r>
    </w:p>
    <w:p w14:paraId="273CD43C" w14:textId="77777777" w:rsidR="00EB200E" w:rsidRDefault="00324184" w:rsidP="00EB200E">
      <w:pPr>
        <w:rPr>
          <w:sz w:val="18"/>
          <w:szCs w:val="18"/>
        </w:rPr>
      </w:pPr>
      <w:r>
        <w:rPr>
          <w:sz w:val="18"/>
          <w:szCs w:val="18"/>
        </w:rPr>
        <w:t xml:space="preserve">This publication is available at </w:t>
      </w:r>
      <w:hyperlink r:id="rId19" w:history="1">
        <w:r w:rsidRPr="00017770">
          <w:rPr>
            <w:rStyle w:val="Hyperlink"/>
            <w:sz w:val="18"/>
            <w:szCs w:val="18"/>
          </w:rPr>
          <w:t>waterquality.gov.au/anz-guidelines/guideline-values/default/water-quality-toxicants/toxicants</w:t>
        </w:r>
      </w:hyperlink>
      <w:r>
        <w:rPr>
          <w:sz w:val="18"/>
          <w:szCs w:val="18"/>
        </w:rPr>
        <w:t>.</w:t>
      </w:r>
    </w:p>
    <w:p w14:paraId="273CD43D" w14:textId="77777777" w:rsidR="006406B5" w:rsidRDefault="00324184" w:rsidP="006406B5">
      <w:pPr>
        <w:spacing w:after="0"/>
        <w:rPr>
          <w:b/>
          <w:sz w:val="18"/>
          <w:szCs w:val="18"/>
        </w:rPr>
      </w:pPr>
      <w:r w:rsidRPr="00824850">
        <w:rPr>
          <w:b/>
          <w:sz w:val="18"/>
          <w:szCs w:val="18"/>
        </w:rPr>
        <w:t>Conta</w:t>
      </w:r>
      <w:r w:rsidRPr="00824850">
        <w:rPr>
          <w:b/>
          <w:sz w:val="18"/>
          <w:szCs w:val="18"/>
        </w:rPr>
        <w:t>ct</w:t>
      </w:r>
    </w:p>
    <w:p w14:paraId="273CD43E" w14:textId="77777777" w:rsidR="00EB200E" w:rsidRDefault="00324184" w:rsidP="00EB200E">
      <w:pPr>
        <w:spacing w:after="0"/>
        <w:rPr>
          <w:b/>
          <w:sz w:val="18"/>
          <w:szCs w:val="18"/>
        </w:rPr>
      </w:pPr>
      <w:r>
        <w:rPr>
          <w:sz w:val="18"/>
          <w:szCs w:val="18"/>
        </w:rPr>
        <w:t>Australian Government Department of Climate Change, Energy, the Environment and Water</w:t>
      </w:r>
    </w:p>
    <w:p w14:paraId="273CD43F" w14:textId="77777777" w:rsidR="00EB200E" w:rsidRPr="00824850" w:rsidRDefault="00324184" w:rsidP="00EB200E">
      <w:pPr>
        <w:spacing w:after="0"/>
        <w:rPr>
          <w:b/>
          <w:sz w:val="18"/>
          <w:szCs w:val="18"/>
        </w:rPr>
      </w:pPr>
      <w:r>
        <w:rPr>
          <w:sz w:val="18"/>
          <w:szCs w:val="18"/>
        </w:rPr>
        <w:t>GPO Box 858 Canberra ACT 2601</w:t>
      </w:r>
    </w:p>
    <w:p w14:paraId="273CD440" w14:textId="77777777" w:rsidR="00EB200E" w:rsidRDefault="00324184" w:rsidP="00EB200E">
      <w:pPr>
        <w:spacing w:after="0"/>
        <w:rPr>
          <w:sz w:val="18"/>
          <w:szCs w:val="18"/>
        </w:rPr>
      </w:pPr>
      <w:r>
        <w:rPr>
          <w:sz w:val="18"/>
          <w:szCs w:val="18"/>
        </w:rPr>
        <w:t>Switchboard +61 2 6272 3933 or 1800 900 090</w:t>
      </w:r>
    </w:p>
    <w:p w14:paraId="273CD441" w14:textId="77777777" w:rsidR="00EB200E" w:rsidRDefault="00324184" w:rsidP="00EB200E">
      <w:pPr>
        <w:rPr>
          <w:sz w:val="18"/>
          <w:szCs w:val="18"/>
        </w:rPr>
      </w:pPr>
      <w:r>
        <w:rPr>
          <w:sz w:val="18"/>
          <w:szCs w:val="18"/>
        </w:rPr>
        <w:t xml:space="preserve">Email </w:t>
      </w:r>
      <w:hyperlink r:id="rId20" w:history="1">
        <w:r w:rsidRPr="00B87B49">
          <w:rPr>
            <w:rStyle w:val="Hyperlink"/>
            <w:sz w:val="18"/>
            <w:szCs w:val="18"/>
          </w:rPr>
          <w:t>waterquality@dcceew.gov.au</w:t>
        </w:r>
      </w:hyperlink>
    </w:p>
    <w:p w14:paraId="273CD442" w14:textId="77777777" w:rsidR="006406B5" w:rsidRDefault="00324184" w:rsidP="006406B5">
      <w:pPr>
        <w:spacing w:after="0"/>
        <w:rPr>
          <w:rFonts w:ascii="Calibri" w:hAnsi="Calibri"/>
          <w:b/>
          <w:sz w:val="18"/>
          <w:szCs w:val="18"/>
        </w:rPr>
      </w:pPr>
      <w:r>
        <w:rPr>
          <w:rFonts w:ascii="Calibri" w:hAnsi="Calibri"/>
          <w:b/>
          <w:sz w:val="18"/>
          <w:szCs w:val="18"/>
        </w:rPr>
        <w:t>Disclaimer</w:t>
      </w:r>
    </w:p>
    <w:p w14:paraId="273CD443" w14:textId="77777777" w:rsidR="006406B5" w:rsidRDefault="00324184" w:rsidP="00ED6131">
      <w:pPr>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w:t>
      </w:r>
      <w:r>
        <w:rPr>
          <w:sz w:val="18"/>
          <w:szCs w:val="18"/>
        </w:rPr>
        <w:t>im all liability, including liability for negligence and for any loss, damage, injury, expense or cost incurred by any person as a result of accessing, using or relying on any of the information or data in this publication to the maximum extent permitted b</w:t>
      </w:r>
      <w:r>
        <w:rPr>
          <w:sz w:val="18"/>
          <w:szCs w:val="18"/>
        </w:rPr>
        <w:t>y law.</w:t>
      </w:r>
    </w:p>
    <w:p w14:paraId="273CD444" w14:textId="77777777" w:rsidR="006406B5" w:rsidRDefault="00324184" w:rsidP="006406B5">
      <w:pPr>
        <w:spacing w:after="0"/>
        <w:rPr>
          <w:rFonts w:ascii="Calibri" w:hAnsi="Calibri"/>
          <w:b/>
          <w:sz w:val="18"/>
          <w:szCs w:val="18"/>
        </w:rPr>
      </w:pPr>
      <w:r>
        <w:rPr>
          <w:rFonts w:ascii="Calibri" w:hAnsi="Calibri"/>
          <w:b/>
          <w:sz w:val="18"/>
          <w:szCs w:val="18"/>
        </w:rPr>
        <w:t>Acknowledgements</w:t>
      </w:r>
    </w:p>
    <w:p w14:paraId="273CD445" w14:textId="77777777" w:rsidR="006406B5" w:rsidRDefault="00324184" w:rsidP="006406B5">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 (DGVs) were derived by </w:t>
      </w:r>
      <w:r w:rsidRPr="006406B5">
        <w:rPr>
          <w:sz w:val="18"/>
          <w:szCs w:val="18"/>
        </w:rPr>
        <w:t xml:space="preserve">Dr Jennifer Gadd and Dr Chris Hickey, National Institute of Water and Atmospheric Research (NIWA), Auckland/Hamilton, New Zealand. This document was reviewed by Dr Graeme Batley </w:t>
      </w:r>
      <w:r w:rsidRPr="006406B5">
        <w:rPr>
          <w:sz w:val="18"/>
          <w:szCs w:val="18"/>
        </w:rPr>
        <w:t xml:space="preserve">and </w:t>
      </w:r>
      <w:r>
        <w:rPr>
          <w:sz w:val="18"/>
          <w:szCs w:val="18"/>
        </w:rPr>
        <w:t xml:space="preserve">Dr </w:t>
      </w:r>
      <w:r w:rsidRPr="006406B5">
        <w:rPr>
          <w:sz w:val="18"/>
          <w:szCs w:val="18"/>
        </w:rPr>
        <w:t>Jenny Stauber from CSIRO Land and Water, Lucas Heights, NSW, Australia</w:t>
      </w:r>
      <w:r w:rsidR="00C24E06">
        <w:rPr>
          <w:sz w:val="18"/>
          <w:szCs w:val="18"/>
        </w:rPr>
        <w:t>. The DGVs were also reviewed by two anonymous reviewers and two contracted technical advisors, Dr Rick van Dam and Alicia Hogan.</w:t>
      </w:r>
      <w:r w:rsidR="00C24E06">
        <w:rPr>
          <w:noProof/>
          <w:sz w:val="18"/>
          <w:szCs w:val="18"/>
          <w:lang w:eastAsia="en-AU"/>
        </w:rPr>
        <w:t xml:space="preserve"> </w:t>
      </w:r>
      <w:r w:rsidR="00C24E06">
        <w:rPr>
          <w:sz w:val="18"/>
          <w:szCs w:val="18"/>
        </w:rPr>
        <w:t>The DGVs were also reviewed and approved by jurisdictional technical and policy oversight groups and a National Water Reform Committee prior to being published</w:t>
      </w:r>
      <w:r w:rsidRPr="006406B5">
        <w:rPr>
          <w:sz w:val="18"/>
          <w:szCs w:val="18"/>
        </w:rPr>
        <w:t>.</w:t>
      </w:r>
    </w:p>
    <w:p w14:paraId="273CD446" w14:textId="77777777" w:rsidR="001C0D1C" w:rsidRDefault="00324184" w:rsidP="00ED6131">
      <w:r w:rsidRPr="00ED6131">
        <w:rPr>
          <w:noProof/>
          <w:lang w:eastAsia="en-AU"/>
        </w:rPr>
        <w:drawing>
          <wp:inline distT="0" distB="0" distL="0" distR="0" wp14:anchorId="273CDDFA" wp14:editId="273CDDFB">
            <wp:extent cx="5754977" cy="1731280"/>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67179" name="DA2834_1216_Water Quality state logos.jpg"/>
                    <pic:cNvPicPr/>
                  </pic:nvPicPr>
                  <pic:blipFill>
                    <a:blip r:embed="rId21">
                      <a:extLst>
                        <a:ext uri="{28A0092B-C50C-407E-A947-70E740481C1C}">
                          <a14:useLocalDpi xmlns:a14="http://schemas.microsoft.com/office/drawing/2010/main" val="0"/>
                        </a:ext>
                      </a:extLst>
                    </a:blip>
                    <a:srcRect t="23805"/>
                    <a:stretch>
                      <a:fillRect/>
                    </a:stretch>
                  </pic:blipFill>
                  <pic:spPr bwMode="auto">
                    <a:xfrm>
                      <a:off x="0" y="0"/>
                      <a:ext cx="5759450" cy="1732626"/>
                    </a:xfrm>
                    <a:prstGeom prst="rect">
                      <a:avLst/>
                    </a:prstGeom>
                    <a:ln>
                      <a:noFill/>
                    </a:ln>
                    <a:extLst>
                      <a:ext uri="{53640926-AAD7-44D8-BBD7-CCE9431645EC}">
                        <a14:shadowObscured xmlns:a14="http://schemas.microsoft.com/office/drawing/2010/main"/>
                      </a:ext>
                    </a:extLst>
                  </pic:spPr>
                </pic:pic>
              </a:graphicData>
            </a:graphic>
          </wp:inline>
        </w:drawing>
      </w:r>
    </w:p>
    <w:p w14:paraId="273CD447" w14:textId="77777777" w:rsidR="001C0D1C" w:rsidRDefault="00324184" w:rsidP="00B53A05">
      <w:pPr>
        <w:pStyle w:val="TOCHeading"/>
      </w:pPr>
      <w:r w:rsidRPr="00B53A05">
        <w:lastRenderedPageBreak/>
        <w:t>Contents</w:t>
      </w:r>
    </w:p>
    <w:p w14:paraId="273CD448" w14:textId="77777777" w:rsidR="00882F71" w:rsidRDefault="00324184">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r>
        <w:t>Summary</w:t>
      </w:r>
      <w:r>
        <w:tab/>
      </w:r>
      <w:r>
        <w:fldChar w:fldCharType="begin"/>
      </w:r>
      <w:r>
        <w:instrText xml:space="preserve"> PAGEREF _Toc89268647 \h </w:instrText>
      </w:r>
      <w:r>
        <w:fldChar w:fldCharType="separate"/>
      </w:r>
      <w:r w:rsidR="00A41C81">
        <w:t>v</w:t>
      </w:r>
      <w:r>
        <w:fldChar w:fldCharType="end"/>
      </w:r>
    </w:p>
    <w:p w14:paraId="273CD449" w14:textId="77777777" w:rsidR="00882F71" w:rsidRDefault="00324184">
      <w:pPr>
        <w:pStyle w:val="TOC1"/>
        <w:rPr>
          <w:rFonts w:eastAsiaTheme="minorEastAsia"/>
          <w:b w:val="0"/>
          <w:lang w:eastAsia="en-AU"/>
        </w:rPr>
      </w:pPr>
      <w:r w:rsidRPr="00910E31">
        <w:t>1</w:t>
      </w:r>
      <w:r>
        <w:rPr>
          <w:rFonts w:eastAsiaTheme="minorEastAsia"/>
          <w:b w:val="0"/>
          <w:lang w:eastAsia="en-AU"/>
        </w:rPr>
        <w:tab/>
      </w:r>
      <w:r>
        <w:t>Introduction</w:t>
      </w:r>
      <w:r>
        <w:tab/>
      </w:r>
      <w:r>
        <w:fldChar w:fldCharType="begin"/>
      </w:r>
      <w:r>
        <w:instrText xml:space="preserve"> PAGEREF _Toc89268648 \h </w:instrText>
      </w:r>
      <w:r>
        <w:fldChar w:fldCharType="separate"/>
      </w:r>
      <w:r w:rsidR="00A41C81">
        <w:t>1</w:t>
      </w:r>
      <w:r>
        <w:fldChar w:fldCharType="end"/>
      </w:r>
    </w:p>
    <w:p w14:paraId="273CD44A" w14:textId="77777777" w:rsidR="00882F71" w:rsidRDefault="00324184">
      <w:pPr>
        <w:pStyle w:val="TOC1"/>
        <w:rPr>
          <w:rFonts w:eastAsiaTheme="minorEastAsia"/>
          <w:b w:val="0"/>
          <w:lang w:eastAsia="en-AU"/>
        </w:rPr>
      </w:pPr>
      <w:r w:rsidRPr="00910E31">
        <w:t>2</w:t>
      </w:r>
      <w:r>
        <w:rPr>
          <w:rFonts w:eastAsiaTheme="minorEastAsia"/>
          <w:b w:val="0"/>
          <w:lang w:eastAsia="en-AU"/>
        </w:rPr>
        <w:tab/>
      </w:r>
      <w:r w:rsidRPr="00910E31">
        <w:rPr>
          <w:color w:val="4F81BD" w:themeColor="accent1"/>
        </w:rPr>
        <w:t>Aquatic toxicology</w:t>
      </w:r>
      <w:r>
        <w:tab/>
      </w:r>
      <w:r>
        <w:fldChar w:fldCharType="begin"/>
      </w:r>
      <w:r>
        <w:instrText xml:space="preserve"> PAGEREF _Toc89268649 \h </w:instrText>
      </w:r>
      <w:r>
        <w:fldChar w:fldCharType="separate"/>
      </w:r>
      <w:r w:rsidR="00A41C81">
        <w:t>2</w:t>
      </w:r>
      <w:r>
        <w:fldChar w:fldCharType="end"/>
      </w:r>
    </w:p>
    <w:p w14:paraId="273CD44B" w14:textId="77777777" w:rsidR="00882F71" w:rsidRDefault="00324184">
      <w:pPr>
        <w:pStyle w:val="TOC2"/>
        <w:tabs>
          <w:tab w:val="left" w:pos="1100"/>
        </w:tabs>
        <w:rPr>
          <w:rFonts w:eastAsiaTheme="minorEastAsia"/>
          <w:lang w:eastAsia="en-AU"/>
        </w:rPr>
      </w:pPr>
      <w:r>
        <w:t>2.1</w:t>
      </w:r>
      <w:r>
        <w:rPr>
          <w:rFonts w:eastAsiaTheme="minorEastAsia"/>
          <w:lang w:eastAsia="en-AU"/>
        </w:rPr>
        <w:tab/>
      </w:r>
      <w:r>
        <w:t xml:space="preserve">Mechanisms of </w:t>
      </w:r>
      <w:r>
        <w:t>toxicity</w:t>
      </w:r>
      <w:r>
        <w:tab/>
      </w:r>
      <w:r>
        <w:fldChar w:fldCharType="begin"/>
      </w:r>
      <w:r>
        <w:instrText xml:space="preserve"> PAGEREF _Toc89268650 \h </w:instrText>
      </w:r>
      <w:r>
        <w:fldChar w:fldCharType="separate"/>
      </w:r>
      <w:r w:rsidR="00A41C81">
        <w:t>2</w:t>
      </w:r>
      <w:r>
        <w:fldChar w:fldCharType="end"/>
      </w:r>
    </w:p>
    <w:p w14:paraId="273CD44C" w14:textId="77777777" w:rsidR="00882F71" w:rsidRDefault="00324184">
      <w:pPr>
        <w:pStyle w:val="TOC2"/>
        <w:tabs>
          <w:tab w:val="left" w:pos="1100"/>
        </w:tabs>
        <w:rPr>
          <w:rFonts w:eastAsiaTheme="minorEastAsia"/>
          <w:lang w:eastAsia="en-AU"/>
        </w:rPr>
      </w:pPr>
      <w:r>
        <w:t>2.2</w:t>
      </w:r>
      <w:r>
        <w:rPr>
          <w:rFonts w:eastAsiaTheme="minorEastAsia"/>
          <w:lang w:eastAsia="en-AU"/>
        </w:rPr>
        <w:tab/>
      </w:r>
      <w:r>
        <w:t>Toxicity</w:t>
      </w:r>
      <w:r>
        <w:tab/>
      </w:r>
      <w:r>
        <w:fldChar w:fldCharType="begin"/>
      </w:r>
      <w:r>
        <w:instrText xml:space="preserve"> PAGEREF _Toc89268651 \h </w:instrText>
      </w:r>
      <w:r>
        <w:fldChar w:fldCharType="separate"/>
      </w:r>
      <w:r w:rsidR="00A41C81">
        <w:t>2</w:t>
      </w:r>
      <w:r>
        <w:fldChar w:fldCharType="end"/>
      </w:r>
    </w:p>
    <w:p w14:paraId="273CD44D" w14:textId="77777777" w:rsidR="00882F71" w:rsidRDefault="00324184">
      <w:pPr>
        <w:pStyle w:val="TOC1"/>
        <w:rPr>
          <w:rFonts w:eastAsiaTheme="minorEastAsia"/>
          <w:b w:val="0"/>
          <w:lang w:eastAsia="en-AU"/>
        </w:rPr>
      </w:pPr>
      <w:r w:rsidRPr="00910E31">
        <w:t>3</w:t>
      </w:r>
      <w:r>
        <w:rPr>
          <w:rFonts w:eastAsiaTheme="minorEastAsia"/>
          <w:b w:val="0"/>
          <w:lang w:eastAsia="en-AU"/>
        </w:rPr>
        <w:tab/>
      </w:r>
      <w:r>
        <w:t>Factors affecting toxicity</w:t>
      </w:r>
      <w:r>
        <w:tab/>
      </w:r>
      <w:r>
        <w:fldChar w:fldCharType="begin"/>
      </w:r>
      <w:r>
        <w:instrText xml:space="preserve"> PAGEREF _Toc89268652 \h </w:instrText>
      </w:r>
      <w:r>
        <w:fldChar w:fldCharType="separate"/>
      </w:r>
      <w:r w:rsidR="00A41C81">
        <w:t>3</w:t>
      </w:r>
      <w:r>
        <w:fldChar w:fldCharType="end"/>
      </w:r>
    </w:p>
    <w:p w14:paraId="273CD44E" w14:textId="77777777" w:rsidR="00882F71" w:rsidRDefault="00324184">
      <w:pPr>
        <w:pStyle w:val="TOC2"/>
        <w:tabs>
          <w:tab w:val="left" w:pos="1100"/>
        </w:tabs>
        <w:rPr>
          <w:rFonts w:eastAsiaTheme="minorEastAsia"/>
          <w:lang w:eastAsia="en-AU"/>
        </w:rPr>
      </w:pPr>
      <w:r>
        <w:t>3.1</w:t>
      </w:r>
      <w:r>
        <w:rPr>
          <w:rFonts w:eastAsiaTheme="minorEastAsia"/>
          <w:lang w:eastAsia="en-AU"/>
        </w:rPr>
        <w:tab/>
      </w:r>
      <w:r>
        <w:t>Copper speciation</w:t>
      </w:r>
      <w:r>
        <w:tab/>
      </w:r>
      <w:r>
        <w:fldChar w:fldCharType="begin"/>
      </w:r>
      <w:r>
        <w:instrText xml:space="preserve"> PAGEREF _Toc89268653 \h </w:instrText>
      </w:r>
      <w:r>
        <w:fldChar w:fldCharType="separate"/>
      </w:r>
      <w:r w:rsidR="00A41C81">
        <w:t>3</w:t>
      </w:r>
      <w:r>
        <w:fldChar w:fldCharType="end"/>
      </w:r>
    </w:p>
    <w:p w14:paraId="273CD44F" w14:textId="77777777" w:rsidR="00882F71" w:rsidRDefault="00324184">
      <w:pPr>
        <w:pStyle w:val="TOC2"/>
        <w:tabs>
          <w:tab w:val="left" w:pos="1100"/>
        </w:tabs>
        <w:rPr>
          <w:rFonts w:eastAsiaTheme="minorEastAsia"/>
          <w:lang w:eastAsia="en-AU"/>
        </w:rPr>
      </w:pPr>
      <w:r>
        <w:t>3.2</w:t>
      </w:r>
      <w:r>
        <w:rPr>
          <w:rFonts w:eastAsiaTheme="minorEastAsia"/>
          <w:lang w:eastAsia="en-AU"/>
        </w:rPr>
        <w:tab/>
      </w:r>
      <w:r>
        <w:t>Toxicity modifying factors</w:t>
      </w:r>
      <w:r>
        <w:tab/>
      </w:r>
      <w:r>
        <w:fldChar w:fldCharType="begin"/>
      </w:r>
      <w:r>
        <w:instrText xml:space="preserve"> PAGEREF _Toc89</w:instrText>
      </w:r>
      <w:r>
        <w:instrText xml:space="preserve">268654 \h </w:instrText>
      </w:r>
      <w:r>
        <w:fldChar w:fldCharType="separate"/>
      </w:r>
      <w:r w:rsidR="00A41C81">
        <w:t>4</w:t>
      </w:r>
      <w:r>
        <w:fldChar w:fldCharType="end"/>
      </w:r>
    </w:p>
    <w:p w14:paraId="273CD450" w14:textId="77777777" w:rsidR="00882F71" w:rsidRDefault="00324184">
      <w:pPr>
        <w:pStyle w:val="TOC2"/>
        <w:tabs>
          <w:tab w:val="left" w:pos="1100"/>
        </w:tabs>
        <w:rPr>
          <w:rFonts w:eastAsiaTheme="minorEastAsia"/>
          <w:lang w:eastAsia="en-AU"/>
        </w:rPr>
      </w:pPr>
      <w:r>
        <w:t>3.3</w:t>
      </w:r>
      <w:r>
        <w:rPr>
          <w:rFonts w:eastAsiaTheme="minorEastAsia"/>
          <w:lang w:eastAsia="en-AU"/>
        </w:rPr>
        <w:tab/>
      </w:r>
      <w:r>
        <w:t>Biotic ligand model</w:t>
      </w:r>
      <w:r>
        <w:tab/>
      </w:r>
      <w:r>
        <w:fldChar w:fldCharType="begin"/>
      </w:r>
      <w:r>
        <w:instrText xml:space="preserve"> PAGEREF _Toc89268655 \h </w:instrText>
      </w:r>
      <w:r>
        <w:fldChar w:fldCharType="separate"/>
      </w:r>
      <w:r w:rsidR="00A41C81">
        <w:t>5</w:t>
      </w:r>
      <w:r>
        <w:fldChar w:fldCharType="end"/>
      </w:r>
    </w:p>
    <w:p w14:paraId="273CD451" w14:textId="77777777" w:rsidR="00882F71" w:rsidRDefault="00324184">
      <w:pPr>
        <w:pStyle w:val="TOC1"/>
        <w:rPr>
          <w:rFonts w:eastAsiaTheme="minorEastAsia"/>
          <w:b w:val="0"/>
          <w:lang w:eastAsia="en-AU"/>
        </w:rPr>
      </w:pPr>
      <w:r w:rsidRPr="00910E31">
        <w:t>4</w:t>
      </w:r>
      <w:r>
        <w:rPr>
          <w:rFonts w:eastAsiaTheme="minorEastAsia"/>
          <w:b w:val="0"/>
          <w:lang w:eastAsia="en-AU"/>
        </w:rPr>
        <w:tab/>
      </w:r>
      <w:r>
        <w:t>Default guideline value derivation</w:t>
      </w:r>
      <w:r>
        <w:tab/>
      </w:r>
      <w:r>
        <w:fldChar w:fldCharType="begin"/>
      </w:r>
      <w:r>
        <w:instrText xml:space="preserve"> PAGEREF _Toc89268656 \</w:instrText>
      </w:r>
      <w:r>
        <w:instrText xml:space="preserve">h </w:instrText>
      </w:r>
      <w:r>
        <w:fldChar w:fldCharType="separate"/>
      </w:r>
      <w:r w:rsidR="00A41C81">
        <w:t>5</w:t>
      </w:r>
      <w:r>
        <w:fldChar w:fldCharType="end"/>
      </w:r>
    </w:p>
    <w:p w14:paraId="273CD452" w14:textId="77777777" w:rsidR="00882F71" w:rsidRDefault="00324184">
      <w:pPr>
        <w:pStyle w:val="TOC2"/>
        <w:tabs>
          <w:tab w:val="left" w:pos="1100"/>
        </w:tabs>
        <w:rPr>
          <w:rFonts w:eastAsiaTheme="minorEastAsia"/>
          <w:lang w:eastAsia="en-AU"/>
        </w:rPr>
      </w:pPr>
      <w:r>
        <w:t>4.1</w:t>
      </w:r>
      <w:r>
        <w:rPr>
          <w:rFonts w:eastAsiaTheme="minorEastAsia"/>
          <w:lang w:eastAsia="en-AU"/>
        </w:rPr>
        <w:tab/>
      </w:r>
      <w:r>
        <w:t>Collation of toxicity data</w:t>
      </w:r>
      <w:r>
        <w:tab/>
      </w:r>
      <w:r>
        <w:fldChar w:fldCharType="begin"/>
      </w:r>
      <w:r>
        <w:instrText xml:space="preserve"> PAGEREF _Toc89268657 \h </w:instrText>
      </w:r>
      <w:r>
        <w:fldChar w:fldCharType="separate"/>
      </w:r>
      <w:r w:rsidR="00A41C81">
        <w:t>5</w:t>
      </w:r>
      <w:r>
        <w:fldChar w:fldCharType="end"/>
      </w:r>
    </w:p>
    <w:p w14:paraId="273CD453" w14:textId="77777777" w:rsidR="00882F71" w:rsidRDefault="00324184">
      <w:pPr>
        <w:pStyle w:val="TOC2"/>
        <w:tabs>
          <w:tab w:val="left" w:pos="1100"/>
        </w:tabs>
        <w:rPr>
          <w:rFonts w:eastAsiaTheme="minorEastAsia"/>
          <w:lang w:eastAsia="en-AU"/>
        </w:rPr>
      </w:pPr>
      <w:r>
        <w:t>4.2</w:t>
      </w:r>
      <w:r>
        <w:rPr>
          <w:rFonts w:eastAsiaTheme="minorEastAsia"/>
          <w:lang w:eastAsia="en-AU"/>
        </w:rPr>
        <w:tab/>
      </w:r>
      <w:r>
        <w:t>Toxicity data used in derivation</w:t>
      </w:r>
      <w:r>
        <w:tab/>
      </w:r>
      <w:r>
        <w:fldChar w:fldCharType="begin"/>
      </w:r>
      <w:r>
        <w:instrText xml:space="preserve"> PAGEREF _Toc89268658 \h </w:instrText>
      </w:r>
      <w:r>
        <w:fldChar w:fldCharType="separate"/>
      </w:r>
      <w:r w:rsidR="00A41C81">
        <w:t>6</w:t>
      </w:r>
      <w:r>
        <w:fldChar w:fldCharType="end"/>
      </w:r>
    </w:p>
    <w:p w14:paraId="273CD454" w14:textId="77777777" w:rsidR="00882F71" w:rsidRDefault="00324184">
      <w:pPr>
        <w:pStyle w:val="TOC2"/>
        <w:tabs>
          <w:tab w:val="left" w:pos="1100"/>
        </w:tabs>
        <w:rPr>
          <w:rFonts w:eastAsiaTheme="minorEastAsia"/>
          <w:lang w:eastAsia="en-AU"/>
        </w:rPr>
      </w:pPr>
      <w:r>
        <w:t>4.3</w:t>
      </w:r>
      <w:r>
        <w:rPr>
          <w:rFonts w:eastAsiaTheme="minorEastAsia"/>
          <w:lang w:eastAsia="en-AU"/>
        </w:rPr>
        <w:tab/>
      </w:r>
      <w:r>
        <w:t>Species sensitivity distribution</w:t>
      </w:r>
      <w:r>
        <w:tab/>
      </w:r>
      <w:r>
        <w:fldChar w:fldCharType="begin"/>
      </w:r>
      <w:r>
        <w:instrText xml:space="preserve"> PAGEREF _Toc89268659 \h </w:instrText>
      </w:r>
      <w:r>
        <w:fldChar w:fldCharType="separate"/>
      </w:r>
      <w:r w:rsidR="00A41C81">
        <w:t>10</w:t>
      </w:r>
      <w:r>
        <w:fldChar w:fldCharType="end"/>
      </w:r>
    </w:p>
    <w:p w14:paraId="273CD455" w14:textId="77777777" w:rsidR="00882F71" w:rsidRDefault="00324184">
      <w:pPr>
        <w:pStyle w:val="TOC2"/>
        <w:tabs>
          <w:tab w:val="left" w:pos="1100"/>
        </w:tabs>
        <w:rPr>
          <w:rFonts w:eastAsiaTheme="minorEastAsia"/>
          <w:lang w:eastAsia="en-AU"/>
        </w:rPr>
      </w:pPr>
      <w:r>
        <w:t>4.4</w:t>
      </w:r>
      <w:r>
        <w:rPr>
          <w:rFonts w:eastAsiaTheme="minorEastAsia"/>
          <w:lang w:eastAsia="en-AU"/>
        </w:rPr>
        <w:tab/>
      </w:r>
      <w:r>
        <w:t>Default guideline values</w:t>
      </w:r>
      <w:r>
        <w:tab/>
      </w:r>
      <w:r>
        <w:fldChar w:fldCharType="begin"/>
      </w:r>
      <w:r>
        <w:instrText xml:space="preserve"> PAGEREF _Toc89268660 \h </w:instrText>
      </w:r>
      <w:r>
        <w:fldChar w:fldCharType="separate"/>
      </w:r>
      <w:r w:rsidR="00A41C81">
        <w:t>11</w:t>
      </w:r>
      <w:r>
        <w:fldChar w:fldCharType="end"/>
      </w:r>
    </w:p>
    <w:p w14:paraId="273CD456" w14:textId="77777777" w:rsidR="00882F71" w:rsidRDefault="00324184">
      <w:pPr>
        <w:pStyle w:val="TOC2"/>
        <w:tabs>
          <w:tab w:val="left" w:pos="1100"/>
        </w:tabs>
        <w:rPr>
          <w:rFonts w:eastAsiaTheme="minorEastAsia"/>
          <w:lang w:eastAsia="en-AU"/>
        </w:rPr>
      </w:pPr>
      <w:r>
        <w:t>4.5</w:t>
      </w:r>
      <w:r>
        <w:rPr>
          <w:rFonts w:eastAsiaTheme="minorEastAsia"/>
          <w:lang w:eastAsia="en-AU"/>
        </w:rPr>
        <w:tab/>
      </w:r>
      <w:r>
        <w:t>Reliability classification</w:t>
      </w:r>
      <w:r>
        <w:tab/>
      </w:r>
      <w:r>
        <w:fldChar w:fldCharType="begin"/>
      </w:r>
      <w:r>
        <w:instrText xml:space="preserve"> PAGEREF _Toc89268661 \h </w:instrText>
      </w:r>
      <w:r>
        <w:fldChar w:fldCharType="separate"/>
      </w:r>
      <w:r w:rsidR="00A41C81">
        <w:t>12</w:t>
      </w:r>
      <w:r>
        <w:fldChar w:fldCharType="end"/>
      </w:r>
    </w:p>
    <w:p w14:paraId="273CD457" w14:textId="77777777" w:rsidR="00882F71" w:rsidRDefault="00324184">
      <w:pPr>
        <w:pStyle w:val="TOC1"/>
        <w:rPr>
          <w:rFonts w:eastAsiaTheme="minorEastAsia"/>
          <w:b w:val="0"/>
          <w:lang w:eastAsia="en-AU"/>
        </w:rPr>
      </w:pPr>
      <w:r>
        <w:t>Glossary</w:t>
      </w:r>
      <w:r>
        <w:tab/>
      </w:r>
      <w:r>
        <w:fldChar w:fldCharType="begin"/>
      </w:r>
      <w:r>
        <w:instrText xml:space="preserve"> PAGEREF _Toc89268662 \h </w:instrText>
      </w:r>
      <w:r>
        <w:fldChar w:fldCharType="separate"/>
      </w:r>
      <w:r w:rsidR="00A41C81">
        <w:t>13</w:t>
      </w:r>
      <w:r>
        <w:fldChar w:fldCharType="end"/>
      </w:r>
    </w:p>
    <w:p w14:paraId="273CD458" w14:textId="77777777" w:rsidR="00882F71" w:rsidRDefault="00324184">
      <w:pPr>
        <w:pStyle w:val="TOC1"/>
        <w:rPr>
          <w:rFonts w:eastAsiaTheme="minorEastAsia"/>
          <w:b w:val="0"/>
          <w:lang w:eastAsia="en-AU"/>
        </w:rPr>
      </w:pPr>
      <w:r>
        <w:t>Appendix A: Actions to assess the bioavailable fraction of a metal</w:t>
      </w:r>
      <w:r>
        <w:tab/>
      </w:r>
      <w:r>
        <w:fldChar w:fldCharType="begin"/>
      </w:r>
      <w:r>
        <w:instrText xml:space="preserve"> PAGEREF _Toc89268663 \h </w:instrText>
      </w:r>
      <w:r>
        <w:fldChar w:fldCharType="separate"/>
      </w:r>
      <w:r w:rsidR="00A41C81">
        <w:t>15</w:t>
      </w:r>
      <w:r>
        <w:fldChar w:fldCharType="end"/>
      </w:r>
    </w:p>
    <w:p w14:paraId="273CD459" w14:textId="77777777" w:rsidR="00882F71" w:rsidRDefault="00324184">
      <w:pPr>
        <w:pStyle w:val="TOC1"/>
        <w:rPr>
          <w:rFonts w:eastAsiaTheme="minorEastAsia"/>
          <w:b w:val="0"/>
          <w:lang w:eastAsia="en-AU"/>
        </w:rPr>
      </w:pPr>
      <w:r>
        <w:t xml:space="preserve">Appendix B: Toxicity data </w:t>
      </w:r>
      <w:r>
        <w:t>that passed the screening and quality assessment and were used to derive the default guideline values</w:t>
      </w:r>
      <w:r>
        <w:tab/>
      </w:r>
      <w:r>
        <w:fldChar w:fldCharType="begin"/>
      </w:r>
      <w:r>
        <w:instrText xml:space="preserve"> PAGEREF _Toc89268664 \h </w:instrText>
      </w:r>
      <w:r>
        <w:fldChar w:fldCharType="separate"/>
      </w:r>
      <w:r w:rsidR="00A41C81">
        <w:t>16</w:t>
      </w:r>
      <w:r>
        <w:fldChar w:fldCharType="end"/>
      </w:r>
    </w:p>
    <w:p w14:paraId="273CD45A" w14:textId="77777777" w:rsidR="00882F71" w:rsidRDefault="00324184">
      <w:pPr>
        <w:pStyle w:val="TOC1"/>
        <w:rPr>
          <w:rFonts w:eastAsiaTheme="minorEastAsia"/>
          <w:b w:val="0"/>
          <w:lang w:eastAsia="en-AU"/>
        </w:rPr>
      </w:pPr>
      <w:r>
        <w:t>Appendix C: DOC correction for dissolved copper default guid</w:t>
      </w:r>
      <w:r>
        <w:t>eline values</w:t>
      </w:r>
      <w:r>
        <w:tab/>
      </w:r>
      <w:r>
        <w:fldChar w:fldCharType="begin"/>
      </w:r>
      <w:r>
        <w:instrText xml:space="preserve"> PAGEREF _Toc89268665 \h </w:instrText>
      </w:r>
      <w:r>
        <w:fldChar w:fldCharType="separate"/>
      </w:r>
      <w:r w:rsidR="00A41C81">
        <w:t>22</w:t>
      </w:r>
      <w:r>
        <w:fldChar w:fldCharType="end"/>
      </w:r>
    </w:p>
    <w:p w14:paraId="273CD45B" w14:textId="77777777" w:rsidR="00882F71" w:rsidRDefault="00324184">
      <w:pPr>
        <w:pStyle w:val="TOC1"/>
        <w:rPr>
          <w:rFonts w:eastAsiaTheme="minorEastAsia"/>
          <w:b w:val="0"/>
          <w:lang w:eastAsia="en-AU"/>
        </w:rPr>
      </w:pPr>
      <w:r>
        <w:t>Appendix D: Chronic toxicity data for Australasian species not used to derive the default guideline values</w:t>
      </w:r>
      <w:r>
        <w:tab/>
      </w:r>
      <w:r>
        <w:fldChar w:fldCharType="begin"/>
      </w:r>
      <w:r>
        <w:instrText xml:space="preserve"> PAGEREF _Toc89268666 \h </w:instrText>
      </w:r>
      <w:r>
        <w:fldChar w:fldCharType="separate"/>
      </w:r>
      <w:r w:rsidR="00A41C81">
        <w:t>23</w:t>
      </w:r>
      <w:r>
        <w:fldChar w:fldCharType="end"/>
      </w:r>
    </w:p>
    <w:p w14:paraId="273CD45C" w14:textId="77777777" w:rsidR="00882F71" w:rsidRDefault="00324184">
      <w:pPr>
        <w:pStyle w:val="TOC1"/>
        <w:rPr>
          <w:rFonts w:eastAsiaTheme="minorEastAsia"/>
          <w:b w:val="0"/>
          <w:lang w:eastAsia="en-AU"/>
        </w:rPr>
      </w:pPr>
      <w:r>
        <w:t>Appendix E: Guideline value derivation with preferred toxicity estimates only</w:t>
      </w:r>
      <w:r>
        <w:tab/>
      </w:r>
      <w:r>
        <w:fldChar w:fldCharType="begin"/>
      </w:r>
      <w:r>
        <w:instrText xml:space="preserve"> PAGEREF _Toc89268667 \h </w:instrText>
      </w:r>
      <w:r>
        <w:fldChar w:fldCharType="separate"/>
      </w:r>
      <w:r w:rsidR="00A41C81">
        <w:t>28</w:t>
      </w:r>
      <w:r>
        <w:fldChar w:fldCharType="end"/>
      </w:r>
    </w:p>
    <w:p w14:paraId="273CD45D" w14:textId="77777777" w:rsidR="00882F71" w:rsidRDefault="00324184">
      <w:pPr>
        <w:pStyle w:val="TOC1"/>
        <w:rPr>
          <w:rFonts w:eastAsiaTheme="minorEastAsia"/>
          <w:b w:val="0"/>
          <w:lang w:eastAsia="en-AU"/>
        </w:rPr>
      </w:pPr>
      <w:r>
        <w:t>Appendix F: Modality assessmen</w:t>
      </w:r>
      <w:r>
        <w:t>t for copper</w:t>
      </w:r>
      <w:r>
        <w:tab/>
      </w:r>
      <w:r>
        <w:fldChar w:fldCharType="begin"/>
      </w:r>
      <w:r>
        <w:instrText xml:space="preserve"> PAGEREF _Toc89268668 \h </w:instrText>
      </w:r>
      <w:r>
        <w:fldChar w:fldCharType="separate"/>
      </w:r>
      <w:r w:rsidR="00A41C81">
        <w:t>30</w:t>
      </w:r>
      <w:r>
        <w:fldChar w:fldCharType="end"/>
      </w:r>
    </w:p>
    <w:p w14:paraId="273CD45E" w14:textId="77777777" w:rsidR="00882F71" w:rsidRDefault="00324184">
      <w:pPr>
        <w:pStyle w:val="TOC1"/>
        <w:rPr>
          <w:rFonts w:eastAsiaTheme="minorEastAsia"/>
          <w:b w:val="0"/>
          <w:lang w:eastAsia="en-AU"/>
        </w:rPr>
      </w:pPr>
      <w:r>
        <w:t>Appendix G: Rationale for DOC correction</w:t>
      </w:r>
      <w:r>
        <w:tab/>
      </w:r>
      <w:r>
        <w:fldChar w:fldCharType="begin"/>
      </w:r>
      <w:r>
        <w:instrText xml:space="preserve"> PAGEREF _Toc89268669 \h </w:instrText>
      </w:r>
      <w:r>
        <w:fldChar w:fldCharType="separate"/>
      </w:r>
      <w:r w:rsidR="00A41C81">
        <w:t>33</w:t>
      </w:r>
      <w:r>
        <w:fldChar w:fldCharType="end"/>
      </w:r>
    </w:p>
    <w:p w14:paraId="273CD45F" w14:textId="77777777" w:rsidR="00882F71" w:rsidRDefault="00324184">
      <w:pPr>
        <w:pStyle w:val="TOC1"/>
        <w:rPr>
          <w:rFonts w:eastAsiaTheme="minorEastAsia"/>
          <w:b w:val="0"/>
          <w:lang w:eastAsia="en-AU"/>
        </w:rPr>
      </w:pPr>
      <w:r>
        <w:t>References</w:t>
      </w:r>
      <w:r>
        <w:tab/>
      </w:r>
      <w:r>
        <w:fldChar w:fldCharType="begin"/>
      </w:r>
      <w:r>
        <w:instrText xml:space="preserve"> PAGEREF _Toc89268670 \h </w:instrText>
      </w:r>
      <w:r>
        <w:fldChar w:fldCharType="separate"/>
      </w:r>
      <w:r w:rsidR="00A41C81">
        <w:t>36</w:t>
      </w:r>
      <w:r>
        <w:fldChar w:fldCharType="end"/>
      </w:r>
    </w:p>
    <w:p w14:paraId="273CD460" w14:textId="77777777" w:rsidR="006B0F96" w:rsidRDefault="00324184" w:rsidP="006B0F96">
      <w:pPr>
        <w:pStyle w:val="TOCHeading2"/>
      </w:pPr>
      <w:r>
        <w:rPr>
          <w:rFonts w:asciiTheme="minorHAnsi" w:eastAsiaTheme="minorHAnsi" w:hAnsiTheme="minorHAnsi" w:cstheme="minorBidi"/>
          <w:noProof/>
          <w:color w:val="auto"/>
          <w:sz w:val="22"/>
          <w:szCs w:val="24"/>
          <w:lang w:val="en-AU"/>
        </w:rPr>
        <w:fldChar w:fldCharType="end"/>
      </w:r>
      <w:r>
        <w:t>Figures</w:t>
      </w:r>
    </w:p>
    <w:p w14:paraId="273CD461" w14:textId="77777777" w:rsidR="00882F71" w:rsidRDefault="00324184">
      <w:pPr>
        <w:pStyle w:val="TableofFigures"/>
        <w:tabs>
          <w:tab w:val="right" w:leader="dot" w:pos="9060"/>
        </w:tabs>
        <w:rPr>
          <w:rFonts w:eastAsiaTheme="minorEastAsia"/>
          <w:noProof/>
          <w:lang w:eastAsia="en-AU"/>
        </w:rPr>
      </w:pPr>
      <w:r>
        <w:fldChar w:fldCharType="begin"/>
      </w:r>
      <w:r>
        <w:instrText xml:space="preserve"> TOC \c "Figure" </w:instrText>
      </w:r>
      <w:r>
        <w:fldChar w:fldCharType="separate"/>
      </w:r>
      <w:r>
        <w:rPr>
          <w:noProof/>
        </w:rPr>
        <w:t>Figure 1 Species sensitivity distribution, dissolved copper in marine water</w:t>
      </w:r>
      <w:r>
        <w:rPr>
          <w:noProof/>
        </w:rPr>
        <w:tab/>
      </w:r>
      <w:r>
        <w:rPr>
          <w:noProof/>
        </w:rPr>
        <w:fldChar w:fldCharType="begin"/>
      </w:r>
      <w:r>
        <w:rPr>
          <w:noProof/>
        </w:rPr>
        <w:instrText xml:space="preserve"> PAGEREF _Toc89268671 \h </w:instrText>
      </w:r>
      <w:r>
        <w:rPr>
          <w:noProof/>
        </w:rPr>
      </w:r>
      <w:r>
        <w:rPr>
          <w:noProof/>
        </w:rPr>
        <w:fldChar w:fldCharType="separate"/>
      </w:r>
      <w:r w:rsidR="00A41C81">
        <w:rPr>
          <w:noProof/>
        </w:rPr>
        <w:t>11</w:t>
      </w:r>
      <w:r>
        <w:rPr>
          <w:noProof/>
        </w:rPr>
        <w:fldChar w:fldCharType="end"/>
      </w:r>
    </w:p>
    <w:p w14:paraId="273CD462" w14:textId="77777777" w:rsidR="006B0F96" w:rsidRPr="001B767B" w:rsidRDefault="00324184" w:rsidP="006B0F96">
      <w:pPr>
        <w:pStyle w:val="TOCHeading2"/>
        <w:rPr>
          <w:rFonts w:ascii="Cambria" w:hAnsi="Cambria"/>
          <w:color w:val="auto"/>
          <w:sz w:val="22"/>
          <w:szCs w:val="24"/>
        </w:rPr>
      </w:pPr>
      <w:r>
        <w:rPr>
          <w:rFonts w:ascii="Cambria" w:hAnsi="Cambria"/>
          <w:color w:val="auto"/>
          <w:sz w:val="22"/>
          <w:szCs w:val="24"/>
        </w:rPr>
        <w:fldChar w:fldCharType="end"/>
      </w:r>
      <w:r>
        <w:t>Tables</w:t>
      </w:r>
    </w:p>
    <w:p w14:paraId="273CD463" w14:textId="77777777" w:rsidR="00CA2CFE" w:rsidRDefault="00324184">
      <w:pPr>
        <w:pStyle w:val="TableofFigures"/>
        <w:tabs>
          <w:tab w:val="right" w:leader="dot" w:pos="9060"/>
        </w:tabs>
        <w:rPr>
          <w:rFonts w:eastAsiaTheme="minorEastAsia"/>
          <w:noProof/>
          <w:lang w:eastAsia="en-AU"/>
        </w:rPr>
      </w:pPr>
      <w:r>
        <w:rPr>
          <w:bCs/>
          <w:szCs w:val="24"/>
        </w:rPr>
        <w:fldChar w:fldCharType="begin"/>
      </w:r>
      <w:r>
        <w:rPr>
          <w:bCs/>
        </w:rPr>
        <w:instrText xml:space="preserve"> TOC \c "Table" </w:instrText>
      </w:r>
      <w:r>
        <w:rPr>
          <w:bCs/>
          <w:szCs w:val="24"/>
        </w:rPr>
        <w:fldChar w:fldCharType="separate"/>
      </w:r>
      <w:r>
        <w:rPr>
          <w:noProof/>
        </w:rPr>
        <w:t>Table 1 Summary of single chronic toxicity values, all species used to derive the default guideline values for dissolved copper in marine water</w:t>
      </w:r>
      <w:r>
        <w:rPr>
          <w:noProof/>
        </w:rPr>
        <w:tab/>
      </w:r>
      <w:r>
        <w:rPr>
          <w:noProof/>
        </w:rPr>
        <w:fldChar w:fldCharType="begin"/>
      </w:r>
      <w:r>
        <w:rPr>
          <w:noProof/>
        </w:rPr>
        <w:instrText xml:space="preserve"> PAGEREF _Toc89268672 \h </w:instrText>
      </w:r>
      <w:r>
        <w:rPr>
          <w:noProof/>
        </w:rPr>
      </w:r>
      <w:r>
        <w:rPr>
          <w:noProof/>
        </w:rPr>
        <w:fldChar w:fldCharType="separate"/>
      </w:r>
      <w:r w:rsidR="00A41C81">
        <w:rPr>
          <w:noProof/>
        </w:rPr>
        <w:t>9</w:t>
      </w:r>
      <w:r>
        <w:rPr>
          <w:noProof/>
        </w:rPr>
        <w:fldChar w:fldCharType="end"/>
      </w:r>
    </w:p>
    <w:p w14:paraId="273CD464" w14:textId="77777777" w:rsidR="00CA2CFE" w:rsidRDefault="00324184">
      <w:pPr>
        <w:pStyle w:val="TableofFigures"/>
        <w:tabs>
          <w:tab w:val="right" w:leader="dot" w:pos="9060"/>
        </w:tabs>
        <w:rPr>
          <w:rFonts w:eastAsiaTheme="minorEastAsia"/>
          <w:noProof/>
          <w:lang w:eastAsia="en-AU"/>
        </w:rPr>
      </w:pPr>
      <w:r>
        <w:rPr>
          <w:noProof/>
        </w:rPr>
        <w:t>Table 2 Toxicant default guideline values, dissolved coper in marine water, very high reliability</w:t>
      </w:r>
      <w:r>
        <w:rPr>
          <w:noProof/>
        </w:rPr>
        <w:tab/>
      </w:r>
      <w:r>
        <w:rPr>
          <w:noProof/>
        </w:rPr>
        <w:fldChar w:fldCharType="begin"/>
      </w:r>
      <w:r>
        <w:rPr>
          <w:noProof/>
        </w:rPr>
        <w:instrText xml:space="preserve"> PAGEREF _Toc89268673 \h </w:instrText>
      </w:r>
      <w:r>
        <w:rPr>
          <w:noProof/>
        </w:rPr>
      </w:r>
      <w:r>
        <w:rPr>
          <w:noProof/>
        </w:rPr>
        <w:fldChar w:fldCharType="separate"/>
      </w:r>
      <w:r w:rsidR="00A41C81">
        <w:rPr>
          <w:noProof/>
        </w:rPr>
        <w:t>11</w:t>
      </w:r>
      <w:r>
        <w:rPr>
          <w:noProof/>
        </w:rPr>
        <w:fldChar w:fldCharType="end"/>
      </w:r>
    </w:p>
    <w:p w14:paraId="273CD465" w14:textId="77777777" w:rsidR="00CA2CFE" w:rsidRDefault="00324184">
      <w:pPr>
        <w:pStyle w:val="TableofFigures"/>
        <w:tabs>
          <w:tab w:val="right" w:leader="dot" w:pos="9060"/>
        </w:tabs>
        <w:rPr>
          <w:rFonts w:eastAsiaTheme="minorEastAsia"/>
          <w:noProof/>
          <w:lang w:eastAsia="en-AU"/>
        </w:rPr>
      </w:pPr>
      <w:r>
        <w:rPr>
          <w:noProof/>
        </w:rPr>
        <w:t>Table 3 Default guideline values for 95% species protection, dissolved copper in marine water with different dissolved organic carbon</w:t>
      </w:r>
      <w:r>
        <w:rPr>
          <w:noProof/>
        </w:rPr>
        <w:tab/>
      </w:r>
      <w:r>
        <w:rPr>
          <w:noProof/>
        </w:rPr>
        <w:fldChar w:fldCharType="begin"/>
      </w:r>
      <w:r>
        <w:rPr>
          <w:noProof/>
        </w:rPr>
        <w:instrText xml:space="preserve"> PAGEREF _Toc89268674 \h </w:instrText>
      </w:r>
      <w:r>
        <w:rPr>
          <w:noProof/>
        </w:rPr>
      </w:r>
      <w:r>
        <w:rPr>
          <w:noProof/>
        </w:rPr>
        <w:fldChar w:fldCharType="separate"/>
      </w:r>
      <w:r w:rsidR="00A41C81">
        <w:rPr>
          <w:noProof/>
        </w:rPr>
        <w:t>12</w:t>
      </w:r>
      <w:r>
        <w:rPr>
          <w:noProof/>
        </w:rPr>
        <w:fldChar w:fldCharType="end"/>
      </w:r>
    </w:p>
    <w:p w14:paraId="273CD466" w14:textId="77777777" w:rsidR="006B0F96" w:rsidRDefault="00324184" w:rsidP="006B0F96">
      <w:pPr>
        <w:pStyle w:val="TOCHeading2"/>
        <w:rPr>
          <w:bCs w:val="0"/>
          <w:szCs w:val="24"/>
        </w:rPr>
      </w:pPr>
      <w:r>
        <w:lastRenderedPageBreak/>
        <w:fldChar w:fldCharType="end"/>
      </w:r>
      <w:r>
        <w:rPr>
          <w:bCs w:val="0"/>
          <w:szCs w:val="24"/>
        </w:rPr>
        <w:t>Appendix figures</w:t>
      </w:r>
    </w:p>
    <w:p w14:paraId="273CD467" w14:textId="77777777" w:rsidR="00882F71" w:rsidRDefault="00324184" w:rsidP="00882F71">
      <w:pPr>
        <w:pStyle w:val="TableofFigures"/>
        <w:tabs>
          <w:tab w:val="right" w:leader="dot" w:pos="9060"/>
        </w:tabs>
        <w:rPr>
          <w:noProof/>
        </w:rPr>
      </w:pPr>
      <w:r>
        <w:rPr>
          <w:lang w:val="en-US"/>
        </w:rPr>
        <w:fldChar w:fldCharType="begin"/>
      </w:r>
      <w:r>
        <w:rPr>
          <w:lang w:val="en-US"/>
        </w:rPr>
        <w:instrText xml:space="preserve"> TOC \h \z \c "Figure A" </w:instrText>
      </w:r>
      <w:r>
        <w:rPr>
          <w:lang w:val="en-US"/>
        </w:rPr>
        <w:fldChar w:fldCharType="separate"/>
      </w:r>
      <w:hyperlink w:anchor="_Toc89268609" w:history="1">
        <w:r w:rsidRPr="00756585">
          <w:rPr>
            <w:rStyle w:val="Hyperlink"/>
            <w:noProof/>
          </w:rPr>
          <w:t>Figure A 1 Actions to assess bioavailable fraction of copper in marine water</w:t>
        </w:r>
        <w:r>
          <w:rPr>
            <w:noProof/>
            <w:webHidden/>
          </w:rPr>
          <w:tab/>
        </w:r>
        <w:r>
          <w:rPr>
            <w:noProof/>
            <w:webHidden/>
          </w:rPr>
          <w:fldChar w:fldCharType="begin"/>
        </w:r>
        <w:r>
          <w:rPr>
            <w:noProof/>
            <w:webHidden/>
          </w:rPr>
          <w:instrText xml:space="preserve"> PAGEREF _Toc89268609 \h </w:instrText>
        </w:r>
        <w:r>
          <w:rPr>
            <w:noProof/>
            <w:webHidden/>
          </w:rPr>
        </w:r>
        <w:r>
          <w:rPr>
            <w:noProof/>
            <w:webHidden/>
          </w:rPr>
          <w:fldChar w:fldCharType="separate"/>
        </w:r>
        <w:r w:rsidR="00A41C81">
          <w:rPr>
            <w:noProof/>
            <w:webHidden/>
          </w:rPr>
          <w:t>15</w:t>
        </w:r>
        <w:r>
          <w:rPr>
            <w:noProof/>
            <w:webHidden/>
          </w:rPr>
          <w:fldChar w:fldCharType="end"/>
        </w:r>
      </w:hyperlink>
      <w:r>
        <w:rPr>
          <w:lang w:val="en-US"/>
        </w:rPr>
        <w:fldChar w:fldCharType="end"/>
      </w:r>
      <w:r>
        <w:rPr>
          <w:lang w:val="en-US"/>
        </w:rPr>
        <w:fldChar w:fldCharType="begin"/>
      </w:r>
      <w:r>
        <w:rPr>
          <w:lang w:val="en-US"/>
        </w:rPr>
        <w:instrText xml:space="preserve"> TOC \h \z \c "Figure E" </w:instrText>
      </w:r>
      <w:r>
        <w:rPr>
          <w:lang w:val="en-US"/>
        </w:rPr>
        <w:fldChar w:fldCharType="separate"/>
      </w:r>
    </w:p>
    <w:p w14:paraId="273CD468" w14:textId="77777777" w:rsidR="00882F71" w:rsidRDefault="00324184" w:rsidP="00CA2CFE">
      <w:pPr>
        <w:pStyle w:val="TableofFigures"/>
        <w:tabs>
          <w:tab w:val="right" w:leader="dot" w:pos="9060"/>
        </w:tabs>
        <w:rPr>
          <w:lang w:val="en-US"/>
        </w:rPr>
      </w:pPr>
      <w:hyperlink w:anchor="_Toc89268616" w:history="1">
        <w:r w:rsidRPr="00EB4A51">
          <w:rPr>
            <w:rStyle w:val="Hyperlink"/>
            <w:noProof/>
          </w:rPr>
          <w:t>Figure E 2</w:t>
        </w:r>
        <w:r w:rsidRPr="00EB4A51">
          <w:rPr>
            <w:rStyle w:val="Hyperlink"/>
            <w:noProof/>
            <w:lang w:eastAsia="ja-JP"/>
          </w:rPr>
          <w:t xml:space="preserve"> Species sensitivity distribution, preferred chronic data only, dissolved copper in marine water</w:t>
        </w:r>
        <w:r>
          <w:rPr>
            <w:noProof/>
            <w:webHidden/>
          </w:rPr>
          <w:tab/>
        </w:r>
        <w:r>
          <w:rPr>
            <w:noProof/>
            <w:webHidden/>
          </w:rPr>
          <w:fldChar w:fldCharType="begin"/>
        </w:r>
        <w:r>
          <w:rPr>
            <w:noProof/>
            <w:webHidden/>
          </w:rPr>
          <w:instrText xml:space="preserve"> PAGEREF _Toc89268616 \h </w:instrText>
        </w:r>
        <w:r>
          <w:rPr>
            <w:noProof/>
            <w:webHidden/>
          </w:rPr>
        </w:r>
        <w:r>
          <w:rPr>
            <w:noProof/>
            <w:webHidden/>
          </w:rPr>
          <w:fldChar w:fldCharType="separate"/>
        </w:r>
        <w:r w:rsidR="00A41C81">
          <w:rPr>
            <w:noProof/>
            <w:webHidden/>
          </w:rPr>
          <w:t>29</w:t>
        </w:r>
        <w:r>
          <w:rPr>
            <w:noProof/>
            <w:webHidden/>
          </w:rPr>
          <w:fldChar w:fldCharType="end"/>
        </w:r>
      </w:hyperlink>
      <w:r>
        <w:rPr>
          <w:lang w:val="en-US"/>
        </w:rPr>
        <w:fldChar w:fldCharType="end"/>
      </w:r>
    </w:p>
    <w:p w14:paraId="273CD469" w14:textId="77777777" w:rsidR="00882F71" w:rsidRDefault="00882F71">
      <w:pPr>
        <w:pStyle w:val="TableofFigures"/>
        <w:tabs>
          <w:tab w:val="right" w:leader="dot" w:pos="9060"/>
        </w:tabs>
        <w:rPr>
          <w:rFonts w:eastAsiaTheme="minorEastAsia"/>
          <w:noProof/>
          <w:lang w:eastAsia="en-AU"/>
        </w:rPr>
      </w:pPr>
      <w:r>
        <w:rPr>
          <w:lang w:val="en-US"/>
        </w:rPr>
        <w:fldChar w:fldCharType="begin"/>
      </w:r>
      <w:r w:rsidR="00324184">
        <w:rPr>
          <w:lang w:val="en-US"/>
        </w:rPr>
        <w:instrText xml:space="preserve"> TOC \h \z \c "Figure F</w:instrText>
      </w:r>
      <w:r w:rsidR="00324184">
        <w:rPr>
          <w:lang w:val="en-US"/>
        </w:rPr>
        <w:instrText xml:space="preserve">" </w:instrText>
      </w:r>
      <w:r>
        <w:rPr>
          <w:lang w:val="en-US"/>
        </w:rPr>
        <w:fldChar w:fldCharType="separate"/>
      </w:r>
      <w:hyperlink w:anchor="_Toc89268621" w:history="1">
        <w:r w:rsidR="00324184" w:rsidRPr="00522BF7">
          <w:rPr>
            <w:rStyle w:val="Hyperlink"/>
            <w:noProof/>
          </w:rPr>
          <w:t>Figure F 2</w:t>
        </w:r>
        <w:r w:rsidR="00324184" w:rsidRPr="00522BF7">
          <w:rPr>
            <w:rStyle w:val="Hyperlink"/>
            <w:noProof/>
            <w:lang w:eastAsia="ja-JP"/>
          </w:rPr>
          <w:t xml:space="preserve"> Histogram and density plot of final toxicity dataset</w:t>
        </w:r>
        <w:r w:rsidR="00324184">
          <w:rPr>
            <w:noProof/>
            <w:webHidden/>
          </w:rPr>
          <w:tab/>
        </w:r>
        <w:r w:rsidR="00324184">
          <w:rPr>
            <w:noProof/>
            <w:webHidden/>
          </w:rPr>
          <w:fldChar w:fldCharType="begin"/>
        </w:r>
        <w:r w:rsidR="00324184">
          <w:rPr>
            <w:noProof/>
            <w:webHidden/>
          </w:rPr>
          <w:instrText xml:space="preserve"> PAGEREF _Toc89268621 \h </w:instrText>
        </w:r>
        <w:r w:rsidR="00324184">
          <w:rPr>
            <w:noProof/>
            <w:webHidden/>
          </w:rPr>
        </w:r>
        <w:r w:rsidR="00324184">
          <w:rPr>
            <w:noProof/>
            <w:webHidden/>
          </w:rPr>
          <w:fldChar w:fldCharType="separate"/>
        </w:r>
        <w:r w:rsidR="00A41C81">
          <w:rPr>
            <w:noProof/>
            <w:webHidden/>
          </w:rPr>
          <w:t>30</w:t>
        </w:r>
        <w:r w:rsidR="00324184">
          <w:rPr>
            <w:noProof/>
            <w:webHidden/>
          </w:rPr>
          <w:fldChar w:fldCharType="end"/>
        </w:r>
      </w:hyperlink>
    </w:p>
    <w:p w14:paraId="273CD46A" w14:textId="77777777" w:rsidR="00882F71" w:rsidRDefault="00324184">
      <w:pPr>
        <w:pStyle w:val="TableofFigures"/>
        <w:tabs>
          <w:tab w:val="right" w:leader="dot" w:pos="9060"/>
        </w:tabs>
        <w:rPr>
          <w:rFonts w:eastAsiaTheme="minorEastAsia"/>
          <w:noProof/>
          <w:lang w:eastAsia="en-AU"/>
        </w:rPr>
      </w:pPr>
      <w:hyperlink w:anchor="_Toc89268622" w:history="1">
        <w:r w:rsidRPr="00522BF7">
          <w:rPr>
            <w:rStyle w:val="Hyperlink"/>
            <w:noProof/>
          </w:rPr>
          <w:t>Figure F 3</w:t>
        </w:r>
        <w:r w:rsidRPr="00522BF7">
          <w:rPr>
            <w:rStyle w:val="Hyperlink"/>
            <w:noProof/>
            <w:lang w:eastAsia="ja-JP"/>
          </w:rPr>
          <w:t xml:space="preserve"> Comparison of dissolved copper toxicity between taxa</w:t>
        </w:r>
        <w:r>
          <w:rPr>
            <w:noProof/>
            <w:webHidden/>
          </w:rPr>
          <w:tab/>
        </w:r>
        <w:r>
          <w:rPr>
            <w:noProof/>
            <w:webHidden/>
          </w:rPr>
          <w:fldChar w:fldCharType="begin"/>
        </w:r>
        <w:r>
          <w:rPr>
            <w:noProof/>
            <w:webHidden/>
          </w:rPr>
          <w:instrText xml:space="preserve"> PAGEREF _Toc89268622 \h </w:instrText>
        </w:r>
        <w:r>
          <w:rPr>
            <w:noProof/>
            <w:webHidden/>
          </w:rPr>
        </w:r>
        <w:r>
          <w:rPr>
            <w:noProof/>
            <w:webHidden/>
          </w:rPr>
          <w:fldChar w:fldCharType="separate"/>
        </w:r>
        <w:r w:rsidR="00A41C81">
          <w:rPr>
            <w:noProof/>
            <w:webHidden/>
          </w:rPr>
          <w:t>31</w:t>
        </w:r>
        <w:r>
          <w:rPr>
            <w:noProof/>
            <w:webHidden/>
          </w:rPr>
          <w:fldChar w:fldCharType="end"/>
        </w:r>
      </w:hyperlink>
    </w:p>
    <w:p w14:paraId="273CD46B" w14:textId="77777777" w:rsidR="00882F71" w:rsidRDefault="00324184">
      <w:pPr>
        <w:pStyle w:val="TableofFigures"/>
        <w:tabs>
          <w:tab w:val="right" w:leader="dot" w:pos="9060"/>
        </w:tabs>
        <w:rPr>
          <w:rFonts w:eastAsiaTheme="minorEastAsia"/>
          <w:noProof/>
          <w:lang w:eastAsia="en-AU"/>
        </w:rPr>
      </w:pPr>
      <w:hyperlink w:anchor="_Toc89268623" w:history="1">
        <w:r w:rsidRPr="00522BF7">
          <w:rPr>
            <w:rStyle w:val="Hyperlink"/>
            <w:noProof/>
          </w:rPr>
          <w:t>Figure F 4</w:t>
        </w:r>
        <w:r w:rsidRPr="00522BF7">
          <w:rPr>
            <w:rStyle w:val="Hyperlink"/>
            <w:noProof/>
            <w:lang w:eastAsia="ja-JP"/>
          </w:rPr>
          <w:t xml:space="preserve"> Comparison of dissolved copper toxicity between taxa</w:t>
        </w:r>
        <w:r>
          <w:rPr>
            <w:noProof/>
            <w:webHidden/>
          </w:rPr>
          <w:tab/>
        </w:r>
        <w:r>
          <w:rPr>
            <w:noProof/>
            <w:webHidden/>
          </w:rPr>
          <w:fldChar w:fldCharType="begin"/>
        </w:r>
        <w:r>
          <w:rPr>
            <w:noProof/>
            <w:webHidden/>
          </w:rPr>
          <w:instrText xml:space="preserve"> PAGEREF _Toc89268623 \h </w:instrText>
        </w:r>
        <w:r>
          <w:rPr>
            <w:noProof/>
            <w:webHidden/>
          </w:rPr>
        </w:r>
        <w:r>
          <w:rPr>
            <w:noProof/>
            <w:webHidden/>
          </w:rPr>
          <w:fldChar w:fldCharType="separate"/>
        </w:r>
        <w:r w:rsidR="00A41C81">
          <w:rPr>
            <w:noProof/>
            <w:webHidden/>
          </w:rPr>
          <w:t>31</w:t>
        </w:r>
        <w:r>
          <w:rPr>
            <w:noProof/>
            <w:webHidden/>
          </w:rPr>
          <w:fldChar w:fldCharType="end"/>
        </w:r>
      </w:hyperlink>
    </w:p>
    <w:p w14:paraId="273CD46C" w14:textId="77777777" w:rsidR="00921476" w:rsidRDefault="00324184" w:rsidP="00CA2CFE">
      <w:pPr>
        <w:pStyle w:val="TableofFigures"/>
        <w:tabs>
          <w:tab w:val="right" w:leader="dot" w:pos="9060"/>
        </w:tabs>
        <w:rPr>
          <w:lang w:val="en-US"/>
        </w:rPr>
      </w:pPr>
      <w:hyperlink w:anchor="_Toc89268624" w:history="1">
        <w:r w:rsidR="00882F71" w:rsidRPr="00522BF7">
          <w:rPr>
            <w:rStyle w:val="Hyperlink"/>
            <w:noProof/>
          </w:rPr>
          <w:t>Figure F 5</w:t>
        </w:r>
        <w:r w:rsidR="00882F71" w:rsidRPr="00522BF7">
          <w:rPr>
            <w:rStyle w:val="Hyperlink"/>
            <w:noProof/>
            <w:lang w:eastAsia="ja-JP"/>
          </w:rPr>
          <w:t xml:space="preserve"> Species sensitivity distribution, final dataset for dissolved copper</w:t>
        </w:r>
        <w:r w:rsidR="00882F71">
          <w:rPr>
            <w:noProof/>
            <w:webHidden/>
          </w:rPr>
          <w:tab/>
        </w:r>
        <w:r w:rsidR="00882F71">
          <w:rPr>
            <w:noProof/>
            <w:webHidden/>
          </w:rPr>
          <w:fldChar w:fldCharType="begin"/>
        </w:r>
        <w:r w:rsidR="00882F71">
          <w:rPr>
            <w:noProof/>
            <w:webHidden/>
          </w:rPr>
          <w:instrText xml:space="preserve"> PAGEREF _Toc89268624 \h </w:instrText>
        </w:r>
        <w:r w:rsidR="00882F71">
          <w:rPr>
            <w:noProof/>
            <w:webHidden/>
          </w:rPr>
        </w:r>
        <w:r w:rsidR="00882F71">
          <w:rPr>
            <w:noProof/>
            <w:webHidden/>
          </w:rPr>
          <w:fldChar w:fldCharType="separate"/>
        </w:r>
        <w:r w:rsidR="00A41C81">
          <w:rPr>
            <w:noProof/>
            <w:webHidden/>
          </w:rPr>
          <w:t>32</w:t>
        </w:r>
        <w:r w:rsidR="00882F71">
          <w:rPr>
            <w:noProof/>
            <w:webHidden/>
          </w:rPr>
          <w:fldChar w:fldCharType="end"/>
        </w:r>
      </w:hyperlink>
      <w:r w:rsidR="00882F71">
        <w:rPr>
          <w:lang w:val="en-US"/>
        </w:rPr>
        <w:fldChar w:fldCharType="end"/>
      </w:r>
    </w:p>
    <w:p w14:paraId="273CD46D" w14:textId="77777777" w:rsidR="00882F71" w:rsidRDefault="001A0172">
      <w:pPr>
        <w:pStyle w:val="TableofFigures"/>
        <w:tabs>
          <w:tab w:val="right" w:leader="dot" w:pos="9060"/>
        </w:tabs>
        <w:rPr>
          <w:rFonts w:eastAsiaTheme="minorEastAsia"/>
          <w:noProof/>
          <w:lang w:eastAsia="en-AU"/>
        </w:rPr>
      </w:pPr>
      <w:r>
        <w:rPr>
          <w:lang w:val="en-US"/>
        </w:rPr>
        <w:fldChar w:fldCharType="begin"/>
      </w:r>
      <w:r w:rsidR="00324184">
        <w:rPr>
          <w:lang w:val="en-US"/>
        </w:rPr>
        <w:instrText xml:space="preserve"> TOC \h \z \c "Figure G" </w:instrText>
      </w:r>
      <w:r>
        <w:rPr>
          <w:lang w:val="en-US"/>
        </w:rPr>
        <w:fldChar w:fldCharType="separate"/>
      </w:r>
      <w:hyperlink w:anchor="_Toc89268625" w:history="1">
        <w:r w:rsidR="00324184" w:rsidRPr="00C375E0">
          <w:rPr>
            <w:rStyle w:val="Hyperlink"/>
            <w:noProof/>
          </w:rPr>
          <w:t>Figure G 2 Adjustment based</w:t>
        </w:r>
        <w:r w:rsidR="00324184" w:rsidRPr="00C375E0">
          <w:rPr>
            <w:rStyle w:val="Hyperlink"/>
            <w:noProof/>
          </w:rPr>
          <w:t xml:space="preserve"> on DOC</w:t>
        </w:r>
        <w:r w:rsidR="00324184">
          <w:rPr>
            <w:noProof/>
            <w:webHidden/>
          </w:rPr>
          <w:tab/>
        </w:r>
        <w:r w:rsidR="00324184">
          <w:rPr>
            <w:noProof/>
            <w:webHidden/>
          </w:rPr>
          <w:fldChar w:fldCharType="begin"/>
        </w:r>
        <w:r w:rsidR="00324184">
          <w:rPr>
            <w:noProof/>
            <w:webHidden/>
          </w:rPr>
          <w:instrText xml:space="preserve"> PAGEREF _Toc89268625 \h </w:instrText>
        </w:r>
        <w:r w:rsidR="00324184">
          <w:rPr>
            <w:noProof/>
            <w:webHidden/>
          </w:rPr>
        </w:r>
        <w:r w:rsidR="00324184">
          <w:rPr>
            <w:noProof/>
            <w:webHidden/>
          </w:rPr>
          <w:fldChar w:fldCharType="separate"/>
        </w:r>
        <w:r w:rsidR="00A41C81">
          <w:rPr>
            <w:noProof/>
            <w:webHidden/>
          </w:rPr>
          <w:t>33</w:t>
        </w:r>
        <w:r w:rsidR="00324184">
          <w:rPr>
            <w:noProof/>
            <w:webHidden/>
          </w:rPr>
          <w:fldChar w:fldCharType="end"/>
        </w:r>
      </w:hyperlink>
    </w:p>
    <w:p w14:paraId="273CD46E" w14:textId="77777777" w:rsidR="00882F71" w:rsidRDefault="00324184">
      <w:pPr>
        <w:pStyle w:val="TableofFigures"/>
        <w:tabs>
          <w:tab w:val="right" w:leader="dot" w:pos="9060"/>
        </w:tabs>
        <w:rPr>
          <w:rFonts w:eastAsiaTheme="minorEastAsia"/>
          <w:noProof/>
          <w:lang w:eastAsia="en-AU"/>
        </w:rPr>
      </w:pPr>
      <w:hyperlink w:anchor="_Toc89268626" w:history="1">
        <w:r w:rsidRPr="00C375E0">
          <w:rPr>
            <w:rStyle w:val="Hyperlink"/>
            <w:noProof/>
          </w:rPr>
          <w:t>Figure G 3 Calculating PNEC when natural DOC &gt;1 mg/L</w:t>
        </w:r>
        <w:r>
          <w:rPr>
            <w:noProof/>
            <w:webHidden/>
          </w:rPr>
          <w:tab/>
        </w:r>
        <w:r>
          <w:rPr>
            <w:noProof/>
            <w:webHidden/>
          </w:rPr>
          <w:fldChar w:fldCharType="begin"/>
        </w:r>
        <w:r>
          <w:rPr>
            <w:noProof/>
            <w:webHidden/>
          </w:rPr>
          <w:instrText xml:space="preserve"> PAGEREF _Toc89268626 \h </w:instrText>
        </w:r>
        <w:r>
          <w:rPr>
            <w:noProof/>
            <w:webHidden/>
          </w:rPr>
        </w:r>
        <w:r>
          <w:rPr>
            <w:noProof/>
            <w:webHidden/>
          </w:rPr>
          <w:fldChar w:fldCharType="separate"/>
        </w:r>
        <w:r w:rsidR="00A41C81">
          <w:rPr>
            <w:noProof/>
            <w:webHidden/>
          </w:rPr>
          <w:t>34</w:t>
        </w:r>
        <w:r>
          <w:rPr>
            <w:noProof/>
            <w:webHidden/>
          </w:rPr>
          <w:fldChar w:fldCharType="end"/>
        </w:r>
      </w:hyperlink>
    </w:p>
    <w:p w14:paraId="273CD46F" w14:textId="77777777" w:rsidR="00882F71" w:rsidRDefault="00324184">
      <w:pPr>
        <w:pStyle w:val="TableofFigures"/>
        <w:tabs>
          <w:tab w:val="right" w:leader="dot" w:pos="9060"/>
        </w:tabs>
        <w:rPr>
          <w:rFonts w:eastAsiaTheme="minorEastAsia"/>
          <w:noProof/>
          <w:lang w:eastAsia="en-AU"/>
        </w:rPr>
      </w:pPr>
      <w:hyperlink w:anchor="_Toc89268627" w:history="1">
        <w:r w:rsidRPr="00C375E0">
          <w:rPr>
            <w:rStyle w:val="Hyperlink"/>
            <w:noProof/>
          </w:rPr>
          <w:t>Figure G 4</w:t>
        </w:r>
        <w:r w:rsidRPr="00C375E0">
          <w:rPr>
            <w:rStyle w:val="Hyperlink"/>
            <w:noProof/>
            <w:lang w:eastAsia="ja-JP"/>
          </w:rPr>
          <w:t xml:space="preserve"> Copper and DOC concentration, bioavailability corrections of the European Union, United Kingdom and United States</w:t>
        </w:r>
        <w:r>
          <w:rPr>
            <w:noProof/>
            <w:webHidden/>
          </w:rPr>
          <w:tab/>
        </w:r>
        <w:r>
          <w:rPr>
            <w:noProof/>
            <w:webHidden/>
          </w:rPr>
          <w:fldChar w:fldCharType="begin"/>
        </w:r>
        <w:r>
          <w:rPr>
            <w:noProof/>
            <w:webHidden/>
          </w:rPr>
          <w:instrText xml:space="preserve"> PAGEREF _Toc89268627 \h </w:instrText>
        </w:r>
        <w:r>
          <w:rPr>
            <w:noProof/>
            <w:webHidden/>
          </w:rPr>
        </w:r>
        <w:r>
          <w:rPr>
            <w:noProof/>
            <w:webHidden/>
          </w:rPr>
          <w:fldChar w:fldCharType="separate"/>
        </w:r>
        <w:r w:rsidR="00A41C81">
          <w:rPr>
            <w:noProof/>
            <w:webHidden/>
          </w:rPr>
          <w:t>35</w:t>
        </w:r>
        <w:r>
          <w:rPr>
            <w:noProof/>
            <w:webHidden/>
          </w:rPr>
          <w:fldChar w:fldCharType="end"/>
        </w:r>
      </w:hyperlink>
    </w:p>
    <w:p w14:paraId="273CD470" w14:textId="77777777" w:rsidR="006B0F96" w:rsidRDefault="00324184" w:rsidP="00CA2CFE">
      <w:pPr>
        <w:pStyle w:val="TableofFigures"/>
        <w:tabs>
          <w:tab w:val="right" w:leader="dot" w:pos="9060"/>
        </w:tabs>
        <w:rPr>
          <w:lang w:val="en-US"/>
        </w:rPr>
      </w:pPr>
      <w:hyperlink w:anchor="_Toc89268628" w:history="1">
        <w:r w:rsidR="00882F71" w:rsidRPr="00C375E0">
          <w:rPr>
            <w:rStyle w:val="Hyperlink"/>
            <w:noProof/>
          </w:rPr>
          <w:t>Figure G 5</w:t>
        </w:r>
        <w:r w:rsidR="00882F71" w:rsidRPr="00C375E0">
          <w:rPr>
            <w:rStyle w:val="Hyperlink"/>
            <w:noProof/>
            <w:lang w:eastAsia="ja-JP"/>
          </w:rPr>
          <w:t xml:space="preserve"> Relationship between USEPA criterion continuous concentration (CCC) for copper and DOC concentration, as predicted by the USEPA BLM</w:t>
        </w:r>
        <w:r w:rsidR="00882F71">
          <w:rPr>
            <w:noProof/>
            <w:webHidden/>
          </w:rPr>
          <w:tab/>
        </w:r>
        <w:r w:rsidR="00882F71">
          <w:rPr>
            <w:noProof/>
            <w:webHidden/>
          </w:rPr>
          <w:fldChar w:fldCharType="begin"/>
        </w:r>
        <w:r w:rsidR="00882F71">
          <w:rPr>
            <w:noProof/>
            <w:webHidden/>
          </w:rPr>
          <w:instrText xml:space="preserve"> PAGEREF _Toc89268628 \h </w:instrText>
        </w:r>
        <w:r w:rsidR="00882F71">
          <w:rPr>
            <w:noProof/>
            <w:webHidden/>
          </w:rPr>
        </w:r>
        <w:r w:rsidR="00882F71">
          <w:rPr>
            <w:noProof/>
            <w:webHidden/>
          </w:rPr>
          <w:fldChar w:fldCharType="separate"/>
        </w:r>
        <w:r w:rsidR="00A41C81">
          <w:rPr>
            <w:noProof/>
            <w:webHidden/>
          </w:rPr>
          <w:t>35</w:t>
        </w:r>
        <w:r w:rsidR="00882F71">
          <w:rPr>
            <w:noProof/>
            <w:webHidden/>
          </w:rPr>
          <w:fldChar w:fldCharType="end"/>
        </w:r>
      </w:hyperlink>
      <w:r w:rsidR="001A0172">
        <w:rPr>
          <w:lang w:val="en-US"/>
        </w:rPr>
        <w:fldChar w:fldCharType="end"/>
      </w:r>
    </w:p>
    <w:p w14:paraId="273CD471" w14:textId="77777777" w:rsidR="00401C43" w:rsidRDefault="00324184" w:rsidP="00401C43">
      <w:pPr>
        <w:pStyle w:val="TOCHeading2"/>
        <w:rPr>
          <w:bCs w:val="0"/>
          <w:szCs w:val="24"/>
        </w:rPr>
      </w:pPr>
      <w:r>
        <w:rPr>
          <w:bCs w:val="0"/>
          <w:szCs w:val="24"/>
        </w:rPr>
        <w:t>Appendix tables</w:t>
      </w:r>
    </w:p>
    <w:p w14:paraId="273CD472" w14:textId="77777777" w:rsidR="00882F71" w:rsidRDefault="00324184" w:rsidP="00CA2CFE">
      <w:pPr>
        <w:pStyle w:val="TableofFigures"/>
        <w:tabs>
          <w:tab w:val="right" w:leader="dot" w:pos="9060"/>
        </w:tabs>
        <w:rPr>
          <w:noProof/>
        </w:rPr>
      </w:pPr>
      <w:r>
        <w:fldChar w:fldCharType="begin"/>
      </w:r>
      <w:r>
        <w:instrText xml:space="preserve"> TOC \h \z \c "Table B" </w:instrText>
      </w:r>
      <w:r>
        <w:fldChar w:fldCharType="separate"/>
      </w:r>
      <w:hyperlink w:anchor="_Toc89268629" w:history="1">
        <w:r w:rsidRPr="00AA5575">
          <w:rPr>
            <w:rStyle w:val="Hyperlink"/>
            <w:noProof/>
          </w:rPr>
          <w:t xml:space="preserve">Table B 1 </w:t>
        </w:r>
        <w:r w:rsidRPr="00AA5575">
          <w:rPr>
            <w:rStyle w:val="Hyperlink"/>
            <w:noProof/>
            <w:lang w:eastAsia="ja-JP"/>
          </w:rPr>
          <w:t>Summary, toxicity data that passed the screening and quality assurance processes, dissolved copper in marine water</w:t>
        </w:r>
        <w:r>
          <w:rPr>
            <w:noProof/>
            <w:webHidden/>
          </w:rPr>
          <w:tab/>
        </w:r>
        <w:r>
          <w:rPr>
            <w:noProof/>
            <w:webHidden/>
          </w:rPr>
          <w:fldChar w:fldCharType="begin"/>
        </w:r>
        <w:r>
          <w:rPr>
            <w:noProof/>
            <w:webHidden/>
          </w:rPr>
          <w:instrText xml:space="preserve"> PAGEREF _Toc89268629 \</w:instrText>
        </w:r>
        <w:r>
          <w:rPr>
            <w:noProof/>
            <w:webHidden/>
          </w:rPr>
          <w:instrText xml:space="preserve">h </w:instrText>
        </w:r>
        <w:r>
          <w:rPr>
            <w:noProof/>
            <w:webHidden/>
          </w:rPr>
        </w:r>
        <w:r>
          <w:rPr>
            <w:noProof/>
            <w:webHidden/>
          </w:rPr>
          <w:fldChar w:fldCharType="separate"/>
        </w:r>
        <w:r>
          <w:rPr>
            <w:noProof/>
            <w:webHidden/>
          </w:rPr>
          <w:t>16</w:t>
        </w:r>
        <w:r>
          <w:rPr>
            <w:noProof/>
            <w:webHidden/>
          </w:rPr>
          <w:fldChar w:fldCharType="end"/>
        </w:r>
      </w:hyperlink>
      <w:r>
        <w:fldChar w:fldCharType="end"/>
      </w:r>
      <w:r>
        <w:rPr>
          <w:bCs/>
        </w:rPr>
        <w:fldChar w:fldCharType="begin"/>
      </w:r>
      <w:r>
        <w:rPr>
          <w:bCs/>
        </w:rPr>
        <w:instrText xml:space="preserve"> TOC \h \z \c "Table C" </w:instrText>
      </w:r>
      <w:r>
        <w:rPr>
          <w:bCs/>
        </w:rPr>
        <w:fldChar w:fldCharType="separate"/>
      </w:r>
    </w:p>
    <w:p w14:paraId="273CD473" w14:textId="77777777" w:rsidR="00882F71" w:rsidRDefault="00324184">
      <w:pPr>
        <w:pStyle w:val="TableofFigures"/>
        <w:tabs>
          <w:tab w:val="right" w:leader="dot" w:pos="9060"/>
        </w:tabs>
        <w:rPr>
          <w:rFonts w:eastAsiaTheme="minorEastAsia"/>
          <w:noProof/>
          <w:lang w:eastAsia="en-AU"/>
        </w:rPr>
      </w:pPr>
      <w:hyperlink w:anchor="_Toc89268634" w:history="1">
        <w:r w:rsidRPr="00B452C8">
          <w:rPr>
            <w:rStyle w:val="Hyperlink"/>
            <w:noProof/>
          </w:rPr>
          <w:t xml:space="preserve">Table C 1 </w:t>
        </w:r>
        <w:r w:rsidRPr="00B452C8">
          <w:rPr>
            <w:rStyle w:val="Hyperlink"/>
            <w:noProof/>
            <w:lang w:eastAsia="ja-JP"/>
          </w:rPr>
          <w:t>Equations, default guideline values at different DOC concentrations</w:t>
        </w:r>
        <w:r>
          <w:rPr>
            <w:noProof/>
            <w:webHidden/>
          </w:rPr>
          <w:tab/>
        </w:r>
        <w:r>
          <w:rPr>
            <w:noProof/>
            <w:webHidden/>
          </w:rPr>
          <w:fldChar w:fldCharType="begin"/>
        </w:r>
        <w:r>
          <w:rPr>
            <w:noProof/>
            <w:webHidden/>
          </w:rPr>
          <w:instrText xml:space="preserve"> PAGEREF _To</w:instrText>
        </w:r>
        <w:r>
          <w:rPr>
            <w:noProof/>
            <w:webHidden/>
          </w:rPr>
          <w:instrText xml:space="preserve">c89268634 \h </w:instrText>
        </w:r>
        <w:r>
          <w:rPr>
            <w:noProof/>
            <w:webHidden/>
          </w:rPr>
        </w:r>
        <w:r>
          <w:rPr>
            <w:noProof/>
            <w:webHidden/>
          </w:rPr>
          <w:fldChar w:fldCharType="separate"/>
        </w:r>
        <w:r w:rsidR="00A41C81">
          <w:rPr>
            <w:noProof/>
            <w:webHidden/>
          </w:rPr>
          <w:t>22</w:t>
        </w:r>
        <w:r>
          <w:rPr>
            <w:noProof/>
            <w:webHidden/>
          </w:rPr>
          <w:fldChar w:fldCharType="end"/>
        </w:r>
      </w:hyperlink>
    </w:p>
    <w:p w14:paraId="273CD474" w14:textId="77777777" w:rsidR="00882F71" w:rsidRDefault="00324184" w:rsidP="00882F71">
      <w:pPr>
        <w:pStyle w:val="TableofFigures"/>
        <w:tabs>
          <w:tab w:val="right" w:leader="dot" w:pos="9060"/>
        </w:tabs>
        <w:rPr>
          <w:noProof/>
        </w:rPr>
      </w:pPr>
      <w:hyperlink w:anchor="_Toc89268635" w:history="1">
        <w:r w:rsidRPr="00B452C8">
          <w:rPr>
            <w:rStyle w:val="Hyperlink"/>
            <w:noProof/>
          </w:rPr>
          <w:t xml:space="preserve">Table C 2 Default guideline values, dissolved copper in marine water, varying DOC </w:t>
        </w:r>
        <w:r w:rsidRPr="00B452C8">
          <w:rPr>
            <w:rStyle w:val="Hyperlink"/>
            <w:noProof/>
          </w:rPr>
          <w:t>concentrations</w:t>
        </w:r>
        <w:r>
          <w:rPr>
            <w:noProof/>
            <w:webHidden/>
          </w:rPr>
          <w:tab/>
        </w:r>
        <w:r>
          <w:rPr>
            <w:noProof/>
            <w:webHidden/>
          </w:rPr>
          <w:fldChar w:fldCharType="begin"/>
        </w:r>
        <w:r>
          <w:rPr>
            <w:noProof/>
            <w:webHidden/>
          </w:rPr>
          <w:instrText xml:space="preserve"> PAGEREF _Toc89268635 \h </w:instrText>
        </w:r>
        <w:r>
          <w:rPr>
            <w:noProof/>
            <w:webHidden/>
          </w:rPr>
        </w:r>
        <w:r>
          <w:rPr>
            <w:noProof/>
            <w:webHidden/>
          </w:rPr>
          <w:fldChar w:fldCharType="separate"/>
        </w:r>
        <w:r w:rsidR="00A41C81">
          <w:rPr>
            <w:noProof/>
            <w:webHidden/>
          </w:rPr>
          <w:t>22</w:t>
        </w:r>
        <w:r>
          <w:rPr>
            <w:noProof/>
            <w:webHidden/>
          </w:rPr>
          <w:fldChar w:fldCharType="end"/>
        </w:r>
      </w:hyperlink>
      <w:r>
        <w:fldChar w:fldCharType="end"/>
      </w:r>
      <w:r w:rsidR="00882F71">
        <w:fldChar w:fldCharType="begin"/>
      </w:r>
      <w:r>
        <w:instrText xml:space="preserve"> TOC \h \z \c "Table D" </w:instrText>
      </w:r>
      <w:r w:rsidR="00882F71">
        <w:fldChar w:fldCharType="separate"/>
      </w:r>
    </w:p>
    <w:p w14:paraId="273CD475" w14:textId="77777777" w:rsidR="00641D11" w:rsidRDefault="00324184" w:rsidP="00CA2CFE">
      <w:pPr>
        <w:pStyle w:val="TableofFigures"/>
        <w:tabs>
          <w:tab w:val="right" w:leader="dot" w:pos="9060"/>
        </w:tabs>
        <w:rPr>
          <w:lang w:val="en-US"/>
        </w:rPr>
      </w:pPr>
      <w:hyperlink w:anchor="_Toc89268637" w:history="1">
        <w:r w:rsidR="00882F71" w:rsidRPr="0073365B">
          <w:rPr>
            <w:rStyle w:val="Hyperlink"/>
            <w:noProof/>
          </w:rPr>
          <w:t xml:space="preserve">Table D 1 </w:t>
        </w:r>
        <w:r w:rsidR="00882F71" w:rsidRPr="0073365B">
          <w:rPr>
            <w:rStyle w:val="Hyperlink"/>
            <w:noProof/>
            <w:lang w:eastAsia="ja-JP"/>
          </w:rPr>
          <w:t>Toxicity data excluded from the default guideline value derivation, dissolved copper in marine water, in order of sensitivity</w:t>
        </w:r>
        <w:r w:rsidR="00882F71">
          <w:rPr>
            <w:noProof/>
            <w:webHidden/>
          </w:rPr>
          <w:tab/>
        </w:r>
        <w:r w:rsidR="00882F71">
          <w:rPr>
            <w:noProof/>
            <w:webHidden/>
          </w:rPr>
          <w:fldChar w:fldCharType="begin"/>
        </w:r>
        <w:r w:rsidR="00882F71">
          <w:rPr>
            <w:noProof/>
            <w:webHidden/>
          </w:rPr>
          <w:instrText xml:space="preserve"> PAGEREF _Toc89268637 \h </w:instrText>
        </w:r>
        <w:r w:rsidR="00882F71">
          <w:rPr>
            <w:noProof/>
            <w:webHidden/>
          </w:rPr>
        </w:r>
        <w:r w:rsidR="00882F71">
          <w:rPr>
            <w:noProof/>
            <w:webHidden/>
          </w:rPr>
          <w:fldChar w:fldCharType="separate"/>
        </w:r>
        <w:r w:rsidR="00A41C81">
          <w:rPr>
            <w:noProof/>
            <w:webHidden/>
          </w:rPr>
          <w:t>23</w:t>
        </w:r>
        <w:r w:rsidR="00882F71">
          <w:rPr>
            <w:noProof/>
            <w:webHidden/>
          </w:rPr>
          <w:fldChar w:fldCharType="end"/>
        </w:r>
      </w:hyperlink>
      <w:r w:rsidR="00882F71">
        <w:fldChar w:fldCharType="end"/>
      </w:r>
    </w:p>
    <w:p w14:paraId="273CD476" w14:textId="77777777" w:rsidR="00882F71" w:rsidRDefault="00324184">
      <w:pPr>
        <w:pStyle w:val="TableofFigures"/>
        <w:tabs>
          <w:tab w:val="right" w:leader="dot" w:pos="9060"/>
        </w:tabs>
        <w:rPr>
          <w:rFonts w:eastAsiaTheme="minorEastAsia"/>
          <w:noProof/>
          <w:lang w:eastAsia="en-AU"/>
        </w:rPr>
      </w:pPr>
      <w:r>
        <w:rPr>
          <w:lang w:val="en-US"/>
        </w:rPr>
        <w:fldChar w:fldCharType="begin"/>
      </w:r>
      <w:r>
        <w:rPr>
          <w:lang w:val="en-US"/>
        </w:rPr>
        <w:instrText xml:space="preserve"> TOC \h \z \c "Table E" </w:instrText>
      </w:r>
      <w:r>
        <w:rPr>
          <w:lang w:val="en-US"/>
        </w:rPr>
        <w:fldChar w:fldCharType="separate"/>
      </w:r>
      <w:hyperlink w:anchor="_Toc89268640" w:history="1">
        <w:r w:rsidRPr="00441BA0">
          <w:rPr>
            <w:rStyle w:val="Hyperlink"/>
            <w:noProof/>
          </w:rPr>
          <w:t>Table E 2</w:t>
        </w:r>
        <w:r w:rsidRPr="00441BA0">
          <w:rPr>
            <w:rStyle w:val="Hyperlink"/>
            <w:noProof/>
            <w:lang w:eastAsia="ja-JP"/>
          </w:rPr>
          <w:t xml:space="preserve"> Summary of preferred chronic toxicity values for dissolved copper in marine water</w:t>
        </w:r>
        <w:r>
          <w:rPr>
            <w:noProof/>
            <w:webHidden/>
          </w:rPr>
          <w:tab/>
        </w:r>
        <w:r>
          <w:rPr>
            <w:noProof/>
            <w:webHidden/>
          </w:rPr>
          <w:fldChar w:fldCharType="begin"/>
        </w:r>
        <w:r>
          <w:rPr>
            <w:noProof/>
            <w:webHidden/>
          </w:rPr>
          <w:instrText xml:space="preserve"> PAGEREF _Toc89268640 \h </w:instrText>
        </w:r>
        <w:r>
          <w:rPr>
            <w:noProof/>
            <w:webHidden/>
          </w:rPr>
        </w:r>
        <w:r>
          <w:rPr>
            <w:noProof/>
            <w:webHidden/>
          </w:rPr>
          <w:fldChar w:fldCharType="separate"/>
        </w:r>
        <w:r w:rsidR="00A41C81">
          <w:rPr>
            <w:noProof/>
            <w:webHidden/>
          </w:rPr>
          <w:t>28</w:t>
        </w:r>
        <w:r>
          <w:rPr>
            <w:noProof/>
            <w:webHidden/>
          </w:rPr>
          <w:fldChar w:fldCharType="end"/>
        </w:r>
      </w:hyperlink>
    </w:p>
    <w:p w14:paraId="273CD477" w14:textId="77777777" w:rsidR="00641D11" w:rsidRDefault="00324184" w:rsidP="00641D11">
      <w:pPr>
        <w:rPr>
          <w:lang w:val="en-US"/>
        </w:rPr>
      </w:pPr>
      <w:r>
        <w:rPr>
          <w:lang w:val="en-US"/>
        </w:rPr>
        <w:fldChar w:fldCharType="end"/>
      </w:r>
    </w:p>
    <w:p w14:paraId="273CD478" w14:textId="77777777" w:rsidR="00401C43" w:rsidRDefault="00324184" w:rsidP="003C0C19">
      <w:r>
        <w:br w:type="page"/>
      </w:r>
    </w:p>
    <w:p w14:paraId="273CD479" w14:textId="77777777" w:rsidR="001C0D1C" w:rsidRPr="00F357C4" w:rsidRDefault="00324184" w:rsidP="00F357C4">
      <w:pPr>
        <w:pStyle w:val="Heading2"/>
        <w:numPr>
          <w:ilvl w:val="0"/>
          <w:numId w:val="0"/>
        </w:numPr>
        <w:ind w:left="680" w:hanging="680"/>
      </w:pPr>
      <w:bookmarkStart w:id="0" w:name="_Toc20407782"/>
      <w:bookmarkStart w:id="1" w:name="_Toc20408688"/>
      <w:bookmarkStart w:id="2" w:name="_Toc20408740"/>
      <w:bookmarkStart w:id="3" w:name="_Toc20408926"/>
      <w:bookmarkStart w:id="4" w:name="_Toc20409368"/>
      <w:bookmarkStart w:id="5" w:name="_Toc20409538"/>
      <w:bookmarkStart w:id="6" w:name="_Toc89265607"/>
      <w:bookmarkStart w:id="7" w:name="_Toc89268647"/>
      <w:r w:rsidRPr="00F357C4">
        <w:t>Summary</w:t>
      </w:r>
      <w:bookmarkEnd w:id="0"/>
      <w:bookmarkEnd w:id="1"/>
      <w:bookmarkEnd w:id="2"/>
      <w:bookmarkEnd w:id="3"/>
      <w:bookmarkEnd w:id="4"/>
      <w:bookmarkEnd w:id="5"/>
      <w:bookmarkEnd w:id="6"/>
      <w:bookmarkEnd w:id="7"/>
    </w:p>
    <w:p w14:paraId="273CD47A" w14:textId="77777777" w:rsidR="00BF0280" w:rsidRDefault="00324184" w:rsidP="007336AC">
      <w:sdt>
        <w:sdtPr>
          <w:alias w:val="Compulsary - text and location locked to Summary"/>
          <w:tag w:val="Compulsary text"/>
          <w:id w:val="-1841920371"/>
          <w:lock w:val="contentLocked"/>
          <w:placeholder>
            <w:docPart w:val="A8CAEA2CD5EF472BA9D49BD4C6F996EE"/>
          </w:placeholder>
          <w15:color w:val="FFFFFF"/>
          <w:text/>
        </w:sdtPr>
        <w:sdtEndPr/>
        <w:sdtContent>
          <w:r w:rsidR="001F2460" w:rsidRPr="00BF6347">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sdtContent>
      </w:sdt>
    </w:p>
    <w:p w14:paraId="273CD47B" w14:textId="77777777" w:rsidR="00FB3A32" w:rsidRDefault="00324184" w:rsidP="00FB3A32">
      <w:r>
        <w:t>Copper is widely distributed in the Earth’s crust and is an essential trace element for micro</w:t>
      </w:r>
      <w:r w:rsidR="00EF0B6F">
        <w:t>-</w:t>
      </w:r>
      <w:r>
        <w:t xml:space="preserve">organisms, plants and animals. It is commonly used in roofing, </w:t>
      </w:r>
      <w:r w:rsidR="004040F4">
        <w:t>plumbing</w:t>
      </w:r>
      <w:r>
        <w:t>, electrical wiring and electronics. Copper is also used as a biocide in antifouling paints, wood preservatives, fungicides and herbicides. The major anthropogenic sources of copper for</w:t>
      </w:r>
      <w:r>
        <w:t xml:space="preserve"> marine environments include antifouling paints, stormwater, municipal wastewater discharges, mining and mineral processing</w:t>
      </w:r>
      <w:r w:rsidR="004040F4">
        <w:t>,</w:t>
      </w:r>
      <w:r>
        <w:t xml:space="preserve"> and metal and electrical manufacturing.</w:t>
      </w:r>
    </w:p>
    <w:p w14:paraId="273CD47C" w14:textId="77777777" w:rsidR="00FB3A32" w:rsidRDefault="00324184" w:rsidP="00FB3A32">
      <w:r>
        <w:t xml:space="preserve">Since the last revision of the marine copper </w:t>
      </w:r>
      <w:r w:rsidR="004040F4">
        <w:t>DGVs</w:t>
      </w:r>
      <w:r>
        <w:t xml:space="preserve"> in 2000, new data have become available</w:t>
      </w:r>
      <w:r w:rsidR="004040F4">
        <w:t>,</w:t>
      </w:r>
      <w:r>
        <w:t xml:space="preserve"> </w:t>
      </w:r>
      <w:r>
        <w:t>including high quality local species data. Furthermore, there is increased understanding of the effect of dissolved organic carbon (DOC) on copper toxicity. Increases in DOC reduce the aquatic toxicity of copper, as copper binds to DOC, decreasing the avai</w:t>
      </w:r>
      <w:r>
        <w:t>lable free copper ion concentrations. Consequently, the current DGVs incorporate a correction for DOC.</w:t>
      </w:r>
    </w:p>
    <w:p w14:paraId="273CD47D" w14:textId="77777777" w:rsidR="00FB3A32" w:rsidRDefault="00324184" w:rsidP="00FB3A32">
      <w:r>
        <w:t>High reliability DGVs for dissolved copper in marine water were derived from chronic (long-term) toxicity data for 32</w:t>
      </w:r>
      <w:r w:rsidR="00AA469E">
        <w:t> </w:t>
      </w:r>
      <w:r>
        <w:t xml:space="preserve">species comprising </w:t>
      </w:r>
      <w:r w:rsidR="00E37B59">
        <w:t>four diatoms, four brown microalgae, one blue–green alga, three green microalgae, two green macroalgae, two brown</w:t>
      </w:r>
      <w:r>
        <w:t xml:space="preserve"> macroalgae</w:t>
      </w:r>
      <w:r w:rsidR="00D55ED6">
        <w:t>, four</w:t>
      </w:r>
      <w:r>
        <w:t xml:space="preserve"> cnidaria</w:t>
      </w:r>
      <w:r w:rsidR="00C24E06">
        <w:t>ns</w:t>
      </w:r>
      <w:r>
        <w:t>, two echinoderms</w:t>
      </w:r>
      <w:r w:rsidR="00D55ED6">
        <w:t>,</w:t>
      </w:r>
      <w:r>
        <w:t xml:space="preserve"> </w:t>
      </w:r>
      <w:r w:rsidR="00D55ED6">
        <w:t xml:space="preserve">one </w:t>
      </w:r>
      <w:r>
        <w:t>annelid</w:t>
      </w:r>
      <w:r w:rsidR="00E37B59">
        <w:t>, one crustacean, six molluscs and two fish</w:t>
      </w:r>
      <w:r>
        <w:t xml:space="preserve">. </w:t>
      </w:r>
      <w:r w:rsidR="009D58B6">
        <w:t>The DGVs (at salinity 25–36</w:t>
      </w:r>
      <w:r w:rsidR="009D58B6" w:rsidRPr="009907F5">
        <w:t>‰</w:t>
      </w:r>
      <w:r w:rsidR="009D58B6">
        <w:t xml:space="preserve"> and DOC ≤0.5</w:t>
      </w:r>
      <w:r w:rsidR="00FF4044">
        <w:t> </w:t>
      </w:r>
      <w:r w:rsidR="009D58B6">
        <w:t>mg/L) for 99%, 95%, 90% and 80% species protection are 0.</w:t>
      </w:r>
      <w:r w:rsidR="009F4915">
        <w:t>1</w:t>
      </w:r>
      <w:r w:rsidR="006B7395">
        <w:t>2</w:t>
      </w:r>
      <w:r w:rsidR="009F4915">
        <w:t> </w:t>
      </w:r>
      <w:r w:rsidR="009D58B6">
        <w:t>µg/L, 0.40 µg/L, 0.</w:t>
      </w:r>
      <w:r w:rsidR="009F4915">
        <w:t>7</w:t>
      </w:r>
      <w:r w:rsidR="006B7395">
        <w:t>2</w:t>
      </w:r>
      <w:r w:rsidR="009F4915">
        <w:t> </w:t>
      </w:r>
      <w:r w:rsidR="009D58B6">
        <w:t>µg/L and 1.</w:t>
      </w:r>
      <w:r w:rsidR="006B7395">
        <w:t>4 </w:t>
      </w:r>
      <w:r w:rsidR="009D58B6">
        <w:t>µg/L, respectively</w:t>
      </w:r>
      <w:r>
        <w:t>. Adjustments to the DGVs can be made when DOC is &gt;0.5</w:t>
      </w:r>
      <w:r w:rsidR="0098405C">
        <w:t> </w:t>
      </w:r>
      <w:r>
        <w:t>mg/L, although no further adjustment should be made when DOC is &gt;6</w:t>
      </w:r>
      <w:r w:rsidR="0098405C">
        <w:t> </w:t>
      </w:r>
      <w:r>
        <w:t>mg/L.</w:t>
      </w:r>
      <w:r w:rsidR="009D58B6">
        <w:t xml:space="preserve"> </w:t>
      </w:r>
      <w:r w:rsidR="009D58B6" w:rsidRPr="001741CC">
        <w:t>The 95%</w:t>
      </w:r>
      <w:r w:rsidR="009D58B6" w:rsidRPr="001741CC">
        <w:rPr>
          <w:vertAlign w:val="superscript"/>
        </w:rPr>
        <w:t xml:space="preserve"> </w:t>
      </w:r>
      <w:r w:rsidR="009D58B6" w:rsidRPr="001741CC">
        <w:rPr>
          <w:bCs/>
        </w:rPr>
        <w:t xml:space="preserve">species protection </w:t>
      </w:r>
      <w:r w:rsidR="009D58B6">
        <w:rPr>
          <w:bCs/>
        </w:rPr>
        <w:t>values</w:t>
      </w:r>
      <w:r w:rsidR="009D58B6" w:rsidRPr="001741CC">
        <w:rPr>
          <w:bCs/>
        </w:rPr>
        <w:t xml:space="preserve"> for </w:t>
      </w:r>
      <w:r w:rsidR="009D58B6">
        <w:rPr>
          <w:bCs/>
        </w:rPr>
        <w:t>copper in marine water are</w:t>
      </w:r>
      <w:r w:rsidR="009D58B6" w:rsidRPr="001741CC">
        <w:rPr>
          <w:bCs/>
        </w:rPr>
        <w:t xml:space="preserve"> recommended for adoption in </w:t>
      </w:r>
      <w:r w:rsidR="009D58B6">
        <w:rPr>
          <w:bCs/>
        </w:rPr>
        <w:t xml:space="preserve">the </w:t>
      </w:r>
      <w:r w:rsidR="009D58B6" w:rsidRPr="001741CC">
        <w:rPr>
          <w:bCs/>
        </w:rPr>
        <w:t>assessment of slightly</w:t>
      </w:r>
      <w:r w:rsidR="009D58B6">
        <w:rPr>
          <w:bCs/>
        </w:rPr>
        <w:t>-</w:t>
      </w:r>
      <w:r w:rsidR="009D58B6" w:rsidRPr="001741CC">
        <w:rPr>
          <w:bCs/>
        </w:rPr>
        <w:t>to</w:t>
      </w:r>
      <w:r w:rsidR="009D58B6">
        <w:rPr>
          <w:bCs/>
        </w:rPr>
        <w:t>-</w:t>
      </w:r>
      <w:r w:rsidR="009D58B6" w:rsidRPr="001741CC">
        <w:rPr>
          <w:bCs/>
        </w:rPr>
        <w:t>moderately disturbed ecosystems</w:t>
      </w:r>
      <w:r w:rsidR="009D58B6">
        <w:rPr>
          <w:bCs/>
        </w:rPr>
        <w:t>.</w:t>
      </w:r>
    </w:p>
    <w:p w14:paraId="273CD47E" w14:textId="77777777" w:rsidR="00FB3A32" w:rsidRDefault="00324184" w:rsidP="00FB3A32">
      <w:r>
        <w:t xml:space="preserve">The Australian and New Zealand guidelines for fresh and marine water quality </w:t>
      </w:r>
      <w:r w:rsidR="00F07ADB">
        <w:t>(</w:t>
      </w:r>
      <w:hyperlink r:id="rId22" w:history="1">
        <w:r w:rsidR="00F07ADB" w:rsidRPr="00F07ADB">
          <w:rPr>
            <w:rStyle w:val="Hyperlink"/>
          </w:rPr>
          <w:t>ANZG 2018</w:t>
        </w:r>
      </w:hyperlink>
      <w:r w:rsidR="00F07ADB">
        <w:t>)</w:t>
      </w:r>
      <w:r w:rsidR="0098405C">
        <w:t xml:space="preserve"> </w:t>
      </w:r>
      <w:r>
        <w:t xml:space="preserve">provides guidance for evaluating monitoring data against </w:t>
      </w:r>
      <w:r w:rsidR="0070697B">
        <w:t>DGVs</w:t>
      </w:r>
      <w:r>
        <w:t xml:space="preserve"> and recommends a decision scheme that includes consideration of the bioavailable fraction. </w:t>
      </w:r>
      <w:r w:rsidR="00913E2D">
        <w:t xml:space="preserve">Such </w:t>
      </w:r>
      <w:r>
        <w:t>guidance for metals, presented as a</w:t>
      </w:r>
      <w:r>
        <w:t xml:space="preserve"> decision tree, is provided in </w:t>
      </w:r>
      <w:r w:rsidR="005C457A">
        <w:fldChar w:fldCharType="begin"/>
      </w:r>
      <w:r w:rsidR="005C457A">
        <w:instrText xml:space="preserve"> REF _Ref85904112 \h </w:instrText>
      </w:r>
      <w:r w:rsidR="005C457A">
        <w:fldChar w:fldCharType="separate"/>
      </w:r>
      <w:r w:rsidR="00A41C81">
        <w:t>Appendix </w:t>
      </w:r>
      <w:r w:rsidR="00A41C81" w:rsidRPr="006402D2">
        <w:t>A</w:t>
      </w:r>
      <w:r w:rsidR="00A41C81">
        <w:t>:</w:t>
      </w:r>
      <w:r w:rsidR="00A41C81" w:rsidRPr="006402D2">
        <w:t xml:space="preserve"> </w:t>
      </w:r>
      <w:r w:rsidR="00A41C81">
        <w:t>A</w:t>
      </w:r>
      <w:r w:rsidR="00A41C81" w:rsidRPr="006402D2">
        <w:t xml:space="preserve">ctions to assess </w:t>
      </w:r>
      <w:r w:rsidR="00A41C81">
        <w:t xml:space="preserve">the </w:t>
      </w:r>
      <w:r w:rsidR="00A41C81" w:rsidRPr="006402D2">
        <w:t>bioavailable fraction of a metal</w:t>
      </w:r>
      <w:r w:rsidR="005C457A">
        <w:fldChar w:fldCharType="end"/>
      </w:r>
      <w:r>
        <w:t xml:space="preserve">. </w:t>
      </w:r>
    </w:p>
    <w:p w14:paraId="273CD47F" w14:textId="77777777" w:rsidR="00FB3A32" w:rsidRDefault="00324184" w:rsidP="00FB3A32">
      <w:r>
        <w:fldChar w:fldCharType="begin"/>
      </w:r>
      <w:r>
        <w:instrText xml:space="preserve"> REF _Ref85904129 \h </w:instrText>
      </w:r>
      <w:r>
        <w:fldChar w:fldCharType="separate"/>
      </w:r>
      <w:r w:rsidR="00A41C81">
        <w:t>Appendix </w:t>
      </w:r>
      <w:r w:rsidR="00A41C81" w:rsidRPr="006402D2">
        <w:t>B</w:t>
      </w:r>
      <w:r w:rsidR="00A41C81">
        <w:t>:</w:t>
      </w:r>
      <w:r w:rsidR="00A41C81" w:rsidRPr="006402D2">
        <w:t xml:space="preserve"> </w:t>
      </w:r>
      <w:r w:rsidR="00A41C81">
        <w:t>Toxicity data that passed the screening and quality assessment and were used to derive the default guideline values</w:t>
      </w:r>
      <w:r>
        <w:fldChar w:fldCharType="end"/>
      </w:r>
      <w:r>
        <w:t xml:space="preserve"> lists all chronic toxicity data used in the derivation. Equations for the adjustment of the DGVs based on DOC are provided in </w:t>
      </w:r>
      <w:r w:rsidR="00DA6F1B">
        <w:fldChar w:fldCharType="begin"/>
      </w:r>
      <w:r w:rsidR="00DA6F1B">
        <w:instrText xml:space="preserve"> REF _Ref85904150 \h </w:instrText>
      </w:r>
      <w:r w:rsidR="00DA6F1B">
        <w:fldChar w:fldCharType="separate"/>
      </w:r>
      <w:r w:rsidR="00A41C81" w:rsidRPr="000079DA">
        <w:t>A</w:t>
      </w:r>
      <w:r w:rsidR="00A41C81">
        <w:t>ppendix </w:t>
      </w:r>
      <w:r w:rsidR="00A41C81" w:rsidRPr="000079DA">
        <w:t>C</w:t>
      </w:r>
      <w:r w:rsidR="00A41C81">
        <w:t>:</w:t>
      </w:r>
      <w:r w:rsidR="00A41C81" w:rsidRPr="000079DA">
        <w:t xml:space="preserve"> DOC </w:t>
      </w:r>
      <w:r w:rsidR="00A41C81">
        <w:t>c</w:t>
      </w:r>
      <w:r w:rsidR="00A41C81" w:rsidRPr="000079DA">
        <w:t xml:space="preserve">orrection for </w:t>
      </w:r>
      <w:r w:rsidR="00A41C81">
        <w:t xml:space="preserve">dissolved </w:t>
      </w:r>
      <w:r w:rsidR="00A41C81" w:rsidRPr="000079DA">
        <w:t>copper default guideline values</w:t>
      </w:r>
      <w:r w:rsidR="00DA6F1B">
        <w:fldChar w:fldCharType="end"/>
      </w:r>
      <w:r>
        <w:t>.</w:t>
      </w:r>
    </w:p>
    <w:p w14:paraId="273CD480" w14:textId="77777777" w:rsidR="00FB3A32" w:rsidRDefault="00FB3A32" w:rsidP="007336AC">
      <w:pPr>
        <w:rPr>
          <w:highlight w:val="yellow"/>
        </w:rPr>
      </w:pPr>
    </w:p>
    <w:p w14:paraId="273CD481" w14:textId="77777777" w:rsidR="006D767C" w:rsidRDefault="006D767C" w:rsidP="007336AC">
      <w:pPr>
        <w:rPr>
          <w:highlight w:val="yellow"/>
        </w:rPr>
      </w:pPr>
    </w:p>
    <w:p w14:paraId="273CD482" w14:textId="77777777" w:rsidR="00F604EC" w:rsidRDefault="00F604EC" w:rsidP="007336AC">
      <w:pPr>
        <w:rPr>
          <w:highlight w:val="yellow"/>
        </w:rPr>
      </w:pPr>
    </w:p>
    <w:p w14:paraId="273CD483" w14:textId="77777777" w:rsidR="00CF6531" w:rsidRDefault="00CF6531" w:rsidP="00246BD6"/>
    <w:p w14:paraId="273CD484" w14:textId="77777777" w:rsidR="00246BD6" w:rsidRPr="00246BD6" w:rsidRDefault="00246BD6" w:rsidP="00246BD6">
      <w:pPr>
        <w:rPr>
          <w:lang w:eastAsia="ja-JP"/>
        </w:rPr>
        <w:sectPr w:rsidR="00246BD6" w:rsidRPr="00246BD6" w:rsidSect="00B52F2C">
          <w:pgSz w:w="11906" w:h="16838" w:code="9"/>
          <w:pgMar w:top="1418" w:right="1418" w:bottom="1418" w:left="1418" w:header="567" w:footer="284" w:gutter="0"/>
          <w:pgNumType w:fmt="lowerRoman"/>
          <w:cols w:space="708"/>
          <w:docGrid w:linePitch="360"/>
        </w:sectPr>
      </w:pPr>
    </w:p>
    <w:p w14:paraId="273CD485" w14:textId="77777777" w:rsidR="001C0D1C" w:rsidRPr="008C7CBE" w:rsidRDefault="00324184" w:rsidP="005D1CA5">
      <w:pPr>
        <w:pStyle w:val="Heading2"/>
        <w:keepNext w:val="0"/>
        <w:keepLines w:val="0"/>
        <w:pageBreakBefore w:val="0"/>
        <w:widowControl w:val="0"/>
      </w:pPr>
      <w:bookmarkStart w:id="8" w:name="_Toc89265608"/>
      <w:bookmarkStart w:id="9" w:name="_Toc89268648"/>
      <w:r w:rsidRPr="008C7CBE">
        <w:t>Introduction</w:t>
      </w:r>
      <w:bookmarkEnd w:id="8"/>
      <w:bookmarkEnd w:id="9"/>
    </w:p>
    <w:p w14:paraId="273CD486" w14:textId="77777777" w:rsidR="007A2EE7" w:rsidRDefault="00324184" w:rsidP="008C7CBE">
      <w:pPr>
        <w:rPr>
          <w:bCs/>
        </w:rPr>
      </w:pPr>
      <w:r w:rsidRPr="008C7CBE">
        <w:rPr>
          <w:bCs/>
        </w:rPr>
        <w:t>Copper is a naturally occurring metallic element. It is an abundant trace element, present in the Earth’s crust at approximately 50</w:t>
      </w:r>
      <w:r w:rsidR="00826144">
        <w:rPr>
          <w:bCs/>
        </w:rPr>
        <w:t> ppm (Landner &amp; Reuther 2004)</w:t>
      </w:r>
      <w:r w:rsidRPr="008C7CBE">
        <w:rPr>
          <w:bCs/>
        </w:rPr>
        <w:t>. It is found as the native metal but predominantly in the form of</w:t>
      </w:r>
      <w:r w:rsidR="00474B3B">
        <w:rPr>
          <w:bCs/>
        </w:rPr>
        <w:t>:</w:t>
      </w:r>
      <w:r w:rsidRPr="008C7CBE">
        <w:rPr>
          <w:bCs/>
        </w:rPr>
        <w:t xml:space="preserve"> sulfide minerals</w:t>
      </w:r>
      <w:r w:rsidR="00DB3A6C">
        <w:rPr>
          <w:bCs/>
        </w:rPr>
        <w:t xml:space="preserve"> </w:t>
      </w:r>
      <w:r w:rsidRPr="008C7CBE">
        <w:rPr>
          <w:bCs/>
        </w:rPr>
        <w:t>chalcopyrite (CuFeS</w:t>
      </w:r>
      <w:r w:rsidRPr="00E85D1D">
        <w:rPr>
          <w:bCs/>
          <w:vertAlign w:val="subscript"/>
        </w:rPr>
        <w:t>2</w:t>
      </w:r>
      <w:r w:rsidRPr="008C7CBE">
        <w:rPr>
          <w:bCs/>
        </w:rPr>
        <w:t>), chalcocite (Cu</w:t>
      </w:r>
      <w:r w:rsidRPr="00E85D1D">
        <w:rPr>
          <w:bCs/>
          <w:vertAlign w:val="subscript"/>
        </w:rPr>
        <w:t>2</w:t>
      </w:r>
      <w:r w:rsidRPr="008C7CBE">
        <w:rPr>
          <w:bCs/>
        </w:rPr>
        <w:t>S) and bornite (Cu</w:t>
      </w:r>
      <w:r w:rsidRPr="00E85D1D">
        <w:rPr>
          <w:bCs/>
          <w:vertAlign w:val="subscript"/>
        </w:rPr>
        <w:t>5</w:t>
      </w:r>
      <w:r w:rsidRPr="008C7CBE">
        <w:rPr>
          <w:bCs/>
        </w:rPr>
        <w:t>FeS</w:t>
      </w:r>
      <w:r w:rsidRPr="00E85D1D">
        <w:rPr>
          <w:bCs/>
          <w:vertAlign w:val="subscript"/>
        </w:rPr>
        <w:t>4</w:t>
      </w:r>
      <w:r w:rsidRPr="008C7CBE">
        <w:rPr>
          <w:bCs/>
        </w:rPr>
        <w:t>); copper carbonates azurite (Cu</w:t>
      </w:r>
      <w:r w:rsidRPr="00E85D1D">
        <w:rPr>
          <w:bCs/>
          <w:vertAlign w:val="subscript"/>
        </w:rPr>
        <w:t>3</w:t>
      </w:r>
      <w:r w:rsidRPr="008C7CBE">
        <w:rPr>
          <w:bCs/>
        </w:rPr>
        <w:t>(CO</w:t>
      </w:r>
      <w:r w:rsidRPr="00E85D1D">
        <w:rPr>
          <w:bCs/>
          <w:vertAlign w:val="subscript"/>
        </w:rPr>
        <w:t>3</w:t>
      </w:r>
      <w:r w:rsidRPr="008C7CBE">
        <w:rPr>
          <w:bCs/>
        </w:rPr>
        <w:t>)2(OH)</w:t>
      </w:r>
      <w:r w:rsidRPr="00E85D1D">
        <w:rPr>
          <w:bCs/>
          <w:vertAlign w:val="subscript"/>
        </w:rPr>
        <w:t>2</w:t>
      </w:r>
      <w:r w:rsidRPr="008C7CBE">
        <w:rPr>
          <w:bCs/>
        </w:rPr>
        <w:t>) and malachite (Cu</w:t>
      </w:r>
      <w:r w:rsidRPr="00E85D1D">
        <w:rPr>
          <w:bCs/>
          <w:vertAlign w:val="subscript"/>
        </w:rPr>
        <w:t>2</w:t>
      </w:r>
      <w:r w:rsidRPr="008C7CBE">
        <w:rPr>
          <w:bCs/>
        </w:rPr>
        <w:t>CO</w:t>
      </w:r>
      <w:r w:rsidRPr="00E85D1D">
        <w:rPr>
          <w:bCs/>
          <w:vertAlign w:val="subscript"/>
        </w:rPr>
        <w:t>3</w:t>
      </w:r>
      <w:r w:rsidRPr="008C7CBE">
        <w:rPr>
          <w:bCs/>
        </w:rPr>
        <w:t>(OH)</w:t>
      </w:r>
      <w:r w:rsidRPr="00E85D1D">
        <w:rPr>
          <w:bCs/>
          <w:vertAlign w:val="subscript"/>
        </w:rPr>
        <w:t>2</w:t>
      </w:r>
      <w:r w:rsidRPr="008C7CBE">
        <w:rPr>
          <w:bCs/>
        </w:rPr>
        <w:t>); and</w:t>
      </w:r>
      <w:r w:rsidR="002628A9">
        <w:rPr>
          <w:bCs/>
        </w:rPr>
        <w:t xml:space="preserve"> the</w:t>
      </w:r>
      <w:r w:rsidRPr="008C7CBE">
        <w:rPr>
          <w:bCs/>
        </w:rPr>
        <w:t xml:space="preserve"> </w:t>
      </w:r>
      <w:r w:rsidR="00474B3B">
        <w:rPr>
          <w:bCs/>
        </w:rPr>
        <w:t>Cu</w:t>
      </w:r>
      <w:r w:rsidR="00474B3B" w:rsidRPr="00474B3B">
        <w:rPr>
          <w:bCs/>
          <w:vertAlign w:val="superscript"/>
        </w:rPr>
        <w:t>+</w:t>
      </w:r>
      <w:r w:rsidRPr="008C7CBE">
        <w:rPr>
          <w:bCs/>
        </w:rPr>
        <w:t xml:space="preserve"> oxide mineral cuprite (Cu</w:t>
      </w:r>
      <w:r w:rsidRPr="00E85D1D">
        <w:rPr>
          <w:bCs/>
          <w:vertAlign w:val="subscript"/>
        </w:rPr>
        <w:t>2</w:t>
      </w:r>
      <w:r w:rsidRPr="008C7CBE">
        <w:rPr>
          <w:bCs/>
        </w:rPr>
        <w:t xml:space="preserve">O) </w:t>
      </w:r>
      <w:r w:rsidR="00474B3B">
        <w:rPr>
          <w:bCs/>
        </w:rPr>
        <w:t xml:space="preserve">(Stumm &amp; Morgan 1996, </w:t>
      </w:r>
      <w:r w:rsidR="003D4ED5" w:rsidRPr="00DA3F57">
        <w:t xml:space="preserve">European Copper Institute </w:t>
      </w:r>
      <w:r w:rsidR="00474B3B">
        <w:rPr>
          <w:bCs/>
        </w:rPr>
        <w:t>2008)</w:t>
      </w:r>
      <w:r w:rsidRPr="008C7CBE">
        <w:rPr>
          <w:bCs/>
        </w:rPr>
        <w:t xml:space="preserve">. The major copper mines are in the Americas (particularly Chile), Australia and Europe (particularly Russia, Poland and Sweden) </w:t>
      </w:r>
      <w:r w:rsidR="00A26123">
        <w:rPr>
          <w:bCs/>
        </w:rPr>
        <w:t xml:space="preserve">(Landner &amp; Reuther 2004, </w:t>
      </w:r>
      <w:r w:rsidR="003D4ED5" w:rsidRPr="00DA3F57">
        <w:t>European Copper Institute</w:t>
      </w:r>
      <w:r w:rsidR="00A26123">
        <w:rPr>
          <w:bCs/>
        </w:rPr>
        <w:t xml:space="preserve"> 2008)</w:t>
      </w:r>
      <w:r w:rsidRPr="008C7CBE">
        <w:rPr>
          <w:bCs/>
        </w:rPr>
        <w:t xml:space="preserve">. </w:t>
      </w:r>
    </w:p>
    <w:p w14:paraId="273CD487" w14:textId="77777777" w:rsidR="008C7CBE" w:rsidRPr="008C7CBE" w:rsidRDefault="00324184" w:rsidP="008C7CBE">
      <w:pPr>
        <w:rPr>
          <w:bCs/>
        </w:rPr>
      </w:pPr>
      <w:r w:rsidRPr="008C7CBE">
        <w:rPr>
          <w:bCs/>
        </w:rPr>
        <w:t xml:space="preserve">Copper has been used for centuries </w:t>
      </w:r>
      <w:r w:rsidR="00BC7C47">
        <w:rPr>
          <w:bCs/>
        </w:rPr>
        <w:t>in</w:t>
      </w:r>
      <w:r w:rsidR="00BC7C47" w:rsidRPr="008C7CBE">
        <w:rPr>
          <w:bCs/>
        </w:rPr>
        <w:t xml:space="preserve"> </w:t>
      </w:r>
      <w:r w:rsidRPr="008C7CBE">
        <w:rPr>
          <w:bCs/>
        </w:rPr>
        <w:t xml:space="preserve">jewellery, vessels, currency and tools </w:t>
      </w:r>
      <w:r w:rsidR="00BC7C47">
        <w:rPr>
          <w:bCs/>
        </w:rPr>
        <w:t>(Landner &amp; Reuther 2004)</w:t>
      </w:r>
      <w:r w:rsidRPr="008C7CBE">
        <w:rPr>
          <w:bCs/>
        </w:rPr>
        <w:t>. Current uses include architectural structures</w:t>
      </w:r>
      <w:r w:rsidR="007A2EE7">
        <w:rPr>
          <w:bCs/>
        </w:rPr>
        <w:t>,</w:t>
      </w:r>
      <w:r w:rsidRPr="008C7CBE">
        <w:rPr>
          <w:bCs/>
        </w:rPr>
        <w:t xml:space="preserve"> roofing, </w:t>
      </w:r>
      <w:r w:rsidR="007A2EE7">
        <w:rPr>
          <w:bCs/>
        </w:rPr>
        <w:t>plumbing</w:t>
      </w:r>
      <w:r w:rsidRPr="008C7CBE">
        <w:rPr>
          <w:bCs/>
        </w:rPr>
        <w:t xml:space="preserve">, electrical wiring and in electronics </w:t>
      </w:r>
      <w:r w:rsidR="007A2EE7">
        <w:rPr>
          <w:bCs/>
        </w:rPr>
        <w:t>(</w:t>
      </w:r>
      <w:r w:rsidR="003D4ED5" w:rsidRPr="00DA3F57">
        <w:t>European Copper Institute</w:t>
      </w:r>
      <w:r w:rsidR="007A2EE7">
        <w:rPr>
          <w:bCs/>
        </w:rPr>
        <w:t xml:space="preserve"> 2008)</w:t>
      </w:r>
      <w:r w:rsidRPr="008C7CBE">
        <w:rPr>
          <w:bCs/>
        </w:rPr>
        <w:t>. C</w:t>
      </w:r>
      <w:r w:rsidRPr="008C7CBE">
        <w:rPr>
          <w:bCs/>
        </w:rPr>
        <w:t xml:space="preserve">opper is also used as a biocide in antifouling paints, wood preservatives, fungicides and herbicides </w:t>
      </w:r>
      <w:r w:rsidR="00A5119B">
        <w:rPr>
          <w:bCs/>
        </w:rPr>
        <w:t>(</w:t>
      </w:r>
      <w:r w:rsidR="003D4ED5" w:rsidRPr="00DA3F57">
        <w:t xml:space="preserve">European Copper Institute </w:t>
      </w:r>
      <w:r w:rsidR="00A5119B">
        <w:rPr>
          <w:bCs/>
        </w:rPr>
        <w:t>2008)</w:t>
      </w:r>
      <w:r w:rsidRPr="008C7CBE">
        <w:rPr>
          <w:bCs/>
        </w:rPr>
        <w:t xml:space="preserve">. One of the major anthropogenic sources of copper in marine environments is antifouling paints, as </w:t>
      </w:r>
      <w:r w:rsidR="00E57179">
        <w:rPr>
          <w:bCs/>
        </w:rPr>
        <w:t>Cu</w:t>
      </w:r>
      <w:r w:rsidR="00E57179" w:rsidRPr="00E57179">
        <w:rPr>
          <w:bCs/>
          <w:vertAlign w:val="superscript"/>
        </w:rPr>
        <w:t>+</w:t>
      </w:r>
      <w:r w:rsidRPr="008C7CBE">
        <w:rPr>
          <w:bCs/>
        </w:rPr>
        <w:t xml:space="preserve"> oxide is the most c</w:t>
      </w:r>
      <w:r w:rsidRPr="008C7CBE">
        <w:rPr>
          <w:bCs/>
        </w:rPr>
        <w:t xml:space="preserve">ommonly used biocide in these paints internationally </w:t>
      </w:r>
      <w:r w:rsidR="00E57179">
        <w:rPr>
          <w:bCs/>
        </w:rPr>
        <w:t>(Turner 2010, Ytreberg et al. 2010)</w:t>
      </w:r>
      <w:r w:rsidRPr="008C7CBE">
        <w:rPr>
          <w:bCs/>
        </w:rPr>
        <w:t xml:space="preserve"> and in Australia and New Zealand </w:t>
      </w:r>
      <w:r w:rsidR="00E57179">
        <w:rPr>
          <w:bCs/>
        </w:rPr>
        <w:t>(Gadd et al. 2011)</w:t>
      </w:r>
      <w:r w:rsidRPr="008C7CBE">
        <w:rPr>
          <w:bCs/>
        </w:rPr>
        <w:t>. Measurements in water in marinas indicate dissolved copper concentrations up to 20</w:t>
      </w:r>
      <w:r w:rsidR="00BC33F4">
        <w:rPr>
          <w:bCs/>
        </w:rPr>
        <w:t> </w:t>
      </w:r>
      <w:r w:rsidRPr="008C7CBE">
        <w:rPr>
          <w:bCs/>
        </w:rPr>
        <w:t xml:space="preserve">µg/L </w:t>
      </w:r>
      <w:r w:rsidR="00BC33F4">
        <w:rPr>
          <w:bCs/>
        </w:rPr>
        <w:t>(Gadd &amp;Cameron 2012)</w:t>
      </w:r>
      <w:r w:rsidRPr="008C7CBE">
        <w:rPr>
          <w:bCs/>
        </w:rPr>
        <w:t xml:space="preserve">. Other sources of copper include municipal wastewater discharges, mining and mineral processing, metal and electrical manufacturing, and stormwater (from copper </w:t>
      </w:r>
      <w:r w:rsidR="00511826">
        <w:rPr>
          <w:bCs/>
        </w:rPr>
        <w:t xml:space="preserve">in </w:t>
      </w:r>
      <w:r w:rsidRPr="008C7CBE">
        <w:rPr>
          <w:bCs/>
        </w:rPr>
        <w:t xml:space="preserve">architectural </w:t>
      </w:r>
      <w:r w:rsidR="00511826">
        <w:rPr>
          <w:bCs/>
        </w:rPr>
        <w:t>structures</w:t>
      </w:r>
      <w:r w:rsidR="00511826" w:rsidRPr="008C7CBE">
        <w:rPr>
          <w:bCs/>
        </w:rPr>
        <w:t xml:space="preserve"> </w:t>
      </w:r>
      <w:r w:rsidRPr="008C7CBE">
        <w:rPr>
          <w:bCs/>
        </w:rPr>
        <w:t xml:space="preserve">and vehicle brake linings </w:t>
      </w:r>
      <w:r w:rsidR="00511826">
        <w:rPr>
          <w:bCs/>
        </w:rPr>
        <w:t>(Timperley et al. 2005, Kennedy &amp; Sutherland 2008</w:t>
      </w:r>
      <w:r w:rsidR="006846A7">
        <w:rPr>
          <w:bCs/>
        </w:rPr>
        <w:t>)</w:t>
      </w:r>
      <w:r w:rsidRPr="008C7CBE">
        <w:rPr>
          <w:bCs/>
        </w:rPr>
        <w:t>).</w:t>
      </w:r>
    </w:p>
    <w:p w14:paraId="273CD488" w14:textId="77777777" w:rsidR="008C7CBE" w:rsidRPr="008C7CBE" w:rsidRDefault="00324184" w:rsidP="008C7CBE">
      <w:pPr>
        <w:rPr>
          <w:bCs/>
        </w:rPr>
      </w:pPr>
      <w:r w:rsidRPr="008C7CBE">
        <w:rPr>
          <w:bCs/>
        </w:rPr>
        <w:t>Copper is a D-block element and a transition metal</w:t>
      </w:r>
      <w:r w:rsidR="00485FB3">
        <w:rPr>
          <w:bCs/>
        </w:rPr>
        <w:t>—</w:t>
      </w:r>
      <w:r w:rsidRPr="008C7CBE">
        <w:rPr>
          <w:bCs/>
        </w:rPr>
        <w:t>as such</w:t>
      </w:r>
      <w:r w:rsidR="00485FB3">
        <w:rPr>
          <w:bCs/>
        </w:rPr>
        <w:t>, it</w:t>
      </w:r>
      <w:r w:rsidRPr="008C7CBE">
        <w:rPr>
          <w:bCs/>
        </w:rPr>
        <w:t xml:space="preserve"> has more than one oxidation state </w:t>
      </w:r>
      <w:r w:rsidR="00B01D7E">
        <w:rPr>
          <w:bCs/>
        </w:rPr>
        <w:t xml:space="preserve">(Stumm &amp; Morgan 1996, </w:t>
      </w:r>
      <w:r w:rsidR="003D4ED5" w:rsidRPr="00DA3F57">
        <w:t>European Copper Institute</w:t>
      </w:r>
      <w:r w:rsidR="00B01D7E">
        <w:rPr>
          <w:bCs/>
        </w:rPr>
        <w:t xml:space="preserve"> 2008)</w:t>
      </w:r>
      <w:r w:rsidRPr="008C7CBE">
        <w:rPr>
          <w:bCs/>
        </w:rPr>
        <w:t xml:space="preserve">. The principal states are cuprous </w:t>
      </w:r>
      <w:r w:rsidR="00913E2D">
        <w:rPr>
          <w:bCs/>
        </w:rPr>
        <w:t>(Cu</w:t>
      </w:r>
      <w:r w:rsidR="00913E2D" w:rsidRPr="001240D4">
        <w:rPr>
          <w:bCs/>
          <w:vertAlign w:val="superscript"/>
        </w:rPr>
        <w:t>+</w:t>
      </w:r>
      <w:r w:rsidR="00913E2D">
        <w:rPr>
          <w:bCs/>
        </w:rPr>
        <w:t xml:space="preserve">) </w:t>
      </w:r>
      <w:r w:rsidRPr="008C7CBE">
        <w:rPr>
          <w:bCs/>
        </w:rPr>
        <w:t>and cupric</w:t>
      </w:r>
      <w:r w:rsidR="00913E2D">
        <w:rPr>
          <w:bCs/>
        </w:rPr>
        <w:t xml:space="preserve"> (</w:t>
      </w:r>
      <w:r w:rsidR="001240D4">
        <w:rPr>
          <w:bCs/>
        </w:rPr>
        <w:t>Cu</w:t>
      </w:r>
      <w:r w:rsidR="001240D4" w:rsidRPr="001240D4">
        <w:rPr>
          <w:bCs/>
          <w:vertAlign w:val="superscript"/>
        </w:rPr>
        <w:t>2+</w:t>
      </w:r>
      <w:r w:rsidR="00913E2D">
        <w:rPr>
          <w:bCs/>
        </w:rPr>
        <w:t>)</w:t>
      </w:r>
      <w:r w:rsidRPr="008C7CBE">
        <w:rPr>
          <w:bCs/>
        </w:rPr>
        <w:t xml:space="preserve"> </w:t>
      </w:r>
      <w:r w:rsidR="00DD5191">
        <w:rPr>
          <w:bCs/>
        </w:rPr>
        <w:t>(Stumm &amp; Morgan 1996)</w:t>
      </w:r>
      <w:r w:rsidRPr="008C7CBE">
        <w:rPr>
          <w:bCs/>
        </w:rPr>
        <w:t>. These are f</w:t>
      </w:r>
      <w:r w:rsidRPr="008C7CBE">
        <w:rPr>
          <w:bCs/>
        </w:rPr>
        <w:t xml:space="preserve">ound as salts such as </w:t>
      </w:r>
      <w:r w:rsidR="002F0EF0">
        <w:rPr>
          <w:bCs/>
        </w:rPr>
        <w:t>Cu</w:t>
      </w:r>
      <w:r w:rsidR="003B4E8A">
        <w:rPr>
          <w:bCs/>
          <w:vertAlign w:val="superscript"/>
        </w:rPr>
        <w:t>2+</w:t>
      </w:r>
      <w:r w:rsidR="002F0EF0">
        <w:rPr>
          <w:bCs/>
        </w:rPr>
        <w:t xml:space="preserve"> </w:t>
      </w:r>
      <w:r w:rsidRPr="008C7CBE">
        <w:rPr>
          <w:bCs/>
        </w:rPr>
        <w:t>sulfate pentahydrate (CuSO</w:t>
      </w:r>
      <w:r w:rsidRPr="00E85D1D">
        <w:rPr>
          <w:bCs/>
          <w:vertAlign w:val="subscript"/>
        </w:rPr>
        <w:t>4</w:t>
      </w:r>
      <w:r w:rsidRPr="008C7CBE">
        <w:rPr>
          <w:bCs/>
        </w:rPr>
        <w:t>.7H</w:t>
      </w:r>
      <w:r w:rsidRPr="00E85D1D">
        <w:rPr>
          <w:bCs/>
          <w:vertAlign w:val="subscript"/>
        </w:rPr>
        <w:t>2</w:t>
      </w:r>
      <w:r w:rsidRPr="008C7CBE">
        <w:rPr>
          <w:bCs/>
        </w:rPr>
        <w:t xml:space="preserve">O) and </w:t>
      </w:r>
      <w:r w:rsidR="006035B6">
        <w:rPr>
          <w:bCs/>
        </w:rPr>
        <w:t>Cu</w:t>
      </w:r>
      <w:r w:rsidR="0092560B" w:rsidRPr="0092560B">
        <w:rPr>
          <w:bCs/>
          <w:vertAlign w:val="superscript"/>
        </w:rPr>
        <w:t>+</w:t>
      </w:r>
      <w:r w:rsidR="006035B6">
        <w:rPr>
          <w:bCs/>
        </w:rPr>
        <w:t xml:space="preserve"> </w:t>
      </w:r>
      <w:r w:rsidRPr="008C7CBE">
        <w:rPr>
          <w:bCs/>
        </w:rPr>
        <w:t>oxide (Cu</w:t>
      </w:r>
      <w:r w:rsidRPr="00E85D1D">
        <w:rPr>
          <w:bCs/>
          <w:vertAlign w:val="subscript"/>
        </w:rPr>
        <w:t>2</w:t>
      </w:r>
      <w:r w:rsidRPr="008C7CBE">
        <w:rPr>
          <w:bCs/>
        </w:rPr>
        <w:t xml:space="preserve">O) </w:t>
      </w:r>
      <w:r w:rsidR="006035B6">
        <w:rPr>
          <w:bCs/>
        </w:rPr>
        <w:t>(Stumm &amp; Morgan 1996)</w:t>
      </w:r>
      <w:r w:rsidRPr="008C7CBE">
        <w:rPr>
          <w:bCs/>
        </w:rPr>
        <w:t>. Cu</w:t>
      </w:r>
      <w:r w:rsidRPr="00E85D1D">
        <w:rPr>
          <w:bCs/>
          <w:vertAlign w:val="superscript"/>
        </w:rPr>
        <w:t>+</w:t>
      </w:r>
      <w:r w:rsidRPr="008C7CBE">
        <w:rPr>
          <w:bCs/>
        </w:rPr>
        <w:t xml:space="preserve"> is unstable in aqueous media and will oxidise to Cu</w:t>
      </w:r>
      <w:r w:rsidRPr="00E85D1D">
        <w:rPr>
          <w:bCs/>
          <w:vertAlign w:val="superscript"/>
        </w:rPr>
        <w:t>2+</w:t>
      </w:r>
      <w:r w:rsidR="00156158">
        <w:rPr>
          <w:bCs/>
        </w:rPr>
        <w:t xml:space="preserve">, which </w:t>
      </w:r>
      <w:r w:rsidRPr="008C7CBE">
        <w:rPr>
          <w:bCs/>
        </w:rPr>
        <w:t xml:space="preserve">typically binds to inorganic and organic ligands, such as iron oxides or humic </w:t>
      </w:r>
      <w:r w:rsidRPr="008C7CBE">
        <w:rPr>
          <w:bCs/>
        </w:rPr>
        <w:t>acids. In water, sediment</w:t>
      </w:r>
      <w:r w:rsidR="00156158">
        <w:rPr>
          <w:bCs/>
        </w:rPr>
        <w:t xml:space="preserve"> and</w:t>
      </w:r>
      <w:r w:rsidRPr="008C7CBE">
        <w:rPr>
          <w:bCs/>
        </w:rPr>
        <w:t xml:space="preserve"> soil, the binding affinities of </w:t>
      </w:r>
      <w:r w:rsidR="00177C6E" w:rsidRPr="008C7CBE">
        <w:rPr>
          <w:bCs/>
        </w:rPr>
        <w:t>Cu</w:t>
      </w:r>
      <w:r w:rsidR="00177C6E" w:rsidRPr="00E85D1D">
        <w:rPr>
          <w:bCs/>
          <w:vertAlign w:val="superscript"/>
        </w:rPr>
        <w:t>2+</w:t>
      </w:r>
      <w:r w:rsidRPr="008C7CBE">
        <w:rPr>
          <w:bCs/>
        </w:rPr>
        <w:t xml:space="preserve"> with inorganic and organic matter </w:t>
      </w:r>
      <w:r w:rsidR="00177C6E">
        <w:rPr>
          <w:bCs/>
        </w:rPr>
        <w:t>depend</w:t>
      </w:r>
      <w:r w:rsidRPr="008C7CBE">
        <w:rPr>
          <w:bCs/>
        </w:rPr>
        <w:t xml:space="preserve"> on pH, the oxidation-reduction potential in the local environment, and the presence of competing metal ions and inorganic anions. The solubility lim</w:t>
      </w:r>
      <w:r w:rsidRPr="008C7CBE">
        <w:rPr>
          <w:bCs/>
        </w:rPr>
        <w:t>it of copper is approximately 500</w:t>
      </w:r>
      <w:r w:rsidR="00177C6E">
        <w:rPr>
          <w:bCs/>
        </w:rPr>
        <w:t> </w:t>
      </w:r>
      <w:r w:rsidRPr="008C7CBE">
        <w:rPr>
          <w:bCs/>
        </w:rPr>
        <w:t xml:space="preserve">µg/L in saline water </w:t>
      </w:r>
      <w:r w:rsidR="00177C6E">
        <w:rPr>
          <w:bCs/>
        </w:rPr>
        <w:t>(Krauskopf 1956)</w:t>
      </w:r>
      <w:r w:rsidRPr="008C7CBE">
        <w:rPr>
          <w:bCs/>
        </w:rPr>
        <w:t>.</w:t>
      </w:r>
    </w:p>
    <w:p w14:paraId="273CD489" w14:textId="77777777" w:rsidR="008C7CBE" w:rsidRPr="008C7CBE" w:rsidRDefault="00324184" w:rsidP="008C7CBE">
      <w:pPr>
        <w:rPr>
          <w:bCs/>
        </w:rPr>
      </w:pPr>
      <w:r w:rsidRPr="008C7CBE">
        <w:rPr>
          <w:bCs/>
        </w:rPr>
        <w:t xml:space="preserve">Background concentrations of copper in marine water are low and can be difficult to measure accurately, </w:t>
      </w:r>
      <w:r w:rsidR="009623A1">
        <w:rPr>
          <w:bCs/>
        </w:rPr>
        <w:t>and</w:t>
      </w:r>
      <w:r w:rsidRPr="008C7CBE">
        <w:rPr>
          <w:bCs/>
        </w:rPr>
        <w:t xml:space="preserve"> ultra-trace techniques and special precautions </w:t>
      </w:r>
      <w:r w:rsidR="009623A1">
        <w:rPr>
          <w:bCs/>
        </w:rPr>
        <w:t xml:space="preserve">are required </w:t>
      </w:r>
      <w:r w:rsidRPr="008C7CBE">
        <w:rPr>
          <w:bCs/>
        </w:rPr>
        <w:t>to avoid sample</w:t>
      </w:r>
      <w:r w:rsidRPr="008C7CBE">
        <w:rPr>
          <w:bCs/>
        </w:rPr>
        <w:t xml:space="preserve"> contamination. In the North Pacific Ocean, total copper </w:t>
      </w:r>
      <w:r w:rsidR="00ED1856">
        <w:rPr>
          <w:bCs/>
        </w:rPr>
        <w:t>was</w:t>
      </w:r>
      <w:r w:rsidRPr="008C7CBE">
        <w:rPr>
          <w:bCs/>
        </w:rPr>
        <w:t xml:space="preserve"> 0.03</w:t>
      </w:r>
      <w:r w:rsidR="009623A1">
        <w:rPr>
          <w:bCs/>
        </w:rPr>
        <w:t>–</w:t>
      </w:r>
      <w:r w:rsidRPr="008C7CBE">
        <w:rPr>
          <w:bCs/>
        </w:rPr>
        <w:t>0.1</w:t>
      </w:r>
      <w:r w:rsidR="009623A1">
        <w:rPr>
          <w:bCs/>
        </w:rPr>
        <w:t> </w:t>
      </w:r>
      <w:r w:rsidRPr="008C7CBE">
        <w:rPr>
          <w:bCs/>
        </w:rPr>
        <w:t xml:space="preserve">µg/L </w:t>
      </w:r>
      <w:r w:rsidR="009623A1">
        <w:rPr>
          <w:bCs/>
        </w:rPr>
        <w:t>(Bruland 1980)</w:t>
      </w:r>
      <w:r w:rsidRPr="008C7CBE">
        <w:rPr>
          <w:bCs/>
        </w:rPr>
        <w:t>. In the Tasman Sea, dissolved copper concentrations were 0.030</w:t>
      </w:r>
      <w:r w:rsidR="00ED1856">
        <w:rPr>
          <w:bCs/>
        </w:rPr>
        <w:t>–</w:t>
      </w:r>
      <w:r w:rsidRPr="008C7CBE">
        <w:rPr>
          <w:bCs/>
        </w:rPr>
        <w:t>0.036</w:t>
      </w:r>
      <w:r w:rsidR="00ED1856">
        <w:rPr>
          <w:bCs/>
        </w:rPr>
        <w:t> </w:t>
      </w:r>
      <w:r w:rsidRPr="008C7CBE">
        <w:rPr>
          <w:bCs/>
        </w:rPr>
        <w:t xml:space="preserve">µg/L in surface water, increasing to </w:t>
      </w:r>
      <w:r w:rsidR="00E85D1D">
        <w:rPr>
          <w:bCs/>
        </w:rPr>
        <w:t>~</w:t>
      </w:r>
      <w:r w:rsidRPr="008C7CBE">
        <w:rPr>
          <w:bCs/>
        </w:rPr>
        <w:t>0.2</w:t>
      </w:r>
      <w:r w:rsidR="00ED1856">
        <w:rPr>
          <w:bCs/>
        </w:rPr>
        <w:t> </w:t>
      </w:r>
      <w:r w:rsidRPr="008C7CBE">
        <w:rPr>
          <w:bCs/>
        </w:rPr>
        <w:t>µg/L at depths of 3</w:t>
      </w:r>
      <w:r w:rsidR="00712734">
        <w:rPr>
          <w:bCs/>
        </w:rPr>
        <w:t> </w:t>
      </w:r>
      <w:r w:rsidRPr="008C7CBE">
        <w:rPr>
          <w:bCs/>
        </w:rPr>
        <w:t>000</w:t>
      </w:r>
      <w:r w:rsidR="00712734">
        <w:rPr>
          <w:bCs/>
        </w:rPr>
        <w:t> </w:t>
      </w:r>
      <w:r w:rsidRPr="008C7CBE">
        <w:rPr>
          <w:bCs/>
        </w:rPr>
        <w:t xml:space="preserve">m or more </w:t>
      </w:r>
      <w:r w:rsidR="00561243">
        <w:rPr>
          <w:bCs/>
        </w:rPr>
        <w:t>(Thompson et al. 2014)</w:t>
      </w:r>
      <w:r w:rsidRPr="008C7CBE">
        <w:rPr>
          <w:bCs/>
        </w:rPr>
        <w:t xml:space="preserve">. In most of these samples, the dissolved copper was more than 99% complexed by organic ligands </w:t>
      </w:r>
      <w:r w:rsidR="00835D92">
        <w:rPr>
          <w:bCs/>
        </w:rPr>
        <w:t>(Thompson et al. 2014)</w:t>
      </w:r>
      <w:r w:rsidRPr="008C7CBE">
        <w:rPr>
          <w:bCs/>
        </w:rPr>
        <w:t>. Closer to shore, in measurements off the coast of New South Wales, Australia, dissolved copper was 0.025</w:t>
      </w:r>
      <w:r w:rsidR="004F5BC7">
        <w:rPr>
          <w:bCs/>
        </w:rPr>
        <w:t>–</w:t>
      </w:r>
      <w:r w:rsidRPr="008C7CBE">
        <w:rPr>
          <w:bCs/>
        </w:rPr>
        <w:t>0.036</w:t>
      </w:r>
      <w:r w:rsidR="004F5BC7">
        <w:rPr>
          <w:bCs/>
        </w:rPr>
        <w:t> </w:t>
      </w:r>
      <w:r w:rsidRPr="008C7CBE">
        <w:rPr>
          <w:bCs/>
        </w:rPr>
        <w:t xml:space="preserve">µg/L </w:t>
      </w:r>
      <w:r w:rsidR="004F5BC7">
        <w:rPr>
          <w:bCs/>
        </w:rPr>
        <w:t>(Apte et al. 1998)</w:t>
      </w:r>
      <w:r w:rsidRPr="008C7CBE">
        <w:rPr>
          <w:bCs/>
        </w:rPr>
        <w:t>.</w:t>
      </w:r>
      <w:r w:rsidRPr="008C7CBE">
        <w:rPr>
          <w:bCs/>
        </w:rPr>
        <w:t xml:space="preserve"> In New Zealand coastal waters, total copper concentrations were 0.15</w:t>
      </w:r>
      <w:r w:rsidR="00455F1F">
        <w:rPr>
          <w:bCs/>
        </w:rPr>
        <w:t>–</w:t>
      </w:r>
      <w:r w:rsidRPr="008C7CBE">
        <w:rPr>
          <w:bCs/>
        </w:rPr>
        <w:t>0.5</w:t>
      </w:r>
      <w:r w:rsidR="00455F1F">
        <w:rPr>
          <w:bCs/>
        </w:rPr>
        <w:t> </w:t>
      </w:r>
      <w:r w:rsidRPr="008C7CBE">
        <w:rPr>
          <w:bCs/>
        </w:rPr>
        <w:t xml:space="preserve">µg/L in the outer Otago Harbour </w:t>
      </w:r>
      <w:r w:rsidR="00455F1F">
        <w:rPr>
          <w:bCs/>
        </w:rPr>
        <w:t>(Hunter &amp; Tyler 1987)</w:t>
      </w:r>
      <w:r w:rsidRPr="008C7CBE">
        <w:rPr>
          <w:bCs/>
        </w:rPr>
        <w:t xml:space="preserve"> away from sources of pollution. Dissolved copper measured 0.38</w:t>
      </w:r>
      <w:r w:rsidR="00A84F3D">
        <w:rPr>
          <w:bCs/>
        </w:rPr>
        <w:t> </w:t>
      </w:r>
      <w:r w:rsidRPr="008C7CBE">
        <w:rPr>
          <w:bCs/>
        </w:rPr>
        <w:t>µg/L in Milford Sound (NIWA unpublished data) at locations influe</w:t>
      </w:r>
      <w:r w:rsidRPr="008C7CBE">
        <w:rPr>
          <w:bCs/>
        </w:rPr>
        <w:t>nced by marinas and vessel moorings. Total copper measured 1.5</w:t>
      </w:r>
      <w:r w:rsidR="00646053">
        <w:rPr>
          <w:bCs/>
        </w:rPr>
        <w:t>–</w:t>
      </w:r>
      <w:r w:rsidRPr="008C7CBE">
        <w:rPr>
          <w:bCs/>
        </w:rPr>
        <w:t>1.8</w:t>
      </w:r>
      <w:r w:rsidR="00646053">
        <w:rPr>
          <w:bCs/>
        </w:rPr>
        <w:t> </w:t>
      </w:r>
      <w:r w:rsidRPr="008C7CBE">
        <w:rPr>
          <w:bCs/>
        </w:rPr>
        <w:t xml:space="preserve">µg/L in Waitemata Harbour </w:t>
      </w:r>
      <w:r w:rsidR="00646053">
        <w:rPr>
          <w:bCs/>
        </w:rPr>
        <w:t>(Gadd &amp;Cameron 2012)</w:t>
      </w:r>
      <w:r w:rsidRPr="008C7CBE">
        <w:rPr>
          <w:bCs/>
        </w:rPr>
        <w:t xml:space="preserve">, an area influenced by urban land use and vessels. </w:t>
      </w:r>
    </w:p>
    <w:p w14:paraId="273CD48A" w14:textId="77777777" w:rsidR="008C7CBE" w:rsidRPr="008C7CBE" w:rsidRDefault="00324184" w:rsidP="008C7CBE">
      <w:pPr>
        <w:rPr>
          <w:bCs/>
        </w:rPr>
      </w:pPr>
      <w:r w:rsidRPr="008C7CBE">
        <w:rPr>
          <w:bCs/>
        </w:rPr>
        <w:t xml:space="preserve">The ANZECC/ARMCANZ (2000) default guideline values (DGVs) for </w:t>
      </w:r>
      <w:r w:rsidR="00C41EA7">
        <w:rPr>
          <w:bCs/>
        </w:rPr>
        <w:t xml:space="preserve">dissolved </w:t>
      </w:r>
      <w:r w:rsidRPr="008C7CBE">
        <w:rPr>
          <w:bCs/>
        </w:rPr>
        <w:t xml:space="preserve">copper in marine water for 99%, 95%, 90% and 80% species protection </w:t>
      </w:r>
      <w:r w:rsidR="00C41EA7">
        <w:rPr>
          <w:bCs/>
        </w:rPr>
        <w:t>we</w:t>
      </w:r>
      <w:r w:rsidR="00C41EA7" w:rsidRPr="008C7CBE">
        <w:rPr>
          <w:bCs/>
        </w:rPr>
        <w:t xml:space="preserve">re </w:t>
      </w:r>
      <w:r w:rsidRPr="008C7CBE">
        <w:rPr>
          <w:bCs/>
        </w:rPr>
        <w:t>0.3</w:t>
      </w:r>
      <w:r w:rsidR="00646053">
        <w:rPr>
          <w:bCs/>
        </w:rPr>
        <w:t> </w:t>
      </w:r>
      <w:r w:rsidR="00646053" w:rsidRPr="008C7CBE">
        <w:rPr>
          <w:bCs/>
        </w:rPr>
        <w:t>μg/L</w:t>
      </w:r>
      <w:r w:rsidRPr="008C7CBE">
        <w:rPr>
          <w:bCs/>
        </w:rPr>
        <w:t>, 1.3</w:t>
      </w:r>
      <w:r w:rsidR="00646053">
        <w:rPr>
          <w:bCs/>
        </w:rPr>
        <w:t> </w:t>
      </w:r>
      <w:r w:rsidR="00646053" w:rsidRPr="008C7CBE">
        <w:rPr>
          <w:bCs/>
        </w:rPr>
        <w:t>μg/L</w:t>
      </w:r>
      <w:r w:rsidRPr="008C7CBE">
        <w:rPr>
          <w:bCs/>
        </w:rPr>
        <w:t>, 3</w:t>
      </w:r>
      <w:r w:rsidR="00646053">
        <w:rPr>
          <w:bCs/>
        </w:rPr>
        <w:t> </w:t>
      </w:r>
      <w:r w:rsidR="00646053" w:rsidRPr="008C7CBE">
        <w:rPr>
          <w:bCs/>
        </w:rPr>
        <w:t>μg/L</w:t>
      </w:r>
      <w:r w:rsidRPr="008C7CBE">
        <w:rPr>
          <w:bCs/>
        </w:rPr>
        <w:t xml:space="preserve"> and 8</w:t>
      </w:r>
      <w:r w:rsidR="00646053">
        <w:rPr>
          <w:bCs/>
        </w:rPr>
        <w:t> </w:t>
      </w:r>
      <w:bookmarkStart w:id="10" w:name="_Hlk85708180"/>
      <w:r w:rsidRPr="008C7CBE">
        <w:rPr>
          <w:bCs/>
        </w:rPr>
        <w:t>μg/L</w:t>
      </w:r>
      <w:bookmarkEnd w:id="10"/>
      <w:r w:rsidRPr="008C7CBE">
        <w:rPr>
          <w:bCs/>
        </w:rPr>
        <w:t xml:space="preserve">, respectively. The DGVs were derived using the </w:t>
      </w:r>
      <w:r w:rsidR="00C41EA7">
        <w:rPr>
          <w:bCs/>
        </w:rPr>
        <w:t>species sensitivity</w:t>
      </w:r>
      <w:r w:rsidR="00C41EA7" w:rsidRPr="008C7CBE">
        <w:rPr>
          <w:bCs/>
        </w:rPr>
        <w:t xml:space="preserve"> </w:t>
      </w:r>
      <w:r w:rsidRPr="008C7CBE">
        <w:rPr>
          <w:bCs/>
        </w:rPr>
        <w:t>distri</w:t>
      </w:r>
      <w:r w:rsidRPr="008C7CBE">
        <w:rPr>
          <w:bCs/>
        </w:rPr>
        <w:t>bution method, from 70</w:t>
      </w:r>
      <w:r w:rsidR="00C54D58">
        <w:rPr>
          <w:bCs/>
        </w:rPr>
        <w:t> </w:t>
      </w:r>
      <w:r w:rsidRPr="008C7CBE">
        <w:rPr>
          <w:bCs/>
        </w:rPr>
        <w:t xml:space="preserve">chronic toxicity values for 26 species from </w:t>
      </w:r>
      <w:r w:rsidR="007C1AF3">
        <w:rPr>
          <w:bCs/>
        </w:rPr>
        <w:t>five</w:t>
      </w:r>
      <w:r w:rsidRPr="008C7CBE">
        <w:rPr>
          <w:bCs/>
        </w:rPr>
        <w:t xml:space="preserve"> taxonomic groups (fish, crustaceans, molluscs, annelids and algae), and were considered high reliability values. The lowest toxicity value at the time was for the mollusc </w:t>
      </w:r>
      <w:r w:rsidRPr="007E2341">
        <w:rPr>
          <w:rStyle w:val="Emphasis"/>
        </w:rPr>
        <w:t>Mytilus eduli</w:t>
      </w:r>
      <w:r w:rsidRPr="007E2341">
        <w:rPr>
          <w:rStyle w:val="Emphasis"/>
        </w:rPr>
        <w:t>s</w:t>
      </w:r>
      <w:r w:rsidRPr="008C7CBE">
        <w:rPr>
          <w:bCs/>
        </w:rPr>
        <w:t xml:space="preserve"> (0.4</w:t>
      </w:r>
      <w:r w:rsidR="007C1AF3">
        <w:rPr>
          <w:bCs/>
        </w:rPr>
        <w:t> </w:t>
      </w:r>
      <w:r w:rsidR="007C1AF3" w:rsidRPr="007C1AF3">
        <w:rPr>
          <w:bCs/>
        </w:rPr>
        <w:t>μ</w:t>
      </w:r>
      <w:r w:rsidRPr="008C7CBE">
        <w:rPr>
          <w:bCs/>
        </w:rPr>
        <w:t>g/L, converted from 30</w:t>
      </w:r>
      <w:r w:rsidR="007C1AF3">
        <w:rPr>
          <w:bCs/>
        </w:rPr>
        <w:t> day</w:t>
      </w:r>
      <w:r w:rsidRPr="008C7CBE">
        <w:rPr>
          <w:bCs/>
        </w:rPr>
        <w:t xml:space="preserve"> EC50 for reproduction of 2</w:t>
      </w:r>
      <w:r w:rsidR="007C1AF3">
        <w:rPr>
          <w:bCs/>
        </w:rPr>
        <w:t> </w:t>
      </w:r>
      <w:r w:rsidRPr="008C7CBE">
        <w:rPr>
          <w:bCs/>
        </w:rPr>
        <w:t>μg/L).</w:t>
      </w:r>
    </w:p>
    <w:p w14:paraId="273CD48B" w14:textId="77777777" w:rsidR="008C7CBE" w:rsidRPr="008C7CBE" w:rsidRDefault="00324184" w:rsidP="008C7CBE">
      <w:pPr>
        <w:rPr>
          <w:bCs/>
        </w:rPr>
      </w:pPr>
      <w:r w:rsidRPr="008C7CBE">
        <w:rPr>
          <w:bCs/>
        </w:rPr>
        <w:t xml:space="preserve">This </w:t>
      </w:r>
      <w:r w:rsidR="00C41EA7">
        <w:rPr>
          <w:bCs/>
        </w:rPr>
        <w:t>technical brief</w:t>
      </w:r>
      <w:r w:rsidR="00C41EA7" w:rsidRPr="008C7CBE">
        <w:rPr>
          <w:bCs/>
        </w:rPr>
        <w:t xml:space="preserve"> </w:t>
      </w:r>
      <w:r w:rsidRPr="008C7CBE">
        <w:rPr>
          <w:bCs/>
        </w:rPr>
        <w:t xml:space="preserve">provides </w:t>
      </w:r>
      <w:r w:rsidR="00C41EA7">
        <w:rPr>
          <w:bCs/>
        </w:rPr>
        <w:t>updated</w:t>
      </w:r>
      <w:r w:rsidRPr="008C7CBE">
        <w:rPr>
          <w:bCs/>
        </w:rPr>
        <w:t xml:space="preserve"> DGVs for dissolved copper in marine water, which supersede the ANZECC/ARMCANZ (2000) DGVs. The current derivation has added new data published since </w:t>
      </w:r>
      <w:r w:rsidRPr="008C7CBE">
        <w:rPr>
          <w:bCs/>
        </w:rPr>
        <w:t>2000, including chronic data for Australasian species, and</w:t>
      </w:r>
      <w:r w:rsidR="00BB0E28">
        <w:rPr>
          <w:bCs/>
        </w:rPr>
        <w:t xml:space="preserve"> has</w:t>
      </w:r>
      <w:r w:rsidRPr="008C7CBE">
        <w:rPr>
          <w:bCs/>
        </w:rPr>
        <w:t xml:space="preserve"> added an adjustment based on dissolved organic carbon (DOC). The derivation has also drawn upon relevant aspects of copper risk assessments for the European Union </w:t>
      </w:r>
      <w:r w:rsidR="00BB0E28">
        <w:rPr>
          <w:bCs/>
        </w:rPr>
        <w:t>(</w:t>
      </w:r>
      <w:r w:rsidR="003D4ED5" w:rsidRPr="00DA3F57">
        <w:rPr>
          <w:rFonts w:ascii="Calibri" w:eastAsia="Times New Roman" w:hAnsi="Calibri" w:cs="Calibri"/>
          <w:color w:val="000000"/>
          <w:lang w:eastAsia="en-GB"/>
        </w:rPr>
        <w:t>European Copper Institute</w:t>
      </w:r>
      <w:r w:rsidR="003D4ED5">
        <w:rPr>
          <w:rFonts w:ascii="Calibri" w:eastAsia="Times New Roman" w:hAnsi="Calibri" w:cs="Calibri"/>
          <w:color w:val="000000"/>
          <w:lang w:eastAsia="en-GB"/>
        </w:rPr>
        <w:t xml:space="preserve"> 2008</w:t>
      </w:r>
      <w:r w:rsidR="00BB0E28">
        <w:rPr>
          <w:bCs/>
        </w:rPr>
        <w:t>)</w:t>
      </w:r>
      <w:r w:rsidRPr="008C7CBE">
        <w:rPr>
          <w:bCs/>
        </w:rPr>
        <w:t xml:space="preserve"> and copper guidelines for the United Kingdom </w:t>
      </w:r>
      <w:r w:rsidR="00CB5403">
        <w:rPr>
          <w:bCs/>
        </w:rPr>
        <w:t>(Maycock et al. 2011)</w:t>
      </w:r>
      <w:r w:rsidRPr="008C7CBE">
        <w:rPr>
          <w:bCs/>
        </w:rPr>
        <w:t xml:space="preserve"> and the United States</w:t>
      </w:r>
      <w:r w:rsidR="00CB5403">
        <w:rPr>
          <w:bCs/>
        </w:rPr>
        <w:t xml:space="preserve"> (USEPA 2016</w:t>
      </w:r>
      <w:r w:rsidR="006C09C3">
        <w:rPr>
          <w:bCs/>
        </w:rPr>
        <w:t>a</w:t>
      </w:r>
      <w:r w:rsidR="00CB5403">
        <w:rPr>
          <w:bCs/>
        </w:rPr>
        <w:t>)</w:t>
      </w:r>
      <w:r w:rsidRPr="008C7CBE">
        <w:rPr>
          <w:bCs/>
        </w:rPr>
        <w:t xml:space="preserve">. The DGV derivation process and the data included are described in </w:t>
      </w:r>
      <w:r w:rsidR="0054170B">
        <w:rPr>
          <w:bCs/>
        </w:rPr>
        <w:t>Section </w:t>
      </w:r>
      <w:r w:rsidR="0054170B">
        <w:rPr>
          <w:bCs/>
        </w:rPr>
        <w:fldChar w:fldCharType="begin"/>
      </w:r>
      <w:r w:rsidR="0054170B">
        <w:rPr>
          <w:bCs/>
        </w:rPr>
        <w:instrText xml:space="preserve"> REF _Ref85903400 \r \h </w:instrText>
      </w:r>
      <w:r w:rsidR="0054170B">
        <w:rPr>
          <w:bCs/>
        </w:rPr>
      </w:r>
      <w:r w:rsidR="0054170B">
        <w:rPr>
          <w:bCs/>
        </w:rPr>
        <w:fldChar w:fldCharType="separate"/>
      </w:r>
      <w:r w:rsidR="00A41C81">
        <w:rPr>
          <w:bCs/>
        </w:rPr>
        <w:t>4</w:t>
      </w:r>
      <w:r w:rsidR="0054170B">
        <w:rPr>
          <w:bCs/>
        </w:rPr>
        <w:fldChar w:fldCharType="end"/>
      </w:r>
      <w:r w:rsidRPr="008C7CBE">
        <w:rPr>
          <w:bCs/>
        </w:rPr>
        <w:t>.</w:t>
      </w:r>
    </w:p>
    <w:p w14:paraId="273CD48C" w14:textId="77777777" w:rsidR="00BF0280" w:rsidRPr="00397B6A" w:rsidRDefault="00324184" w:rsidP="005D1CA5">
      <w:pPr>
        <w:pStyle w:val="Heading2"/>
        <w:keepNext w:val="0"/>
        <w:keepLines w:val="0"/>
        <w:pageBreakBefore w:val="0"/>
        <w:widowControl w:val="0"/>
        <w:rPr>
          <w:szCs w:val="56"/>
        </w:rPr>
      </w:pPr>
      <w:bookmarkStart w:id="11" w:name="_Toc89265609"/>
      <w:bookmarkStart w:id="12" w:name="_Toc89268649"/>
      <w:r w:rsidRPr="00397B6A">
        <w:rPr>
          <w:color w:val="4F81BD" w:themeColor="accent1"/>
          <w:szCs w:val="56"/>
        </w:rPr>
        <w:t>Aquatic toxicology</w:t>
      </w:r>
      <w:bookmarkEnd w:id="11"/>
      <w:bookmarkEnd w:id="12"/>
    </w:p>
    <w:p w14:paraId="273CD48D" w14:textId="77777777" w:rsidR="00EB3B8E" w:rsidRDefault="00324184" w:rsidP="00307FDE">
      <w:r>
        <w:t xml:space="preserve">Copper is an essential trace element for </w:t>
      </w:r>
      <w:r w:rsidR="005D6C16">
        <w:t xml:space="preserve">micro-organisms, </w:t>
      </w:r>
      <w:r>
        <w:t xml:space="preserve">plants and animals </w:t>
      </w:r>
      <w:r w:rsidR="005D6C16">
        <w:t>because it is</w:t>
      </w:r>
      <w:r>
        <w:t xml:space="preserve"> a cofactor for numerous enzymes </w:t>
      </w:r>
      <w:r w:rsidR="005D6C16">
        <w:t>(IPCS 1998),</w:t>
      </w:r>
      <w:r>
        <w:t xml:space="preserve"> and insufficient concentrations can </w:t>
      </w:r>
      <w:r>
        <w:t xml:space="preserve">lead to impaired metabolic functions and reduced growth. Copper deficiency has been observed in marine diatoms due to the naturally low concentrations in open oceans </w:t>
      </w:r>
      <w:r w:rsidR="005D6C16">
        <w:t>(Peers &amp; Price 2006)</w:t>
      </w:r>
      <w:r>
        <w:t>. Although marine organisms can regulate copper to some extent via exc</w:t>
      </w:r>
      <w:r>
        <w:t xml:space="preserve">retion and/or storage in a detoxified form, when intake exceeds the capacity for regulation, copper is both acutely and chronically toxic </w:t>
      </w:r>
      <w:r w:rsidR="00E34D6D">
        <w:t>(</w:t>
      </w:r>
      <w:r w:rsidR="003D4ED5" w:rsidRPr="00DA3F57">
        <w:rPr>
          <w:rFonts w:ascii="Calibri" w:eastAsia="Times New Roman" w:hAnsi="Calibri" w:cs="Calibri"/>
          <w:color w:val="000000"/>
          <w:lang w:eastAsia="en-GB"/>
        </w:rPr>
        <w:t>European Copper Institute</w:t>
      </w:r>
      <w:r w:rsidR="003D4ED5">
        <w:rPr>
          <w:rFonts w:ascii="Calibri" w:eastAsia="Times New Roman" w:hAnsi="Calibri" w:cs="Calibri"/>
          <w:color w:val="000000"/>
          <w:lang w:eastAsia="en-GB"/>
        </w:rPr>
        <w:t xml:space="preserve"> 2008</w:t>
      </w:r>
      <w:r w:rsidR="00E34D6D">
        <w:t>)</w:t>
      </w:r>
      <w:r>
        <w:t xml:space="preserve">. </w:t>
      </w:r>
    </w:p>
    <w:p w14:paraId="273CD48E" w14:textId="77777777" w:rsidR="00EB3B8E" w:rsidRDefault="00324184" w:rsidP="00EB3B8E">
      <w:pPr>
        <w:pStyle w:val="Heading3"/>
      </w:pPr>
      <w:bookmarkStart w:id="13" w:name="_Toc89265610"/>
      <w:bookmarkStart w:id="14" w:name="_Toc89268650"/>
      <w:r>
        <w:t>Me</w:t>
      </w:r>
      <w:r w:rsidR="00576685">
        <w:t>ch</w:t>
      </w:r>
      <w:r>
        <w:t>anism</w:t>
      </w:r>
      <w:r w:rsidR="00576685">
        <w:t>s</w:t>
      </w:r>
      <w:r>
        <w:t xml:space="preserve"> of toxicity</w:t>
      </w:r>
      <w:bookmarkEnd w:id="13"/>
      <w:bookmarkEnd w:id="14"/>
    </w:p>
    <w:p w14:paraId="273CD48F" w14:textId="77777777" w:rsidR="00307FDE" w:rsidRDefault="00324184" w:rsidP="00307FDE">
      <w:r>
        <w:t xml:space="preserve">The mechanisms of copper </w:t>
      </w:r>
      <w:r w:rsidR="00203AB1">
        <w:t xml:space="preserve">toxicity </w:t>
      </w:r>
      <w:r>
        <w:t>in marine systems are revi</w:t>
      </w:r>
      <w:r>
        <w:t xml:space="preserve">ewed in detail in the European Union Risk Assessment Report for copper </w:t>
      </w:r>
      <w:r w:rsidR="00203AB1">
        <w:t>(</w:t>
      </w:r>
      <w:r w:rsidR="003D4ED5" w:rsidRPr="00DA3F57">
        <w:rPr>
          <w:rFonts w:ascii="Calibri" w:eastAsia="Times New Roman" w:hAnsi="Calibri" w:cs="Calibri"/>
          <w:color w:val="000000"/>
          <w:lang w:eastAsia="en-GB"/>
        </w:rPr>
        <w:t>European Copper Institute</w:t>
      </w:r>
      <w:r w:rsidR="003D4ED5">
        <w:rPr>
          <w:rFonts w:ascii="Calibri" w:eastAsia="Times New Roman" w:hAnsi="Calibri" w:cs="Calibri"/>
          <w:color w:val="000000"/>
          <w:lang w:eastAsia="en-GB"/>
        </w:rPr>
        <w:t xml:space="preserve"> 2008</w:t>
      </w:r>
      <w:r w:rsidR="00203AB1">
        <w:t>)</w:t>
      </w:r>
      <w:r>
        <w:t>. In marine fish and invertebrates, copper toxicity is thought to be due to disruption of the osmo-</w:t>
      </w:r>
      <w:r w:rsidR="00203AB1">
        <w:t>regulatory</w:t>
      </w:r>
      <w:r>
        <w:t xml:space="preserve"> and iono-regulatory systems and plasma ammo</w:t>
      </w:r>
      <w:r>
        <w:t xml:space="preserve">nia metabolism </w:t>
      </w:r>
      <w:r w:rsidR="00203AB1">
        <w:t>(Grosell et al. 2003, Lewis et al. 2016)</w:t>
      </w:r>
      <w:r>
        <w:t>. Chronic exposure to excess copper can result in alterations of brain function, enzyme activity, blood chemistry, and metabolism, which lead to adverse effects on growth, reproduction and survival. In</w:t>
      </w:r>
      <w:r>
        <w:t xml:space="preserve"> microalgae, copper toxicity is thought to be due to reactive oxygen species, disruption of antioxidant defen</w:t>
      </w:r>
      <w:r w:rsidR="0037280E">
        <w:t>c</w:t>
      </w:r>
      <w:r>
        <w:t xml:space="preserve">e mechanisms and consequent disruption of cell division </w:t>
      </w:r>
      <w:r w:rsidR="00906173">
        <w:t>(Stauber &amp; Florence 1987, Adams et al. 2016, Jiang et al. 2016)</w:t>
      </w:r>
      <w:r>
        <w:t xml:space="preserve">. As there are </w:t>
      </w:r>
      <w:r>
        <w:t>different mechanisms of copper toxicity between fish</w:t>
      </w:r>
      <w:r w:rsidR="004E5BF6">
        <w:t>,</w:t>
      </w:r>
      <w:r>
        <w:t xml:space="preserve"> invertebrates and plants</w:t>
      </w:r>
      <w:r w:rsidR="004E5BF6">
        <w:t>, and</w:t>
      </w:r>
      <w:r>
        <w:t xml:space="preserve"> algae, copper toxicity datasets have potential to exhibit bimodality or multimodality.</w:t>
      </w:r>
    </w:p>
    <w:p w14:paraId="273CD490" w14:textId="77777777" w:rsidR="00064AD7" w:rsidRDefault="00324184" w:rsidP="00926F65">
      <w:pPr>
        <w:pStyle w:val="Heading3"/>
      </w:pPr>
      <w:bookmarkStart w:id="15" w:name="_Toc89265611"/>
      <w:bookmarkStart w:id="16" w:name="_Toc89268651"/>
      <w:r w:rsidRPr="00926F65">
        <w:t>Toxicity</w:t>
      </w:r>
      <w:bookmarkEnd w:id="15"/>
      <w:bookmarkEnd w:id="16"/>
    </w:p>
    <w:p w14:paraId="273CD491" w14:textId="77777777" w:rsidR="00307FDE" w:rsidRDefault="00324184" w:rsidP="00307FDE">
      <w:r>
        <w:t>The acute toxicity of copper to marine species ranges over more than an orde</w:t>
      </w:r>
      <w:r>
        <w:t>r of magnitude based on North American data, from an EC50 of 17</w:t>
      </w:r>
      <w:r w:rsidR="008515F5">
        <w:t> </w:t>
      </w:r>
      <w:r>
        <w:t>μg/L for a mysid shrimp (</w:t>
      </w:r>
      <w:r w:rsidRPr="00BD3C64">
        <w:rPr>
          <w:rStyle w:val="Emphasis"/>
        </w:rPr>
        <w:t>Holmesimysis costata</w:t>
      </w:r>
      <w:r>
        <w:t>) to EC50 values of ~500</w:t>
      </w:r>
      <w:r w:rsidR="008515F5">
        <w:t> </w:t>
      </w:r>
      <w:r>
        <w:t xml:space="preserve">μg/L for several fish and some invertebrate species </w:t>
      </w:r>
      <w:r w:rsidR="008515F5">
        <w:t>(USEPA 2003)</w:t>
      </w:r>
      <w:r>
        <w:t xml:space="preserve">. </w:t>
      </w:r>
      <w:r w:rsidR="00F478AD">
        <w:t>However,</w:t>
      </w:r>
      <w:r>
        <w:t xml:space="preserve"> EC50 values </w:t>
      </w:r>
      <w:r w:rsidR="00E26ADC">
        <w:t>similar to or in excess of</w:t>
      </w:r>
      <w:r>
        <w:t xml:space="preserve"> the copp</w:t>
      </w:r>
      <w:r>
        <w:t xml:space="preserve">er solubility limit for </w:t>
      </w:r>
      <w:r w:rsidR="00F478AD">
        <w:t xml:space="preserve">marine </w:t>
      </w:r>
      <w:r>
        <w:t>water (500</w:t>
      </w:r>
      <w:r w:rsidR="00F478AD">
        <w:t> </w:t>
      </w:r>
      <w:r>
        <w:t>μg/L) are not reliable, as these would have included test concentrations where copper was not completely soluble. Toxicity values are typically lower for longer test durations, though chronic EC50 values are not fr</w:t>
      </w:r>
      <w:r>
        <w:t xml:space="preserve">equently more than 10-fold lower than the acute EC50 values </w:t>
      </w:r>
      <w:r w:rsidR="00F478AD">
        <w:t>(</w:t>
      </w:r>
      <w:r w:rsidR="003D4ED5" w:rsidRPr="00DA3F57">
        <w:rPr>
          <w:rFonts w:ascii="Calibri" w:eastAsia="Times New Roman" w:hAnsi="Calibri" w:cs="Calibri"/>
          <w:color w:val="000000"/>
          <w:lang w:eastAsia="en-GB"/>
        </w:rPr>
        <w:t>European Copper Institute</w:t>
      </w:r>
      <w:r w:rsidR="003D4ED5">
        <w:rPr>
          <w:rFonts w:ascii="Calibri" w:eastAsia="Times New Roman" w:hAnsi="Calibri" w:cs="Calibri"/>
          <w:color w:val="000000"/>
          <w:lang w:eastAsia="en-GB"/>
        </w:rPr>
        <w:t xml:space="preserve"> 2008</w:t>
      </w:r>
      <w:r w:rsidR="00F478AD">
        <w:t>, JRC-IHCP 2010)</w:t>
      </w:r>
      <w:r>
        <w:t xml:space="preserve">. For example, for </w:t>
      </w:r>
      <w:r w:rsidR="00E26ADC">
        <w:t xml:space="preserve">the </w:t>
      </w:r>
      <w:r>
        <w:t xml:space="preserve">saltwater cladoceran </w:t>
      </w:r>
      <w:r w:rsidRPr="00EF683E">
        <w:rPr>
          <w:rStyle w:val="Emphasis"/>
        </w:rPr>
        <w:t>Moina</w:t>
      </w:r>
      <w:r>
        <w:t xml:space="preserve"> </w:t>
      </w:r>
      <w:r w:rsidRPr="00EF683E">
        <w:rPr>
          <w:rStyle w:val="Emphasis"/>
        </w:rPr>
        <w:t>monogolica</w:t>
      </w:r>
      <w:r>
        <w:t>, the 24</w:t>
      </w:r>
      <w:r w:rsidR="004A2414">
        <w:t> hour</w:t>
      </w:r>
      <w:r>
        <w:t xml:space="preserve"> LC50 value was 154</w:t>
      </w:r>
      <w:r w:rsidR="004A2414">
        <w:t> </w:t>
      </w:r>
      <w:r>
        <w:t>μg/L</w:t>
      </w:r>
      <w:r w:rsidR="004A2414">
        <w:t xml:space="preserve"> (acute)</w:t>
      </w:r>
      <w:r>
        <w:t>, compared to a 21</w:t>
      </w:r>
      <w:r w:rsidR="004A2414">
        <w:t> day</w:t>
      </w:r>
      <w:r>
        <w:t xml:space="preserve"> EC50 </w:t>
      </w:r>
      <w:r w:rsidR="004A2414">
        <w:t xml:space="preserve">of 20 μg/L </w:t>
      </w:r>
      <w:r>
        <w:t>for t</w:t>
      </w:r>
      <w:r>
        <w:t>otal reproduction</w:t>
      </w:r>
      <w:r w:rsidR="004A2414">
        <w:t xml:space="preserve"> (chronic)</w:t>
      </w:r>
      <w:r>
        <w:t xml:space="preserve"> </w:t>
      </w:r>
      <w:r w:rsidR="004A2414">
        <w:t>(Wang et al. 2007</w:t>
      </w:r>
      <w:r w:rsidR="00331188">
        <w:t>a</w:t>
      </w:r>
      <w:r w:rsidR="004A2414">
        <w:t>)</w:t>
      </w:r>
      <w:r>
        <w:t xml:space="preserve">. </w:t>
      </w:r>
    </w:p>
    <w:p w14:paraId="273CD492" w14:textId="77777777" w:rsidR="00307FDE" w:rsidRDefault="00324184" w:rsidP="00307FDE">
      <w:r>
        <w:t>NOEC values for chronic toxicity tests reviewed in the European Union copper risk assessment ranged from 3</w:t>
      </w:r>
      <w:r w:rsidR="00AD0B54">
        <w:t> </w:t>
      </w:r>
      <w:r>
        <w:t>μg/L to &gt;3</w:t>
      </w:r>
      <w:r w:rsidR="00AD0B54">
        <w:t> </w:t>
      </w:r>
      <w:r>
        <w:t>000</w:t>
      </w:r>
      <w:r w:rsidR="00AD0B54">
        <w:t> </w:t>
      </w:r>
      <w:r>
        <w:t xml:space="preserve">μg/L </w:t>
      </w:r>
      <w:r w:rsidR="00AD0B54">
        <w:t>(</w:t>
      </w:r>
      <w:r w:rsidR="003D4ED5" w:rsidRPr="00DA3F57">
        <w:rPr>
          <w:rFonts w:ascii="Calibri" w:eastAsia="Times New Roman" w:hAnsi="Calibri" w:cs="Calibri"/>
          <w:color w:val="000000"/>
          <w:lang w:eastAsia="en-GB"/>
        </w:rPr>
        <w:t>European Copper Institute</w:t>
      </w:r>
      <w:r w:rsidR="003D4ED5">
        <w:rPr>
          <w:rFonts w:ascii="Calibri" w:eastAsia="Times New Roman" w:hAnsi="Calibri" w:cs="Calibri"/>
          <w:color w:val="000000"/>
          <w:lang w:eastAsia="en-GB"/>
        </w:rPr>
        <w:t xml:space="preserve"> 2008</w:t>
      </w:r>
      <w:r w:rsidR="00AD0B54">
        <w:t>)</w:t>
      </w:r>
      <w:r>
        <w:t xml:space="preserve">. Microalgal species (diatoms and green </w:t>
      </w:r>
      <w:r w:rsidR="009239BA">
        <w:t>micro</w:t>
      </w:r>
      <w:r>
        <w:t>algae) were amongst the most sensitive species, with NOEC/EC10 values &lt;10</w:t>
      </w:r>
      <w:r w:rsidR="00FC0B21">
        <w:t> </w:t>
      </w:r>
      <w:r>
        <w:t>μg/L reported for 48</w:t>
      </w:r>
      <w:r w:rsidR="00FC0B21">
        <w:t>–</w:t>
      </w:r>
      <w:r>
        <w:t>72</w:t>
      </w:r>
      <w:r w:rsidR="00FC0B21">
        <w:t> </w:t>
      </w:r>
      <w:r>
        <w:t xml:space="preserve">hour tests </w:t>
      </w:r>
      <w:r w:rsidR="00FC0B21">
        <w:t>(</w:t>
      </w:r>
      <w:r w:rsidR="003D4ED5" w:rsidRPr="00DA3F57">
        <w:rPr>
          <w:rFonts w:ascii="Calibri" w:eastAsia="Times New Roman" w:hAnsi="Calibri" w:cs="Calibri"/>
          <w:color w:val="000000"/>
          <w:lang w:eastAsia="en-GB"/>
        </w:rPr>
        <w:t>European Copper Institute</w:t>
      </w:r>
      <w:r w:rsidR="003D4ED5">
        <w:rPr>
          <w:rFonts w:ascii="Calibri" w:eastAsia="Times New Roman" w:hAnsi="Calibri" w:cs="Calibri"/>
          <w:color w:val="000000"/>
          <w:lang w:eastAsia="en-GB"/>
        </w:rPr>
        <w:t xml:space="preserve"> 2008</w:t>
      </w:r>
      <w:r w:rsidR="00FC0B21">
        <w:t>)</w:t>
      </w:r>
      <w:r>
        <w:t xml:space="preserve">. These data are also included in </w:t>
      </w:r>
      <w:r w:rsidR="00E26ADC">
        <w:t xml:space="preserve">the current </w:t>
      </w:r>
      <w:r>
        <w:t>derivation. Macroalgal g</w:t>
      </w:r>
      <w:r>
        <w:t xml:space="preserve">rowth and germination are also affected by copper, with NOEC values of </w:t>
      </w:r>
      <w:r w:rsidR="00E26ADC">
        <w:t>&lt;</w:t>
      </w:r>
      <w:r>
        <w:t>10</w:t>
      </w:r>
      <w:r w:rsidR="00216B58">
        <w:t>–</w:t>
      </w:r>
      <w:r>
        <w:t>50</w:t>
      </w:r>
      <w:r w:rsidR="00216B58">
        <w:t> </w:t>
      </w:r>
      <w:r>
        <w:t>μg/L reported for 14</w:t>
      </w:r>
      <w:r w:rsidR="00216B58">
        <w:t>–</w:t>
      </w:r>
      <w:r>
        <w:t>19</w:t>
      </w:r>
      <w:r w:rsidR="00216B58">
        <w:t> </w:t>
      </w:r>
      <w:r>
        <w:t xml:space="preserve">day tests </w:t>
      </w:r>
      <w:r w:rsidR="00744723">
        <w:t>(Anderson et al. 1990, Brooks et al. 2008)</w:t>
      </w:r>
      <w:r>
        <w:t xml:space="preserve">. </w:t>
      </w:r>
    </w:p>
    <w:p w14:paraId="273CD493" w14:textId="77777777" w:rsidR="00307FDE" w:rsidRDefault="00324184" w:rsidP="00307FDE">
      <w:r>
        <w:t xml:space="preserve">The early life stages of molluscs, echinoderms and corals are generally much more sensitive than adult stages, and also when compared to annelids and crustaceans </w:t>
      </w:r>
      <w:r w:rsidR="00057D7E">
        <w:t>(Markich et al. 2002, Langdon et al. 2009)</w:t>
      </w:r>
      <w:r>
        <w:t>. Development tests using mollusc embryos resulted i</w:t>
      </w:r>
      <w:r>
        <w:t>n NOEC values of 6</w:t>
      </w:r>
      <w:r w:rsidR="00104160">
        <w:t>–</w:t>
      </w:r>
      <w:r>
        <w:t>10</w:t>
      </w:r>
      <w:r w:rsidR="00104160">
        <w:t> </w:t>
      </w:r>
      <w:r>
        <w:t xml:space="preserve">μg/L for </w:t>
      </w:r>
      <w:r w:rsidR="00E26ADC">
        <w:t xml:space="preserve">the pacific </w:t>
      </w:r>
      <w:r>
        <w:t>oyster (</w:t>
      </w:r>
      <w:r w:rsidRPr="00B60904">
        <w:rPr>
          <w:rStyle w:val="Emphasis"/>
        </w:rPr>
        <w:t>Crassostrea gigas</w:t>
      </w:r>
      <w:r>
        <w:t xml:space="preserve">) and </w:t>
      </w:r>
      <w:r w:rsidR="000236E4">
        <w:t>mediterranean</w:t>
      </w:r>
      <w:r w:rsidR="00E26ADC">
        <w:t xml:space="preserve"> </w:t>
      </w:r>
      <w:r>
        <w:t>mussel (</w:t>
      </w:r>
      <w:r w:rsidRPr="00B60904">
        <w:rPr>
          <w:rStyle w:val="Emphasis"/>
        </w:rPr>
        <w:t>Mytilus galloprovincialis</w:t>
      </w:r>
      <w:r>
        <w:t>) in standard test waters</w:t>
      </w:r>
      <w:r w:rsidR="00104160">
        <w:t xml:space="preserve"> (</w:t>
      </w:r>
      <w:r w:rsidR="003D4ED5" w:rsidRPr="00DA3F57">
        <w:rPr>
          <w:rFonts w:ascii="Calibri" w:eastAsia="Times New Roman" w:hAnsi="Calibri" w:cs="Calibri"/>
          <w:color w:val="000000"/>
          <w:lang w:eastAsia="en-GB"/>
        </w:rPr>
        <w:t>European Copper Institute</w:t>
      </w:r>
      <w:r w:rsidR="003D4ED5">
        <w:rPr>
          <w:rFonts w:ascii="Calibri" w:eastAsia="Times New Roman" w:hAnsi="Calibri" w:cs="Calibri"/>
          <w:color w:val="000000"/>
          <w:lang w:eastAsia="en-GB"/>
        </w:rPr>
        <w:t xml:space="preserve"> 2008</w:t>
      </w:r>
      <w:r w:rsidR="00104160">
        <w:t>)</w:t>
      </w:r>
      <w:r>
        <w:t>. However, there are some exceptions, for example, mussel larvae were less se</w:t>
      </w:r>
      <w:r>
        <w:t xml:space="preserve">nsitive than adults when tested at DOC concentrations </w:t>
      </w:r>
      <w:r w:rsidR="009A3795">
        <w:t>&gt;</w:t>
      </w:r>
      <w:r>
        <w:t>2.5</w:t>
      </w:r>
      <w:r w:rsidR="009A3795">
        <w:t> </w:t>
      </w:r>
      <w:r>
        <w:t xml:space="preserve">mg/L </w:t>
      </w:r>
      <w:r w:rsidR="009A3795">
        <w:t>(Deruytter et al. 2017)</w:t>
      </w:r>
      <w:r>
        <w:t xml:space="preserve">. Several early life stage tests are included in </w:t>
      </w:r>
      <w:r w:rsidR="00E26ADC">
        <w:t xml:space="preserve">the current </w:t>
      </w:r>
      <w:r>
        <w:t xml:space="preserve">derivation (see </w:t>
      </w:r>
      <w:r w:rsidR="0054170B">
        <w:t>Section </w:t>
      </w:r>
      <w:r w:rsidR="0054170B">
        <w:fldChar w:fldCharType="begin"/>
      </w:r>
      <w:r w:rsidR="0054170B">
        <w:instrText xml:space="preserve"> REF _Ref85903455 \r \h </w:instrText>
      </w:r>
      <w:r w:rsidR="0054170B">
        <w:fldChar w:fldCharType="separate"/>
      </w:r>
      <w:r w:rsidR="00A41C81">
        <w:t>4.2</w:t>
      </w:r>
      <w:r w:rsidR="0054170B">
        <w:fldChar w:fldCharType="end"/>
      </w:r>
      <w:r>
        <w:t>).</w:t>
      </w:r>
    </w:p>
    <w:p w14:paraId="273CD494" w14:textId="77777777" w:rsidR="00397B6A" w:rsidRPr="00ED3976" w:rsidRDefault="00324184" w:rsidP="00307FDE">
      <w:r>
        <w:t xml:space="preserve">There are comparatively few chronic toxicity data for marine fish, with </w:t>
      </w:r>
      <w:r w:rsidR="00674053">
        <w:t>some</w:t>
      </w:r>
      <w:r>
        <w:t xml:space="preserve"> studies reporting effects on juvenile fish growth (length and/or weight) at copper concentrations of ~100</w:t>
      </w:r>
      <w:r w:rsidR="00674053">
        <w:t> </w:t>
      </w:r>
      <w:r>
        <w:t xml:space="preserve">μg/L </w:t>
      </w:r>
      <w:r w:rsidR="00674053">
        <w:t>(Wang et al. 2014, 2015)</w:t>
      </w:r>
      <w:r>
        <w:t>. Studies of topsmelt (</w:t>
      </w:r>
      <w:r w:rsidRPr="00B60904">
        <w:rPr>
          <w:rStyle w:val="Emphasis"/>
        </w:rPr>
        <w:t>Atherinops affinis</w:t>
      </w:r>
      <w:r>
        <w:t xml:space="preserve">) suggest that larval development is a more sensitive endpoint </w:t>
      </w:r>
      <w:r w:rsidRPr="00ED3976">
        <w:t>than larval mort</w:t>
      </w:r>
      <w:r w:rsidRPr="00ED3976">
        <w:t xml:space="preserve">ality or embryo development </w:t>
      </w:r>
      <w:r w:rsidR="00A41306">
        <w:t>(Anderson et al. 1991, McNulty et al</w:t>
      </w:r>
      <w:r w:rsidR="003E6641">
        <w:t>.</w:t>
      </w:r>
      <w:r w:rsidR="00A41306">
        <w:t xml:space="preserve"> 1994)</w:t>
      </w:r>
      <w:r w:rsidRPr="00ED3976">
        <w:t>.</w:t>
      </w:r>
    </w:p>
    <w:p w14:paraId="273CD495" w14:textId="77777777" w:rsidR="00A47617" w:rsidRPr="00ED3976" w:rsidRDefault="00324184" w:rsidP="0072516C">
      <w:pPr>
        <w:pStyle w:val="Heading2"/>
        <w:keepNext w:val="0"/>
        <w:keepLines w:val="0"/>
        <w:pageBreakBefore w:val="0"/>
        <w:widowControl w:val="0"/>
      </w:pPr>
      <w:bookmarkStart w:id="17" w:name="_Toc89265612"/>
      <w:bookmarkStart w:id="18" w:name="_Toc89268652"/>
      <w:r w:rsidRPr="00ED3976">
        <w:t>Factors affecting toxicity</w:t>
      </w:r>
      <w:bookmarkEnd w:id="17"/>
      <w:bookmarkEnd w:id="18"/>
    </w:p>
    <w:p w14:paraId="273CD496" w14:textId="77777777" w:rsidR="000B5BCF" w:rsidRPr="00CB059A" w:rsidRDefault="00324184" w:rsidP="000B5BCF">
      <w:pPr>
        <w:pStyle w:val="Heading3"/>
      </w:pPr>
      <w:bookmarkStart w:id="19" w:name="_Toc89265613"/>
      <w:bookmarkStart w:id="20" w:name="_Toc89268653"/>
      <w:r>
        <w:t>Copper speciation</w:t>
      </w:r>
      <w:bookmarkEnd w:id="19"/>
      <w:bookmarkEnd w:id="20"/>
      <w:r w:rsidRPr="00CB059A">
        <w:t xml:space="preserve"> </w:t>
      </w:r>
    </w:p>
    <w:p w14:paraId="273CD497" w14:textId="77777777" w:rsidR="00996E99" w:rsidRDefault="00324184" w:rsidP="00996E99">
      <w:r>
        <w:t xml:space="preserve">In saline water, dissolved copper is complexed by organic ligands </w:t>
      </w:r>
      <w:r w:rsidR="00475810">
        <w:t>(Stumm &amp; Morgan 1996, Thompson et al. 2014, Sander et al. 2015)</w:t>
      </w:r>
      <w:r>
        <w:t>. Inorga</w:t>
      </w:r>
      <w:r>
        <w:t>nic species are dominated by CuCO</w:t>
      </w:r>
      <w:r w:rsidRPr="00DA75FB">
        <w:rPr>
          <w:vertAlign w:val="subscript"/>
        </w:rPr>
        <w:t>3</w:t>
      </w:r>
      <w:r>
        <w:t xml:space="preserve"> and Cu(CO</w:t>
      </w:r>
      <w:r w:rsidRPr="00DA75FB">
        <w:rPr>
          <w:vertAlign w:val="subscript"/>
        </w:rPr>
        <w:t>3</w:t>
      </w:r>
      <w:r>
        <w:t>)</w:t>
      </w:r>
      <w:r w:rsidRPr="00DA75FB">
        <w:rPr>
          <w:vertAlign w:val="subscript"/>
        </w:rPr>
        <w:t>2</w:t>
      </w:r>
      <w:r w:rsidRPr="00DA75FB">
        <w:rPr>
          <w:vertAlign w:val="superscript"/>
        </w:rPr>
        <w:t>2-</w:t>
      </w:r>
      <w:r>
        <w:t>, and only a small fraction of copper is present in the free ionic form Cu</w:t>
      </w:r>
      <w:r w:rsidRPr="00B874BD">
        <w:rPr>
          <w:vertAlign w:val="superscript"/>
        </w:rPr>
        <w:t>2+</w:t>
      </w:r>
      <w:r>
        <w:t xml:space="preserve"> or as copper hydroxides (CuOH</w:t>
      </w:r>
      <w:r w:rsidR="000E0C8A">
        <w:rPr>
          <w:vertAlign w:val="superscript"/>
        </w:rPr>
        <w:t>-</w:t>
      </w:r>
      <w:r>
        <w:t xml:space="preserve"> and Cu(OH)</w:t>
      </w:r>
      <w:r w:rsidRPr="000E0C8A">
        <w:rPr>
          <w:vertAlign w:val="subscript"/>
        </w:rPr>
        <w:t>2</w:t>
      </w:r>
      <w:r>
        <w:t>) or chlorides (e.g. CuCl</w:t>
      </w:r>
      <w:r w:rsidRPr="000E0C8A">
        <w:rPr>
          <w:vertAlign w:val="subscript"/>
        </w:rPr>
        <w:t>4</w:t>
      </w:r>
      <w:r w:rsidRPr="000E0C8A">
        <w:rPr>
          <w:vertAlign w:val="superscript"/>
        </w:rPr>
        <w:t>2-</w:t>
      </w:r>
      <w:r>
        <w:t>)</w:t>
      </w:r>
      <w:r w:rsidR="00E26ABA">
        <w:t xml:space="preserve"> (Grosell 201</w:t>
      </w:r>
      <w:r w:rsidR="00696455">
        <w:t>1</w:t>
      </w:r>
      <w:r w:rsidR="00E26ABA">
        <w:t>)</w:t>
      </w:r>
      <w:r>
        <w:t>. The ionic Cu</w:t>
      </w:r>
      <w:r w:rsidRPr="007606FF">
        <w:rPr>
          <w:vertAlign w:val="superscript"/>
        </w:rPr>
        <w:t>2+</w:t>
      </w:r>
      <w:r>
        <w:t xml:space="preserve"> form is generally acknowled</w:t>
      </w:r>
      <w:r>
        <w:t xml:space="preserve">ged as the primary toxic form, and hydroxide forms may also be toxic, whereas carbonate complexes are typically not toxic </w:t>
      </w:r>
      <w:r w:rsidR="00696455">
        <w:t>(Hunt 1987)</w:t>
      </w:r>
      <w:r>
        <w:t xml:space="preserve"> </w:t>
      </w:r>
      <w:r w:rsidR="0052674A">
        <w:t>(NB</w:t>
      </w:r>
      <w:r>
        <w:t xml:space="preserve"> studies examining this have been undertaken on freshwater species</w:t>
      </w:r>
      <w:r w:rsidR="0052674A">
        <w:t>)</w:t>
      </w:r>
      <w:r>
        <w:t>.</w:t>
      </w:r>
    </w:p>
    <w:p w14:paraId="273CD498" w14:textId="77777777" w:rsidR="00996E99" w:rsidRDefault="00324184" w:rsidP="00996E99">
      <w:r>
        <w:t>Organic matter has a greater influence on</w:t>
      </w:r>
      <w:r w:rsidR="00105BEF">
        <w:t xml:space="preserve"> c</w:t>
      </w:r>
      <w:r>
        <w:t xml:space="preserve">opper speciation than the pH and salinity of marine water. The pH is important </w:t>
      </w:r>
      <w:r w:rsidR="002B7C12">
        <w:t xml:space="preserve">for </w:t>
      </w:r>
      <w:r>
        <w:t>determining the complexation capacity of dissolved organic matter (DOM</w:t>
      </w:r>
      <w:r w:rsidR="005B7E1C">
        <w:t xml:space="preserve">; typically </w:t>
      </w:r>
      <w:r w:rsidR="00E26ADC">
        <w:t xml:space="preserve">and hereafter </w:t>
      </w:r>
      <w:r w:rsidR="005B7E1C">
        <w:t>referred to as DOC, as it contains ~50% carbon by mass (Duarte et al. 2016</w:t>
      </w:r>
      <w:r w:rsidR="00291A57">
        <w:t>)</w:t>
      </w:r>
      <w:r>
        <w:t xml:space="preserve">) </w:t>
      </w:r>
      <w:r>
        <w:t xml:space="preserve">and </w:t>
      </w:r>
      <w:r w:rsidR="002B7C12">
        <w:t xml:space="preserve">for </w:t>
      </w:r>
      <w:r>
        <w:t xml:space="preserve">determining the speciation of carbonate complexes, all of which influence metal speciation </w:t>
      </w:r>
      <w:r w:rsidR="002B7C12">
        <w:t>(S</w:t>
      </w:r>
      <w:r w:rsidR="00DB3A6C">
        <w:t>t</w:t>
      </w:r>
      <w:r w:rsidR="002B7C12">
        <w:t>umm &amp; Morgan 1996, USEPA 2016</w:t>
      </w:r>
      <w:r w:rsidR="006C09C3">
        <w:t>a</w:t>
      </w:r>
      <w:r w:rsidR="002B7C12">
        <w:t>)</w:t>
      </w:r>
      <w:r>
        <w:t xml:space="preserve">. In estuarine water, with </w:t>
      </w:r>
      <w:r w:rsidR="00713AA1">
        <w:t>its</w:t>
      </w:r>
      <w:r>
        <w:t xml:space="preserve"> lower salinity and pH, the concentrations of Cu</w:t>
      </w:r>
      <w:r w:rsidRPr="000B5BCF">
        <w:rPr>
          <w:vertAlign w:val="superscript"/>
        </w:rPr>
        <w:t>2+</w:t>
      </w:r>
      <w:r>
        <w:t xml:space="preserve"> may be higher than in ocean water </w:t>
      </w:r>
      <w:r w:rsidR="00F378EE">
        <w:t>(Millero et al. 2009)</w:t>
      </w:r>
      <w:r>
        <w:t xml:space="preserve">. The partitioning of copper to suspended particles is also a major removal route for copper </w:t>
      </w:r>
      <w:r w:rsidR="00D144C5">
        <w:t>(Stumm &amp; Morgan 1996)</w:t>
      </w:r>
      <w:r>
        <w:t xml:space="preserve">, and conditions need to become acidic (e.g. less than pH 6) before significant proportions of copper will desorb from particles </w:t>
      </w:r>
      <w:r>
        <w:t xml:space="preserve">and dissociate inorganic and organic complexes. </w:t>
      </w:r>
    </w:p>
    <w:p w14:paraId="273CD499" w14:textId="77777777" w:rsidR="000B5BCF" w:rsidRPr="00CB059A" w:rsidRDefault="00324184" w:rsidP="000B5BCF">
      <w:pPr>
        <w:pStyle w:val="Heading3"/>
      </w:pPr>
      <w:bookmarkStart w:id="21" w:name="_Toc89265614"/>
      <w:bookmarkStart w:id="22" w:name="_Toc89268654"/>
      <w:r>
        <w:t>Toxicity modifying factors</w:t>
      </w:r>
      <w:bookmarkEnd w:id="21"/>
      <w:bookmarkEnd w:id="22"/>
    </w:p>
    <w:p w14:paraId="273CD49A" w14:textId="77777777" w:rsidR="00D7465E" w:rsidRDefault="00324184" w:rsidP="00996E99">
      <w:r>
        <w:t xml:space="preserve">The aquatic toxicity of copper is </w:t>
      </w:r>
      <w:r w:rsidR="000B5BCF">
        <w:t>negatively correlated with the</w:t>
      </w:r>
      <w:r>
        <w:t xml:space="preserve"> concentration of </w:t>
      </w:r>
      <w:r w:rsidR="00E26ADC">
        <w:t xml:space="preserve">DOC </w:t>
      </w:r>
      <w:r w:rsidR="00BE6EF7">
        <w:t>(Arnold et al. 2006, Nadella et al. 2009, DePlama e</w:t>
      </w:r>
      <w:r w:rsidR="00DB3A6C">
        <w:t>t</w:t>
      </w:r>
      <w:r w:rsidR="00BE6EF7">
        <w:t xml:space="preserve"> </w:t>
      </w:r>
      <w:r w:rsidR="00DB3A6C">
        <w:t>al</w:t>
      </w:r>
      <w:r w:rsidR="00BE6EF7">
        <w:t>. 2011, Deruytter et al. 2015)</w:t>
      </w:r>
      <w:r>
        <w:t>. For exa</w:t>
      </w:r>
      <w:r>
        <w:t xml:space="preserve">mple, in the mussel </w:t>
      </w:r>
      <w:r w:rsidRPr="00430F32">
        <w:rPr>
          <w:rStyle w:val="Emphasis"/>
        </w:rPr>
        <w:t>Mytilus</w:t>
      </w:r>
      <w:r w:rsidR="00292B3D">
        <w:t> </w:t>
      </w:r>
      <w:r>
        <w:t xml:space="preserve">sp., the EC50 </w:t>
      </w:r>
      <w:r w:rsidR="00E26ADC">
        <w:t>based on</w:t>
      </w:r>
      <w:r>
        <w:t xml:space="preserve"> 48</w:t>
      </w:r>
      <w:r w:rsidR="007330D0">
        <w:t> </w:t>
      </w:r>
      <w:r>
        <w:t>h</w:t>
      </w:r>
      <w:r w:rsidR="007330D0">
        <w:t>our</w:t>
      </w:r>
      <w:r>
        <w:t xml:space="preserve"> embryo-larval development </w:t>
      </w:r>
      <w:r w:rsidR="00C474E0">
        <w:t>increased</w:t>
      </w:r>
      <w:r>
        <w:t xml:space="preserve"> </w:t>
      </w:r>
      <w:r w:rsidR="00C474E0">
        <w:t xml:space="preserve">(i.e. toxicity was </w:t>
      </w:r>
      <w:r w:rsidR="00292B3D">
        <w:t>reduced</w:t>
      </w:r>
      <w:r w:rsidR="00C474E0">
        <w:t xml:space="preserve">) </w:t>
      </w:r>
      <w:r>
        <w:t xml:space="preserve">by a factor of </w:t>
      </w:r>
      <w:r w:rsidR="00C474E0">
        <w:t>approximately 5</w:t>
      </w:r>
      <w:r>
        <w:t xml:space="preserve"> as DOC concentration</w:t>
      </w:r>
      <w:r w:rsidR="00C474E0">
        <w:t xml:space="preserve"> increased from 1</w:t>
      </w:r>
      <w:r w:rsidR="00292B3D">
        <w:t> </w:t>
      </w:r>
      <w:r w:rsidR="00C474E0">
        <w:t>mg/L to 9</w:t>
      </w:r>
      <w:r w:rsidR="00292B3D">
        <w:t> </w:t>
      </w:r>
      <w:r w:rsidR="00C474E0">
        <w:t xml:space="preserve">mg/L </w:t>
      </w:r>
      <w:r>
        <w:t>(</w:t>
      </w:r>
      <w:r w:rsidR="00C474E0">
        <w:t xml:space="preserve">i.e. </w:t>
      </w:r>
      <w:r>
        <w:t>EC50 ~12</w:t>
      </w:r>
      <w:r w:rsidR="007330D0">
        <w:t> </w:t>
      </w:r>
      <w:r>
        <w:t>μg/L at DOC 1</w:t>
      </w:r>
      <w:r w:rsidR="007330D0">
        <w:t>–</w:t>
      </w:r>
      <w:r>
        <w:t>1.2</w:t>
      </w:r>
      <w:r w:rsidR="007330D0">
        <w:t> </w:t>
      </w:r>
      <w:r>
        <w:t xml:space="preserve">mg/L to </w:t>
      </w:r>
      <w:r w:rsidR="00D3775D">
        <w:t xml:space="preserve">EC50 </w:t>
      </w:r>
      <w:r>
        <w:t>60</w:t>
      </w:r>
      <w:r w:rsidR="00D3775D">
        <w:t> </w:t>
      </w:r>
      <w:r>
        <w:t>μg/L at DOC 9</w:t>
      </w:r>
      <w:r w:rsidR="00D3775D">
        <w:t> </w:t>
      </w:r>
      <w:r>
        <w:t>mg/L)</w:t>
      </w:r>
      <w:r w:rsidR="00281DD3">
        <w:t xml:space="preserve"> (Arnold et al. 2006)</w:t>
      </w:r>
      <w:r>
        <w:t xml:space="preserve">. The effect was similar for the estuarine copepod </w:t>
      </w:r>
      <w:r w:rsidRPr="00430F32">
        <w:rPr>
          <w:rStyle w:val="Emphasis"/>
        </w:rPr>
        <w:t>Eurytemora affinis</w:t>
      </w:r>
      <w:r>
        <w:t>, where the LC50 concentrations increased from 76</w:t>
      </w:r>
      <w:r w:rsidR="00647E90">
        <w:t> μg/L</w:t>
      </w:r>
      <w:r>
        <w:t xml:space="preserve"> to 170</w:t>
      </w:r>
      <w:r w:rsidR="00647E90">
        <w:t> </w:t>
      </w:r>
      <w:r>
        <w:t>μg/L as DOC increased from 2</w:t>
      </w:r>
      <w:r w:rsidR="00647E90">
        <w:t> mg/L</w:t>
      </w:r>
      <w:r>
        <w:t xml:space="preserve"> to 8</w:t>
      </w:r>
      <w:r w:rsidR="00647E90">
        <w:t> </w:t>
      </w:r>
      <w:r>
        <w:t xml:space="preserve">mg/L </w:t>
      </w:r>
      <w:r w:rsidR="006B4D60">
        <w:t>(Hall et al. 2008)</w:t>
      </w:r>
      <w:r>
        <w:t>. The influence</w:t>
      </w:r>
      <w:r>
        <w:t xml:space="preserve"> of DOC on copper toxicity has been reported for multiple taxonomic groups, including: </w:t>
      </w:r>
    </w:p>
    <w:p w14:paraId="273CD49B" w14:textId="77777777" w:rsidR="00D7465E" w:rsidRDefault="00324184" w:rsidP="00D7465E">
      <w:pPr>
        <w:pStyle w:val="ListBullet"/>
      </w:pPr>
      <w:r>
        <w:t xml:space="preserve">molluscs such as mussels </w:t>
      </w:r>
      <w:r w:rsidRPr="00D7465E">
        <w:rPr>
          <w:rStyle w:val="Emphasis"/>
        </w:rPr>
        <w:t>Mytilus</w:t>
      </w:r>
      <w:r w:rsidRPr="00430F32">
        <w:rPr>
          <w:rStyle w:val="Emphasis"/>
        </w:rPr>
        <w:t xml:space="preserve"> galloprovincialis</w:t>
      </w:r>
      <w:r>
        <w:t xml:space="preserve"> (Arnold et al. 2010</w:t>
      </w:r>
      <w:r w:rsidR="008D0107">
        <w:t>a</w:t>
      </w:r>
      <w:r>
        <w:t>, Rosen et al. 2008</w:t>
      </w:r>
      <w:r w:rsidR="00AF502F">
        <w:t>, Zitoun et al. 2019</w:t>
      </w:r>
      <w:r>
        <w:t xml:space="preserve">) and </w:t>
      </w:r>
      <w:r w:rsidRPr="00430F32">
        <w:rPr>
          <w:rStyle w:val="Emphasis"/>
        </w:rPr>
        <w:t>M.</w:t>
      </w:r>
      <w:r w:rsidR="00680E75">
        <w:rPr>
          <w:rStyle w:val="Emphasis"/>
        </w:rPr>
        <w:t> </w:t>
      </w:r>
      <w:r w:rsidRPr="00430F32">
        <w:rPr>
          <w:rStyle w:val="Emphasis"/>
        </w:rPr>
        <w:t>trossulus</w:t>
      </w:r>
      <w:r>
        <w:t xml:space="preserve"> (Nadella et al. 2009) </w:t>
      </w:r>
      <w:r w:rsidR="00D8658C">
        <w:t xml:space="preserve">and </w:t>
      </w:r>
      <w:r>
        <w:t xml:space="preserve">oysters </w:t>
      </w:r>
      <w:r w:rsidRPr="00430F32">
        <w:rPr>
          <w:rStyle w:val="Emphasis"/>
        </w:rPr>
        <w:t>Crass</w:t>
      </w:r>
      <w:r w:rsidRPr="00430F32">
        <w:rPr>
          <w:rStyle w:val="Emphasis"/>
        </w:rPr>
        <w:t>ostrea virginica</w:t>
      </w:r>
      <w:r>
        <w:t xml:space="preserve"> </w:t>
      </w:r>
      <w:r w:rsidR="00D8658C">
        <w:t>(Arnold et al. 2010)</w:t>
      </w:r>
      <w:r>
        <w:t xml:space="preserve"> and </w:t>
      </w:r>
      <w:r w:rsidRPr="00430F32">
        <w:rPr>
          <w:rStyle w:val="Emphasis"/>
        </w:rPr>
        <w:t>C</w:t>
      </w:r>
      <w:r w:rsidR="00D8658C">
        <w:rPr>
          <w:rStyle w:val="Emphasis"/>
        </w:rPr>
        <w:t>.</w:t>
      </w:r>
      <w:r w:rsidR="00680E75">
        <w:rPr>
          <w:rStyle w:val="Emphasis"/>
        </w:rPr>
        <w:t> </w:t>
      </w:r>
      <w:r w:rsidRPr="00430F32">
        <w:rPr>
          <w:rStyle w:val="Emphasis"/>
        </w:rPr>
        <w:t>gigas</w:t>
      </w:r>
      <w:r>
        <w:t xml:space="preserve"> </w:t>
      </w:r>
      <w:r w:rsidR="00D8658C">
        <w:t>(Brooks et al. 2007)</w:t>
      </w:r>
      <w:r>
        <w:t xml:space="preserve"> </w:t>
      </w:r>
    </w:p>
    <w:p w14:paraId="273CD49C" w14:textId="77777777" w:rsidR="00D7465E" w:rsidRDefault="00324184" w:rsidP="00D7465E">
      <w:pPr>
        <w:pStyle w:val="ListBullet"/>
      </w:pPr>
      <w:r>
        <w:t>echinoderms</w:t>
      </w:r>
      <w:r w:rsidR="00936C3B">
        <w:t xml:space="preserve"> such as</w:t>
      </w:r>
      <w:r>
        <w:t xml:space="preserve"> the sand dollar </w:t>
      </w:r>
      <w:r w:rsidRPr="00430F32">
        <w:rPr>
          <w:rStyle w:val="Emphasis"/>
        </w:rPr>
        <w:t>Dendraster excentricus</w:t>
      </w:r>
      <w:r>
        <w:t xml:space="preserve"> and the sea urchin </w:t>
      </w:r>
      <w:r w:rsidRPr="00430F32">
        <w:rPr>
          <w:rStyle w:val="Emphasis"/>
        </w:rPr>
        <w:t>Strongylocentrotus purpuratus</w:t>
      </w:r>
      <w:r>
        <w:t xml:space="preserve"> </w:t>
      </w:r>
      <w:r w:rsidR="00936C3B">
        <w:t>(Arnold et al. 2010</w:t>
      </w:r>
      <w:r w:rsidR="008D0107">
        <w:t>a</w:t>
      </w:r>
      <w:r w:rsidR="00936C3B">
        <w:t>, Rosen et al. 2008)</w:t>
      </w:r>
      <w:r>
        <w:t xml:space="preserve"> </w:t>
      </w:r>
    </w:p>
    <w:p w14:paraId="273CD49D" w14:textId="77777777" w:rsidR="00D7465E" w:rsidRDefault="00324184" w:rsidP="00D7465E">
      <w:pPr>
        <w:pStyle w:val="ListBullet"/>
      </w:pPr>
      <w:r>
        <w:t xml:space="preserve">the rotifer </w:t>
      </w:r>
      <w:r w:rsidRPr="00430F32">
        <w:rPr>
          <w:rStyle w:val="Emphasis"/>
        </w:rPr>
        <w:t>Brachionus plicatilis</w:t>
      </w:r>
      <w:r>
        <w:t xml:space="preserve"> </w:t>
      </w:r>
      <w:r w:rsidR="008D0107">
        <w:t>(Arnold et al. 2010b)</w:t>
      </w:r>
      <w:r>
        <w:t xml:space="preserve"> </w:t>
      </w:r>
    </w:p>
    <w:p w14:paraId="273CD49E" w14:textId="77777777" w:rsidR="00D7465E" w:rsidRDefault="00324184" w:rsidP="00D7465E">
      <w:pPr>
        <w:pStyle w:val="ListBullet"/>
      </w:pPr>
      <w:r>
        <w:t xml:space="preserve">macroalgae such as the brown alga </w:t>
      </w:r>
      <w:r w:rsidRPr="00430F32">
        <w:rPr>
          <w:rStyle w:val="Emphasis"/>
        </w:rPr>
        <w:t>Fucus</w:t>
      </w:r>
      <w:r>
        <w:t xml:space="preserve"> </w:t>
      </w:r>
      <w:r w:rsidRPr="00430F32">
        <w:rPr>
          <w:rStyle w:val="Emphasis"/>
        </w:rPr>
        <w:t>vesiculosus</w:t>
      </w:r>
      <w:r>
        <w:t xml:space="preserve"> </w:t>
      </w:r>
      <w:r w:rsidR="00B740AE">
        <w:t>(Brooks et al. 2008</w:t>
      </w:r>
      <w:r>
        <w:t xml:space="preserve">. </w:t>
      </w:r>
    </w:p>
    <w:p w14:paraId="273CD49F" w14:textId="77777777" w:rsidR="00996E99" w:rsidRDefault="00324184" w:rsidP="00996E99">
      <w:r>
        <w:t xml:space="preserve">The concentration of </w:t>
      </w:r>
      <w:r w:rsidR="00E26ADC">
        <w:t xml:space="preserve">DOC </w:t>
      </w:r>
      <w:r>
        <w:t>is not the only factor that affects metal binding (and hence toxicity)</w:t>
      </w:r>
      <w:r w:rsidR="00405162">
        <w:t>—</w:t>
      </w:r>
      <w:r>
        <w:t>the composition of DO</w:t>
      </w:r>
      <w:r w:rsidR="00E26ADC">
        <w:t>C</w:t>
      </w:r>
      <w:r>
        <w:t xml:space="preserve"> </w:t>
      </w:r>
      <w:r w:rsidR="00405162">
        <w:t xml:space="preserve">is </w:t>
      </w:r>
      <w:r>
        <w:t xml:space="preserve">also important </w:t>
      </w:r>
      <w:r w:rsidR="00405162">
        <w:t>(Baken et al. 2011, Mueller et al. 2012,</w:t>
      </w:r>
      <w:r w:rsidR="00405162" w:rsidRPr="00405162">
        <w:t xml:space="preserve"> </w:t>
      </w:r>
      <w:r w:rsidR="00405162">
        <w:t>Pearson et al. 2017)</w:t>
      </w:r>
      <w:r>
        <w:t xml:space="preserve">. The complexation (binding) capacity of </w:t>
      </w:r>
      <w:r w:rsidR="00E26ADC">
        <w:t xml:space="preserve">DOC </w:t>
      </w:r>
      <w:r>
        <w:t>depends on the prevalence of metal binding functional groups</w:t>
      </w:r>
      <w:r w:rsidR="00075D11">
        <w:t>,</w:t>
      </w:r>
      <w:r>
        <w:t xml:space="preserve"> including hydroxyl, aromatic, phenolic, amino and thiol groups</w:t>
      </w:r>
      <w:r w:rsidR="00075D11">
        <w:t xml:space="preserve"> (Smith et al. 2002)</w:t>
      </w:r>
      <w:r>
        <w:t xml:space="preserve">. The prevalence of </w:t>
      </w:r>
      <w:r>
        <w:t xml:space="preserve">such groups depends on the </w:t>
      </w:r>
      <w:r w:rsidR="00E26ADC">
        <w:t xml:space="preserve">DOC </w:t>
      </w:r>
      <w:r>
        <w:t>source (</w:t>
      </w:r>
      <w:r w:rsidR="00993E4B">
        <w:t xml:space="preserve">i.e. </w:t>
      </w:r>
      <w:r>
        <w:t xml:space="preserve">terrestrial </w:t>
      </w:r>
      <w:r w:rsidR="00993E4B">
        <w:t xml:space="preserve">or </w:t>
      </w:r>
      <w:r>
        <w:t xml:space="preserve">aquatic) and whether it comes from natural </w:t>
      </w:r>
      <w:r w:rsidR="00993E4B">
        <w:t xml:space="preserve">sources </w:t>
      </w:r>
      <w:r>
        <w:t xml:space="preserve">(e.g. leaf litter breakdown) or anthropogenic sources (e.g. wastewater treatment plant discharges). Generally, copper binding is highest in </w:t>
      </w:r>
      <w:r w:rsidR="00E26ADC">
        <w:t xml:space="preserve">DOC </w:t>
      </w:r>
      <w:r>
        <w:t>fr</w:t>
      </w:r>
      <w:r>
        <w:t xml:space="preserve">om terrestrial sources </w:t>
      </w:r>
      <w:r w:rsidR="00D573AB">
        <w:t xml:space="preserve">that </w:t>
      </w:r>
      <w:r>
        <w:t xml:space="preserve">have a prevalence of humic-like components with high aromaticity </w:t>
      </w:r>
      <w:r w:rsidR="00B1187C">
        <w:t>(Chen et al. 2018)</w:t>
      </w:r>
      <w:r>
        <w:t>. This is an area of ongoing research</w:t>
      </w:r>
      <w:r w:rsidR="000B6C68">
        <w:t>,</w:t>
      </w:r>
      <w:r>
        <w:t xml:space="preserve"> and future models of </w:t>
      </w:r>
      <w:r w:rsidR="000B6C68">
        <w:t>DO</w:t>
      </w:r>
      <w:r w:rsidR="00E26ADC">
        <w:t>C</w:t>
      </w:r>
      <w:r w:rsidR="000B6C68">
        <w:t xml:space="preserve"> </w:t>
      </w:r>
      <w:r>
        <w:t xml:space="preserve">and toxicity may incorporate </w:t>
      </w:r>
      <w:r w:rsidR="000B6C68">
        <w:t>DO</w:t>
      </w:r>
      <w:r w:rsidR="00E26ADC">
        <w:t>C</w:t>
      </w:r>
      <w:r>
        <w:t xml:space="preserve"> quality as well as quantity. </w:t>
      </w:r>
    </w:p>
    <w:p w14:paraId="273CD4A0" w14:textId="77777777" w:rsidR="00996E99" w:rsidRDefault="00324184" w:rsidP="00996E99">
      <w:r>
        <w:t>The effects of sal</w:t>
      </w:r>
      <w:r>
        <w:t xml:space="preserve">inity on copper toxicity are less clear. In the estuarine copepod </w:t>
      </w:r>
      <w:r w:rsidRPr="00002A00">
        <w:rPr>
          <w:rStyle w:val="Emphasis"/>
        </w:rPr>
        <w:t>E.</w:t>
      </w:r>
      <w:r w:rsidR="00EB3D22">
        <w:rPr>
          <w:rStyle w:val="Emphasis"/>
        </w:rPr>
        <w:t> </w:t>
      </w:r>
      <w:r w:rsidRPr="00002A00">
        <w:rPr>
          <w:rStyle w:val="Emphasis"/>
        </w:rPr>
        <w:t>affinis</w:t>
      </w:r>
      <w:r>
        <w:t>, salinity influenced toxicity within the range 2.5</w:t>
      </w:r>
      <w:r w:rsidR="00DF0A86">
        <w:t>–</w:t>
      </w:r>
      <w:r>
        <w:t xml:space="preserve">25‰, </w:t>
      </w:r>
      <w:r w:rsidR="00AF502F">
        <w:t>with toxicity being higher</w:t>
      </w:r>
      <w:r>
        <w:t xml:space="preserve"> at the higher salinity</w:t>
      </w:r>
      <w:r w:rsidR="003D0BD0">
        <w:t xml:space="preserve"> (Millero et al. 2009)</w:t>
      </w:r>
      <w:r>
        <w:t xml:space="preserve">. Conversely, the estuarine fish </w:t>
      </w:r>
      <w:r w:rsidRPr="00002A00">
        <w:rPr>
          <w:rStyle w:val="Emphasis"/>
        </w:rPr>
        <w:t>Fundulus heteroclit</w:t>
      </w:r>
      <w:r w:rsidRPr="00002A00">
        <w:rPr>
          <w:rStyle w:val="Emphasis"/>
        </w:rPr>
        <w:t>us</w:t>
      </w:r>
      <w:r>
        <w:t xml:space="preserve"> was most sensitive to copper in freshwater (96</w:t>
      </w:r>
      <w:r w:rsidR="006E1B49">
        <w:t> </w:t>
      </w:r>
      <w:r>
        <w:t>h</w:t>
      </w:r>
      <w:r w:rsidR="006E1B49">
        <w:t>our</w:t>
      </w:r>
      <w:r>
        <w:t xml:space="preserve"> LC50 value</w:t>
      </w:r>
      <w:r w:rsidR="006E1B49">
        <w:t xml:space="preserve"> of</w:t>
      </w:r>
      <w:r>
        <w:t xml:space="preserve"> 18</w:t>
      </w:r>
      <w:r w:rsidR="006E1B49">
        <w:t> </w:t>
      </w:r>
      <w:r>
        <w:t xml:space="preserve">µg/L), followed by </w:t>
      </w:r>
      <w:r w:rsidR="006E1B49">
        <w:t xml:space="preserve">copper in </w:t>
      </w:r>
      <w:r>
        <w:t xml:space="preserve">high salinity </w:t>
      </w:r>
      <w:r w:rsidR="006E1B49">
        <w:t xml:space="preserve">water </w:t>
      </w:r>
      <w:r>
        <w:t xml:space="preserve">(35‰, LC50 value </w:t>
      </w:r>
      <w:r w:rsidR="006E1B49">
        <w:t xml:space="preserve">of </w:t>
      </w:r>
      <w:r>
        <w:t>294</w:t>
      </w:r>
      <w:r w:rsidR="006E1B49">
        <w:t> </w:t>
      </w:r>
      <w:r>
        <w:t>µg/L)</w:t>
      </w:r>
      <w:r w:rsidR="0059653F">
        <w:t>,</w:t>
      </w:r>
      <w:r>
        <w:t xml:space="preserve"> and least sensitive </w:t>
      </w:r>
      <w:r w:rsidR="00AF502F">
        <w:t xml:space="preserve">to copper in </w:t>
      </w:r>
      <w:r>
        <w:t>intermediate salinit</w:t>
      </w:r>
      <w:r w:rsidR="006E1B49">
        <w:t>y water</w:t>
      </w:r>
      <w:r>
        <w:t xml:space="preserve"> (10‰, LC50 value </w:t>
      </w:r>
      <w:r w:rsidR="006E1B49">
        <w:t xml:space="preserve">of </w:t>
      </w:r>
      <w:r>
        <w:t>&gt;963</w:t>
      </w:r>
      <w:r w:rsidR="006E1B49">
        <w:t> </w:t>
      </w:r>
      <w:r>
        <w:t xml:space="preserve">µg/L) </w:t>
      </w:r>
      <w:r w:rsidR="0059653F">
        <w:t>(Grosell et al. 2007)</w:t>
      </w:r>
      <w:r>
        <w:t xml:space="preserve">. A slightly different pattern was shown for larval topsmelt </w:t>
      </w:r>
      <w:r w:rsidR="00287AC3">
        <w:t>(</w:t>
      </w:r>
      <w:r w:rsidRPr="00002A00">
        <w:rPr>
          <w:rStyle w:val="Emphasis"/>
        </w:rPr>
        <w:t>A.</w:t>
      </w:r>
      <w:r w:rsidR="005435BB">
        <w:rPr>
          <w:rStyle w:val="Emphasis"/>
        </w:rPr>
        <w:t> </w:t>
      </w:r>
      <w:r w:rsidRPr="00002A00">
        <w:rPr>
          <w:rStyle w:val="Emphasis"/>
        </w:rPr>
        <w:t>affinis</w:t>
      </w:r>
      <w:r w:rsidR="00287AC3">
        <w:rPr>
          <w:rStyle w:val="Emphasis"/>
          <w:i w:val="0"/>
          <w:iCs w:val="0"/>
        </w:rPr>
        <w:t>)</w:t>
      </w:r>
      <w:r>
        <w:t>, with copper toxicity decreasing as salinity increased (LC50s: 44</w:t>
      </w:r>
      <w:r w:rsidR="009F2F73">
        <w:t> </w:t>
      </w:r>
      <w:r>
        <w:t>µg/L at 10‰; 72</w:t>
      </w:r>
      <w:r w:rsidR="009F2F73">
        <w:t> </w:t>
      </w:r>
      <w:r>
        <w:t>µg/L at 17‰; 134</w:t>
      </w:r>
      <w:r w:rsidR="009F2F73">
        <w:t> </w:t>
      </w:r>
      <w:r>
        <w:t>µg/L at 25‰; and 205</w:t>
      </w:r>
      <w:r w:rsidR="009F2F73">
        <w:t> </w:t>
      </w:r>
      <w:r>
        <w:t xml:space="preserve">µg/L at 34‰) </w:t>
      </w:r>
      <w:r w:rsidR="009F2F73">
        <w:t>(Anderson et al. 1995)</w:t>
      </w:r>
      <w:r>
        <w:t>. Howe</w:t>
      </w:r>
      <w:r>
        <w:t xml:space="preserve">ver, in other studies, including those on the estuarine rotifer </w:t>
      </w:r>
      <w:r w:rsidRPr="00002A00">
        <w:rPr>
          <w:rStyle w:val="Emphasis"/>
        </w:rPr>
        <w:t>B.</w:t>
      </w:r>
      <w:r w:rsidR="00612D95">
        <w:rPr>
          <w:rStyle w:val="Emphasis"/>
        </w:rPr>
        <w:t> </w:t>
      </w:r>
      <w:r w:rsidRPr="00002A00">
        <w:rPr>
          <w:rStyle w:val="Emphasis"/>
        </w:rPr>
        <w:t>plicatilis</w:t>
      </w:r>
      <w:r w:rsidR="00612D95">
        <w:t>,</w:t>
      </w:r>
      <w:r>
        <w:t xml:space="preserve"> salinity (and pH) had no effect on copper toxicity </w:t>
      </w:r>
      <w:r w:rsidR="00612D95">
        <w:t>(Arnold et al. 2010b)</w:t>
      </w:r>
      <w:r>
        <w:t>. Overall, the studies suggest that salinity affect</w:t>
      </w:r>
      <w:r w:rsidR="007E5F76">
        <w:t>s</w:t>
      </w:r>
      <w:r>
        <w:t xml:space="preserve"> copper speciation and, therefore, toxicity, but thes</w:t>
      </w:r>
      <w:r>
        <w:t xml:space="preserve">e effects are non-linear and </w:t>
      </w:r>
      <w:r w:rsidR="007E5F76">
        <w:t xml:space="preserve">are </w:t>
      </w:r>
      <w:r>
        <w:t>species-dependent. Consequently, it is difficult to incorporate corrections for salinity into DGVs.</w:t>
      </w:r>
    </w:p>
    <w:p w14:paraId="273CD4A1" w14:textId="77777777" w:rsidR="00996E99" w:rsidRDefault="00324184" w:rsidP="00996E99">
      <w:r>
        <w:t>As water temperature affects metabolism and speciation,</w:t>
      </w:r>
      <w:r w:rsidR="002867DF">
        <w:t xml:space="preserve"> it</w:t>
      </w:r>
      <w:r>
        <w:t xml:space="preserve"> could be expected to influence metal toxicity </w:t>
      </w:r>
      <w:r w:rsidR="002867DF">
        <w:t xml:space="preserve">and </w:t>
      </w:r>
      <w:r>
        <w:t>lead to higher</w:t>
      </w:r>
      <w:r>
        <w:t xml:space="preserve"> toxicity at higher temperatures</w:t>
      </w:r>
      <w:r w:rsidR="002867DF">
        <w:t>. H</w:t>
      </w:r>
      <w:r>
        <w:t xml:space="preserve">owever, there are few studies that show this conclusively. For the protist </w:t>
      </w:r>
      <w:r w:rsidRPr="00002A00">
        <w:rPr>
          <w:rStyle w:val="Emphasis"/>
        </w:rPr>
        <w:t>Euplotes crassus</w:t>
      </w:r>
      <w:r>
        <w:t xml:space="preserve">, copper </w:t>
      </w:r>
      <w:r w:rsidR="00AF502F">
        <w:t xml:space="preserve">toxicity </w:t>
      </w:r>
      <w:r>
        <w:t>increase</w:t>
      </w:r>
      <w:r w:rsidR="002867DF">
        <w:t>d</w:t>
      </w:r>
      <w:r>
        <w:t xml:space="preserve"> as water temperature increased </w:t>
      </w:r>
      <w:r w:rsidR="002867DF">
        <w:t>(</w:t>
      </w:r>
      <w:r w:rsidR="00BE2687">
        <w:t>Gomiero &amp; Viarengo 2014)</w:t>
      </w:r>
      <w:r>
        <w:t xml:space="preserve">. However, for the tropical brittle star </w:t>
      </w:r>
      <w:r w:rsidRPr="00002A00">
        <w:rPr>
          <w:rStyle w:val="Emphasis"/>
        </w:rPr>
        <w:t>Amphi</w:t>
      </w:r>
      <w:r w:rsidRPr="00002A00">
        <w:rPr>
          <w:rStyle w:val="Emphasis"/>
        </w:rPr>
        <w:t>pholis squamata</w:t>
      </w:r>
      <w:r>
        <w:t xml:space="preserve"> (Delle Chiaje 1828)</w:t>
      </w:r>
      <w:r w:rsidR="009B4E8D">
        <w:t>,</w:t>
      </w:r>
      <w:r>
        <w:t xml:space="preserve"> toxicity was higher at </w:t>
      </w:r>
      <w:r w:rsidR="009B4E8D">
        <w:t xml:space="preserve">a </w:t>
      </w:r>
      <w:r>
        <w:t xml:space="preserve">lower temperature (15°C) than at </w:t>
      </w:r>
      <w:r w:rsidR="009B4E8D">
        <w:t xml:space="preserve">a </w:t>
      </w:r>
      <w:r>
        <w:t xml:space="preserve">higher temperature (25°C) </w:t>
      </w:r>
      <w:r w:rsidR="009B4E8D">
        <w:t>(Black et al. 2015)</w:t>
      </w:r>
      <w:r>
        <w:t xml:space="preserve">. The effects of temperature on copper toxicity are likely dependent on each species’ thermal tolerance </w:t>
      </w:r>
      <w:r>
        <w:t>range.</w:t>
      </w:r>
      <w:r w:rsidR="00002A00">
        <w:t xml:space="preserve"> </w:t>
      </w:r>
    </w:p>
    <w:p w14:paraId="273CD4A2" w14:textId="77777777" w:rsidR="000B5BCF" w:rsidRPr="00CB059A" w:rsidRDefault="00324184" w:rsidP="000B5BCF">
      <w:pPr>
        <w:pStyle w:val="Heading3"/>
      </w:pPr>
      <w:bookmarkStart w:id="23" w:name="_Toc89265615"/>
      <w:bookmarkStart w:id="24" w:name="_Toc89268655"/>
      <w:r>
        <w:t>Biotic ligand model</w:t>
      </w:r>
      <w:bookmarkEnd w:id="23"/>
      <w:bookmarkEnd w:id="24"/>
    </w:p>
    <w:p w14:paraId="273CD4A3" w14:textId="77777777" w:rsidR="00ED3976" w:rsidRPr="00ED3976" w:rsidRDefault="00324184" w:rsidP="00996E99">
      <w:r>
        <w:t xml:space="preserve">In response to these potential influences on copper toxicity, the Biotic Ligand Model (BLM), initially developed for freshwater </w:t>
      </w:r>
      <w:r w:rsidR="004D04FA">
        <w:t>(Di Toro et al. 2001, Santore et al. 2002)</w:t>
      </w:r>
      <w:r>
        <w:t>, has been extended to predicting copper toxicity in marin</w:t>
      </w:r>
      <w:r>
        <w:t xml:space="preserve">e water. The BLM is a metal bioavailability model that simulates speciation as an equilibrium system that includes the complexation of inorganic ions and </w:t>
      </w:r>
      <w:r w:rsidR="009239BA">
        <w:t xml:space="preserve">DOC </w:t>
      </w:r>
      <w:r w:rsidR="000C5725">
        <w:t>(Chadwic</w:t>
      </w:r>
      <w:r w:rsidR="00DB3A6C">
        <w:t>k</w:t>
      </w:r>
      <w:r w:rsidR="000C5725">
        <w:t xml:space="preserve"> et al. 2008</w:t>
      </w:r>
      <w:r w:rsidR="00E33EEC">
        <w:t>,</w:t>
      </w:r>
      <w:r w:rsidR="00E33EEC" w:rsidRPr="00E33EEC">
        <w:t xml:space="preserve"> </w:t>
      </w:r>
      <w:r w:rsidR="00E33EEC">
        <w:t>USEPA 2016</w:t>
      </w:r>
      <w:r w:rsidR="006C09C3">
        <w:t>a</w:t>
      </w:r>
      <w:r w:rsidR="000C5725">
        <w:t>)</w:t>
      </w:r>
      <w:r>
        <w:t>. The BLM also includes reactions that describe the chemical in</w:t>
      </w:r>
      <w:r>
        <w:t xml:space="preserve">teractions of copper and other cations with physiologically active sites, termed biotic ligands (BLs), which correspond to the proximate site of action of toxicity in aquatic organisms, such as fish gills. USEPA </w:t>
      </w:r>
      <w:r w:rsidR="0021056E">
        <w:t>(2016</w:t>
      </w:r>
      <w:r w:rsidR="006C09C3">
        <w:t>a</w:t>
      </w:r>
      <w:r w:rsidR="0021056E">
        <w:t>)</w:t>
      </w:r>
      <w:r>
        <w:t xml:space="preserve"> uses a BLM to calculate a </w:t>
      </w:r>
      <w:r w:rsidR="0021056E">
        <w:t>water quality criterion (</w:t>
      </w:r>
      <w:r>
        <w:t>WQC</w:t>
      </w:r>
      <w:r w:rsidR="0021056E">
        <w:t>)</w:t>
      </w:r>
      <w:r>
        <w:t xml:space="preserve"> at site-specific concentrations of DOC, pH, salinity and temperature. Of these four factors, DOC has the most influence in determining the WQC, and has an approximately 1:1 relationship, whereby the WQC approximately doubles as DOC doub</w:t>
      </w:r>
      <w:r>
        <w:t>les. By comparison, salinity and pH have minor effects (11% difference in the WQC between salinity of 10‰ and 30‰</w:t>
      </w:r>
      <w:r w:rsidR="00CA73F0">
        <w:t>, at pH 8.1</w:t>
      </w:r>
      <w:r>
        <w:t xml:space="preserve">; </w:t>
      </w:r>
      <w:r w:rsidR="0021056E">
        <w:t xml:space="preserve">and </w:t>
      </w:r>
      <w:r>
        <w:t xml:space="preserve">4% </w:t>
      </w:r>
      <w:r w:rsidR="0021056E">
        <w:t xml:space="preserve">difference in the WQC </w:t>
      </w:r>
      <w:r>
        <w:t>between pH 7.5 and 8.5</w:t>
      </w:r>
      <w:r w:rsidR="00CA73F0">
        <w:t>, at salinity of 30‰</w:t>
      </w:r>
      <w:r>
        <w:t xml:space="preserve">) and temperature has a negligible effect (0.1% difference </w:t>
      </w:r>
      <w:r w:rsidR="0021056E">
        <w:t xml:space="preserve">in the </w:t>
      </w:r>
      <w:r>
        <w:t xml:space="preserve">WQC </w:t>
      </w:r>
      <w:r w:rsidR="0021056E">
        <w:t>between</w:t>
      </w:r>
      <w:r>
        <w:t xml:space="preserve"> 5°C and 30°C, based on pH 8.1 and salinity 30‰).</w:t>
      </w:r>
    </w:p>
    <w:p w14:paraId="273CD4A4" w14:textId="77777777" w:rsidR="00BF0280" w:rsidRPr="00CB059A" w:rsidRDefault="00324184" w:rsidP="005D1CA5">
      <w:pPr>
        <w:pStyle w:val="Heading2"/>
        <w:keepNext w:val="0"/>
        <w:keepLines w:val="0"/>
        <w:pageBreakBefore w:val="0"/>
        <w:widowControl w:val="0"/>
      </w:pPr>
      <w:bookmarkStart w:id="25" w:name="_Ref85903400"/>
      <w:bookmarkStart w:id="26" w:name="_Ref85903425"/>
      <w:bookmarkStart w:id="27" w:name="_Ref85903470"/>
      <w:bookmarkStart w:id="28" w:name="_Toc89265616"/>
      <w:bookmarkStart w:id="29" w:name="_Toc89268656"/>
      <w:r w:rsidRPr="00CB059A">
        <w:t>Default guideline value derivation</w:t>
      </w:r>
      <w:bookmarkEnd w:id="25"/>
      <w:bookmarkEnd w:id="26"/>
      <w:bookmarkEnd w:id="27"/>
      <w:bookmarkEnd w:id="28"/>
      <w:bookmarkEnd w:id="29"/>
    </w:p>
    <w:p w14:paraId="273CD4A5" w14:textId="77777777" w:rsidR="00A47617" w:rsidRPr="00B559B5" w:rsidRDefault="00324184" w:rsidP="00A47617">
      <w:pPr>
        <w:rPr>
          <w:bCs/>
        </w:rPr>
      </w:pPr>
      <w:sdt>
        <w:sdtPr>
          <w:rPr>
            <w:bCs/>
          </w:rPr>
          <w:alias w:val="Compulsary - text and location locked to 4."/>
          <w:tag w:val="Compulsary - text and location locked"/>
          <w:id w:val="1416975399"/>
          <w:placeholder>
            <w:docPart w:val="B20CCC024575420DB346A2897E1BFAA1"/>
          </w:placeholder>
          <w15:color w:val="FFFFFF"/>
          <w:text/>
        </w:sdtPr>
        <w:sdtEndPr/>
        <w:sdtContent>
          <w:r w:rsidR="0064344A" w:rsidRPr="00B559B5">
            <w:rPr>
              <w:bCs/>
            </w:rPr>
            <w:t>The DGVs were derived in accordance with the method described in Warne et al. (2018) and using Burrlioz 2.0 software. Although some decisions on data selection/manipulation may reflect the Warne et al. (2015) method rather than the Warne et al. (2018) method, these were found to have no material effect on the final DGVs.</w:t>
          </w:r>
        </w:sdtContent>
      </w:sdt>
    </w:p>
    <w:p w14:paraId="273CD4A6" w14:textId="77777777" w:rsidR="00CB059A" w:rsidRPr="00CB059A" w:rsidRDefault="00324184" w:rsidP="00B559B5">
      <w:pPr>
        <w:pStyle w:val="Heading3"/>
      </w:pPr>
      <w:bookmarkStart w:id="30" w:name="_Ref85903445"/>
      <w:bookmarkStart w:id="31" w:name="_Toc89265617"/>
      <w:bookmarkStart w:id="32" w:name="_Toc89268657"/>
      <w:r w:rsidRPr="00CB059A">
        <w:t>Collation of toxicity data</w:t>
      </w:r>
      <w:bookmarkEnd w:id="30"/>
      <w:bookmarkEnd w:id="31"/>
      <w:bookmarkEnd w:id="32"/>
      <w:r w:rsidRPr="00CB059A">
        <w:t xml:space="preserve"> </w:t>
      </w:r>
    </w:p>
    <w:p w14:paraId="273CD4A7" w14:textId="77777777" w:rsidR="00CB059A" w:rsidRPr="00CB059A" w:rsidRDefault="00324184" w:rsidP="00CB059A">
      <w:pPr>
        <w:rPr>
          <w:bCs/>
        </w:rPr>
      </w:pPr>
      <w:r w:rsidRPr="00CB059A">
        <w:rPr>
          <w:bCs/>
        </w:rPr>
        <w:t xml:space="preserve">Toxicity data were collated from the ECOTOX database </w:t>
      </w:r>
      <w:r w:rsidR="006C09C3">
        <w:rPr>
          <w:bCs/>
        </w:rPr>
        <w:t>(</w:t>
      </w:r>
      <w:r w:rsidR="009E6FF2">
        <w:rPr>
          <w:bCs/>
        </w:rPr>
        <w:t>USEPA 2016b)</w:t>
      </w:r>
      <w:r w:rsidRPr="00CB059A">
        <w:rPr>
          <w:bCs/>
        </w:rPr>
        <w:t>, the ANZECC/ARMCANZ (2000) water quality guidelines</w:t>
      </w:r>
      <w:r w:rsidR="00742DE5">
        <w:rPr>
          <w:bCs/>
        </w:rPr>
        <w:t>,</w:t>
      </w:r>
      <w:r w:rsidRPr="00CB059A">
        <w:rPr>
          <w:bCs/>
        </w:rPr>
        <w:t xml:space="preserve"> compilations of Australasian toxicity data </w:t>
      </w:r>
      <w:r w:rsidR="00742DE5">
        <w:rPr>
          <w:bCs/>
        </w:rPr>
        <w:t>(Markich et al. 2002, Langdon et al. 2009</w:t>
      </w:r>
      <w:r w:rsidR="00742DE5" w:rsidRPr="00243A3E">
        <w:rPr>
          <w:bCs/>
        </w:rPr>
        <w:t>)</w:t>
      </w:r>
      <w:r w:rsidR="00243A3E" w:rsidRPr="00243A3E">
        <w:rPr>
          <w:bCs/>
        </w:rPr>
        <w:t xml:space="preserve">, </w:t>
      </w:r>
      <w:r w:rsidR="00243A3E" w:rsidRPr="00243A3E">
        <w:rPr>
          <w:rStyle w:val="CommentReference"/>
          <w:sz w:val="22"/>
          <w:szCs w:val="22"/>
        </w:rPr>
        <w:t>and from</w:t>
      </w:r>
      <w:r w:rsidR="00243A3E">
        <w:t xml:space="preserve"> the European Union risk assessment (</w:t>
      </w:r>
      <w:r w:rsidR="00243A3E" w:rsidRPr="00DA3F57">
        <w:rPr>
          <w:rFonts w:ascii="Calibri" w:eastAsia="Times New Roman" w:hAnsi="Calibri" w:cs="Calibri"/>
          <w:color w:val="000000"/>
          <w:lang w:eastAsia="en-GB"/>
        </w:rPr>
        <w:t>European Copper Institute</w:t>
      </w:r>
      <w:r w:rsidR="00243A3E">
        <w:rPr>
          <w:rFonts w:ascii="Calibri" w:eastAsia="Times New Roman" w:hAnsi="Calibri" w:cs="Calibri"/>
          <w:color w:val="000000"/>
          <w:lang w:eastAsia="en-GB"/>
        </w:rPr>
        <w:t xml:space="preserve"> 2008</w:t>
      </w:r>
      <w:r w:rsidR="00243A3E">
        <w:t>) and the United Kingdom marine copper guideline derivation (Maycock et al. 2011)</w:t>
      </w:r>
      <w:r w:rsidRPr="00CB059A">
        <w:rPr>
          <w:bCs/>
        </w:rPr>
        <w:t xml:space="preserve">. These were supplemented by searches using the journal abstracting service </w:t>
      </w:r>
      <w:r w:rsidR="00DA6772">
        <w:rPr>
          <w:bCs/>
        </w:rPr>
        <w:t>‘</w:t>
      </w:r>
      <w:r w:rsidRPr="00CB059A">
        <w:rPr>
          <w:bCs/>
        </w:rPr>
        <w:t>Web of Science</w:t>
      </w:r>
      <w:r w:rsidR="00DA6772">
        <w:rPr>
          <w:bCs/>
        </w:rPr>
        <w:t>’</w:t>
      </w:r>
      <w:r w:rsidRPr="00CB059A">
        <w:rPr>
          <w:bCs/>
        </w:rPr>
        <w:t xml:space="preserve"> for studies published during 2015</w:t>
      </w:r>
      <w:r w:rsidR="00071DAF">
        <w:rPr>
          <w:bCs/>
        </w:rPr>
        <w:t>–</w:t>
      </w:r>
      <w:r w:rsidRPr="00CB059A">
        <w:rPr>
          <w:bCs/>
        </w:rPr>
        <w:t>2016 and not included in the ECOTOX database, and internet search</w:t>
      </w:r>
      <w:r w:rsidRPr="00CB059A">
        <w:rPr>
          <w:bCs/>
        </w:rPr>
        <w:t>es for Australian and New Zealand toxicity data contained within grey literature, theses or unpublished reports.</w:t>
      </w:r>
      <w:r w:rsidR="00287AC3">
        <w:rPr>
          <w:bCs/>
        </w:rPr>
        <w:t xml:space="preserve"> </w:t>
      </w:r>
    </w:p>
    <w:p w14:paraId="273CD4A8" w14:textId="77777777" w:rsidR="00CB059A" w:rsidRPr="00CB059A" w:rsidRDefault="00324184" w:rsidP="00CB059A">
      <w:pPr>
        <w:rPr>
          <w:bCs/>
        </w:rPr>
      </w:pPr>
      <w:r w:rsidRPr="00CB059A">
        <w:rPr>
          <w:bCs/>
        </w:rPr>
        <w:t xml:space="preserve">The toxicity dataset was restricted to </w:t>
      </w:r>
      <w:r w:rsidR="006268A9">
        <w:rPr>
          <w:bCs/>
        </w:rPr>
        <w:t xml:space="preserve">chronic </w:t>
      </w:r>
      <w:r w:rsidRPr="00CB059A">
        <w:rPr>
          <w:bCs/>
        </w:rPr>
        <w:t xml:space="preserve">studies (following details in Warne et al. </w:t>
      </w:r>
      <w:r w:rsidR="006268A9">
        <w:rPr>
          <w:bCs/>
        </w:rPr>
        <w:t>(2018</w:t>
      </w:r>
      <w:r w:rsidRPr="00CB059A">
        <w:rPr>
          <w:bCs/>
        </w:rPr>
        <w:t>)</w:t>
      </w:r>
      <w:r w:rsidR="00072D21">
        <w:rPr>
          <w:bCs/>
        </w:rPr>
        <w:t>)</w:t>
      </w:r>
      <w:r w:rsidRPr="00CB059A">
        <w:rPr>
          <w:bCs/>
        </w:rPr>
        <w:t>. Data were only included for studies that ha</w:t>
      </w:r>
      <w:r w:rsidRPr="00CB059A">
        <w:rPr>
          <w:bCs/>
        </w:rPr>
        <w:t>d measured the copper concentrations either in the test solutions, or in the stock solutions used to produce the test solutions, provided a clear concentration</w:t>
      </w:r>
      <w:r w:rsidR="006F25F9">
        <w:rPr>
          <w:bCs/>
        </w:rPr>
        <w:t>–</w:t>
      </w:r>
      <w:r w:rsidRPr="00CB059A">
        <w:rPr>
          <w:bCs/>
        </w:rPr>
        <w:t>response relationship was observed or stated. Although some studies reported concentrations as t</w:t>
      </w:r>
      <w:r w:rsidRPr="00CB059A">
        <w:rPr>
          <w:bCs/>
        </w:rPr>
        <w:t>otal copper, all copper was assumed to be in dissolved form in the test solutions</w:t>
      </w:r>
      <w:r w:rsidR="000125B1">
        <w:rPr>
          <w:bCs/>
        </w:rPr>
        <w:t xml:space="preserve"> given that laboratory toxicity test solutions typically have low particulate concentrations</w:t>
      </w:r>
      <w:r w:rsidR="006F25F9">
        <w:rPr>
          <w:bCs/>
        </w:rPr>
        <w:t>;</w:t>
      </w:r>
      <w:r w:rsidRPr="00CB059A">
        <w:rPr>
          <w:bCs/>
        </w:rPr>
        <w:t xml:space="preserve"> therefore</w:t>
      </w:r>
      <w:r w:rsidR="006F25F9">
        <w:rPr>
          <w:bCs/>
        </w:rPr>
        <w:t>,</w:t>
      </w:r>
      <w:r w:rsidRPr="00CB059A">
        <w:rPr>
          <w:bCs/>
        </w:rPr>
        <w:t xml:space="preserve"> the DGVs are representative of dissolved copper concentrations. Data w</w:t>
      </w:r>
      <w:r w:rsidRPr="00CB059A">
        <w:rPr>
          <w:bCs/>
        </w:rPr>
        <w:t>ere restricted to tests with salinity ≥25‰ and ≤36‰ following the guidance from Warne et al</w:t>
      </w:r>
      <w:r w:rsidR="006F25F9">
        <w:rPr>
          <w:bCs/>
        </w:rPr>
        <w:t>. (2018)</w:t>
      </w:r>
      <w:r w:rsidRPr="00CB059A">
        <w:rPr>
          <w:bCs/>
        </w:rPr>
        <w:t>, although studies where the salinity at times exceeded 36‰ were included where the midpoint of the range was approximately 35‰. Antarctic species and any ot</w:t>
      </w:r>
      <w:r w:rsidRPr="00CB059A">
        <w:rPr>
          <w:bCs/>
        </w:rPr>
        <w:t>her testing conducted at &lt;1°C were not included in the derivation. Because DOC may affect the toxicity of copper, the data were restricted to studies with DOC &lt;2</w:t>
      </w:r>
      <w:r w:rsidR="006F25F9">
        <w:rPr>
          <w:bCs/>
        </w:rPr>
        <w:t> </w:t>
      </w:r>
      <w:r w:rsidRPr="00CB059A">
        <w:rPr>
          <w:bCs/>
        </w:rPr>
        <w:t xml:space="preserve">mg/L. If a study did not report DOC, it was assumed to have low DOC, as would be the case for </w:t>
      </w:r>
      <w:r w:rsidRPr="00CB059A">
        <w:rPr>
          <w:bCs/>
        </w:rPr>
        <w:t>standard laboratory test control/diluent waters, and the study was included in the derivation.</w:t>
      </w:r>
    </w:p>
    <w:p w14:paraId="273CD4A9" w14:textId="77777777" w:rsidR="00FA55D4" w:rsidRDefault="00324184" w:rsidP="00CB059A">
      <w:pPr>
        <w:rPr>
          <w:bCs/>
        </w:rPr>
      </w:pPr>
      <w:r w:rsidRPr="00CB059A">
        <w:rPr>
          <w:bCs/>
        </w:rPr>
        <w:t xml:space="preserve">These data exclusion rules resulted in several Australasian species not being included in </w:t>
      </w:r>
      <w:r w:rsidR="000125B1" w:rsidRPr="00CB059A">
        <w:rPr>
          <w:bCs/>
        </w:rPr>
        <w:t>th</w:t>
      </w:r>
      <w:r w:rsidR="000125B1">
        <w:rPr>
          <w:bCs/>
        </w:rPr>
        <w:t>e current</w:t>
      </w:r>
      <w:r w:rsidR="000125B1" w:rsidRPr="00CB059A">
        <w:rPr>
          <w:bCs/>
        </w:rPr>
        <w:t xml:space="preserve"> </w:t>
      </w:r>
      <w:r w:rsidRPr="00CB059A">
        <w:rPr>
          <w:bCs/>
        </w:rPr>
        <w:t xml:space="preserve">derivation despite the existence of chronic data (see </w:t>
      </w:r>
      <w:r w:rsidR="00A4098B">
        <w:rPr>
          <w:bCs/>
        </w:rPr>
        <w:fldChar w:fldCharType="begin"/>
      </w:r>
      <w:r w:rsidR="00A4098B">
        <w:rPr>
          <w:bCs/>
        </w:rPr>
        <w:instrText xml:space="preserve"> REF _Ref85904168 \h </w:instrText>
      </w:r>
      <w:r w:rsidR="00A4098B">
        <w:rPr>
          <w:bCs/>
        </w:rPr>
      </w:r>
      <w:r w:rsidR="00A4098B">
        <w:rPr>
          <w:bCs/>
        </w:rPr>
        <w:fldChar w:fldCharType="separate"/>
      </w:r>
      <w:r w:rsidR="00A41C81">
        <w:t>Appendix </w:t>
      </w:r>
      <w:r w:rsidR="00A41C81" w:rsidRPr="00C355E9">
        <w:t>D</w:t>
      </w:r>
      <w:r w:rsidR="00A41C81">
        <w:t>:</w:t>
      </w:r>
      <w:r w:rsidR="00A41C81" w:rsidRPr="00C355E9">
        <w:t xml:space="preserve"> Chronic toxicity data for </w:t>
      </w:r>
      <w:r w:rsidR="00A41C81">
        <w:t>Australasian</w:t>
      </w:r>
      <w:r w:rsidR="00A41C81" w:rsidRPr="00C355E9">
        <w:t xml:space="preserve"> species not </w:t>
      </w:r>
      <w:r w:rsidR="00A41C81">
        <w:t>used to derive the default guideline values</w:t>
      </w:r>
      <w:r w:rsidR="00A4098B">
        <w:rPr>
          <w:bCs/>
        </w:rPr>
        <w:fldChar w:fldCharType="end"/>
      </w:r>
      <w:r w:rsidRPr="00CB059A">
        <w:rPr>
          <w:bCs/>
        </w:rPr>
        <w:t>)</w:t>
      </w:r>
      <w:r>
        <w:rPr>
          <w:bCs/>
        </w:rPr>
        <w:t>;</w:t>
      </w:r>
      <w:r w:rsidRPr="00CB059A">
        <w:rPr>
          <w:bCs/>
        </w:rPr>
        <w:t xml:space="preserve"> </w:t>
      </w:r>
      <w:r>
        <w:rPr>
          <w:bCs/>
        </w:rPr>
        <w:t xml:space="preserve">this was </w:t>
      </w:r>
      <w:r w:rsidRPr="00CB059A">
        <w:rPr>
          <w:bCs/>
        </w:rPr>
        <w:t xml:space="preserve">predominantly due to </w:t>
      </w:r>
      <w:r>
        <w:rPr>
          <w:bCs/>
        </w:rPr>
        <w:t xml:space="preserve">not measuring the copper </w:t>
      </w:r>
      <w:r w:rsidRPr="00CB059A">
        <w:rPr>
          <w:bCs/>
        </w:rPr>
        <w:t xml:space="preserve">in the test </w:t>
      </w:r>
      <w:r w:rsidR="000125B1" w:rsidRPr="00CB059A">
        <w:rPr>
          <w:bCs/>
        </w:rPr>
        <w:t>medi</w:t>
      </w:r>
      <w:r w:rsidR="000125B1">
        <w:rPr>
          <w:bCs/>
        </w:rPr>
        <w:t>um</w:t>
      </w:r>
      <w:r w:rsidR="000125B1" w:rsidRPr="00CB059A">
        <w:rPr>
          <w:bCs/>
        </w:rPr>
        <w:t xml:space="preserve"> </w:t>
      </w:r>
      <w:r w:rsidRPr="00CB059A">
        <w:rPr>
          <w:bCs/>
        </w:rPr>
        <w:t xml:space="preserve">or stock solutions. </w:t>
      </w:r>
      <w:r>
        <w:rPr>
          <w:bCs/>
        </w:rPr>
        <w:t>Of these species, t</w:t>
      </w:r>
      <w:r w:rsidRPr="00CB059A">
        <w:rPr>
          <w:bCs/>
        </w:rPr>
        <w:t>he most sensitive</w:t>
      </w:r>
      <w:r w:rsidR="00DB3A6C">
        <w:rPr>
          <w:bCs/>
        </w:rPr>
        <w:t xml:space="preserve"> </w:t>
      </w:r>
      <w:r>
        <w:rPr>
          <w:bCs/>
        </w:rPr>
        <w:t>were:</w:t>
      </w:r>
    </w:p>
    <w:p w14:paraId="273CD4AA" w14:textId="77777777" w:rsidR="00FA55D4" w:rsidRDefault="00324184" w:rsidP="00FA55D4">
      <w:pPr>
        <w:pStyle w:val="ListBullet"/>
      </w:pPr>
      <w:r w:rsidRPr="00CB059A">
        <w:t xml:space="preserve">the diatom </w:t>
      </w:r>
      <w:r w:rsidRPr="00DA6772">
        <w:rPr>
          <w:rStyle w:val="Emphasis"/>
        </w:rPr>
        <w:t>Thalassiosira weissflogii</w:t>
      </w:r>
      <w:r w:rsidRPr="00CB059A">
        <w:t xml:space="preserve"> (NOEC 0.08</w:t>
      </w:r>
      <w:r>
        <w:t> </w:t>
      </w:r>
      <w:r w:rsidRPr="00CB059A">
        <w:t>µg/L for a population test</w:t>
      </w:r>
      <w:r w:rsidR="004F69A2">
        <w:t xml:space="preserve"> (</w:t>
      </w:r>
      <w:r w:rsidR="00B8309E">
        <w:t>Karner et al. 2006)</w:t>
      </w:r>
      <w:r w:rsidRPr="00CB059A">
        <w:t>)</w:t>
      </w:r>
    </w:p>
    <w:p w14:paraId="273CD4AB" w14:textId="77777777" w:rsidR="00FA55D4" w:rsidRDefault="00324184" w:rsidP="00FA55D4">
      <w:pPr>
        <w:pStyle w:val="ListBullet"/>
      </w:pPr>
      <w:r w:rsidRPr="00CB059A">
        <w:t xml:space="preserve">the blue mussel </w:t>
      </w:r>
      <w:r w:rsidRPr="00DA6772">
        <w:rPr>
          <w:rStyle w:val="Emphasis"/>
        </w:rPr>
        <w:t>M. edulis</w:t>
      </w:r>
      <w:r w:rsidRPr="00CB059A">
        <w:t xml:space="preserve"> (NOEC 0.4</w:t>
      </w:r>
      <w:r w:rsidR="00B8309E">
        <w:t> </w:t>
      </w:r>
      <w:r w:rsidRPr="00CB059A">
        <w:t>µg/L, converted from an EC50 of 2</w:t>
      </w:r>
      <w:r w:rsidR="00B8309E">
        <w:t> </w:t>
      </w:r>
      <w:r w:rsidRPr="00CB059A">
        <w:t>µg/L</w:t>
      </w:r>
      <w:r w:rsidR="00B806E0">
        <w:t>,</w:t>
      </w:r>
      <w:r w:rsidRPr="00CB059A">
        <w:t xml:space="preserve"> for a reproduction test </w:t>
      </w:r>
      <w:r w:rsidR="00B8309E">
        <w:t>(Stromgren &amp; Nielsen 1991)</w:t>
      </w:r>
      <w:r w:rsidRPr="00CB059A">
        <w:t xml:space="preserve">) </w:t>
      </w:r>
    </w:p>
    <w:p w14:paraId="273CD4AC" w14:textId="77777777" w:rsidR="00FA55D4" w:rsidRDefault="00324184" w:rsidP="00FA55D4">
      <w:pPr>
        <w:pStyle w:val="ListBullet"/>
      </w:pPr>
      <w:r>
        <w:t>the</w:t>
      </w:r>
      <w:r w:rsidR="00CB059A" w:rsidRPr="00CB059A">
        <w:t xml:space="preserve"> annelid </w:t>
      </w:r>
      <w:r w:rsidR="00CB059A" w:rsidRPr="00DA6772">
        <w:rPr>
          <w:rStyle w:val="Emphasis"/>
        </w:rPr>
        <w:t>Galeo</w:t>
      </w:r>
      <w:r w:rsidR="000125B1">
        <w:rPr>
          <w:rStyle w:val="Emphasis"/>
        </w:rPr>
        <w:t>la</w:t>
      </w:r>
      <w:r w:rsidR="00CB059A" w:rsidRPr="00DA6772">
        <w:rPr>
          <w:rStyle w:val="Emphasis"/>
        </w:rPr>
        <w:t>ria caespitose</w:t>
      </w:r>
      <w:r w:rsidR="00CB059A" w:rsidRPr="00CB059A">
        <w:t xml:space="preserve"> (NOEC 0.9</w:t>
      </w:r>
      <w:r w:rsidR="00B806E0">
        <w:t> </w:t>
      </w:r>
      <w:r w:rsidR="00CB059A" w:rsidRPr="00CB059A">
        <w:t>µg/L, converted from an EC50 of 4.6</w:t>
      </w:r>
      <w:r w:rsidR="00B806E0">
        <w:t> </w:t>
      </w:r>
      <w:r w:rsidR="00CB059A" w:rsidRPr="00CB059A">
        <w:t>µg/L</w:t>
      </w:r>
      <w:r w:rsidR="00B806E0">
        <w:t>,</w:t>
      </w:r>
      <w:r w:rsidR="00CB059A" w:rsidRPr="00CB059A">
        <w:t xml:space="preserve"> for a development test </w:t>
      </w:r>
      <w:r w:rsidR="00B806E0">
        <w:t>(Ross &amp; Bidwell 2001)</w:t>
      </w:r>
      <w:r w:rsidR="00CB059A" w:rsidRPr="00CB059A">
        <w:t xml:space="preserve">) </w:t>
      </w:r>
    </w:p>
    <w:p w14:paraId="273CD4AD" w14:textId="77777777" w:rsidR="00FA55D4" w:rsidRDefault="00324184" w:rsidP="00FA55D4">
      <w:pPr>
        <w:pStyle w:val="ListBullet"/>
      </w:pPr>
      <w:r w:rsidRPr="00CB059A">
        <w:t xml:space="preserve">the Pacific oyster </w:t>
      </w:r>
      <w:r w:rsidRPr="00DA6772">
        <w:rPr>
          <w:rStyle w:val="Emphasis"/>
        </w:rPr>
        <w:t>C. gigas</w:t>
      </w:r>
      <w:r w:rsidRPr="00CB059A">
        <w:t xml:space="preserve"> (NOEC ~1</w:t>
      </w:r>
      <w:r w:rsidR="00982C7D">
        <w:t> </w:t>
      </w:r>
      <w:r w:rsidRPr="00CB059A">
        <w:t xml:space="preserve">µg/L for development tests </w:t>
      </w:r>
      <w:r w:rsidR="00982C7D">
        <w:t>(Martin et al. 1981, Worboys et al. 2002)</w:t>
      </w:r>
      <w:r w:rsidRPr="00CB059A">
        <w:t xml:space="preserve">). </w:t>
      </w:r>
    </w:p>
    <w:p w14:paraId="273CD4AE" w14:textId="77777777" w:rsidR="00CB059A" w:rsidRDefault="00324184" w:rsidP="00CB059A">
      <w:pPr>
        <w:rPr>
          <w:bCs/>
          <w:highlight w:val="yellow"/>
        </w:rPr>
      </w:pPr>
      <w:r w:rsidRPr="00CB059A">
        <w:rPr>
          <w:bCs/>
        </w:rPr>
        <w:t xml:space="preserve">The mussel, annelid and oyster species are expected to be protected by the </w:t>
      </w:r>
      <w:r w:rsidRPr="00CB059A">
        <w:rPr>
          <w:bCs/>
        </w:rPr>
        <w:t>DGVs for 95% species protection</w:t>
      </w:r>
      <w:r w:rsidR="006E29A5">
        <w:rPr>
          <w:bCs/>
        </w:rPr>
        <w:t xml:space="preserve">, and </w:t>
      </w:r>
      <w:r w:rsidR="00410392">
        <w:rPr>
          <w:bCs/>
        </w:rPr>
        <w:t xml:space="preserve">only </w:t>
      </w:r>
      <w:r w:rsidR="006E29A5">
        <w:rPr>
          <w:bCs/>
        </w:rPr>
        <w:t xml:space="preserve">the </w:t>
      </w:r>
      <w:r w:rsidR="007F2465">
        <w:rPr>
          <w:bCs/>
        </w:rPr>
        <w:t>annelid and oyster are expected to be protected</w:t>
      </w:r>
      <w:r w:rsidRPr="00CB059A">
        <w:rPr>
          <w:bCs/>
        </w:rPr>
        <w:t xml:space="preserve"> at the 90% species protection</w:t>
      </w:r>
      <w:r w:rsidR="00410392">
        <w:rPr>
          <w:bCs/>
        </w:rPr>
        <w:t>.</w:t>
      </w:r>
      <w:r w:rsidRPr="00CB059A">
        <w:rPr>
          <w:bCs/>
        </w:rPr>
        <w:t xml:space="preserve"> </w:t>
      </w:r>
      <w:r w:rsidR="00410392">
        <w:rPr>
          <w:bCs/>
        </w:rPr>
        <w:t>T</w:t>
      </w:r>
      <w:r w:rsidRPr="00CB059A">
        <w:rPr>
          <w:bCs/>
        </w:rPr>
        <w:t xml:space="preserve">he toxicity data suggest </w:t>
      </w:r>
      <w:r w:rsidR="00410392">
        <w:rPr>
          <w:bCs/>
        </w:rPr>
        <w:t>that the annelid and oyster</w:t>
      </w:r>
      <w:r w:rsidRPr="00CB059A">
        <w:rPr>
          <w:bCs/>
        </w:rPr>
        <w:t xml:space="preserve"> would not be protected at the 80% </w:t>
      </w:r>
      <w:r w:rsidR="00410392">
        <w:rPr>
          <w:bCs/>
        </w:rPr>
        <w:t>species</w:t>
      </w:r>
      <w:r w:rsidRPr="00CB059A">
        <w:rPr>
          <w:bCs/>
        </w:rPr>
        <w:t xml:space="preserve"> protection.</w:t>
      </w:r>
      <w:r w:rsidR="00DB3A6C">
        <w:rPr>
          <w:bCs/>
        </w:rPr>
        <w:t xml:space="preserve"> </w:t>
      </w:r>
      <w:r w:rsidR="00410392">
        <w:rPr>
          <w:bCs/>
        </w:rPr>
        <w:t>T</w:t>
      </w:r>
      <w:r w:rsidRPr="00CB059A">
        <w:rPr>
          <w:bCs/>
        </w:rPr>
        <w:t>he toxicity data sugge</w:t>
      </w:r>
      <w:r w:rsidRPr="00CB059A">
        <w:rPr>
          <w:bCs/>
        </w:rPr>
        <w:t xml:space="preserve">st the diatom </w:t>
      </w:r>
      <w:r w:rsidRPr="00DA6772">
        <w:rPr>
          <w:rStyle w:val="Emphasis"/>
        </w:rPr>
        <w:t>T. weissflogii</w:t>
      </w:r>
      <w:r w:rsidRPr="00CB059A">
        <w:rPr>
          <w:bCs/>
        </w:rPr>
        <w:t xml:space="preserve"> would not be protected at any species protection </w:t>
      </w:r>
      <w:r w:rsidR="00410392">
        <w:rPr>
          <w:bCs/>
        </w:rPr>
        <w:t>level;</w:t>
      </w:r>
      <w:r w:rsidRPr="00CB059A">
        <w:rPr>
          <w:bCs/>
        </w:rPr>
        <w:t xml:space="preserve"> the sensitivity of this species should be confirmed by further toxicity testing that incorporates </w:t>
      </w:r>
      <w:r w:rsidR="00410392">
        <w:rPr>
          <w:bCs/>
        </w:rPr>
        <w:t xml:space="preserve">the </w:t>
      </w:r>
      <w:r w:rsidRPr="00CB059A">
        <w:rPr>
          <w:bCs/>
        </w:rPr>
        <w:t>measurement of copper in the test solutions.</w:t>
      </w:r>
    </w:p>
    <w:p w14:paraId="273CD4AF" w14:textId="77777777" w:rsidR="00BF0280" w:rsidRPr="00DF6E85" w:rsidRDefault="00324184" w:rsidP="001303C0">
      <w:pPr>
        <w:pStyle w:val="Heading3"/>
      </w:pPr>
      <w:bookmarkStart w:id="33" w:name="_Ref85903455"/>
      <w:bookmarkStart w:id="34" w:name="_Toc89265618"/>
      <w:bookmarkStart w:id="35" w:name="_Toc89268658"/>
      <w:r w:rsidRPr="00DF6E85">
        <w:t>Toxicity data used in de</w:t>
      </w:r>
      <w:r w:rsidRPr="00DF6E85">
        <w:t>rivation</w:t>
      </w:r>
      <w:bookmarkEnd w:id="33"/>
      <w:bookmarkEnd w:id="34"/>
      <w:bookmarkEnd w:id="35"/>
    </w:p>
    <w:p w14:paraId="273CD4B0" w14:textId="77777777" w:rsidR="00DF6E85" w:rsidRDefault="00324184" w:rsidP="00DF6E85">
      <w:pPr>
        <w:spacing w:before="240"/>
      </w:pPr>
      <w:r>
        <w:rPr>
          <w:bCs/>
        </w:rPr>
        <w:t xml:space="preserve">Data sourced from </w:t>
      </w:r>
      <w:r>
        <w:t>the ANZECC/ARMCANZ (2000) guidelines, the compiled Australasian toxicity datasets (</w:t>
      </w:r>
      <w:r>
        <w:rPr>
          <w:bCs/>
        </w:rPr>
        <w:t>Markich et al. 2002, Langdon et al. 2009)</w:t>
      </w:r>
      <w:r>
        <w:t>, the European Union risk assessment (</w:t>
      </w:r>
      <w:r w:rsidR="003D4ED5" w:rsidRPr="00DA3F57">
        <w:rPr>
          <w:rFonts w:ascii="Calibri" w:eastAsia="Times New Roman" w:hAnsi="Calibri" w:cs="Calibri"/>
          <w:color w:val="000000"/>
          <w:lang w:eastAsia="en-GB"/>
        </w:rPr>
        <w:t>European Copper Institute</w:t>
      </w:r>
      <w:r w:rsidR="003D4ED5">
        <w:rPr>
          <w:rFonts w:ascii="Calibri" w:eastAsia="Times New Roman" w:hAnsi="Calibri" w:cs="Calibri"/>
          <w:color w:val="000000"/>
          <w:lang w:eastAsia="en-GB"/>
        </w:rPr>
        <w:t xml:space="preserve"> 2008</w:t>
      </w:r>
      <w:r>
        <w:t>) and the United Kingdom guidelines (</w:t>
      </w:r>
      <w:r>
        <w:t xml:space="preserve">Maycock et al. 2011) </w:t>
      </w:r>
      <w:r>
        <w:rPr>
          <w:bCs/>
        </w:rPr>
        <w:t xml:space="preserve">were considered to have already been assessed for quality and considered to be acceptable, as recommended by Warne et al. (2018). </w:t>
      </w:r>
      <w:r>
        <w:t xml:space="preserve">All other data were quality assessed </w:t>
      </w:r>
      <w:r w:rsidR="00CC611D">
        <w:t xml:space="preserve">as per Warne et al. (2018) </w:t>
      </w:r>
      <w:r>
        <w:t>to ensure their suitability for inclusion</w:t>
      </w:r>
      <w:r w:rsidR="00A70111">
        <w:t xml:space="preserve">. </w:t>
      </w:r>
    </w:p>
    <w:p w14:paraId="273CD4B1" w14:textId="77777777" w:rsidR="00DF6E85" w:rsidRDefault="00324184" w:rsidP="00DF6E85">
      <w:pPr>
        <w:spacing w:before="240"/>
      </w:pPr>
      <w:r>
        <w:t>Warne et al.</w:t>
      </w:r>
      <w:r w:rsidR="00025A66">
        <w:t xml:space="preserve"> (2018)</w:t>
      </w:r>
      <w:r>
        <w:t xml:space="preserve"> advise that NOEC</w:t>
      </w:r>
      <w:r w:rsidR="005F49CA">
        <w:t xml:space="preserve"> or LOEC</w:t>
      </w:r>
      <w:r>
        <w:t xml:space="preserve"> data should not be used where there are preferred data </w:t>
      </w:r>
      <w:r w:rsidR="00CA73F0">
        <w:t xml:space="preserve">(e.g. </w:t>
      </w:r>
      <w:r w:rsidR="004257E4">
        <w:t>chronic no effect concentration (NEC)</w:t>
      </w:r>
      <w:r w:rsidR="00CC611D">
        <w:t xml:space="preserve">, </w:t>
      </w:r>
      <w:r w:rsidR="00CA73F0">
        <w:t>E</w:t>
      </w:r>
      <w:r w:rsidR="000D10F2">
        <w:t xml:space="preserve">C10, IC10) </w:t>
      </w:r>
      <w:r>
        <w:t>for ≥8</w:t>
      </w:r>
      <w:r w:rsidR="005A3B5F">
        <w:t> </w:t>
      </w:r>
      <w:r>
        <w:t>species that belong to ≥4</w:t>
      </w:r>
      <w:r w:rsidR="005A3B5F">
        <w:t> </w:t>
      </w:r>
      <w:r>
        <w:t>taxonomic groups, but that the exclusion of NOEC</w:t>
      </w:r>
      <w:r w:rsidR="00927146">
        <w:t>/LOEC</w:t>
      </w:r>
      <w:r>
        <w:t xml:space="preserve"> data does not compromise the reliability and protectiveness of the DGVs. Because of the large pool of data for copper </w:t>
      </w:r>
      <w:r w:rsidR="00927146">
        <w:t xml:space="preserve">toxicity </w:t>
      </w:r>
      <w:r>
        <w:t xml:space="preserve">to marine organisms, only preferred data were included in an initial derivation. This resulted in data for 15 species, </w:t>
      </w:r>
      <w:r w:rsidR="00927146">
        <w:t>which is</w:t>
      </w:r>
      <w:r>
        <w:t xml:space="preserve"> </w:t>
      </w:r>
      <w:r>
        <w:t xml:space="preserve">sufficient to derive DGVs using the species sensitivity distribution (SSD) </w:t>
      </w:r>
      <w:r w:rsidR="00927146">
        <w:t>(Warne et al. 2018)</w:t>
      </w:r>
      <w:r>
        <w:t xml:space="preserve">. Based on the use of chronic data, the number of species included (15 species; classified as </w:t>
      </w:r>
      <w:r w:rsidR="00EB0398">
        <w:t>‘</w:t>
      </w:r>
      <w:r>
        <w:t>preferred</w:t>
      </w:r>
      <w:r w:rsidR="00EB0398">
        <w:t>’</w:t>
      </w:r>
      <w:r>
        <w:t xml:space="preserve">) and the good fit of the model to the data (see SSD in </w:t>
      </w:r>
      <w:r w:rsidR="00A4098B">
        <w:fldChar w:fldCharType="begin"/>
      </w:r>
      <w:r w:rsidR="00A4098B">
        <w:instrText xml:space="preserve"> REF _Ref85904186 \h </w:instrText>
      </w:r>
      <w:r w:rsidR="00A4098B">
        <w:fldChar w:fldCharType="separate"/>
      </w:r>
      <w:r w:rsidR="00A41C81">
        <w:t>Appendix E: Guideline value derivation with preferred toxicity estimates only</w:t>
      </w:r>
      <w:r w:rsidR="00A4098B">
        <w:fldChar w:fldCharType="end"/>
      </w:r>
      <w:r>
        <w:t>), DGVs based on these data alone would have very high reliability. However, inclusion of onl</w:t>
      </w:r>
      <w:r>
        <w:t xml:space="preserve">y preferred data excludes several sensitive unicellular algae for which only NOEC data were available. The omission of NOEC data from </w:t>
      </w:r>
      <w:r w:rsidR="00CC611D">
        <w:t xml:space="preserve">the </w:t>
      </w:r>
      <w:r>
        <w:t xml:space="preserve">toxicity dataset resulted in higher DGVs. Therefore, additional data were included in the DGV derivation to </w:t>
      </w:r>
      <w:r w:rsidR="004257E4">
        <w:t xml:space="preserve">ensure </w:t>
      </w:r>
      <w:r w:rsidR="00F74F52">
        <w:t>protect</w:t>
      </w:r>
      <w:r w:rsidR="004257E4">
        <w:t>ion of</w:t>
      </w:r>
      <w:r>
        <w:t xml:space="preserve"> sensitive species.</w:t>
      </w:r>
    </w:p>
    <w:p w14:paraId="273CD4B2" w14:textId="77777777" w:rsidR="00FD20B0" w:rsidRDefault="00324184" w:rsidP="00DF6E85">
      <w:pPr>
        <w:spacing w:before="240"/>
      </w:pPr>
      <w:r>
        <w:t>Specifically, the preferred data (NEC and EC10</w:t>
      </w:r>
      <w:r w:rsidR="00EF3CD0">
        <w:t>–EC</w:t>
      </w:r>
      <w:r>
        <w:t xml:space="preserve">20 data) were supplemented with NOEC data for species found in Australia or New Zealand. For </w:t>
      </w:r>
      <w:r w:rsidR="00243A3E">
        <w:t xml:space="preserve">four </w:t>
      </w:r>
      <w:r>
        <w:t>species, the NOEC data were reported as &lt;</w:t>
      </w:r>
      <w:r w:rsidR="00D43CCE">
        <w:t> </w:t>
      </w:r>
      <w:r>
        <w:t>values</w:t>
      </w:r>
      <w:r w:rsidR="00EF3CD0">
        <w:t xml:space="preserve">; these </w:t>
      </w:r>
      <w:r>
        <w:t>can be used in DGV deri</w:t>
      </w:r>
      <w:r>
        <w:t>vation</w:t>
      </w:r>
      <w:r w:rsidR="004257E4">
        <w:t xml:space="preserve"> (</w:t>
      </w:r>
      <w:r>
        <w:t xml:space="preserve">Warne et al. </w:t>
      </w:r>
      <w:r w:rsidR="00EF3CD0">
        <w:t>2018)</w:t>
      </w:r>
      <w:r>
        <w:t xml:space="preserve"> </w:t>
      </w:r>
      <w:r w:rsidR="004257E4">
        <w:t xml:space="preserve">and were treated and included as </w:t>
      </w:r>
      <w:r w:rsidR="00815478">
        <w:t>described</w:t>
      </w:r>
      <w:r>
        <w:t xml:space="preserve"> below.</w:t>
      </w:r>
    </w:p>
    <w:p w14:paraId="273CD4B3" w14:textId="77777777" w:rsidR="004A2694" w:rsidRDefault="00324184" w:rsidP="00FD20B0">
      <w:pPr>
        <w:pStyle w:val="ListBullet"/>
      </w:pPr>
      <w:r>
        <w:t xml:space="preserve">For the diatom </w:t>
      </w:r>
      <w:r w:rsidRPr="00B6458A">
        <w:rPr>
          <w:rStyle w:val="Emphasis"/>
        </w:rPr>
        <w:t>Minutocellus polymorphus</w:t>
      </w:r>
      <w:r>
        <w:t>, a value of 0.2</w:t>
      </w:r>
      <w:r w:rsidR="00A62CB1">
        <w:t> </w:t>
      </w:r>
      <w:r>
        <w:t xml:space="preserve">μg/L was used, </w:t>
      </w:r>
      <w:r w:rsidR="003B0832">
        <w:t xml:space="preserve">based on a </w:t>
      </w:r>
      <w:r>
        <w:t>reported LOEC of 0.2</w:t>
      </w:r>
      <w:r w:rsidR="00A62CB1">
        <w:t> </w:t>
      </w:r>
      <w:r>
        <w:t xml:space="preserve">μg/L and a NOEC </w:t>
      </w:r>
      <w:r w:rsidR="00A62CB1">
        <w:t xml:space="preserve">of </w:t>
      </w:r>
      <w:r>
        <w:t>&lt;0.2</w:t>
      </w:r>
      <w:r w:rsidR="00A62CB1">
        <w:t> </w:t>
      </w:r>
      <w:r>
        <w:t xml:space="preserve">μg/L </w:t>
      </w:r>
      <w:r w:rsidR="006C3BFB">
        <w:t>(Levy et al. 2007)</w:t>
      </w:r>
      <w:r>
        <w:t xml:space="preserve">. A more </w:t>
      </w:r>
      <w:r>
        <w:t xml:space="preserve">conservative approach of dividing the LOEC value of 0.2 μg/L by the default conversion factor of 2.5 for a LOEC to a </w:t>
      </w:r>
      <w:r w:rsidR="00F92AC6">
        <w:t xml:space="preserve">negligible </w:t>
      </w:r>
      <w:r>
        <w:t>effect equivalent was not justified on the basis that:</w:t>
      </w:r>
    </w:p>
    <w:p w14:paraId="273CD4B4" w14:textId="77777777" w:rsidR="004A2694" w:rsidRDefault="00324184" w:rsidP="00FD20B0">
      <w:pPr>
        <w:pStyle w:val="ListBullet2"/>
      </w:pPr>
      <w:r>
        <w:t>it would have resulted in a concentration close to background concentrati</w:t>
      </w:r>
      <w:r>
        <w:t>ons of copper</w:t>
      </w:r>
    </w:p>
    <w:p w14:paraId="273CD4B5" w14:textId="77777777" w:rsidR="004A2694" w:rsidRDefault="00324184" w:rsidP="00FD20B0">
      <w:pPr>
        <w:pStyle w:val="ListBullet2"/>
      </w:pPr>
      <w:r>
        <w:t xml:space="preserve">the effect size at the LOEC was only 16%, which is within the 20% effect size accepted for </w:t>
      </w:r>
      <w:r w:rsidR="000805F8">
        <w:t>DGV</w:t>
      </w:r>
      <w:r>
        <w:t xml:space="preserve"> derivation (i.e. up to EC20; Warne et al. </w:t>
      </w:r>
      <w:r w:rsidR="00BB031E">
        <w:t>(</w:t>
      </w:r>
      <w:r>
        <w:t>2018</w:t>
      </w:r>
      <w:r w:rsidR="00BB031E">
        <w:t>)</w:t>
      </w:r>
      <w:r>
        <w:t xml:space="preserve">). </w:t>
      </w:r>
    </w:p>
    <w:p w14:paraId="273CD4B6" w14:textId="77777777" w:rsidR="00FD20B0" w:rsidRDefault="00324184" w:rsidP="00243A3E">
      <w:pPr>
        <w:pStyle w:val="ListBullet"/>
        <w:numPr>
          <w:ilvl w:val="0"/>
          <w:numId w:val="0"/>
        </w:numPr>
        <w:ind w:left="426"/>
      </w:pPr>
      <w:r>
        <w:t xml:space="preserve">Notably, the </w:t>
      </w:r>
      <w:r w:rsidRPr="00B6458A">
        <w:rPr>
          <w:rStyle w:val="Emphasis"/>
        </w:rPr>
        <w:t>M. polymorphus</w:t>
      </w:r>
      <w:r>
        <w:t xml:space="preserve"> toxicity value of 0.2</w:t>
      </w:r>
      <w:r w:rsidR="00305136">
        <w:t> </w:t>
      </w:r>
      <w:r>
        <w:t>μg/L was the lowest toxicity value in the dat</w:t>
      </w:r>
      <w:r>
        <w:t>aset, and the apparent high sensitivity of this species was supported by a subsequent study that reported an IC50 of 1.0</w:t>
      </w:r>
      <w:r w:rsidR="00164681">
        <w:t> </w:t>
      </w:r>
      <w:r>
        <w:t xml:space="preserve">μg/L </w:t>
      </w:r>
      <w:r w:rsidR="00164681">
        <w:t>(Golding et al. 2015)</w:t>
      </w:r>
      <w:r>
        <w:t>, similar to the IC50 of 0.6</w:t>
      </w:r>
      <w:r w:rsidR="00327D01">
        <w:t> </w:t>
      </w:r>
      <w:r>
        <w:t xml:space="preserve">μg/L reported by Levy et al. </w:t>
      </w:r>
      <w:r w:rsidR="00327D01">
        <w:t>(2007)</w:t>
      </w:r>
      <w:r>
        <w:t xml:space="preserve">. </w:t>
      </w:r>
    </w:p>
    <w:p w14:paraId="273CD4B7" w14:textId="77777777" w:rsidR="00FD20B0" w:rsidRDefault="00324184" w:rsidP="00FD20B0">
      <w:pPr>
        <w:pStyle w:val="ListBullet"/>
      </w:pPr>
      <w:r>
        <w:t xml:space="preserve">For the </w:t>
      </w:r>
      <w:r w:rsidR="00926F65">
        <w:t xml:space="preserve">brown </w:t>
      </w:r>
      <w:r>
        <w:t xml:space="preserve">microalga </w:t>
      </w:r>
      <w:r w:rsidRPr="00B6458A">
        <w:rPr>
          <w:rStyle w:val="Emphasis"/>
        </w:rPr>
        <w:t>Proteomonas sulcat</w:t>
      </w:r>
      <w:r w:rsidRPr="00B6458A">
        <w:rPr>
          <w:rStyle w:val="Emphasis"/>
        </w:rPr>
        <w:t>a</w:t>
      </w:r>
      <w:r>
        <w:t>, where the NOEC was reported as &lt;5</w:t>
      </w:r>
      <w:r w:rsidR="000854A5">
        <w:t> </w:t>
      </w:r>
      <w:r>
        <w:t xml:space="preserve">μg/L </w:t>
      </w:r>
      <w:r w:rsidR="000854A5">
        <w:t>(Levy et al. 2007)</w:t>
      </w:r>
      <w:r>
        <w:t xml:space="preserve">, the </w:t>
      </w:r>
      <w:r w:rsidR="00735EC4">
        <w:t>I</w:t>
      </w:r>
      <w:r>
        <w:t>C50 value was 4.2</w:t>
      </w:r>
      <w:r w:rsidR="000854A5">
        <w:t> </w:t>
      </w:r>
      <w:r>
        <w:t xml:space="preserve">μg/L. </w:t>
      </w:r>
      <w:r w:rsidR="002F2176">
        <w:t xml:space="preserve">No LOEC was reported as it was greater than the IC50 (Levy et al. 2007). </w:t>
      </w:r>
      <w:r>
        <w:t xml:space="preserve">Therefore, it was more conservative to use the </w:t>
      </w:r>
      <w:r w:rsidR="00735EC4">
        <w:t>I</w:t>
      </w:r>
      <w:r>
        <w:t xml:space="preserve">C50 divided by 5 to estimate a </w:t>
      </w:r>
      <w:r w:rsidR="00F92AC6">
        <w:t xml:space="preserve">negligible effect </w:t>
      </w:r>
      <w:r>
        <w:t>equivalent of 0.84</w:t>
      </w:r>
      <w:r w:rsidR="007245C7">
        <w:t> </w:t>
      </w:r>
      <w:r>
        <w:t xml:space="preserve">μg/L. </w:t>
      </w:r>
    </w:p>
    <w:p w14:paraId="273CD4B8" w14:textId="77777777" w:rsidR="00DF6E85" w:rsidRDefault="00324184" w:rsidP="00FD20B0">
      <w:pPr>
        <w:pStyle w:val="ListBullet"/>
      </w:pPr>
      <w:r>
        <w:t xml:space="preserve">For the annelid </w:t>
      </w:r>
      <w:r w:rsidRPr="00B6458A">
        <w:rPr>
          <w:rStyle w:val="Emphasis"/>
        </w:rPr>
        <w:t>Hydroides elegans</w:t>
      </w:r>
      <w:r>
        <w:t>, where the NOEC was reported as &lt;6.2</w:t>
      </w:r>
      <w:r w:rsidR="00DF7C9C">
        <w:t> </w:t>
      </w:r>
      <w:r>
        <w:t>μg/L, the LC50 value was 52</w:t>
      </w:r>
      <w:r w:rsidR="00795FCB">
        <w:t> </w:t>
      </w:r>
      <w:r>
        <w:t xml:space="preserve">μg/L </w:t>
      </w:r>
      <w:r w:rsidR="008629EB">
        <w:t>(Xie et al. 2005)</w:t>
      </w:r>
      <w:r>
        <w:t xml:space="preserve">, which when converted to a </w:t>
      </w:r>
      <w:r w:rsidR="00F92AC6">
        <w:t xml:space="preserve">negligible effect </w:t>
      </w:r>
      <w:r>
        <w:t>equivalent by dividing by 5 would have resulted in 10</w:t>
      </w:r>
      <w:r w:rsidR="008629EB">
        <w:t> </w:t>
      </w:r>
      <w:r>
        <w:t>μg/L, a value larger than the reported NOEC. In this case, it was more conservative to use the LOEC value (6.2</w:t>
      </w:r>
      <w:r w:rsidR="009F79AB">
        <w:t> </w:t>
      </w:r>
      <w:r>
        <w:t>μg/L) converted to a NOEC by dividing by 2.5 (2.5</w:t>
      </w:r>
      <w:r w:rsidR="009F79AB">
        <w:t> </w:t>
      </w:r>
      <w:r>
        <w:t xml:space="preserve">μg/L). </w:t>
      </w:r>
    </w:p>
    <w:p w14:paraId="273CD4B9" w14:textId="77777777" w:rsidR="00243A3E" w:rsidRDefault="00324184" w:rsidP="00FD20B0">
      <w:pPr>
        <w:pStyle w:val="ListBullet"/>
      </w:pPr>
      <w:r w:rsidRPr="00243A3E">
        <w:t xml:space="preserve">For the brown macroalga </w:t>
      </w:r>
      <w:r w:rsidRPr="00243A3E">
        <w:rPr>
          <w:i/>
          <w:iCs/>
        </w:rPr>
        <w:t xml:space="preserve">Macrocystis pyrifera, </w:t>
      </w:r>
      <w:r w:rsidRPr="00243A3E">
        <w:t>a 20</w:t>
      </w:r>
      <w:r w:rsidR="00696F51">
        <w:t> </w:t>
      </w:r>
      <w:r w:rsidRPr="00243A3E">
        <w:t>d</w:t>
      </w:r>
      <w:r w:rsidR="00696F51">
        <w:t>ay</w:t>
      </w:r>
      <w:r w:rsidRPr="00243A3E">
        <w:t xml:space="preserve"> NOEC</w:t>
      </w:r>
      <w:r w:rsidRPr="00243A3E">
        <w:rPr>
          <w:i/>
          <w:iCs/>
        </w:rPr>
        <w:t xml:space="preserve"> </w:t>
      </w:r>
      <w:r w:rsidRPr="00243A3E">
        <w:t>of &lt;10.2</w:t>
      </w:r>
      <w:r w:rsidR="00696F51">
        <w:t> </w:t>
      </w:r>
      <w:r w:rsidRPr="00243A3E">
        <w:t xml:space="preserve">µg/L was reported </w:t>
      </w:r>
      <w:r w:rsidRPr="00243A3E">
        <w:t xml:space="preserve">for sporophyte production (Anderson et al. 1990). The effect size at this concentration was close to 50%, over the effect size accepted for DGV derivation </w:t>
      </w:r>
      <w:r>
        <w:t xml:space="preserve">without conversion </w:t>
      </w:r>
      <w:r w:rsidRPr="00243A3E">
        <w:t>(</w:t>
      </w:r>
      <w:r>
        <w:t xml:space="preserve">i.e. </w:t>
      </w:r>
      <w:r w:rsidRPr="00243A3E">
        <w:t>up to EC20; Warne et al. 2018)</w:t>
      </w:r>
      <w:r>
        <w:t>. Therefore,</w:t>
      </w:r>
      <w:r w:rsidRPr="00243A3E">
        <w:t xml:space="preserve"> this value was considered a LOEC </w:t>
      </w:r>
      <w:r w:rsidRPr="00243A3E">
        <w:t xml:space="preserve">and converted to a negligible effect equivalent </w:t>
      </w:r>
      <w:r w:rsidR="00F10B0A">
        <w:t>of 4.1</w:t>
      </w:r>
      <w:r w:rsidR="003727FC">
        <w:t> </w:t>
      </w:r>
      <w:r w:rsidR="00F10B0A" w:rsidRPr="00243A3E">
        <w:t xml:space="preserve">µg/L </w:t>
      </w:r>
      <w:r w:rsidRPr="00243A3E">
        <w:t>by dividing by 2.5. This value is supported by a 48</w:t>
      </w:r>
      <w:r w:rsidR="003727FC">
        <w:t> </w:t>
      </w:r>
      <w:r w:rsidRPr="00243A3E">
        <w:t>h</w:t>
      </w:r>
      <w:r w:rsidR="003727FC">
        <w:t>our</w:t>
      </w:r>
      <w:r w:rsidRPr="00243A3E">
        <w:t xml:space="preserve"> test, with 100% effect on sporophyte production</w:t>
      </w:r>
      <w:r>
        <w:t xml:space="preserve"> reported at the lowest test concentration of 18</w:t>
      </w:r>
      <w:r w:rsidR="003727FC">
        <w:t> </w:t>
      </w:r>
      <w:r w:rsidRPr="00243A3E">
        <w:t>µg/L (Anderson et al. 1990).</w:t>
      </w:r>
    </w:p>
    <w:p w14:paraId="273CD4BA" w14:textId="77777777" w:rsidR="00DF6E85" w:rsidRDefault="00324184" w:rsidP="00DF6E85">
      <w:pPr>
        <w:spacing w:before="240"/>
      </w:pPr>
      <w:r>
        <w:t xml:space="preserve">As there were </w:t>
      </w:r>
      <w:r>
        <w:t xml:space="preserve">no preferred data for any </w:t>
      </w:r>
      <w:r w:rsidR="004C5FCF">
        <w:t xml:space="preserve">fish </w:t>
      </w:r>
      <w:r>
        <w:t>species, NOEC data were accepted for fish to ensure that this taxonomic group was included in the DGV derivation.</w:t>
      </w:r>
    </w:p>
    <w:p w14:paraId="273CD4BB" w14:textId="77777777" w:rsidR="00DF6E85" w:rsidRDefault="00324184" w:rsidP="00DF6E85">
      <w:pPr>
        <w:spacing w:before="240"/>
      </w:pPr>
      <w:r>
        <w:t>There were 63 chronic toxicity values assessed as being of suitable quality for use in the DGV derivation (</w:t>
      </w:r>
      <w:r w:rsidR="00A4098B">
        <w:fldChar w:fldCharType="begin"/>
      </w:r>
      <w:r w:rsidR="00A4098B">
        <w:instrText xml:space="preserve"> REF _Ref85904129 \h </w:instrText>
      </w:r>
      <w:r w:rsidR="00A4098B">
        <w:fldChar w:fldCharType="separate"/>
      </w:r>
      <w:r w:rsidR="00A41C81">
        <w:t>Appendix </w:t>
      </w:r>
      <w:r w:rsidR="00A41C81" w:rsidRPr="006402D2">
        <w:t>B</w:t>
      </w:r>
      <w:r w:rsidR="00A41C81">
        <w:t>:</w:t>
      </w:r>
      <w:r w:rsidR="00A41C81" w:rsidRPr="006402D2">
        <w:t xml:space="preserve"> </w:t>
      </w:r>
      <w:r w:rsidR="00A41C81">
        <w:t>Toxicity data that passed the screening and quality assessment and were used to derive the default guideline values</w:t>
      </w:r>
      <w:r w:rsidR="00A4098B">
        <w:fldChar w:fldCharType="end"/>
      </w:r>
      <w:r>
        <w:t xml:space="preserve">). Of these, </w:t>
      </w:r>
      <w:r w:rsidR="009246E1">
        <w:t>four</w:t>
      </w:r>
      <w:r>
        <w:t xml:space="preserve"> were of the highest </w:t>
      </w:r>
      <w:r w:rsidR="00A7415A">
        <w:t xml:space="preserve">preference </w:t>
      </w:r>
      <w:r>
        <w:t xml:space="preserve">(NEC) from one species, 33 were of the next highest </w:t>
      </w:r>
      <w:r w:rsidR="00A7415A">
        <w:t xml:space="preserve">preference </w:t>
      </w:r>
      <w:r>
        <w:t>(EC/LC10</w:t>
      </w:r>
      <w:r w:rsidR="009246E1">
        <w:t>–</w:t>
      </w:r>
      <w:r>
        <w:t xml:space="preserve">20) from 14 species, 24 were NOEC </w:t>
      </w:r>
      <w:r w:rsidR="00A7415A">
        <w:t xml:space="preserve">values </w:t>
      </w:r>
      <w:r>
        <w:t xml:space="preserve">from 15 species, and there was one converted IC50 </w:t>
      </w:r>
      <w:r w:rsidR="00157CFC">
        <w:t xml:space="preserve">for one species, </w:t>
      </w:r>
      <w:r>
        <w:t xml:space="preserve">and one converted LOEC </w:t>
      </w:r>
      <w:r w:rsidR="00157CFC">
        <w:t>for one species</w:t>
      </w:r>
      <w:r>
        <w:t xml:space="preserve">. The salinity </w:t>
      </w:r>
      <w:r w:rsidR="00A7415A">
        <w:t xml:space="preserve">range for </w:t>
      </w:r>
      <w:r>
        <w:t xml:space="preserve">the acceptable toxicity tests </w:t>
      </w:r>
      <w:r w:rsidR="00A7415A">
        <w:t xml:space="preserve">was </w:t>
      </w:r>
      <w:r>
        <w:t>25</w:t>
      </w:r>
      <w:r w:rsidR="009147A0">
        <w:t>–</w:t>
      </w:r>
      <w:r>
        <w:t xml:space="preserve">37‰, with the maximum being slightly higher than Warne et al. </w:t>
      </w:r>
      <w:r w:rsidR="00735EC4">
        <w:t>(2018)</w:t>
      </w:r>
      <w:r>
        <w:t xml:space="preserve"> advise. Only one study reported a range that exceeded 36‰</w:t>
      </w:r>
      <w:r w:rsidR="00D328FE">
        <w:t>:</w:t>
      </w:r>
      <w:r>
        <w:t xml:space="preserve"> tests on </w:t>
      </w:r>
      <w:r w:rsidR="00D328FE">
        <w:t xml:space="preserve">the </w:t>
      </w:r>
      <w:r>
        <w:t xml:space="preserve">giant kelp </w:t>
      </w:r>
      <w:r w:rsidR="00243A3E" w:rsidRPr="00B93C79">
        <w:rPr>
          <w:rStyle w:val="Emphasis"/>
        </w:rPr>
        <w:t>M</w:t>
      </w:r>
      <w:r w:rsidR="00243A3E">
        <w:rPr>
          <w:rStyle w:val="Emphasis"/>
        </w:rPr>
        <w:t>.</w:t>
      </w:r>
      <w:r w:rsidR="00582F83">
        <w:rPr>
          <w:rStyle w:val="Emphasis"/>
        </w:rPr>
        <w:t> </w:t>
      </w:r>
      <w:r w:rsidRPr="00B93C79">
        <w:rPr>
          <w:rStyle w:val="Emphasis"/>
        </w:rPr>
        <w:t>pyrifera</w:t>
      </w:r>
      <w:r>
        <w:t>, with salinity range reported as 35</w:t>
      </w:r>
      <w:r w:rsidR="00D328FE">
        <w:t>–</w:t>
      </w:r>
      <w:r>
        <w:t xml:space="preserve">37‰ </w:t>
      </w:r>
      <w:r w:rsidR="00D328FE">
        <w:t>(Anderson et al. 1990)</w:t>
      </w:r>
      <w:r>
        <w:t xml:space="preserve">. Based on the midpoint of the salinity ranges being ≤36‰, the toxicity values from these tests were included in the derivation. The temperature range </w:t>
      </w:r>
      <w:r w:rsidR="000A187E">
        <w:t xml:space="preserve">for </w:t>
      </w:r>
      <w:r>
        <w:t xml:space="preserve">the acceptable toxicity tests </w:t>
      </w:r>
      <w:r w:rsidR="00735EC4">
        <w:t xml:space="preserve">was </w:t>
      </w:r>
      <w:r>
        <w:t>13</w:t>
      </w:r>
      <w:r w:rsidR="00104568">
        <w:t>–</w:t>
      </w:r>
      <w:r w:rsidR="00735EC4">
        <w:t>31</w:t>
      </w:r>
      <w:r>
        <w:t>°C</w:t>
      </w:r>
      <w:r w:rsidR="000A187E">
        <w:t>; thus, the dataset included both temperate and (sub)tropical species</w:t>
      </w:r>
      <w:r>
        <w:t xml:space="preserve">. DOC was reported for </w:t>
      </w:r>
      <w:r w:rsidR="000A187E">
        <w:t xml:space="preserve">19 </w:t>
      </w:r>
      <w:r>
        <w:t xml:space="preserve">toxicity values </w:t>
      </w:r>
      <w:r w:rsidR="00A7415A">
        <w:t xml:space="preserve">representing 10 species, </w:t>
      </w:r>
      <w:r>
        <w:t>and ranged from &lt;0.00</w:t>
      </w:r>
      <w:r w:rsidR="00A843D0">
        <w:t>1</w:t>
      </w:r>
      <w:r w:rsidR="000D2816">
        <w:t> mg/L</w:t>
      </w:r>
      <w:r>
        <w:t xml:space="preserve"> to 2</w:t>
      </w:r>
      <w:r w:rsidR="000D2816">
        <w:t> </w:t>
      </w:r>
      <w:r>
        <w:t xml:space="preserve">mg/L. </w:t>
      </w:r>
      <w:r w:rsidR="00732C45">
        <w:t>For tests that did not report DOC, it</w:t>
      </w:r>
      <w:r>
        <w:t xml:space="preserve"> was assumed to be &lt;2</w:t>
      </w:r>
      <w:r w:rsidR="00732C45">
        <w:t> </w:t>
      </w:r>
      <w:r>
        <w:t>mg/L.</w:t>
      </w:r>
    </w:p>
    <w:p w14:paraId="273CD4BC" w14:textId="77777777" w:rsidR="00DF6E85" w:rsidRDefault="00324184" w:rsidP="00DF6E85">
      <w:pPr>
        <w:spacing w:before="240"/>
      </w:pPr>
      <w:r>
        <w:t xml:space="preserve">The 63 acceptable toxicity </w:t>
      </w:r>
      <w:r w:rsidR="00E11EDF">
        <w:t xml:space="preserve">values </w:t>
      </w:r>
      <w:r>
        <w:t>(</w:t>
      </w:r>
      <w:r w:rsidR="00454065">
        <w:fldChar w:fldCharType="begin"/>
      </w:r>
      <w:r w:rsidR="00454065">
        <w:instrText xml:space="preserve"> REF _Ref85904129 \h </w:instrText>
      </w:r>
      <w:r w:rsidR="00454065">
        <w:fldChar w:fldCharType="separate"/>
      </w:r>
      <w:r w:rsidR="00A41C81">
        <w:t>Appendix </w:t>
      </w:r>
      <w:r w:rsidR="00A41C81" w:rsidRPr="006402D2">
        <w:t>B</w:t>
      </w:r>
      <w:r w:rsidR="00A41C81">
        <w:t>:</w:t>
      </w:r>
      <w:r w:rsidR="00A41C81" w:rsidRPr="006402D2">
        <w:t xml:space="preserve"> </w:t>
      </w:r>
      <w:r w:rsidR="00A41C81">
        <w:t>Toxicity data that passed the screening and quality assessment and were used to derive the default guideline values</w:t>
      </w:r>
      <w:r w:rsidR="00454065">
        <w:fldChar w:fldCharType="end"/>
      </w:r>
      <w:r>
        <w:t>) were summarised to 32 single species values (</w:t>
      </w:r>
      <w:r w:rsidR="0054170B">
        <w:fldChar w:fldCharType="begin"/>
      </w:r>
      <w:r w:rsidR="0054170B">
        <w:instrText xml:space="preserve"> REF _Ref85903509 \h </w:instrText>
      </w:r>
      <w:r w:rsidR="0054170B">
        <w:fldChar w:fldCharType="separate"/>
      </w:r>
      <w:r w:rsidR="00A41C81">
        <w:t>Table </w:t>
      </w:r>
      <w:r w:rsidR="00A41C81">
        <w:rPr>
          <w:noProof/>
        </w:rPr>
        <w:t>1</w:t>
      </w:r>
      <w:r w:rsidR="0054170B">
        <w:fldChar w:fldCharType="end"/>
      </w:r>
      <w:r>
        <w:t xml:space="preserve">) for use in the SSD, by either calculating geometric means or selecting the </w:t>
      </w:r>
      <w:r w:rsidR="001F7C39">
        <w:t xml:space="preserve">value for the </w:t>
      </w:r>
      <w:r>
        <w:t>most sensitive endpoint, life-stage and toxicity test duration for eac</w:t>
      </w:r>
      <w:r>
        <w:t>h species</w:t>
      </w:r>
      <w:r w:rsidR="001F7C39">
        <w:t>,</w:t>
      </w:r>
      <w:r>
        <w:t xml:space="preserve"> based on Warne et al. </w:t>
      </w:r>
      <w:r w:rsidR="00E11EDF">
        <w:t>(2018)</w:t>
      </w:r>
      <w:r>
        <w:t xml:space="preserve">. </w:t>
      </w:r>
      <w:r w:rsidR="0053797B">
        <w:t>The DGV derivation used data from</w:t>
      </w:r>
      <w:r>
        <w:t xml:space="preserve"> 32 species </w:t>
      </w:r>
      <w:r w:rsidR="0053797B">
        <w:t>from 1</w:t>
      </w:r>
      <w:r w:rsidR="000E5823">
        <w:t>2</w:t>
      </w:r>
      <w:r w:rsidR="0053797B">
        <w:t xml:space="preserve"> taxonomic groups</w:t>
      </w:r>
      <w:r w:rsidR="002F735C">
        <w:t xml:space="preserve">. </w:t>
      </w:r>
      <w:r>
        <w:t>The toxicity values in the SSD range over 3 orders of magnitude. The lowest values were 0.2</w:t>
      </w:r>
      <w:r w:rsidR="006C6A4A">
        <w:t> </w:t>
      </w:r>
      <w:r>
        <w:t xml:space="preserve">μg/L for the diatom </w:t>
      </w:r>
      <w:r w:rsidRPr="003E30BB">
        <w:rPr>
          <w:rStyle w:val="Emphasis"/>
        </w:rPr>
        <w:t>M.</w:t>
      </w:r>
      <w:r w:rsidR="00A77FF1">
        <w:rPr>
          <w:rStyle w:val="Emphasis"/>
        </w:rPr>
        <w:t> </w:t>
      </w:r>
      <w:r w:rsidRPr="003E30BB">
        <w:rPr>
          <w:rStyle w:val="Emphasis"/>
        </w:rPr>
        <w:t>polymorphus</w:t>
      </w:r>
      <w:r>
        <w:t xml:space="preserve"> and 0.3</w:t>
      </w:r>
      <w:r w:rsidR="00F75E1D">
        <w:t> </w:t>
      </w:r>
      <w:r>
        <w:t xml:space="preserve">μg/L for </w:t>
      </w:r>
      <w:r>
        <w:t xml:space="preserve">the green </w:t>
      </w:r>
      <w:r w:rsidR="009239BA">
        <w:t>micro</w:t>
      </w:r>
      <w:r>
        <w:t xml:space="preserve">alga </w:t>
      </w:r>
      <w:r w:rsidRPr="003E30BB">
        <w:rPr>
          <w:rStyle w:val="Emphasis"/>
        </w:rPr>
        <w:t>Micromonas pusilla</w:t>
      </w:r>
      <w:r w:rsidR="00F75E1D">
        <w:rPr>
          <w:rStyle w:val="Emphasis"/>
        </w:rPr>
        <w:t xml:space="preserve"> </w:t>
      </w:r>
      <w:r w:rsidR="00F75E1D">
        <w:t>(Levy et al. 2007)</w:t>
      </w:r>
      <w:r>
        <w:t xml:space="preserve">. The most sensitive fauna species was the New Zealand paua </w:t>
      </w:r>
      <w:r w:rsidR="002F2176">
        <w:t xml:space="preserve">(mollusc) </w:t>
      </w:r>
      <w:r w:rsidRPr="003E30BB">
        <w:rPr>
          <w:rStyle w:val="Emphasis"/>
        </w:rPr>
        <w:t>Haliotis iris</w:t>
      </w:r>
      <w:r>
        <w:t>, at 0.7</w:t>
      </w:r>
      <w:r w:rsidR="003D3FD3">
        <w:t> </w:t>
      </w:r>
      <w:r>
        <w:t>μg/L</w:t>
      </w:r>
      <w:r w:rsidR="003D3FD3">
        <w:t xml:space="preserve"> (Rouchon 2015)</w:t>
      </w:r>
      <w:r>
        <w:t>. The least sensitive species was a blue</w:t>
      </w:r>
      <w:r w:rsidR="00FD7EF7">
        <w:t>–</w:t>
      </w:r>
      <w:r>
        <w:t xml:space="preserve">green alga </w:t>
      </w:r>
      <w:r w:rsidRPr="003E30BB">
        <w:rPr>
          <w:rStyle w:val="Emphasis"/>
        </w:rPr>
        <w:t xml:space="preserve">Cyanobium </w:t>
      </w:r>
      <w:r w:rsidRPr="00FD7EF7">
        <w:t>sp</w:t>
      </w:r>
      <w:r w:rsidRPr="003E30BB">
        <w:rPr>
          <w:rStyle w:val="Emphasis"/>
        </w:rPr>
        <w:t>.</w:t>
      </w:r>
      <w:r>
        <w:t>, at 300</w:t>
      </w:r>
      <w:r w:rsidR="00FD7EF7">
        <w:t> </w:t>
      </w:r>
      <w:r>
        <w:t>μg/L</w:t>
      </w:r>
      <w:r w:rsidR="00FD7EF7">
        <w:t xml:space="preserve"> (Alquezar &amp; Anastasi 2013)</w:t>
      </w:r>
      <w:r>
        <w:t>.</w:t>
      </w:r>
      <w:r w:rsidR="00EC2DA6">
        <w:t xml:space="preserve"> Details of the data quality assessment and all the data that were deemed to have passed the quality assessment are provided as supporting information.</w:t>
      </w:r>
    </w:p>
    <w:p w14:paraId="273CD4BD" w14:textId="77777777" w:rsidR="00E11D54" w:rsidRDefault="00324184" w:rsidP="00DF6E85">
      <w:pPr>
        <w:spacing w:before="240"/>
      </w:pPr>
      <w:r>
        <w:t xml:space="preserve">The ANZECC/ARMCANZ (2000) DGVs for copper in marine water were based on 25 species, </w:t>
      </w:r>
      <w:r w:rsidR="005C3E78">
        <w:t>seven fewer</w:t>
      </w:r>
      <w:r>
        <w:t xml:space="preserve"> than the current derivation. This is the result of substantial new data becoming available in the past 20</w:t>
      </w:r>
      <w:r w:rsidR="004600F6">
        <w:t> </w:t>
      </w:r>
      <w:r>
        <w:t>years. Data for 27 of the 32 included species are from</w:t>
      </w:r>
      <w:r>
        <w:t xml:space="preserve"> studies published since 2003. Several species </w:t>
      </w:r>
      <w:r w:rsidR="004A2A94">
        <w:t xml:space="preserve">that were in the ANZECC/ARMCANZ (2000) derivation </w:t>
      </w:r>
      <w:r>
        <w:t>are not included in the current derivation, primarily due to the:</w:t>
      </w:r>
    </w:p>
    <w:p w14:paraId="273CD4BE" w14:textId="77777777" w:rsidR="00E11D54" w:rsidRDefault="00324184" w:rsidP="00E11D54">
      <w:pPr>
        <w:pStyle w:val="ListBullet"/>
      </w:pPr>
      <w:r>
        <w:t>new classifications for chronic toxicity tests, which require longer test durations than in t</w:t>
      </w:r>
      <w:r>
        <w:t>he ANZECC/ARMCANZ (2000) derivation (e.g. adult fish tests now require ≥21</w:t>
      </w:r>
      <w:r w:rsidR="00032058">
        <w:t> days</w:t>
      </w:r>
      <w:r>
        <w:t xml:space="preserve"> </w:t>
      </w:r>
      <w:r w:rsidR="00032058">
        <w:t>(Warne et al. 2018)</w:t>
      </w:r>
      <w:r>
        <w:t xml:space="preserve"> compared to ≥7</w:t>
      </w:r>
      <w:r w:rsidR="00AB16F7">
        <w:t> </w:t>
      </w:r>
      <w:r w:rsidR="00032058">
        <w:t>days</w:t>
      </w:r>
      <w:r>
        <w:t xml:space="preserve"> </w:t>
      </w:r>
      <w:r w:rsidR="00032058">
        <w:t>(ANZECC/ARMCANZ 2000)</w:t>
      </w:r>
      <w:r>
        <w:t>)</w:t>
      </w:r>
    </w:p>
    <w:p w14:paraId="273CD4BF" w14:textId="77777777" w:rsidR="00E11D54" w:rsidRDefault="00324184" w:rsidP="00E11D54">
      <w:pPr>
        <w:pStyle w:val="ListBullet"/>
      </w:pPr>
      <w:r>
        <w:t>preference for EC10/NOEC data over converted EC50 data</w:t>
      </w:r>
    </w:p>
    <w:p w14:paraId="273CD4C0" w14:textId="77777777" w:rsidR="00DF6E85" w:rsidRDefault="00324184" w:rsidP="00E11D54">
      <w:pPr>
        <w:pStyle w:val="ListBullet"/>
      </w:pPr>
      <w:r>
        <w:t>the avoidance of data reported before 1980.</w:t>
      </w:r>
    </w:p>
    <w:p w14:paraId="273CD4C1" w14:textId="77777777" w:rsidR="0099467D" w:rsidRDefault="00324184" w:rsidP="00DF6E85">
      <w:pPr>
        <w:spacing w:before="240"/>
      </w:pPr>
      <w:r>
        <w:t>As the differe</w:t>
      </w:r>
      <w:r>
        <w:t xml:space="preserve">nt mechanisms of copper toxicity suggest the potential to exhibit bimodality or multimodality, the toxicity dataset was assessed for this following the advice in Warne et al. </w:t>
      </w:r>
      <w:r w:rsidR="005A0D38">
        <w:t>(2018)</w:t>
      </w:r>
      <w:r>
        <w:t>. There was some visual evidence of bimodality but little evidence from sta</w:t>
      </w:r>
      <w:r>
        <w:t xml:space="preserve">tistical tests and limited evidence of taxa-specific </w:t>
      </w:r>
      <w:r w:rsidR="003552E0">
        <w:t>sensitivity</w:t>
      </w:r>
      <w:r w:rsidR="00DB3A6C">
        <w:t>,</w:t>
      </w:r>
      <w:r>
        <w:t xml:space="preserve"> with the possible exception of diatoms (</w:t>
      </w:r>
      <w:r w:rsidR="00B92006">
        <w:fldChar w:fldCharType="begin"/>
      </w:r>
      <w:r w:rsidR="00B92006">
        <w:instrText xml:space="preserve"> REF _Ref85904248 \h </w:instrText>
      </w:r>
      <w:r w:rsidR="00B92006">
        <w:fldChar w:fldCharType="separate"/>
      </w:r>
      <w:r w:rsidR="00A41C81">
        <w:t>Appendix F: Modality assessment for copper</w:t>
      </w:r>
      <w:r w:rsidR="00B92006">
        <w:fldChar w:fldCharType="end"/>
      </w:r>
      <w:r>
        <w:t>). It is considered t</w:t>
      </w:r>
      <w:r>
        <w:t xml:space="preserve">hat the apparent visual bimodality is simply an artefact of the data included and the use of NOEC data in the distribution. </w:t>
      </w:r>
      <w:r w:rsidR="004B1D76">
        <w:t>Consequently, all the acceptable data were used in the DGV derivation.</w:t>
      </w:r>
    </w:p>
    <w:p w14:paraId="273CD4C2" w14:textId="77777777" w:rsidR="00FD1CB1" w:rsidRDefault="00324184" w:rsidP="00FD1CB1">
      <w:pPr>
        <w:pStyle w:val="Caption"/>
      </w:pPr>
      <w:bookmarkStart w:id="36" w:name="_Ref85903509"/>
      <w:bookmarkStart w:id="37" w:name="_Toc88127897"/>
      <w:bookmarkStart w:id="38" w:name="_Toc89268672"/>
      <w:r>
        <w:t>Table </w:t>
      </w:r>
      <w:r w:rsidR="00A41C81">
        <w:fldChar w:fldCharType="begin"/>
      </w:r>
      <w:r>
        <w:instrText xml:space="preserve"> SEQ Table \* ARABIC </w:instrText>
      </w:r>
      <w:r w:rsidR="00A41C81">
        <w:fldChar w:fldCharType="separate"/>
      </w:r>
      <w:r w:rsidR="00A41C81">
        <w:rPr>
          <w:noProof/>
        </w:rPr>
        <w:t>1</w:t>
      </w:r>
      <w:r w:rsidR="00A41C81">
        <w:rPr>
          <w:noProof/>
        </w:rPr>
        <w:fldChar w:fldCharType="end"/>
      </w:r>
      <w:bookmarkEnd w:id="36"/>
      <w:r w:rsidRPr="00F3726A">
        <w:t xml:space="preserve"> Summary</w:t>
      </w:r>
      <w:r w:rsidR="006D765E">
        <w:t xml:space="preserve"> of</w:t>
      </w:r>
      <w:r w:rsidR="00DB3A6C">
        <w:t xml:space="preserve"> </w:t>
      </w:r>
      <w:r w:rsidR="006D765E">
        <w:t>single</w:t>
      </w:r>
      <w:r w:rsidRPr="00F3726A">
        <w:t xml:space="preserve"> chronic toxicity values</w:t>
      </w:r>
      <w:r w:rsidR="006D765E">
        <w:t>, all species</w:t>
      </w:r>
      <w:r w:rsidRPr="00F3726A">
        <w:t xml:space="preserve"> used to derive the default guideline values for </w:t>
      </w:r>
      <w:r w:rsidR="006D765E">
        <w:t xml:space="preserve">dissolved </w:t>
      </w:r>
      <w:r w:rsidRPr="00F3726A">
        <w:t xml:space="preserve">copper </w:t>
      </w:r>
      <w:r w:rsidR="006D765E">
        <w:t xml:space="preserve">in </w:t>
      </w:r>
      <w:r w:rsidRPr="00F3726A">
        <w:t>marine</w:t>
      </w:r>
      <w:r w:rsidR="006D765E">
        <w:t xml:space="preserve"> water</w:t>
      </w:r>
      <w:bookmarkEnd w:id="37"/>
      <w:bookmarkEnd w:id="38"/>
    </w:p>
    <w:tbl>
      <w:tblPr>
        <w:tblW w:w="5000" w:type="pct"/>
        <w:tblBorders>
          <w:top w:val="single" w:sz="6" w:space="0" w:color="auto"/>
          <w:bottom w:val="single" w:sz="6" w:space="0" w:color="auto"/>
          <w:insideH w:val="single" w:sz="6" w:space="0" w:color="auto"/>
        </w:tblBorders>
        <w:tblCellMar>
          <w:left w:w="57" w:type="dxa"/>
          <w:right w:w="57" w:type="dxa"/>
        </w:tblCellMar>
        <w:tblLook w:val="0200" w:firstRow="0" w:lastRow="0" w:firstColumn="0" w:lastColumn="0" w:noHBand="1" w:noVBand="0"/>
        <w:tblCaption w:val="Summary of single chronic toxicity values, all species used to derive the default guideline values for dissolved copper in marine water"/>
        <w:tblDescription w:val="Table provides a list of the species used to derive the copper default guideline values with additional details such as taxonomic group, life stage, exposure duration (day), toxicity measure (test endpoint), reported toxicity value (microgram per litre) and final toxicity value (microgram per litre)."/>
      </w:tblPr>
      <w:tblGrid>
        <w:gridCol w:w="1024"/>
        <w:gridCol w:w="2055"/>
        <w:gridCol w:w="1054"/>
        <w:gridCol w:w="987"/>
        <w:gridCol w:w="1556"/>
        <w:gridCol w:w="1413"/>
        <w:gridCol w:w="981"/>
      </w:tblGrid>
      <w:tr w:rsidR="00091AEB" w14:paraId="273CD4CA" w14:textId="77777777" w:rsidTr="002A53DC">
        <w:trPr>
          <w:cantSplit/>
          <w:trHeight w:val="44"/>
          <w:tblHeader/>
        </w:trPr>
        <w:tc>
          <w:tcPr>
            <w:tcW w:w="564" w:type="pct"/>
            <w:tcBorders>
              <w:top w:val="single" w:sz="12" w:space="0" w:color="auto"/>
              <w:bottom w:val="single" w:sz="12" w:space="0" w:color="auto"/>
            </w:tcBorders>
            <w:shd w:val="clear" w:color="auto" w:fill="auto"/>
            <w:tcMar>
              <w:left w:w="85" w:type="dxa"/>
              <w:right w:w="57" w:type="dxa"/>
            </w:tcMar>
          </w:tcPr>
          <w:p w14:paraId="273CD4C3" w14:textId="77777777" w:rsidR="00FD1CB1" w:rsidRPr="00F3726A" w:rsidRDefault="00324184" w:rsidP="0099467D">
            <w:pPr>
              <w:pStyle w:val="TableHeading"/>
            </w:pPr>
            <w:bookmarkStart w:id="39" w:name="_Hlk85889848"/>
            <w:r>
              <w:t>Taxonomic group</w:t>
            </w:r>
          </w:p>
        </w:tc>
        <w:tc>
          <w:tcPr>
            <w:tcW w:w="1133" w:type="pct"/>
            <w:tcBorders>
              <w:top w:val="single" w:sz="12" w:space="0" w:color="auto"/>
              <w:bottom w:val="single" w:sz="12" w:space="0" w:color="auto"/>
            </w:tcBorders>
            <w:shd w:val="clear" w:color="auto" w:fill="auto"/>
            <w:tcMar>
              <w:left w:w="85" w:type="dxa"/>
              <w:right w:w="57" w:type="dxa"/>
            </w:tcMar>
          </w:tcPr>
          <w:p w14:paraId="273CD4C4" w14:textId="77777777" w:rsidR="00FD1CB1" w:rsidRPr="00944285" w:rsidRDefault="00324184" w:rsidP="0099467D">
            <w:pPr>
              <w:pStyle w:val="TableHeading"/>
            </w:pPr>
            <w:r w:rsidRPr="00944285">
              <w:t>Species</w:t>
            </w:r>
          </w:p>
        </w:tc>
        <w:tc>
          <w:tcPr>
            <w:tcW w:w="581" w:type="pct"/>
            <w:tcBorders>
              <w:top w:val="single" w:sz="12" w:space="0" w:color="auto"/>
              <w:bottom w:val="single" w:sz="12" w:space="0" w:color="auto"/>
            </w:tcBorders>
            <w:shd w:val="clear" w:color="auto" w:fill="auto"/>
            <w:tcMar>
              <w:left w:w="85" w:type="dxa"/>
              <w:right w:w="57" w:type="dxa"/>
            </w:tcMar>
          </w:tcPr>
          <w:p w14:paraId="273CD4C5" w14:textId="77777777" w:rsidR="00FD1CB1" w:rsidRPr="00F3726A" w:rsidRDefault="00324184" w:rsidP="0099467D">
            <w:pPr>
              <w:pStyle w:val="TableHeading"/>
            </w:pPr>
            <w:r w:rsidRPr="00F3726A">
              <w:t>Life stage</w:t>
            </w:r>
          </w:p>
        </w:tc>
        <w:tc>
          <w:tcPr>
            <w:tcW w:w="544" w:type="pct"/>
            <w:tcBorders>
              <w:top w:val="single" w:sz="12" w:space="0" w:color="auto"/>
              <w:bottom w:val="single" w:sz="12" w:space="0" w:color="auto"/>
            </w:tcBorders>
            <w:shd w:val="clear" w:color="auto" w:fill="auto"/>
            <w:tcMar>
              <w:left w:w="57" w:type="dxa"/>
              <w:right w:w="0" w:type="dxa"/>
            </w:tcMar>
          </w:tcPr>
          <w:p w14:paraId="273CD4C6" w14:textId="77777777" w:rsidR="00FD1CB1" w:rsidRPr="00F3726A" w:rsidRDefault="00324184" w:rsidP="0099467D">
            <w:pPr>
              <w:pStyle w:val="TableHeading"/>
            </w:pPr>
            <w:r w:rsidRPr="00F3726A">
              <w:t>Exposure duration (d)</w:t>
            </w:r>
          </w:p>
        </w:tc>
        <w:tc>
          <w:tcPr>
            <w:tcW w:w="858" w:type="pct"/>
            <w:tcBorders>
              <w:top w:val="single" w:sz="12" w:space="0" w:color="auto"/>
              <w:bottom w:val="single" w:sz="12" w:space="0" w:color="auto"/>
            </w:tcBorders>
            <w:shd w:val="clear" w:color="auto" w:fill="auto"/>
            <w:tcMar>
              <w:left w:w="57" w:type="dxa"/>
              <w:right w:w="28" w:type="dxa"/>
            </w:tcMar>
          </w:tcPr>
          <w:p w14:paraId="273CD4C7" w14:textId="77777777" w:rsidR="00FD1CB1" w:rsidRPr="00F3726A" w:rsidRDefault="00324184" w:rsidP="0099467D">
            <w:pPr>
              <w:pStyle w:val="TableHeading"/>
            </w:pPr>
            <w:r w:rsidRPr="00F3726A">
              <w:t>Toxicity measure</w:t>
            </w:r>
            <w:r w:rsidR="004462CF">
              <w:br/>
            </w:r>
            <w:r w:rsidRPr="00F3726A">
              <w:t>(test endpoint)</w:t>
            </w:r>
          </w:p>
        </w:tc>
        <w:tc>
          <w:tcPr>
            <w:tcW w:w="779" w:type="pct"/>
            <w:tcBorders>
              <w:top w:val="single" w:sz="12" w:space="0" w:color="auto"/>
              <w:bottom w:val="single" w:sz="12" w:space="0" w:color="auto"/>
            </w:tcBorders>
            <w:shd w:val="clear" w:color="auto" w:fill="auto"/>
            <w:tcMar>
              <w:left w:w="28" w:type="dxa"/>
              <w:right w:w="0" w:type="dxa"/>
            </w:tcMar>
          </w:tcPr>
          <w:p w14:paraId="273CD4C8" w14:textId="77777777" w:rsidR="00FD1CB1" w:rsidRPr="00F3726A" w:rsidRDefault="00324184" w:rsidP="0099467D">
            <w:pPr>
              <w:pStyle w:val="TableHeading"/>
            </w:pPr>
            <w:r w:rsidRPr="00F3726A">
              <w:t>Reported toxicity value</w:t>
            </w:r>
            <w:r>
              <w:t xml:space="preserve"> </w:t>
            </w:r>
            <w:r w:rsidRPr="00F3726A">
              <w:t>(</w:t>
            </w:r>
            <w:r w:rsidRPr="00F3726A">
              <w:rPr>
                <w:rFonts w:ascii="Corbel" w:hAnsi="Corbel"/>
              </w:rPr>
              <w:t>µ</w:t>
            </w:r>
            <w:r w:rsidRPr="00F3726A">
              <w:t>g/L)</w:t>
            </w:r>
          </w:p>
        </w:tc>
        <w:tc>
          <w:tcPr>
            <w:tcW w:w="541" w:type="pct"/>
            <w:tcBorders>
              <w:top w:val="single" w:sz="12" w:space="0" w:color="auto"/>
              <w:bottom w:val="single" w:sz="12" w:space="0" w:color="auto"/>
            </w:tcBorders>
            <w:shd w:val="clear" w:color="auto" w:fill="auto"/>
            <w:tcMar>
              <w:left w:w="28" w:type="dxa"/>
              <w:right w:w="0" w:type="dxa"/>
            </w:tcMar>
          </w:tcPr>
          <w:p w14:paraId="273CD4C9" w14:textId="77777777" w:rsidR="00FD1CB1" w:rsidRPr="00F3726A" w:rsidRDefault="00324184" w:rsidP="0099467D">
            <w:pPr>
              <w:pStyle w:val="TableHeading"/>
            </w:pPr>
            <w:r w:rsidRPr="00F3726A">
              <w:rPr>
                <w:rFonts w:cstheme="minorHAnsi"/>
              </w:rPr>
              <w:t xml:space="preserve">Final </w:t>
            </w:r>
            <w:r w:rsidRPr="00F3726A">
              <w:rPr>
                <w:rFonts w:cstheme="minorHAnsi"/>
              </w:rPr>
              <w:t>toxicity value</w:t>
            </w:r>
            <w:r>
              <w:rPr>
                <w:rFonts w:cstheme="minorHAnsi"/>
              </w:rPr>
              <w:t xml:space="preserve"> </w:t>
            </w:r>
            <w:r w:rsidRPr="00F3726A">
              <w:rPr>
                <w:rFonts w:cstheme="minorHAnsi"/>
              </w:rPr>
              <w:t>(µg/L)</w:t>
            </w:r>
          </w:p>
        </w:tc>
      </w:tr>
      <w:tr w:rsidR="00091AEB" w14:paraId="273CD4D2" w14:textId="77777777" w:rsidTr="003E6641">
        <w:trPr>
          <w:cantSplit/>
        </w:trPr>
        <w:tc>
          <w:tcPr>
            <w:tcW w:w="564" w:type="pct"/>
            <w:vMerge w:val="restart"/>
            <w:tcBorders>
              <w:top w:val="single" w:sz="12" w:space="0" w:color="auto"/>
            </w:tcBorders>
            <w:shd w:val="clear" w:color="auto" w:fill="auto"/>
            <w:tcMar>
              <w:left w:w="85" w:type="dxa"/>
              <w:right w:w="57" w:type="dxa"/>
            </w:tcMar>
          </w:tcPr>
          <w:p w14:paraId="273CD4CB" w14:textId="77777777" w:rsidR="00FD1CB1" w:rsidRPr="00F3726A" w:rsidRDefault="00324184" w:rsidP="0099467D">
            <w:pPr>
              <w:pStyle w:val="TableText"/>
            </w:pPr>
            <w:r w:rsidRPr="00F3726A">
              <w:t>Diatom</w:t>
            </w:r>
          </w:p>
        </w:tc>
        <w:tc>
          <w:tcPr>
            <w:tcW w:w="1133" w:type="pct"/>
            <w:tcBorders>
              <w:top w:val="single" w:sz="12" w:space="0" w:color="auto"/>
            </w:tcBorders>
            <w:shd w:val="clear" w:color="auto" w:fill="auto"/>
            <w:tcMar>
              <w:left w:w="85" w:type="dxa"/>
              <w:right w:w="57" w:type="dxa"/>
            </w:tcMar>
          </w:tcPr>
          <w:p w14:paraId="273CD4CC" w14:textId="77777777" w:rsidR="00FD1CB1" w:rsidRPr="00CC4647" w:rsidRDefault="00324184" w:rsidP="0099467D">
            <w:pPr>
              <w:pStyle w:val="TableText"/>
              <w:rPr>
                <w:rStyle w:val="Emphasis"/>
              </w:rPr>
            </w:pPr>
            <w:r w:rsidRPr="00CC4647">
              <w:rPr>
                <w:rStyle w:val="Emphasis"/>
              </w:rPr>
              <w:t>Entomoneis punctulata</w:t>
            </w:r>
          </w:p>
        </w:tc>
        <w:tc>
          <w:tcPr>
            <w:tcW w:w="581" w:type="pct"/>
            <w:tcBorders>
              <w:top w:val="single" w:sz="12" w:space="0" w:color="auto"/>
            </w:tcBorders>
            <w:shd w:val="clear" w:color="auto" w:fill="auto"/>
            <w:tcMar>
              <w:left w:w="85" w:type="dxa"/>
              <w:right w:w="57" w:type="dxa"/>
            </w:tcMar>
          </w:tcPr>
          <w:p w14:paraId="273CD4CD" w14:textId="77777777" w:rsidR="00FD1CB1" w:rsidRPr="00F3726A" w:rsidRDefault="00324184" w:rsidP="0099467D">
            <w:pPr>
              <w:pStyle w:val="TableText"/>
            </w:pPr>
            <w:r w:rsidRPr="00F3726A">
              <w:t>Exp</w:t>
            </w:r>
            <w:r w:rsidR="00E336BA">
              <w:t>onential</w:t>
            </w:r>
            <w:r w:rsidRPr="00F3726A">
              <w:t xml:space="preserve"> growth </w:t>
            </w:r>
          </w:p>
        </w:tc>
        <w:tc>
          <w:tcPr>
            <w:tcW w:w="544" w:type="pct"/>
            <w:tcBorders>
              <w:top w:val="single" w:sz="12" w:space="0" w:color="auto"/>
            </w:tcBorders>
            <w:shd w:val="clear" w:color="auto" w:fill="auto"/>
            <w:tcMar>
              <w:left w:w="85" w:type="dxa"/>
              <w:right w:w="57" w:type="dxa"/>
            </w:tcMar>
          </w:tcPr>
          <w:p w14:paraId="273CD4CE" w14:textId="77777777" w:rsidR="00FD1CB1" w:rsidRPr="00F3726A" w:rsidRDefault="00324184" w:rsidP="0099467D">
            <w:pPr>
              <w:pStyle w:val="TableText"/>
            </w:pPr>
            <w:r w:rsidRPr="00F3726A">
              <w:t>3</w:t>
            </w:r>
          </w:p>
        </w:tc>
        <w:tc>
          <w:tcPr>
            <w:tcW w:w="858" w:type="pct"/>
            <w:tcBorders>
              <w:top w:val="single" w:sz="12" w:space="0" w:color="auto"/>
            </w:tcBorders>
            <w:shd w:val="clear" w:color="auto" w:fill="auto"/>
            <w:tcMar>
              <w:left w:w="57" w:type="dxa"/>
              <w:right w:w="28" w:type="dxa"/>
            </w:tcMar>
          </w:tcPr>
          <w:p w14:paraId="273CD4CF" w14:textId="77777777" w:rsidR="00FD1CB1" w:rsidRPr="00F3726A" w:rsidRDefault="00324184" w:rsidP="003E6641">
            <w:pPr>
              <w:pStyle w:val="TableText"/>
            </w:pPr>
            <w:r w:rsidRPr="00F3726A">
              <w:t>IC10</w:t>
            </w:r>
            <w:r w:rsidR="003E6641">
              <w:br/>
            </w:r>
            <w:r w:rsidRPr="00F3726A">
              <w:t>(Population growth rate)</w:t>
            </w:r>
          </w:p>
        </w:tc>
        <w:tc>
          <w:tcPr>
            <w:tcW w:w="779" w:type="pct"/>
            <w:tcBorders>
              <w:top w:val="single" w:sz="12" w:space="0" w:color="auto"/>
            </w:tcBorders>
            <w:shd w:val="clear" w:color="auto" w:fill="auto"/>
            <w:tcMar>
              <w:left w:w="85" w:type="dxa"/>
              <w:right w:w="57" w:type="dxa"/>
            </w:tcMar>
          </w:tcPr>
          <w:p w14:paraId="273CD4D0" w14:textId="77777777" w:rsidR="00FD1CB1" w:rsidRPr="00F3726A" w:rsidRDefault="00324184" w:rsidP="0099467D">
            <w:pPr>
              <w:pStyle w:val="TableText"/>
            </w:pPr>
            <w:r w:rsidRPr="00F3726A">
              <w:t>1.4</w:t>
            </w:r>
          </w:p>
        </w:tc>
        <w:tc>
          <w:tcPr>
            <w:tcW w:w="541" w:type="pct"/>
            <w:tcBorders>
              <w:top w:val="single" w:sz="12" w:space="0" w:color="auto"/>
            </w:tcBorders>
            <w:tcMar>
              <w:left w:w="85" w:type="dxa"/>
              <w:right w:w="57" w:type="dxa"/>
            </w:tcMar>
          </w:tcPr>
          <w:p w14:paraId="273CD4D1" w14:textId="77777777" w:rsidR="00FD1CB1" w:rsidRPr="00F3726A" w:rsidRDefault="00324184" w:rsidP="0099467D">
            <w:pPr>
              <w:pStyle w:val="TableText"/>
            </w:pPr>
            <w:r w:rsidRPr="00F3726A">
              <w:t>1.4</w:t>
            </w:r>
          </w:p>
        </w:tc>
      </w:tr>
      <w:tr w:rsidR="00091AEB" w14:paraId="273CD4DA" w14:textId="77777777" w:rsidTr="003E6641">
        <w:trPr>
          <w:cantSplit/>
        </w:trPr>
        <w:tc>
          <w:tcPr>
            <w:tcW w:w="564" w:type="pct"/>
            <w:vMerge/>
            <w:shd w:val="clear" w:color="auto" w:fill="auto"/>
            <w:tcMar>
              <w:left w:w="85" w:type="dxa"/>
              <w:right w:w="57" w:type="dxa"/>
            </w:tcMar>
          </w:tcPr>
          <w:p w14:paraId="273CD4D3" w14:textId="77777777" w:rsidR="00FD1CB1" w:rsidRPr="00F3726A" w:rsidRDefault="00FD1CB1" w:rsidP="0099467D">
            <w:pPr>
              <w:pStyle w:val="TableText"/>
            </w:pPr>
          </w:p>
        </w:tc>
        <w:tc>
          <w:tcPr>
            <w:tcW w:w="1133" w:type="pct"/>
            <w:shd w:val="clear" w:color="auto" w:fill="auto"/>
            <w:tcMar>
              <w:left w:w="85" w:type="dxa"/>
              <w:right w:w="57" w:type="dxa"/>
            </w:tcMar>
          </w:tcPr>
          <w:p w14:paraId="273CD4D4" w14:textId="77777777" w:rsidR="00FD1CB1" w:rsidRPr="00CC4647" w:rsidRDefault="00324184" w:rsidP="0099467D">
            <w:pPr>
              <w:pStyle w:val="TableText"/>
              <w:rPr>
                <w:rStyle w:val="Emphasis"/>
              </w:rPr>
            </w:pPr>
            <w:r w:rsidRPr="00CC4647">
              <w:rPr>
                <w:rStyle w:val="Emphasis"/>
              </w:rPr>
              <w:t>Minutocellus polymorphus</w:t>
            </w:r>
          </w:p>
        </w:tc>
        <w:tc>
          <w:tcPr>
            <w:tcW w:w="581" w:type="pct"/>
            <w:shd w:val="clear" w:color="auto" w:fill="auto"/>
            <w:tcMar>
              <w:left w:w="85" w:type="dxa"/>
              <w:right w:w="57" w:type="dxa"/>
            </w:tcMar>
          </w:tcPr>
          <w:p w14:paraId="273CD4D5" w14:textId="77777777" w:rsidR="00FD1CB1" w:rsidRPr="00F3726A" w:rsidRDefault="00324184" w:rsidP="0099467D">
            <w:pPr>
              <w:pStyle w:val="TableText"/>
            </w:pPr>
            <w:r w:rsidRPr="00F3726A">
              <w:t>Exp</w:t>
            </w:r>
            <w:r>
              <w:t>onential</w:t>
            </w:r>
            <w:r w:rsidRPr="00F3726A">
              <w:t xml:space="preserve"> growth </w:t>
            </w:r>
          </w:p>
        </w:tc>
        <w:tc>
          <w:tcPr>
            <w:tcW w:w="544" w:type="pct"/>
            <w:shd w:val="clear" w:color="auto" w:fill="auto"/>
            <w:tcMar>
              <w:left w:w="85" w:type="dxa"/>
              <w:right w:w="57" w:type="dxa"/>
            </w:tcMar>
          </w:tcPr>
          <w:p w14:paraId="273CD4D6" w14:textId="77777777" w:rsidR="00FD1CB1" w:rsidRPr="00F3726A" w:rsidRDefault="00324184" w:rsidP="0099467D">
            <w:pPr>
              <w:pStyle w:val="TableText"/>
            </w:pPr>
            <w:r w:rsidRPr="00F3726A">
              <w:t>3</w:t>
            </w:r>
          </w:p>
        </w:tc>
        <w:tc>
          <w:tcPr>
            <w:tcW w:w="858" w:type="pct"/>
            <w:shd w:val="clear" w:color="auto" w:fill="auto"/>
            <w:tcMar>
              <w:left w:w="57" w:type="dxa"/>
              <w:right w:w="28" w:type="dxa"/>
            </w:tcMar>
          </w:tcPr>
          <w:p w14:paraId="273CD4D7" w14:textId="77777777" w:rsidR="00FD1CB1" w:rsidRPr="00F3726A" w:rsidRDefault="00324184" w:rsidP="003E6641">
            <w:pPr>
              <w:pStyle w:val="TableText"/>
            </w:pPr>
            <w:r w:rsidRPr="00F3726A">
              <w:t>NOEC</w:t>
            </w:r>
            <w:r w:rsidR="003E6641">
              <w:br/>
            </w:r>
            <w:r w:rsidRPr="00F3726A">
              <w:t>(Population</w:t>
            </w:r>
            <w:r w:rsidR="007F249A">
              <w:t xml:space="preserve"> growth rate</w:t>
            </w:r>
            <w:r w:rsidRPr="00F3726A">
              <w:t>)</w:t>
            </w:r>
          </w:p>
        </w:tc>
        <w:tc>
          <w:tcPr>
            <w:tcW w:w="779" w:type="pct"/>
            <w:shd w:val="clear" w:color="auto" w:fill="auto"/>
            <w:tcMar>
              <w:left w:w="85" w:type="dxa"/>
              <w:right w:w="57" w:type="dxa"/>
            </w:tcMar>
          </w:tcPr>
          <w:p w14:paraId="273CD4D8" w14:textId="77777777" w:rsidR="00FD1CB1" w:rsidRPr="00F3726A" w:rsidRDefault="00324184" w:rsidP="0099467D">
            <w:pPr>
              <w:pStyle w:val="TableText"/>
            </w:pPr>
            <w:r w:rsidRPr="00F3726A">
              <w:t>&lt;0.2</w:t>
            </w:r>
          </w:p>
        </w:tc>
        <w:tc>
          <w:tcPr>
            <w:tcW w:w="541" w:type="pct"/>
            <w:tcMar>
              <w:left w:w="85" w:type="dxa"/>
              <w:right w:w="57" w:type="dxa"/>
            </w:tcMar>
          </w:tcPr>
          <w:p w14:paraId="273CD4D9" w14:textId="77777777" w:rsidR="00FD1CB1" w:rsidRPr="00F3726A" w:rsidRDefault="00324184" w:rsidP="0099467D">
            <w:pPr>
              <w:pStyle w:val="TableText"/>
            </w:pPr>
            <w:r w:rsidRPr="00F3726A">
              <w:t xml:space="preserve">0.2 </w:t>
            </w:r>
            <w:r w:rsidRPr="008D069F">
              <w:rPr>
                <w:rStyle w:val="Strong"/>
                <w:vertAlign w:val="superscript"/>
              </w:rPr>
              <w:t>a</w:t>
            </w:r>
          </w:p>
        </w:tc>
      </w:tr>
      <w:tr w:rsidR="00091AEB" w14:paraId="273CD4E2" w14:textId="77777777" w:rsidTr="003E6641">
        <w:trPr>
          <w:cantSplit/>
        </w:trPr>
        <w:tc>
          <w:tcPr>
            <w:tcW w:w="564" w:type="pct"/>
            <w:vMerge/>
            <w:shd w:val="clear" w:color="auto" w:fill="auto"/>
            <w:tcMar>
              <w:left w:w="85" w:type="dxa"/>
              <w:right w:w="57" w:type="dxa"/>
            </w:tcMar>
          </w:tcPr>
          <w:p w14:paraId="273CD4DB" w14:textId="77777777" w:rsidR="00FD1CB1" w:rsidRPr="00F3726A" w:rsidRDefault="00FD1CB1" w:rsidP="0099467D">
            <w:pPr>
              <w:pStyle w:val="TableText"/>
            </w:pPr>
          </w:p>
        </w:tc>
        <w:tc>
          <w:tcPr>
            <w:tcW w:w="1133" w:type="pct"/>
            <w:shd w:val="clear" w:color="auto" w:fill="auto"/>
            <w:tcMar>
              <w:left w:w="85" w:type="dxa"/>
              <w:right w:w="57" w:type="dxa"/>
            </w:tcMar>
          </w:tcPr>
          <w:p w14:paraId="273CD4DC" w14:textId="77777777" w:rsidR="00FD1CB1" w:rsidRPr="00CC4647" w:rsidRDefault="00324184" w:rsidP="0099467D">
            <w:pPr>
              <w:pStyle w:val="TableText"/>
              <w:rPr>
                <w:rStyle w:val="Emphasis"/>
              </w:rPr>
            </w:pPr>
            <w:r w:rsidRPr="00CC4647">
              <w:rPr>
                <w:rStyle w:val="Emphasis"/>
              </w:rPr>
              <w:t>Ceratoneis closterium</w:t>
            </w:r>
          </w:p>
        </w:tc>
        <w:tc>
          <w:tcPr>
            <w:tcW w:w="581" w:type="pct"/>
            <w:shd w:val="clear" w:color="auto" w:fill="auto"/>
            <w:tcMar>
              <w:left w:w="85" w:type="dxa"/>
              <w:right w:w="57" w:type="dxa"/>
            </w:tcMar>
          </w:tcPr>
          <w:p w14:paraId="273CD4DD" w14:textId="77777777" w:rsidR="00FD1CB1" w:rsidRPr="00F3726A" w:rsidRDefault="00324184" w:rsidP="0099467D">
            <w:pPr>
              <w:pStyle w:val="TableText"/>
            </w:pPr>
            <w:r w:rsidRPr="00F3726A">
              <w:t>Exp</w:t>
            </w:r>
            <w:r>
              <w:t>onential</w:t>
            </w:r>
            <w:r w:rsidRPr="00F3726A">
              <w:t xml:space="preserve"> growth </w:t>
            </w:r>
          </w:p>
        </w:tc>
        <w:tc>
          <w:tcPr>
            <w:tcW w:w="544" w:type="pct"/>
            <w:shd w:val="clear" w:color="auto" w:fill="auto"/>
            <w:tcMar>
              <w:left w:w="85" w:type="dxa"/>
              <w:right w:w="57" w:type="dxa"/>
            </w:tcMar>
          </w:tcPr>
          <w:p w14:paraId="273CD4DE" w14:textId="77777777" w:rsidR="00FD1CB1" w:rsidRPr="00F3726A" w:rsidRDefault="00324184" w:rsidP="0099467D">
            <w:pPr>
              <w:pStyle w:val="TableText"/>
            </w:pPr>
            <w:r w:rsidRPr="00F3726A">
              <w:t>3</w:t>
            </w:r>
          </w:p>
        </w:tc>
        <w:tc>
          <w:tcPr>
            <w:tcW w:w="858" w:type="pct"/>
            <w:shd w:val="clear" w:color="auto" w:fill="auto"/>
            <w:tcMar>
              <w:left w:w="57" w:type="dxa"/>
              <w:right w:w="28" w:type="dxa"/>
            </w:tcMar>
          </w:tcPr>
          <w:p w14:paraId="273CD4DF" w14:textId="77777777" w:rsidR="00FD1CB1" w:rsidRPr="00F3726A" w:rsidRDefault="00324184" w:rsidP="003E6641">
            <w:pPr>
              <w:pStyle w:val="TableText"/>
            </w:pPr>
            <w:r w:rsidRPr="00F3726A">
              <w:t xml:space="preserve">EC10 </w:t>
            </w:r>
            <w:r w:rsidR="003E6641">
              <w:br/>
            </w:r>
            <w:r w:rsidRPr="00F3726A">
              <w:t>(Population growth rate)</w:t>
            </w:r>
          </w:p>
        </w:tc>
        <w:tc>
          <w:tcPr>
            <w:tcW w:w="779" w:type="pct"/>
            <w:shd w:val="clear" w:color="auto" w:fill="auto"/>
            <w:tcMar>
              <w:left w:w="85" w:type="dxa"/>
              <w:right w:w="57" w:type="dxa"/>
            </w:tcMar>
          </w:tcPr>
          <w:p w14:paraId="273CD4E0" w14:textId="77777777" w:rsidR="00FD1CB1" w:rsidRPr="00F3726A" w:rsidRDefault="00324184" w:rsidP="0099467D">
            <w:pPr>
              <w:pStyle w:val="TableText"/>
            </w:pPr>
            <w:r w:rsidRPr="00F3726A">
              <w:t>1.</w:t>
            </w:r>
            <w:r w:rsidR="00947AED">
              <w:t>7</w:t>
            </w:r>
          </w:p>
        </w:tc>
        <w:tc>
          <w:tcPr>
            <w:tcW w:w="541" w:type="pct"/>
            <w:tcMar>
              <w:left w:w="85" w:type="dxa"/>
              <w:right w:w="57" w:type="dxa"/>
            </w:tcMar>
          </w:tcPr>
          <w:p w14:paraId="273CD4E1" w14:textId="77777777" w:rsidR="00FD1CB1" w:rsidRPr="00F3726A" w:rsidRDefault="00324184" w:rsidP="0099467D">
            <w:pPr>
              <w:pStyle w:val="TableText"/>
            </w:pPr>
            <w:r w:rsidRPr="00F3726A">
              <w:t>1.</w:t>
            </w:r>
            <w:r w:rsidR="00947AED">
              <w:t>7</w:t>
            </w:r>
          </w:p>
        </w:tc>
      </w:tr>
      <w:tr w:rsidR="00091AEB" w14:paraId="273CD4EA" w14:textId="77777777" w:rsidTr="003E6641">
        <w:trPr>
          <w:cantSplit/>
        </w:trPr>
        <w:tc>
          <w:tcPr>
            <w:tcW w:w="564" w:type="pct"/>
            <w:vMerge/>
            <w:shd w:val="clear" w:color="auto" w:fill="auto"/>
            <w:tcMar>
              <w:left w:w="85" w:type="dxa"/>
              <w:right w:w="57" w:type="dxa"/>
            </w:tcMar>
          </w:tcPr>
          <w:p w14:paraId="273CD4E3" w14:textId="77777777" w:rsidR="00FD1CB1" w:rsidRPr="00F3726A" w:rsidRDefault="00FD1CB1" w:rsidP="0099467D">
            <w:pPr>
              <w:pStyle w:val="TableText"/>
            </w:pPr>
          </w:p>
        </w:tc>
        <w:tc>
          <w:tcPr>
            <w:tcW w:w="1133" w:type="pct"/>
            <w:shd w:val="clear" w:color="auto" w:fill="auto"/>
            <w:tcMar>
              <w:left w:w="85" w:type="dxa"/>
              <w:right w:w="57" w:type="dxa"/>
            </w:tcMar>
          </w:tcPr>
          <w:p w14:paraId="273CD4E4" w14:textId="77777777" w:rsidR="00FD1CB1" w:rsidRPr="00CC4647" w:rsidRDefault="00324184" w:rsidP="0099467D">
            <w:pPr>
              <w:pStyle w:val="TableText"/>
              <w:rPr>
                <w:rStyle w:val="Emphasis"/>
              </w:rPr>
            </w:pPr>
            <w:r w:rsidRPr="00CC4647">
              <w:rPr>
                <w:rStyle w:val="Emphasis"/>
              </w:rPr>
              <w:t>Phaeodactylum tricornutum</w:t>
            </w:r>
          </w:p>
        </w:tc>
        <w:tc>
          <w:tcPr>
            <w:tcW w:w="581" w:type="pct"/>
            <w:shd w:val="clear" w:color="auto" w:fill="auto"/>
            <w:tcMar>
              <w:left w:w="85" w:type="dxa"/>
              <w:right w:w="57" w:type="dxa"/>
            </w:tcMar>
          </w:tcPr>
          <w:p w14:paraId="273CD4E5" w14:textId="77777777" w:rsidR="00FD1CB1" w:rsidRPr="00F3726A" w:rsidRDefault="00324184" w:rsidP="0099467D">
            <w:pPr>
              <w:pStyle w:val="TableText"/>
            </w:pPr>
            <w:r w:rsidRPr="00F3726A">
              <w:t>Exp</w:t>
            </w:r>
            <w:r>
              <w:t>onential</w:t>
            </w:r>
            <w:r w:rsidRPr="00F3726A">
              <w:t xml:space="preserve"> growth </w:t>
            </w:r>
          </w:p>
        </w:tc>
        <w:tc>
          <w:tcPr>
            <w:tcW w:w="544" w:type="pct"/>
            <w:shd w:val="clear" w:color="auto" w:fill="auto"/>
            <w:tcMar>
              <w:left w:w="85" w:type="dxa"/>
              <w:right w:w="57" w:type="dxa"/>
            </w:tcMar>
          </w:tcPr>
          <w:p w14:paraId="273CD4E6" w14:textId="77777777" w:rsidR="00FD1CB1" w:rsidRPr="00F3726A" w:rsidRDefault="00324184" w:rsidP="0099467D">
            <w:pPr>
              <w:pStyle w:val="TableText"/>
            </w:pPr>
            <w:r w:rsidRPr="00F3726A">
              <w:t>3</w:t>
            </w:r>
          </w:p>
        </w:tc>
        <w:tc>
          <w:tcPr>
            <w:tcW w:w="858" w:type="pct"/>
            <w:shd w:val="clear" w:color="auto" w:fill="auto"/>
            <w:tcMar>
              <w:left w:w="57" w:type="dxa"/>
              <w:right w:w="28" w:type="dxa"/>
            </w:tcMar>
          </w:tcPr>
          <w:p w14:paraId="273CD4E7" w14:textId="77777777" w:rsidR="00FD1CB1" w:rsidRPr="00F3726A" w:rsidRDefault="00324184" w:rsidP="003E6641">
            <w:pPr>
              <w:pStyle w:val="TableText"/>
            </w:pPr>
            <w:r w:rsidRPr="00F3726A">
              <w:t xml:space="preserve">IC20 </w:t>
            </w:r>
            <w:r w:rsidR="003E6641">
              <w:br/>
            </w:r>
            <w:r w:rsidRPr="00F3726A">
              <w:t>(Population growth rate)</w:t>
            </w:r>
          </w:p>
        </w:tc>
        <w:tc>
          <w:tcPr>
            <w:tcW w:w="779" w:type="pct"/>
            <w:shd w:val="clear" w:color="auto" w:fill="auto"/>
            <w:tcMar>
              <w:left w:w="85" w:type="dxa"/>
              <w:right w:w="57" w:type="dxa"/>
            </w:tcMar>
          </w:tcPr>
          <w:p w14:paraId="273CD4E8" w14:textId="77777777" w:rsidR="00FD1CB1" w:rsidRPr="00F3726A" w:rsidRDefault="00324184" w:rsidP="0099467D">
            <w:pPr>
              <w:pStyle w:val="TableText"/>
            </w:pPr>
            <w:r>
              <w:t>0.7</w:t>
            </w:r>
          </w:p>
        </w:tc>
        <w:tc>
          <w:tcPr>
            <w:tcW w:w="541" w:type="pct"/>
            <w:tcMar>
              <w:left w:w="85" w:type="dxa"/>
              <w:right w:w="57" w:type="dxa"/>
            </w:tcMar>
          </w:tcPr>
          <w:p w14:paraId="273CD4E9" w14:textId="77777777" w:rsidR="00FD1CB1" w:rsidRPr="00F3726A" w:rsidRDefault="00324184" w:rsidP="0099467D">
            <w:pPr>
              <w:pStyle w:val="TableText"/>
            </w:pPr>
            <w:r>
              <w:t>0.7</w:t>
            </w:r>
          </w:p>
        </w:tc>
      </w:tr>
      <w:tr w:rsidR="00091AEB" w14:paraId="273CD4F2" w14:textId="77777777" w:rsidTr="003E6641">
        <w:trPr>
          <w:cantSplit/>
        </w:trPr>
        <w:tc>
          <w:tcPr>
            <w:tcW w:w="564" w:type="pct"/>
            <w:vMerge w:val="restart"/>
            <w:shd w:val="clear" w:color="auto" w:fill="auto"/>
            <w:tcMar>
              <w:left w:w="85" w:type="dxa"/>
              <w:right w:w="57" w:type="dxa"/>
            </w:tcMar>
          </w:tcPr>
          <w:p w14:paraId="273CD4EB" w14:textId="77777777" w:rsidR="00FD1CB1" w:rsidRPr="00F3726A" w:rsidRDefault="00324184" w:rsidP="0099467D">
            <w:pPr>
              <w:pStyle w:val="TableText"/>
            </w:pPr>
            <w:r>
              <w:t>Brown microalga</w:t>
            </w:r>
          </w:p>
        </w:tc>
        <w:tc>
          <w:tcPr>
            <w:tcW w:w="1133" w:type="pct"/>
            <w:shd w:val="clear" w:color="auto" w:fill="auto"/>
            <w:tcMar>
              <w:left w:w="85" w:type="dxa"/>
              <w:right w:w="57" w:type="dxa"/>
            </w:tcMar>
          </w:tcPr>
          <w:p w14:paraId="273CD4EC" w14:textId="77777777" w:rsidR="00FD1CB1" w:rsidRPr="00CC4647" w:rsidRDefault="00324184" w:rsidP="0099467D">
            <w:pPr>
              <w:pStyle w:val="TableText"/>
              <w:rPr>
                <w:rStyle w:val="Emphasis"/>
              </w:rPr>
            </w:pPr>
            <w:r w:rsidRPr="00CC4647">
              <w:rPr>
                <w:rStyle w:val="Emphasis"/>
              </w:rPr>
              <w:t>Proteomonas sulcata</w:t>
            </w:r>
          </w:p>
        </w:tc>
        <w:tc>
          <w:tcPr>
            <w:tcW w:w="581" w:type="pct"/>
            <w:shd w:val="clear" w:color="auto" w:fill="auto"/>
            <w:tcMar>
              <w:left w:w="85" w:type="dxa"/>
              <w:right w:w="57" w:type="dxa"/>
            </w:tcMar>
          </w:tcPr>
          <w:p w14:paraId="273CD4ED" w14:textId="77777777" w:rsidR="00FD1CB1" w:rsidRPr="00F3726A" w:rsidRDefault="00324184" w:rsidP="0099467D">
            <w:pPr>
              <w:pStyle w:val="TableText"/>
            </w:pPr>
            <w:r w:rsidRPr="00F3726A">
              <w:t>Exp</w:t>
            </w:r>
            <w:r>
              <w:t>onential</w:t>
            </w:r>
            <w:r w:rsidRPr="00F3726A">
              <w:t xml:space="preserve"> growth </w:t>
            </w:r>
          </w:p>
        </w:tc>
        <w:tc>
          <w:tcPr>
            <w:tcW w:w="544" w:type="pct"/>
            <w:shd w:val="clear" w:color="auto" w:fill="auto"/>
            <w:tcMar>
              <w:left w:w="85" w:type="dxa"/>
              <w:right w:w="57" w:type="dxa"/>
            </w:tcMar>
          </w:tcPr>
          <w:p w14:paraId="273CD4EE" w14:textId="77777777" w:rsidR="00FD1CB1" w:rsidRPr="00F3726A" w:rsidRDefault="00324184" w:rsidP="0099467D">
            <w:pPr>
              <w:pStyle w:val="TableText"/>
            </w:pPr>
            <w:r w:rsidRPr="00F3726A">
              <w:t>3</w:t>
            </w:r>
          </w:p>
        </w:tc>
        <w:tc>
          <w:tcPr>
            <w:tcW w:w="858" w:type="pct"/>
            <w:shd w:val="clear" w:color="auto" w:fill="auto"/>
            <w:tcMar>
              <w:left w:w="57" w:type="dxa"/>
              <w:right w:w="28" w:type="dxa"/>
            </w:tcMar>
          </w:tcPr>
          <w:p w14:paraId="273CD4EF" w14:textId="77777777" w:rsidR="00FD1CB1" w:rsidRPr="00F3726A" w:rsidRDefault="00324184" w:rsidP="003E6641">
            <w:pPr>
              <w:pStyle w:val="TableText"/>
            </w:pPr>
            <w:r w:rsidRPr="00F3726A">
              <w:t xml:space="preserve">IC50 </w:t>
            </w:r>
            <w:r w:rsidR="003E6641">
              <w:br/>
            </w:r>
            <w:r w:rsidRPr="00F3726A">
              <w:t>(Population growth rate)</w:t>
            </w:r>
          </w:p>
        </w:tc>
        <w:tc>
          <w:tcPr>
            <w:tcW w:w="779" w:type="pct"/>
            <w:shd w:val="clear" w:color="auto" w:fill="auto"/>
            <w:tcMar>
              <w:left w:w="85" w:type="dxa"/>
              <w:right w:w="57" w:type="dxa"/>
            </w:tcMar>
          </w:tcPr>
          <w:p w14:paraId="273CD4F0" w14:textId="77777777" w:rsidR="00FD1CB1" w:rsidRPr="00F3726A" w:rsidRDefault="00324184" w:rsidP="0099467D">
            <w:pPr>
              <w:pStyle w:val="TableText"/>
            </w:pPr>
            <w:r w:rsidRPr="00F3726A">
              <w:t>4.2</w:t>
            </w:r>
          </w:p>
        </w:tc>
        <w:tc>
          <w:tcPr>
            <w:tcW w:w="541" w:type="pct"/>
            <w:tcMar>
              <w:left w:w="85" w:type="dxa"/>
              <w:right w:w="57" w:type="dxa"/>
            </w:tcMar>
          </w:tcPr>
          <w:p w14:paraId="273CD4F1" w14:textId="77777777" w:rsidR="00FD1CB1" w:rsidRPr="00F3726A" w:rsidRDefault="00324184" w:rsidP="0099467D">
            <w:pPr>
              <w:pStyle w:val="TableText"/>
            </w:pPr>
            <w:r w:rsidRPr="00F3726A">
              <w:t xml:space="preserve">0.84 </w:t>
            </w:r>
            <w:r w:rsidRPr="008D069F">
              <w:rPr>
                <w:rStyle w:val="Strong"/>
                <w:vertAlign w:val="superscript"/>
              </w:rPr>
              <w:t>b</w:t>
            </w:r>
          </w:p>
        </w:tc>
      </w:tr>
      <w:tr w:rsidR="00091AEB" w14:paraId="273CD4FA" w14:textId="77777777" w:rsidTr="003E6641">
        <w:trPr>
          <w:cantSplit/>
        </w:trPr>
        <w:tc>
          <w:tcPr>
            <w:tcW w:w="564" w:type="pct"/>
            <w:vMerge/>
            <w:shd w:val="clear" w:color="auto" w:fill="auto"/>
            <w:tcMar>
              <w:left w:w="85" w:type="dxa"/>
              <w:right w:w="57" w:type="dxa"/>
            </w:tcMar>
          </w:tcPr>
          <w:p w14:paraId="273CD4F3" w14:textId="77777777" w:rsidR="00FD1CB1" w:rsidRPr="00F3726A" w:rsidRDefault="00FD1CB1" w:rsidP="0099467D">
            <w:pPr>
              <w:pStyle w:val="TableText"/>
            </w:pPr>
          </w:p>
        </w:tc>
        <w:tc>
          <w:tcPr>
            <w:tcW w:w="1133" w:type="pct"/>
            <w:shd w:val="clear" w:color="auto" w:fill="auto"/>
            <w:tcMar>
              <w:left w:w="85" w:type="dxa"/>
              <w:right w:w="57" w:type="dxa"/>
            </w:tcMar>
          </w:tcPr>
          <w:p w14:paraId="273CD4F4" w14:textId="77777777" w:rsidR="00FD1CB1" w:rsidRPr="00CC4647" w:rsidRDefault="00324184" w:rsidP="0099467D">
            <w:pPr>
              <w:pStyle w:val="TableText"/>
              <w:rPr>
                <w:rStyle w:val="Emphasis"/>
              </w:rPr>
            </w:pPr>
            <w:r w:rsidRPr="00CC4647">
              <w:rPr>
                <w:rStyle w:val="Emphasis"/>
              </w:rPr>
              <w:t xml:space="preserve">Coccolithus </w:t>
            </w:r>
            <w:r w:rsidRPr="00CC4647">
              <w:rPr>
                <w:rStyle w:val="Emphasis"/>
              </w:rPr>
              <w:t>huxleyi</w:t>
            </w:r>
          </w:p>
        </w:tc>
        <w:tc>
          <w:tcPr>
            <w:tcW w:w="581" w:type="pct"/>
            <w:shd w:val="clear" w:color="auto" w:fill="auto"/>
            <w:tcMar>
              <w:left w:w="85" w:type="dxa"/>
              <w:right w:w="57" w:type="dxa"/>
            </w:tcMar>
          </w:tcPr>
          <w:p w14:paraId="273CD4F5" w14:textId="77777777" w:rsidR="00FD1CB1" w:rsidRPr="00F3726A" w:rsidRDefault="00324184" w:rsidP="0099467D">
            <w:pPr>
              <w:pStyle w:val="TableText"/>
            </w:pPr>
            <w:r w:rsidRPr="00F3726A">
              <w:t>Exp</w:t>
            </w:r>
            <w:r>
              <w:t>onential</w:t>
            </w:r>
            <w:r w:rsidRPr="00F3726A">
              <w:t xml:space="preserve"> growth </w:t>
            </w:r>
          </w:p>
        </w:tc>
        <w:tc>
          <w:tcPr>
            <w:tcW w:w="544" w:type="pct"/>
            <w:shd w:val="clear" w:color="auto" w:fill="auto"/>
            <w:tcMar>
              <w:left w:w="85" w:type="dxa"/>
              <w:right w:w="57" w:type="dxa"/>
            </w:tcMar>
          </w:tcPr>
          <w:p w14:paraId="273CD4F6" w14:textId="77777777" w:rsidR="00FD1CB1" w:rsidRPr="00F3726A" w:rsidRDefault="00324184" w:rsidP="0099467D">
            <w:pPr>
              <w:pStyle w:val="TableText"/>
            </w:pPr>
            <w:r w:rsidRPr="00F3726A">
              <w:t>3</w:t>
            </w:r>
          </w:p>
        </w:tc>
        <w:tc>
          <w:tcPr>
            <w:tcW w:w="858" w:type="pct"/>
            <w:shd w:val="clear" w:color="auto" w:fill="auto"/>
            <w:tcMar>
              <w:left w:w="57" w:type="dxa"/>
              <w:right w:w="28" w:type="dxa"/>
            </w:tcMar>
          </w:tcPr>
          <w:p w14:paraId="273CD4F7" w14:textId="77777777" w:rsidR="00FD1CB1" w:rsidRPr="00F3726A" w:rsidRDefault="00324184" w:rsidP="003E6641">
            <w:pPr>
              <w:pStyle w:val="TableText"/>
            </w:pPr>
            <w:r w:rsidRPr="00F3726A">
              <w:t xml:space="preserve">NOEC </w:t>
            </w:r>
            <w:r w:rsidR="003E6641">
              <w:br/>
            </w:r>
            <w:r w:rsidRPr="00F3726A">
              <w:t>(Population growth rate)</w:t>
            </w:r>
          </w:p>
        </w:tc>
        <w:tc>
          <w:tcPr>
            <w:tcW w:w="779" w:type="pct"/>
            <w:shd w:val="clear" w:color="auto" w:fill="auto"/>
            <w:tcMar>
              <w:left w:w="85" w:type="dxa"/>
              <w:right w:w="57" w:type="dxa"/>
            </w:tcMar>
          </w:tcPr>
          <w:p w14:paraId="273CD4F8" w14:textId="77777777" w:rsidR="00FD1CB1" w:rsidRPr="00F3726A" w:rsidRDefault="00324184" w:rsidP="0099467D">
            <w:pPr>
              <w:pStyle w:val="TableText"/>
            </w:pPr>
            <w:r w:rsidRPr="00F3726A">
              <w:t>8</w:t>
            </w:r>
          </w:p>
        </w:tc>
        <w:tc>
          <w:tcPr>
            <w:tcW w:w="541" w:type="pct"/>
            <w:tcMar>
              <w:left w:w="85" w:type="dxa"/>
              <w:right w:w="57" w:type="dxa"/>
            </w:tcMar>
          </w:tcPr>
          <w:p w14:paraId="273CD4F9" w14:textId="77777777" w:rsidR="00FD1CB1" w:rsidRPr="00F3726A" w:rsidRDefault="00324184" w:rsidP="0099467D">
            <w:pPr>
              <w:pStyle w:val="TableText"/>
            </w:pPr>
            <w:r w:rsidRPr="00F3726A">
              <w:t>8</w:t>
            </w:r>
          </w:p>
        </w:tc>
      </w:tr>
      <w:tr w:rsidR="00091AEB" w14:paraId="273CD502" w14:textId="77777777" w:rsidTr="003E6641">
        <w:trPr>
          <w:cantSplit/>
        </w:trPr>
        <w:tc>
          <w:tcPr>
            <w:tcW w:w="564" w:type="pct"/>
            <w:vMerge/>
            <w:shd w:val="clear" w:color="auto" w:fill="auto"/>
            <w:tcMar>
              <w:left w:w="85" w:type="dxa"/>
              <w:right w:w="57" w:type="dxa"/>
            </w:tcMar>
          </w:tcPr>
          <w:p w14:paraId="273CD4FB" w14:textId="77777777" w:rsidR="00FD1CB1" w:rsidRPr="00F3726A" w:rsidRDefault="00FD1CB1" w:rsidP="0099467D">
            <w:pPr>
              <w:pStyle w:val="TableText"/>
            </w:pPr>
          </w:p>
        </w:tc>
        <w:tc>
          <w:tcPr>
            <w:tcW w:w="1133" w:type="pct"/>
            <w:shd w:val="clear" w:color="auto" w:fill="auto"/>
            <w:tcMar>
              <w:left w:w="85" w:type="dxa"/>
              <w:right w:w="57" w:type="dxa"/>
            </w:tcMar>
          </w:tcPr>
          <w:p w14:paraId="273CD4FC" w14:textId="77777777" w:rsidR="00FD1CB1" w:rsidRPr="00CC4647" w:rsidRDefault="00324184" w:rsidP="0099467D">
            <w:pPr>
              <w:pStyle w:val="TableText"/>
              <w:rPr>
                <w:rStyle w:val="Emphasis"/>
              </w:rPr>
            </w:pPr>
            <w:r w:rsidRPr="00CC4647">
              <w:rPr>
                <w:rStyle w:val="Emphasis"/>
              </w:rPr>
              <w:t>Gephyrocapsa oceanica</w:t>
            </w:r>
          </w:p>
        </w:tc>
        <w:tc>
          <w:tcPr>
            <w:tcW w:w="581" w:type="pct"/>
            <w:shd w:val="clear" w:color="auto" w:fill="auto"/>
            <w:tcMar>
              <w:left w:w="85" w:type="dxa"/>
              <w:right w:w="57" w:type="dxa"/>
            </w:tcMar>
          </w:tcPr>
          <w:p w14:paraId="273CD4FD" w14:textId="77777777" w:rsidR="00FD1CB1" w:rsidRPr="00F3726A" w:rsidRDefault="00324184" w:rsidP="0099467D">
            <w:pPr>
              <w:pStyle w:val="TableText"/>
            </w:pPr>
            <w:r w:rsidRPr="00F3726A">
              <w:t xml:space="preserve">Exponential growth </w:t>
            </w:r>
          </w:p>
        </w:tc>
        <w:tc>
          <w:tcPr>
            <w:tcW w:w="544" w:type="pct"/>
            <w:shd w:val="clear" w:color="auto" w:fill="auto"/>
            <w:tcMar>
              <w:left w:w="85" w:type="dxa"/>
              <w:right w:w="57" w:type="dxa"/>
            </w:tcMar>
          </w:tcPr>
          <w:p w14:paraId="273CD4FE" w14:textId="77777777" w:rsidR="00FD1CB1" w:rsidRPr="00F3726A" w:rsidRDefault="00324184" w:rsidP="0099467D">
            <w:pPr>
              <w:pStyle w:val="TableText"/>
            </w:pPr>
            <w:r w:rsidRPr="00F3726A">
              <w:t>3</w:t>
            </w:r>
          </w:p>
        </w:tc>
        <w:tc>
          <w:tcPr>
            <w:tcW w:w="858" w:type="pct"/>
            <w:shd w:val="clear" w:color="auto" w:fill="auto"/>
            <w:tcMar>
              <w:left w:w="57" w:type="dxa"/>
              <w:right w:w="28" w:type="dxa"/>
            </w:tcMar>
          </w:tcPr>
          <w:p w14:paraId="273CD4FF" w14:textId="77777777" w:rsidR="00FD1CB1" w:rsidRPr="00F3726A" w:rsidRDefault="00324184" w:rsidP="003E6641">
            <w:pPr>
              <w:pStyle w:val="TableText"/>
            </w:pPr>
            <w:r w:rsidRPr="00F3726A">
              <w:t xml:space="preserve">NOEC </w:t>
            </w:r>
            <w:r w:rsidR="003E6641">
              <w:br/>
            </w:r>
            <w:r w:rsidRPr="00F3726A">
              <w:t>(Population growth rate)</w:t>
            </w:r>
          </w:p>
        </w:tc>
        <w:tc>
          <w:tcPr>
            <w:tcW w:w="779" w:type="pct"/>
            <w:shd w:val="clear" w:color="auto" w:fill="auto"/>
            <w:tcMar>
              <w:left w:w="85" w:type="dxa"/>
              <w:right w:w="57" w:type="dxa"/>
            </w:tcMar>
          </w:tcPr>
          <w:p w14:paraId="273CD500" w14:textId="77777777" w:rsidR="00FD1CB1" w:rsidRPr="00F3726A" w:rsidRDefault="00324184" w:rsidP="0099467D">
            <w:pPr>
              <w:pStyle w:val="TableText"/>
            </w:pPr>
            <w:r w:rsidRPr="00F3726A">
              <w:t>1.3</w:t>
            </w:r>
          </w:p>
        </w:tc>
        <w:tc>
          <w:tcPr>
            <w:tcW w:w="541" w:type="pct"/>
            <w:tcMar>
              <w:left w:w="85" w:type="dxa"/>
              <w:right w:w="57" w:type="dxa"/>
            </w:tcMar>
          </w:tcPr>
          <w:p w14:paraId="273CD501" w14:textId="77777777" w:rsidR="00FD1CB1" w:rsidRPr="00F3726A" w:rsidRDefault="00324184" w:rsidP="0099467D">
            <w:pPr>
              <w:pStyle w:val="TableText"/>
            </w:pPr>
            <w:r w:rsidRPr="00F3726A">
              <w:t>1.3</w:t>
            </w:r>
          </w:p>
        </w:tc>
      </w:tr>
      <w:tr w:rsidR="00091AEB" w14:paraId="273CD50A" w14:textId="77777777" w:rsidTr="003E6641">
        <w:trPr>
          <w:cantSplit/>
        </w:trPr>
        <w:tc>
          <w:tcPr>
            <w:tcW w:w="564" w:type="pct"/>
            <w:vMerge/>
            <w:shd w:val="clear" w:color="auto" w:fill="auto"/>
            <w:tcMar>
              <w:left w:w="85" w:type="dxa"/>
              <w:right w:w="57" w:type="dxa"/>
            </w:tcMar>
          </w:tcPr>
          <w:p w14:paraId="273CD503" w14:textId="77777777" w:rsidR="00FD1CB1" w:rsidRPr="00F3726A" w:rsidRDefault="00FD1CB1" w:rsidP="0099467D">
            <w:pPr>
              <w:pStyle w:val="TableText"/>
            </w:pPr>
          </w:p>
        </w:tc>
        <w:tc>
          <w:tcPr>
            <w:tcW w:w="1133" w:type="pct"/>
            <w:shd w:val="clear" w:color="auto" w:fill="auto"/>
            <w:tcMar>
              <w:left w:w="85" w:type="dxa"/>
              <w:right w:w="57" w:type="dxa"/>
            </w:tcMar>
          </w:tcPr>
          <w:p w14:paraId="273CD504" w14:textId="77777777" w:rsidR="00FD1CB1" w:rsidRPr="00CC4647" w:rsidRDefault="00324184" w:rsidP="0099467D">
            <w:pPr>
              <w:pStyle w:val="TableText"/>
              <w:rPr>
                <w:rStyle w:val="Emphasis"/>
              </w:rPr>
            </w:pPr>
            <w:r w:rsidRPr="00CC4647">
              <w:rPr>
                <w:rStyle w:val="Emphasis"/>
              </w:rPr>
              <w:t>Isochrysis galbana</w:t>
            </w:r>
          </w:p>
        </w:tc>
        <w:tc>
          <w:tcPr>
            <w:tcW w:w="581" w:type="pct"/>
            <w:shd w:val="clear" w:color="auto" w:fill="auto"/>
            <w:tcMar>
              <w:left w:w="85" w:type="dxa"/>
              <w:right w:w="57" w:type="dxa"/>
            </w:tcMar>
          </w:tcPr>
          <w:p w14:paraId="273CD505" w14:textId="77777777" w:rsidR="00FD1CB1" w:rsidRPr="00F3726A" w:rsidRDefault="00324184" w:rsidP="0099467D">
            <w:pPr>
              <w:pStyle w:val="TableText"/>
            </w:pPr>
            <w:r w:rsidRPr="00F3726A">
              <w:t>Exp</w:t>
            </w:r>
            <w:r>
              <w:t>onential</w:t>
            </w:r>
            <w:r w:rsidRPr="00F3726A">
              <w:t xml:space="preserve"> growth </w:t>
            </w:r>
          </w:p>
        </w:tc>
        <w:tc>
          <w:tcPr>
            <w:tcW w:w="544" w:type="pct"/>
            <w:shd w:val="clear" w:color="auto" w:fill="auto"/>
            <w:tcMar>
              <w:left w:w="85" w:type="dxa"/>
              <w:right w:w="57" w:type="dxa"/>
            </w:tcMar>
          </w:tcPr>
          <w:p w14:paraId="273CD506" w14:textId="77777777" w:rsidR="00FD1CB1" w:rsidRPr="00F3726A" w:rsidRDefault="00324184" w:rsidP="0099467D">
            <w:pPr>
              <w:pStyle w:val="TableText"/>
            </w:pPr>
            <w:r w:rsidRPr="00F3726A">
              <w:t>3</w:t>
            </w:r>
          </w:p>
        </w:tc>
        <w:tc>
          <w:tcPr>
            <w:tcW w:w="858" w:type="pct"/>
            <w:shd w:val="clear" w:color="auto" w:fill="auto"/>
            <w:tcMar>
              <w:left w:w="57" w:type="dxa"/>
              <w:right w:w="28" w:type="dxa"/>
            </w:tcMar>
          </w:tcPr>
          <w:p w14:paraId="273CD507" w14:textId="77777777" w:rsidR="00FD1CB1" w:rsidRPr="00F3726A" w:rsidRDefault="00324184" w:rsidP="003E6641">
            <w:pPr>
              <w:pStyle w:val="TableText"/>
            </w:pPr>
            <w:r w:rsidRPr="00F3726A">
              <w:t xml:space="preserve">EC10 </w:t>
            </w:r>
            <w:r w:rsidR="003E6641">
              <w:br/>
            </w:r>
            <w:r w:rsidRPr="00F3726A">
              <w:t>(Population growth rate)</w:t>
            </w:r>
          </w:p>
        </w:tc>
        <w:tc>
          <w:tcPr>
            <w:tcW w:w="779" w:type="pct"/>
            <w:shd w:val="clear" w:color="auto" w:fill="auto"/>
            <w:tcMar>
              <w:left w:w="85" w:type="dxa"/>
              <w:right w:w="57" w:type="dxa"/>
            </w:tcMar>
          </w:tcPr>
          <w:p w14:paraId="273CD508" w14:textId="77777777" w:rsidR="00FD1CB1" w:rsidRPr="00F3726A" w:rsidRDefault="00324184" w:rsidP="0099467D">
            <w:pPr>
              <w:pStyle w:val="TableText"/>
            </w:pPr>
            <w:r w:rsidRPr="00F3726A">
              <w:t>2.6</w:t>
            </w:r>
          </w:p>
        </w:tc>
        <w:tc>
          <w:tcPr>
            <w:tcW w:w="541" w:type="pct"/>
            <w:tcMar>
              <w:left w:w="85" w:type="dxa"/>
              <w:right w:w="57" w:type="dxa"/>
            </w:tcMar>
          </w:tcPr>
          <w:p w14:paraId="273CD509" w14:textId="77777777" w:rsidR="00FD1CB1" w:rsidRPr="00F3726A" w:rsidRDefault="00324184" w:rsidP="0099467D">
            <w:pPr>
              <w:pStyle w:val="TableText"/>
            </w:pPr>
            <w:r w:rsidRPr="00F3726A">
              <w:t>2.6</w:t>
            </w:r>
          </w:p>
        </w:tc>
      </w:tr>
      <w:tr w:rsidR="00091AEB" w14:paraId="273CD512" w14:textId="77777777" w:rsidTr="003E6641">
        <w:trPr>
          <w:cantSplit/>
        </w:trPr>
        <w:tc>
          <w:tcPr>
            <w:tcW w:w="564" w:type="pct"/>
            <w:shd w:val="clear" w:color="auto" w:fill="auto"/>
            <w:tcMar>
              <w:left w:w="85" w:type="dxa"/>
              <w:right w:w="57" w:type="dxa"/>
            </w:tcMar>
          </w:tcPr>
          <w:p w14:paraId="273CD50B" w14:textId="77777777" w:rsidR="00FD1CB1" w:rsidRPr="00F3726A" w:rsidRDefault="00324184" w:rsidP="0099467D">
            <w:pPr>
              <w:pStyle w:val="TableText"/>
            </w:pPr>
            <w:r w:rsidRPr="00F3726A">
              <w:t>Blue</w:t>
            </w:r>
            <w:r w:rsidR="00A8726A">
              <w:t>–</w:t>
            </w:r>
            <w:r w:rsidRPr="00F3726A">
              <w:t xml:space="preserve">green alga </w:t>
            </w:r>
          </w:p>
        </w:tc>
        <w:tc>
          <w:tcPr>
            <w:tcW w:w="1133" w:type="pct"/>
            <w:shd w:val="clear" w:color="auto" w:fill="auto"/>
            <w:tcMar>
              <w:left w:w="85" w:type="dxa"/>
              <w:right w:w="57" w:type="dxa"/>
            </w:tcMar>
          </w:tcPr>
          <w:p w14:paraId="273CD50C" w14:textId="77777777" w:rsidR="00FD1CB1" w:rsidRPr="00944285" w:rsidRDefault="00324184" w:rsidP="0099467D">
            <w:pPr>
              <w:pStyle w:val="TableText"/>
            </w:pPr>
            <w:r w:rsidRPr="00CC4647">
              <w:rPr>
                <w:rStyle w:val="Emphasis"/>
              </w:rPr>
              <w:t>Cyanobium</w:t>
            </w:r>
            <w:r w:rsidRPr="00944285">
              <w:t xml:space="preserve"> sp.</w:t>
            </w:r>
          </w:p>
        </w:tc>
        <w:tc>
          <w:tcPr>
            <w:tcW w:w="581" w:type="pct"/>
            <w:shd w:val="clear" w:color="auto" w:fill="auto"/>
            <w:tcMar>
              <w:left w:w="85" w:type="dxa"/>
              <w:right w:w="57" w:type="dxa"/>
            </w:tcMar>
          </w:tcPr>
          <w:p w14:paraId="273CD50D" w14:textId="77777777" w:rsidR="00FD1CB1" w:rsidRPr="00F3726A" w:rsidRDefault="00324184" w:rsidP="0099467D">
            <w:pPr>
              <w:pStyle w:val="TableText"/>
            </w:pPr>
            <w:r w:rsidRPr="00F3726A">
              <w:t>Exp</w:t>
            </w:r>
            <w:r>
              <w:t>onential</w:t>
            </w:r>
            <w:r w:rsidRPr="00F3726A">
              <w:t xml:space="preserve">. growth </w:t>
            </w:r>
          </w:p>
        </w:tc>
        <w:tc>
          <w:tcPr>
            <w:tcW w:w="544" w:type="pct"/>
            <w:shd w:val="clear" w:color="auto" w:fill="auto"/>
            <w:tcMar>
              <w:left w:w="85" w:type="dxa"/>
              <w:right w:w="57" w:type="dxa"/>
            </w:tcMar>
          </w:tcPr>
          <w:p w14:paraId="273CD50E" w14:textId="77777777" w:rsidR="00FD1CB1" w:rsidRPr="00F3726A" w:rsidRDefault="00324184" w:rsidP="0099467D">
            <w:pPr>
              <w:pStyle w:val="TableText"/>
            </w:pPr>
            <w:r w:rsidRPr="00F3726A">
              <w:t>3</w:t>
            </w:r>
          </w:p>
        </w:tc>
        <w:tc>
          <w:tcPr>
            <w:tcW w:w="858" w:type="pct"/>
            <w:shd w:val="clear" w:color="auto" w:fill="auto"/>
            <w:tcMar>
              <w:left w:w="57" w:type="dxa"/>
              <w:right w:w="28" w:type="dxa"/>
            </w:tcMar>
          </w:tcPr>
          <w:p w14:paraId="273CD50F" w14:textId="77777777" w:rsidR="00FD1CB1" w:rsidRPr="00F3726A" w:rsidRDefault="00324184" w:rsidP="003E6641">
            <w:pPr>
              <w:pStyle w:val="TableText"/>
            </w:pPr>
            <w:r w:rsidRPr="00F3726A">
              <w:t xml:space="preserve">EC10 </w:t>
            </w:r>
            <w:r w:rsidR="003E6641">
              <w:br/>
            </w:r>
            <w:r w:rsidRPr="00F3726A">
              <w:t>(Population abundance)</w:t>
            </w:r>
          </w:p>
        </w:tc>
        <w:tc>
          <w:tcPr>
            <w:tcW w:w="779" w:type="pct"/>
            <w:shd w:val="clear" w:color="auto" w:fill="auto"/>
            <w:tcMar>
              <w:left w:w="85" w:type="dxa"/>
              <w:right w:w="57" w:type="dxa"/>
            </w:tcMar>
          </w:tcPr>
          <w:p w14:paraId="273CD510" w14:textId="77777777" w:rsidR="00FD1CB1" w:rsidRPr="00F3726A" w:rsidRDefault="00324184" w:rsidP="0099467D">
            <w:pPr>
              <w:pStyle w:val="TableText"/>
            </w:pPr>
            <w:r w:rsidRPr="00F3726A">
              <w:t>300</w:t>
            </w:r>
          </w:p>
        </w:tc>
        <w:tc>
          <w:tcPr>
            <w:tcW w:w="541" w:type="pct"/>
            <w:tcMar>
              <w:left w:w="85" w:type="dxa"/>
              <w:right w:w="57" w:type="dxa"/>
            </w:tcMar>
          </w:tcPr>
          <w:p w14:paraId="273CD511" w14:textId="77777777" w:rsidR="00FD1CB1" w:rsidRPr="00F3726A" w:rsidRDefault="00324184" w:rsidP="0099467D">
            <w:pPr>
              <w:pStyle w:val="TableText"/>
            </w:pPr>
            <w:r w:rsidRPr="00F3726A">
              <w:t>300</w:t>
            </w:r>
          </w:p>
        </w:tc>
      </w:tr>
      <w:tr w:rsidR="00091AEB" w14:paraId="273CD51A" w14:textId="77777777" w:rsidTr="003E6641">
        <w:trPr>
          <w:cantSplit/>
        </w:trPr>
        <w:tc>
          <w:tcPr>
            <w:tcW w:w="564" w:type="pct"/>
            <w:vMerge w:val="restart"/>
            <w:shd w:val="clear" w:color="auto" w:fill="auto"/>
            <w:tcMar>
              <w:left w:w="85" w:type="dxa"/>
              <w:right w:w="57" w:type="dxa"/>
            </w:tcMar>
          </w:tcPr>
          <w:p w14:paraId="273CD513" w14:textId="77777777" w:rsidR="00CE28D3" w:rsidRPr="00F3726A" w:rsidRDefault="00324184" w:rsidP="009309CA">
            <w:pPr>
              <w:pStyle w:val="TableText"/>
            </w:pPr>
            <w:r w:rsidRPr="00F3726A">
              <w:t xml:space="preserve">Green </w:t>
            </w:r>
            <w:r>
              <w:t xml:space="preserve">microalga </w:t>
            </w:r>
          </w:p>
        </w:tc>
        <w:tc>
          <w:tcPr>
            <w:tcW w:w="1133" w:type="pct"/>
            <w:shd w:val="clear" w:color="auto" w:fill="auto"/>
            <w:tcMar>
              <w:left w:w="85" w:type="dxa"/>
              <w:right w:w="57" w:type="dxa"/>
            </w:tcMar>
          </w:tcPr>
          <w:p w14:paraId="273CD514" w14:textId="77777777" w:rsidR="00CE28D3" w:rsidRPr="00CC4647" w:rsidRDefault="00324184" w:rsidP="0099467D">
            <w:pPr>
              <w:pStyle w:val="TableText"/>
              <w:rPr>
                <w:rStyle w:val="Emphasis"/>
              </w:rPr>
            </w:pPr>
            <w:r w:rsidRPr="00CC4647">
              <w:rPr>
                <w:rStyle w:val="Emphasis"/>
              </w:rPr>
              <w:t>Dunaliella tertiolecta</w:t>
            </w:r>
          </w:p>
        </w:tc>
        <w:tc>
          <w:tcPr>
            <w:tcW w:w="581" w:type="pct"/>
            <w:shd w:val="clear" w:color="auto" w:fill="auto"/>
            <w:tcMar>
              <w:left w:w="85" w:type="dxa"/>
              <w:right w:w="57" w:type="dxa"/>
            </w:tcMar>
          </w:tcPr>
          <w:p w14:paraId="273CD515" w14:textId="77777777" w:rsidR="00CE28D3" w:rsidRPr="00F3726A" w:rsidRDefault="00324184" w:rsidP="0099467D">
            <w:pPr>
              <w:pStyle w:val="TableText"/>
            </w:pPr>
            <w:r w:rsidRPr="00F3726A">
              <w:t>Exp</w:t>
            </w:r>
            <w:r>
              <w:t>onential</w:t>
            </w:r>
            <w:r w:rsidRPr="00F3726A">
              <w:t xml:space="preserve"> growth </w:t>
            </w:r>
          </w:p>
        </w:tc>
        <w:tc>
          <w:tcPr>
            <w:tcW w:w="544" w:type="pct"/>
            <w:shd w:val="clear" w:color="auto" w:fill="auto"/>
            <w:tcMar>
              <w:left w:w="85" w:type="dxa"/>
              <w:right w:w="57" w:type="dxa"/>
            </w:tcMar>
          </w:tcPr>
          <w:p w14:paraId="273CD516" w14:textId="77777777" w:rsidR="00CE28D3" w:rsidRPr="00F3726A" w:rsidRDefault="00324184" w:rsidP="0099467D">
            <w:pPr>
              <w:pStyle w:val="TableText"/>
            </w:pPr>
            <w:r w:rsidRPr="00F3726A">
              <w:t>3</w:t>
            </w:r>
          </w:p>
        </w:tc>
        <w:tc>
          <w:tcPr>
            <w:tcW w:w="858" w:type="pct"/>
            <w:shd w:val="clear" w:color="auto" w:fill="auto"/>
            <w:tcMar>
              <w:left w:w="57" w:type="dxa"/>
              <w:right w:w="28" w:type="dxa"/>
            </w:tcMar>
          </w:tcPr>
          <w:p w14:paraId="273CD517" w14:textId="77777777" w:rsidR="00CE28D3" w:rsidRPr="00F3726A" w:rsidRDefault="00324184" w:rsidP="003E6641">
            <w:pPr>
              <w:pStyle w:val="TableText"/>
            </w:pPr>
            <w:r w:rsidRPr="00F3726A">
              <w:t xml:space="preserve">NOEC </w:t>
            </w:r>
            <w:r w:rsidR="003E6641">
              <w:br/>
            </w:r>
            <w:r w:rsidRPr="00F3726A">
              <w:t>(Population growth rate)</w:t>
            </w:r>
          </w:p>
        </w:tc>
        <w:tc>
          <w:tcPr>
            <w:tcW w:w="779" w:type="pct"/>
            <w:shd w:val="clear" w:color="auto" w:fill="auto"/>
            <w:tcMar>
              <w:left w:w="85" w:type="dxa"/>
              <w:right w:w="57" w:type="dxa"/>
            </w:tcMar>
          </w:tcPr>
          <w:p w14:paraId="273CD518" w14:textId="77777777" w:rsidR="00CE28D3" w:rsidRPr="00F3726A" w:rsidRDefault="00324184" w:rsidP="0099467D">
            <w:pPr>
              <w:pStyle w:val="TableText"/>
            </w:pPr>
            <w:r w:rsidRPr="00F3726A">
              <w:t>8</w:t>
            </w:r>
          </w:p>
        </w:tc>
        <w:tc>
          <w:tcPr>
            <w:tcW w:w="541" w:type="pct"/>
            <w:tcMar>
              <w:left w:w="85" w:type="dxa"/>
              <w:right w:w="57" w:type="dxa"/>
            </w:tcMar>
          </w:tcPr>
          <w:p w14:paraId="273CD519" w14:textId="77777777" w:rsidR="00CE28D3" w:rsidRPr="00F3726A" w:rsidRDefault="00324184" w:rsidP="0099467D">
            <w:pPr>
              <w:pStyle w:val="TableText"/>
            </w:pPr>
            <w:r w:rsidRPr="00F3726A">
              <w:t>8</w:t>
            </w:r>
          </w:p>
        </w:tc>
      </w:tr>
      <w:tr w:rsidR="00091AEB" w14:paraId="273CD522" w14:textId="77777777" w:rsidTr="003E6641">
        <w:trPr>
          <w:cantSplit/>
        </w:trPr>
        <w:tc>
          <w:tcPr>
            <w:tcW w:w="564" w:type="pct"/>
            <w:vMerge/>
            <w:shd w:val="clear" w:color="auto" w:fill="auto"/>
            <w:tcMar>
              <w:left w:w="85" w:type="dxa"/>
              <w:right w:w="57" w:type="dxa"/>
            </w:tcMar>
          </w:tcPr>
          <w:p w14:paraId="273CD51B" w14:textId="77777777" w:rsidR="00CE28D3" w:rsidRPr="00F3726A" w:rsidRDefault="00CE28D3" w:rsidP="0099467D">
            <w:pPr>
              <w:pStyle w:val="TableText"/>
            </w:pPr>
          </w:p>
        </w:tc>
        <w:tc>
          <w:tcPr>
            <w:tcW w:w="1133" w:type="pct"/>
            <w:shd w:val="clear" w:color="auto" w:fill="auto"/>
            <w:tcMar>
              <w:left w:w="85" w:type="dxa"/>
              <w:right w:w="57" w:type="dxa"/>
            </w:tcMar>
          </w:tcPr>
          <w:p w14:paraId="273CD51C" w14:textId="77777777" w:rsidR="00CE28D3" w:rsidRPr="00CC4647" w:rsidRDefault="00324184" w:rsidP="0099467D">
            <w:pPr>
              <w:pStyle w:val="TableText"/>
              <w:rPr>
                <w:rStyle w:val="Emphasis"/>
              </w:rPr>
            </w:pPr>
            <w:r w:rsidRPr="00CC4647">
              <w:rPr>
                <w:rStyle w:val="Emphasis"/>
              </w:rPr>
              <w:t>Micromonas pusilla</w:t>
            </w:r>
          </w:p>
        </w:tc>
        <w:tc>
          <w:tcPr>
            <w:tcW w:w="581" w:type="pct"/>
            <w:shd w:val="clear" w:color="auto" w:fill="auto"/>
            <w:tcMar>
              <w:left w:w="85" w:type="dxa"/>
              <w:right w:w="57" w:type="dxa"/>
            </w:tcMar>
          </w:tcPr>
          <w:p w14:paraId="273CD51D" w14:textId="77777777" w:rsidR="00CE28D3" w:rsidRPr="00F3726A" w:rsidRDefault="00324184" w:rsidP="0099467D">
            <w:pPr>
              <w:pStyle w:val="TableText"/>
            </w:pPr>
            <w:r w:rsidRPr="00F3726A">
              <w:t>Exp</w:t>
            </w:r>
            <w:r>
              <w:t>onential</w:t>
            </w:r>
            <w:r w:rsidRPr="00F3726A">
              <w:t xml:space="preserve"> growth </w:t>
            </w:r>
          </w:p>
        </w:tc>
        <w:tc>
          <w:tcPr>
            <w:tcW w:w="544" w:type="pct"/>
            <w:shd w:val="clear" w:color="auto" w:fill="auto"/>
            <w:tcMar>
              <w:left w:w="85" w:type="dxa"/>
              <w:right w:w="57" w:type="dxa"/>
            </w:tcMar>
          </w:tcPr>
          <w:p w14:paraId="273CD51E" w14:textId="77777777" w:rsidR="00CE28D3" w:rsidRPr="00F3726A" w:rsidRDefault="00324184" w:rsidP="0099467D">
            <w:pPr>
              <w:pStyle w:val="TableText"/>
            </w:pPr>
            <w:r w:rsidRPr="00F3726A">
              <w:t>3</w:t>
            </w:r>
          </w:p>
        </w:tc>
        <w:tc>
          <w:tcPr>
            <w:tcW w:w="858" w:type="pct"/>
            <w:shd w:val="clear" w:color="auto" w:fill="auto"/>
            <w:tcMar>
              <w:left w:w="57" w:type="dxa"/>
              <w:right w:w="28" w:type="dxa"/>
            </w:tcMar>
          </w:tcPr>
          <w:p w14:paraId="273CD51F" w14:textId="77777777" w:rsidR="00CE28D3" w:rsidRPr="00F3726A" w:rsidRDefault="00324184" w:rsidP="003E6641">
            <w:pPr>
              <w:pStyle w:val="TableText"/>
            </w:pPr>
            <w:r w:rsidRPr="00F3726A">
              <w:t xml:space="preserve">NOEC </w:t>
            </w:r>
            <w:r w:rsidR="003E6641">
              <w:br/>
            </w:r>
            <w:r w:rsidRPr="00F3726A">
              <w:t xml:space="preserve">(Population </w:t>
            </w:r>
            <w:r w:rsidRPr="00F3726A">
              <w:t>growth rate)</w:t>
            </w:r>
          </w:p>
        </w:tc>
        <w:tc>
          <w:tcPr>
            <w:tcW w:w="779" w:type="pct"/>
            <w:shd w:val="clear" w:color="auto" w:fill="auto"/>
            <w:tcMar>
              <w:left w:w="85" w:type="dxa"/>
              <w:right w:w="57" w:type="dxa"/>
            </w:tcMar>
          </w:tcPr>
          <w:p w14:paraId="273CD520" w14:textId="77777777" w:rsidR="00CE28D3" w:rsidRPr="00F3726A" w:rsidRDefault="00324184" w:rsidP="0099467D">
            <w:pPr>
              <w:pStyle w:val="TableText"/>
            </w:pPr>
            <w:r w:rsidRPr="00F3726A">
              <w:t>0.3</w:t>
            </w:r>
          </w:p>
        </w:tc>
        <w:tc>
          <w:tcPr>
            <w:tcW w:w="541" w:type="pct"/>
            <w:tcMar>
              <w:left w:w="85" w:type="dxa"/>
              <w:right w:w="57" w:type="dxa"/>
            </w:tcMar>
          </w:tcPr>
          <w:p w14:paraId="273CD521" w14:textId="77777777" w:rsidR="00CE28D3" w:rsidRPr="00F3726A" w:rsidRDefault="00324184" w:rsidP="0099467D">
            <w:pPr>
              <w:pStyle w:val="TableText"/>
            </w:pPr>
            <w:r w:rsidRPr="00F3726A">
              <w:t>0.3</w:t>
            </w:r>
          </w:p>
        </w:tc>
      </w:tr>
      <w:tr w:rsidR="00091AEB" w14:paraId="273CD52A" w14:textId="77777777" w:rsidTr="003E6641">
        <w:trPr>
          <w:cantSplit/>
        </w:trPr>
        <w:tc>
          <w:tcPr>
            <w:tcW w:w="564" w:type="pct"/>
            <w:vMerge/>
            <w:shd w:val="clear" w:color="auto" w:fill="auto"/>
            <w:tcMar>
              <w:left w:w="85" w:type="dxa"/>
              <w:right w:w="57" w:type="dxa"/>
            </w:tcMar>
          </w:tcPr>
          <w:p w14:paraId="273CD523" w14:textId="77777777" w:rsidR="00CE28D3" w:rsidRPr="00F3726A" w:rsidRDefault="00CE28D3" w:rsidP="0099467D">
            <w:pPr>
              <w:pStyle w:val="TableText"/>
            </w:pPr>
          </w:p>
        </w:tc>
        <w:tc>
          <w:tcPr>
            <w:tcW w:w="1133" w:type="pct"/>
            <w:shd w:val="clear" w:color="auto" w:fill="auto"/>
            <w:tcMar>
              <w:left w:w="85" w:type="dxa"/>
              <w:right w:w="57" w:type="dxa"/>
            </w:tcMar>
          </w:tcPr>
          <w:p w14:paraId="273CD524" w14:textId="77777777" w:rsidR="00CE28D3" w:rsidRPr="00944285" w:rsidRDefault="00324184" w:rsidP="0099467D">
            <w:pPr>
              <w:pStyle w:val="TableText"/>
            </w:pPr>
            <w:r w:rsidRPr="00CC4647">
              <w:rPr>
                <w:rStyle w:val="Emphasis"/>
              </w:rPr>
              <w:t>Tetraselmis</w:t>
            </w:r>
            <w:r w:rsidRPr="00944285">
              <w:t xml:space="preserve"> sp.</w:t>
            </w:r>
          </w:p>
        </w:tc>
        <w:tc>
          <w:tcPr>
            <w:tcW w:w="581" w:type="pct"/>
            <w:shd w:val="clear" w:color="auto" w:fill="auto"/>
            <w:tcMar>
              <w:left w:w="85" w:type="dxa"/>
              <w:right w:w="57" w:type="dxa"/>
            </w:tcMar>
          </w:tcPr>
          <w:p w14:paraId="273CD525" w14:textId="77777777" w:rsidR="00CE28D3" w:rsidRPr="00F3726A" w:rsidRDefault="00324184" w:rsidP="0099467D">
            <w:pPr>
              <w:pStyle w:val="TableText"/>
            </w:pPr>
            <w:r w:rsidRPr="00F3726A">
              <w:t>Exp</w:t>
            </w:r>
            <w:r>
              <w:t>onential</w:t>
            </w:r>
            <w:r w:rsidRPr="00F3726A">
              <w:t xml:space="preserve"> growth </w:t>
            </w:r>
          </w:p>
        </w:tc>
        <w:tc>
          <w:tcPr>
            <w:tcW w:w="544" w:type="pct"/>
            <w:shd w:val="clear" w:color="auto" w:fill="auto"/>
            <w:tcMar>
              <w:left w:w="85" w:type="dxa"/>
              <w:right w:w="57" w:type="dxa"/>
            </w:tcMar>
          </w:tcPr>
          <w:p w14:paraId="273CD526" w14:textId="77777777" w:rsidR="00CE28D3" w:rsidRPr="00F3726A" w:rsidRDefault="00324184" w:rsidP="0099467D">
            <w:pPr>
              <w:pStyle w:val="TableText"/>
            </w:pPr>
            <w:r w:rsidRPr="00F3726A">
              <w:t>3</w:t>
            </w:r>
          </w:p>
        </w:tc>
        <w:tc>
          <w:tcPr>
            <w:tcW w:w="858" w:type="pct"/>
            <w:shd w:val="clear" w:color="auto" w:fill="auto"/>
            <w:tcMar>
              <w:left w:w="57" w:type="dxa"/>
              <w:right w:w="28" w:type="dxa"/>
            </w:tcMar>
          </w:tcPr>
          <w:p w14:paraId="273CD527" w14:textId="77777777" w:rsidR="00CE28D3" w:rsidRPr="00F3726A" w:rsidRDefault="00324184" w:rsidP="003E6641">
            <w:pPr>
              <w:pStyle w:val="TableText"/>
            </w:pPr>
            <w:r w:rsidRPr="00F3726A">
              <w:t xml:space="preserve">NOEC </w:t>
            </w:r>
            <w:r w:rsidR="003E6641">
              <w:br/>
            </w:r>
            <w:r w:rsidRPr="00F3726A">
              <w:t>(Population growth rate)</w:t>
            </w:r>
          </w:p>
        </w:tc>
        <w:tc>
          <w:tcPr>
            <w:tcW w:w="779" w:type="pct"/>
            <w:shd w:val="clear" w:color="auto" w:fill="auto"/>
            <w:tcMar>
              <w:left w:w="85" w:type="dxa"/>
              <w:right w:w="57" w:type="dxa"/>
            </w:tcMar>
          </w:tcPr>
          <w:p w14:paraId="273CD528" w14:textId="77777777" w:rsidR="00CE28D3" w:rsidRPr="00F3726A" w:rsidRDefault="00324184" w:rsidP="0099467D">
            <w:pPr>
              <w:pStyle w:val="TableText"/>
            </w:pPr>
            <w:r w:rsidRPr="00F3726A">
              <w:t>7</w:t>
            </w:r>
          </w:p>
        </w:tc>
        <w:tc>
          <w:tcPr>
            <w:tcW w:w="541" w:type="pct"/>
            <w:tcMar>
              <w:left w:w="85" w:type="dxa"/>
              <w:right w:w="57" w:type="dxa"/>
            </w:tcMar>
          </w:tcPr>
          <w:p w14:paraId="273CD529" w14:textId="77777777" w:rsidR="00CE28D3" w:rsidRPr="00F3726A" w:rsidRDefault="00324184" w:rsidP="0099467D">
            <w:pPr>
              <w:pStyle w:val="TableText"/>
            </w:pPr>
            <w:r w:rsidRPr="00F3726A">
              <w:t>7</w:t>
            </w:r>
          </w:p>
        </w:tc>
      </w:tr>
      <w:tr w:rsidR="00091AEB" w14:paraId="273CD532" w14:textId="77777777" w:rsidTr="003E6641">
        <w:trPr>
          <w:cantSplit/>
        </w:trPr>
        <w:tc>
          <w:tcPr>
            <w:tcW w:w="564" w:type="pct"/>
            <w:vMerge w:val="restart"/>
            <w:shd w:val="clear" w:color="auto" w:fill="auto"/>
            <w:tcMar>
              <w:left w:w="85" w:type="dxa"/>
              <w:right w:w="57" w:type="dxa"/>
            </w:tcMar>
          </w:tcPr>
          <w:p w14:paraId="273CD52B" w14:textId="77777777" w:rsidR="00CE28D3" w:rsidRPr="00F3726A" w:rsidRDefault="00324184" w:rsidP="0099467D">
            <w:pPr>
              <w:pStyle w:val="TableText"/>
            </w:pPr>
            <w:r>
              <w:t>Green macroalga</w:t>
            </w:r>
          </w:p>
        </w:tc>
        <w:tc>
          <w:tcPr>
            <w:tcW w:w="1133" w:type="pct"/>
            <w:shd w:val="clear" w:color="auto" w:fill="auto"/>
            <w:tcMar>
              <w:left w:w="85" w:type="dxa"/>
              <w:right w:w="57" w:type="dxa"/>
            </w:tcMar>
          </w:tcPr>
          <w:p w14:paraId="273CD52C" w14:textId="77777777" w:rsidR="00CE28D3" w:rsidRPr="00944285" w:rsidRDefault="00324184" w:rsidP="0099467D">
            <w:pPr>
              <w:pStyle w:val="TableText"/>
            </w:pPr>
            <w:r w:rsidRPr="00CC4647">
              <w:rPr>
                <w:rStyle w:val="Emphasis"/>
              </w:rPr>
              <w:t>Ulva fasciata</w:t>
            </w:r>
            <w:r w:rsidRPr="00944285">
              <w:t xml:space="preserve"> </w:t>
            </w:r>
          </w:p>
        </w:tc>
        <w:tc>
          <w:tcPr>
            <w:tcW w:w="581" w:type="pct"/>
            <w:shd w:val="clear" w:color="auto" w:fill="auto"/>
            <w:tcMar>
              <w:left w:w="85" w:type="dxa"/>
              <w:right w:w="57" w:type="dxa"/>
            </w:tcMar>
          </w:tcPr>
          <w:p w14:paraId="273CD52D" w14:textId="77777777" w:rsidR="00CE28D3" w:rsidRPr="00F3726A" w:rsidRDefault="00324184" w:rsidP="0099467D">
            <w:pPr>
              <w:pStyle w:val="TableText"/>
            </w:pPr>
            <w:r>
              <w:t>Zoospore</w:t>
            </w:r>
          </w:p>
        </w:tc>
        <w:tc>
          <w:tcPr>
            <w:tcW w:w="544" w:type="pct"/>
            <w:shd w:val="clear" w:color="auto" w:fill="auto"/>
            <w:tcMar>
              <w:left w:w="85" w:type="dxa"/>
              <w:right w:w="57" w:type="dxa"/>
            </w:tcMar>
          </w:tcPr>
          <w:p w14:paraId="273CD52E" w14:textId="77777777" w:rsidR="00CE28D3" w:rsidRPr="00F3726A" w:rsidRDefault="00324184" w:rsidP="0099467D">
            <w:pPr>
              <w:pStyle w:val="TableText"/>
            </w:pPr>
            <w:r w:rsidRPr="00F3726A">
              <w:t>4</w:t>
            </w:r>
          </w:p>
        </w:tc>
        <w:tc>
          <w:tcPr>
            <w:tcW w:w="858" w:type="pct"/>
            <w:shd w:val="clear" w:color="auto" w:fill="auto"/>
            <w:tcMar>
              <w:left w:w="57" w:type="dxa"/>
              <w:right w:w="28" w:type="dxa"/>
            </w:tcMar>
          </w:tcPr>
          <w:p w14:paraId="273CD52F" w14:textId="77777777" w:rsidR="00CE28D3" w:rsidRPr="00F3726A" w:rsidRDefault="00324184" w:rsidP="003E6641">
            <w:pPr>
              <w:pStyle w:val="TableText"/>
            </w:pPr>
            <w:r w:rsidRPr="00F3726A">
              <w:t xml:space="preserve">NOEC </w:t>
            </w:r>
            <w:r w:rsidR="003E6641">
              <w:br/>
            </w:r>
            <w:r w:rsidRPr="00F3726A">
              <w:t>(Reproduction)</w:t>
            </w:r>
          </w:p>
        </w:tc>
        <w:tc>
          <w:tcPr>
            <w:tcW w:w="779" w:type="pct"/>
            <w:shd w:val="clear" w:color="auto" w:fill="auto"/>
            <w:tcMar>
              <w:left w:w="85" w:type="dxa"/>
              <w:right w:w="57" w:type="dxa"/>
            </w:tcMar>
          </w:tcPr>
          <w:p w14:paraId="273CD530" w14:textId="77777777" w:rsidR="00CE28D3" w:rsidRPr="00F3726A" w:rsidRDefault="00324184" w:rsidP="0099467D">
            <w:pPr>
              <w:pStyle w:val="TableText"/>
            </w:pPr>
            <w:r w:rsidRPr="00F3726A">
              <w:t>27</w:t>
            </w:r>
          </w:p>
        </w:tc>
        <w:tc>
          <w:tcPr>
            <w:tcW w:w="541" w:type="pct"/>
            <w:tcMar>
              <w:left w:w="85" w:type="dxa"/>
              <w:right w:w="57" w:type="dxa"/>
            </w:tcMar>
          </w:tcPr>
          <w:p w14:paraId="273CD531" w14:textId="77777777" w:rsidR="00CE28D3" w:rsidRPr="00F3726A" w:rsidRDefault="00324184" w:rsidP="0099467D">
            <w:pPr>
              <w:pStyle w:val="TableText"/>
            </w:pPr>
            <w:r w:rsidRPr="00F3726A">
              <w:t>27</w:t>
            </w:r>
          </w:p>
        </w:tc>
      </w:tr>
      <w:tr w:rsidR="00091AEB" w14:paraId="273CD53A" w14:textId="77777777" w:rsidTr="003E6641">
        <w:trPr>
          <w:cantSplit/>
        </w:trPr>
        <w:tc>
          <w:tcPr>
            <w:tcW w:w="564" w:type="pct"/>
            <w:vMerge/>
            <w:shd w:val="clear" w:color="auto" w:fill="auto"/>
            <w:tcMar>
              <w:left w:w="85" w:type="dxa"/>
              <w:right w:w="57" w:type="dxa"/>
            </w:tcMar>
          </w:tcPr>
          <w:p w14:paraId="273CD533" w14:textId="77777777" w:rsidR="00CE28D3" w:rsidRPr="00F3726A" w:rsidRDefault="00CE28D3" w:rsidP="0099467D">
            <w:pPr>
              <w:pStyle w:val="TableText"/>
            </w:pPr>
          </w:p>
        </w:tc>
        <w:tc>
          <w:tcPr>
            <w:tcW w:w="1133" w:type="pct"/>
            <w:shd w:val="clear" w:color="auto" w:fill="auto"/>
            <w:tcMar>
              <w:left w:w="85" w:type="dxa"/>
              <w:right w:w="57" w:type="dxa"/>
            </w:tcMar>
          </w:tcPr>
          <w:p w14:paraId="273CD534" w14:textId="77777777" w:rsidR="00CE28D3" w:rsidRPr="00944285" w:rsidRDefault="00324184" w:rsidP="0099467D">
            <w:pPr>
              <w:pStyle w:val="TableText"/>
            </w:pPr>
            <w:r w:rsidRPr="00CC4647">
              <w:rPr>
                <w:rStyle w:val="Emphasis"/>
              </w:rPr>
              <w:t>Ulva lactuca</w:t>
            </w:r>
            <w:r w:rsidRPr="00944285">
              <w:t xml:space="preserve"> </w:t>
            </w:r>
          </w:p>
        </w:tc>
        <w:tc>
          <w:tcPr>
            <w:tcW w:w="581" w:type="pct"/>
            <w:shd w:val="clear" w:color="auto" w:fill="auto"/>
            <w:tcMar>
              <w:left w:w="85" w:type="dxa"/>
              <w:right w:w="57" w:type="dxa"/>
            </w:tcMar>
          </w:tcPr>
          <w:p w14:paraId="273CD535" w14:textId="77777777" w:rsidR="00CE28D3" w:rsidRPr="00F3726A" w:rsidRDefault="00324184" w:rsidP="0099467D">
            <w:pPr>
              <w:pStyle w:val="TableText"/>
            </w:pPr>
            <w:r>
              <w:t>Zoospore</w:t>
            </w:r>
          </w:p>
        </w:tc>
        <w:tc>
          <w:tcPr>
            <w:tcW w:w="544" w:type="pct"/>
            <w:shd w:val="clear" w:color="auto" w:fill="auto"/>
            <w:tcMar>
              <w:left w:w="85" w:type="dxa"/>
              <w:right w:w="57" w:type="dxa"/>
            </w:tcMar>
          </w:tcPr>
          <w:p w14:paraId="273CD536" w14:textId="77777777" w:rsidR="00CE28D3" w:rsidRPr="00F3726A" w:rsidRDefault="00324184" w:rsidP="0099467D">
            <w:pPr>
              <w:pStyle w:val="TableText"/>
            </w:pPr>
            <w:r w:rsidRPr="00F3726A">
              <w:t>3</w:t>
            </w:r>
          </w:p>
        </w:tc>
        <w:tc>
          <w:tcPr>
            <w:tcW w:w="858" w:type="pct"/>
            <w:shd w:val="clear" w:color="auto" w:fill="auto"/>
            <w:tcMar>
              <w:left w:w="57" w:type="dxa"/>
              <w:right w:w="28" w:type="dxa"/>
            </w:tcMar>
          </w:tcPr>
          <w:p w14:paraId="273CD537" w14:textId="77777777" w:rsidR="00CE28D3" w:rsidRPr="00F3726A" w:rsidRDefault="00324184" w:rsidP="003E6641">
            <w:pPr>
              <w:pStyle w:val="TableText"/>
            </w:pPr>
            <w:r w:rsidRPr="00F3726A">
              <w:t xml:space="preserve">EC10 </w:t>
            </w:r>
            <w:r w:rsidR="003E6641">
              <w:br/>
            </w:r>
            <w:r w:rsidRPr="00F3726A">
              <w:t>(settlement and growth</w:t>
            </w:r>
            <w:r>
              <w:t xml:space="preserve"> inhibition</w:t>
            </w:r>
            <w:r w:rsidRPr="00F3726A">
              <w:t>)</w:t>
            </w:r>
          </w:p>
        </w:tc>
        <w:tc>
          <w:tcPr>
            <w:tcW w:w="779" w:type="pct"/>
            <w:shd w:val="clear" w:color="auto" w:fill="auto"/>
            <w:tcMar>
              <w:left w:w="85" w:type="dxa"/>
              <w:right w:w="57" w:type="dxa"/>
            </w:tcMar>
          </w:tcPr>
          <w:p w14:paraId="273CD538" w14:textId="77777777" w:rsidR="00CE28D3" w:rsidRPr="00F3726A" w:rsidRDefault="00324184" w:rsidP="0099467D">
            <w:pPr>
              <w:pStyle w:val="TableText"/>
            </w:pPr>
            <w:r w:rsidRPr="00F3726A">
              <w:t>56</w:t>
            </w:r>
          </w:p>
        </w:tc>
        <w:tc>
          <w:tcPr>
            <w:tcW w:w="541" w:type="pct"/>
            <w:tcMar>
              <w:left w:w="85" w:type="dxa"/>
              <w:right w:w="57" w:type="dxa"/>
            </w:tcMar>
          </w:tcPr>
          <w:p w14:paraId="273CD539" w14:textId="77777777" w:rsidR="00CE28D3" w:rsidRPr="00F3726A" w:rsidRDefault="00324184" w:rsidP="0099467D">
            <w:pPr>
              <w:pStyle w:val="TableText"/>
            </w:pPr>
            <w:r w:rsidRPr="00F3726A">
              <w:t>56</w:t>
            </w:r>
          </w:p>
        </w:tc>
      </w:tr>
      <w:tr w:rsidR="00091AEB" w14:paraId="273CD542" w14:textId="77777777" w:rsidTr="003E6641">
        <w:trPr>
          <w:cantSplit/>
        </w:trPr>
        <w:tc>
          <w:tcPr>
            <w:tcW w:w="564" w:type="pct"/>
            <w:vMerge w:val="restart"/>
            <w:shd w:val="clear" w:color="auto" w:fill="auto"/>
            <w:tcMar>
              <w:left w:w="85" w:type="dxa"/>
              <w:right w:w="57" w:type="dxa"/>
            </w:tcMar>
          </w:tcPr>
          <w:p w14:paraId="273CD53B" w14:textId="77777777" w:rsidR="00FD1CB1" w:rsidRPr="00F3726A" w:rsidRDefault="00324184" w:rsidP="0099467D">
            <w:pPr>
              <w:pStyle w:val="TableText"/>
            </w:pPr>
            <w:r w:rsidRPr="00F3726A">
              <w:t xml:space="preserve">Brown </w:t>
            </w:r>
            <w:r w:rsidR="00926F65">
              <w:t>macro</w:t>
            </w:r>
            <w:r w:rsidRPr="00F3726A">
              <w:t xml:space="preserve">alga </w:t>
            </w:r>
          </w:p>
        </w:tc>
        <w:tc>
          <w:tcPr>
            <w:tcW w:w="1133" w:type="pct"/>
            <w:shd w:val="clear" w:color="auto" w:fill="auto"/>
            <w:tcMar>
              <w:left w:w="85" w:type="dxa"/>
              <w:right w:w="57" w:type="dxa"/>
            </w:tcMar>
          </w:tcPr>
          <w:p w14:paraId="273CD53C" w14:textId="77777777" w:rsidR="00FD1CB1" w:rsidRPr="00944285" w:rsidRDefault="00324184" w:rsidP="0099467D">
            <w:pPr>
              <w:pStyle w:val="TableText"/>
            </w:pPr>
            <w:r w:rsidRPr="00CC4647">
              <w:rPr>
                <w:rStyle w:val="Emphasis"/>
              </w:rPr>
              <w:t>Macrocystis pyrifera</w:t>
            </w:r>
            <w:r w:rsidRPr="00944285">
              <w:t xml:space="preserve"> </w:t>
            </w:r>
          </w:p>
        </w:tc>
        <w:tc>
          <w:tcPr>
            <w:tcW w:w="581" w:type="pct"/>
            <w:shd w:val="clear" w:color="auto" w:fill="auto"/>
            <w:tcMar>
              <w:left w:w="85" w:type="dxa"/>
              <w:right w:w="57" w:type="dxa"/>
            </w:tcMar>
          </w:tcPr>
          <w:p w14:paraId="273CD53D" w14:textId="77777777" w:rsidR="00FD1CB1" w:rsidRPr="00F3726A" w:rsidRDefault="00324184" w:rsidP="0099467D">
            <w:pPr>
              <w:pStyle w:val="TableText"/>
            </w:pPr>
            <w:r>
              <w:t>Zoospore</w:t>
            </w:r>
          </w:p>
        </w:tc>
        <w:tc>
          <w:tcPr>
            <w:tcW w:w="544" w:type="pct"/>
            <w:shd w:val="clear" w:color="auto" w:fill="auto"/>
            <w:tcMar>
              <w:left w:w="85" w:type="dxa"/>
              <w:right w:w="57" w:type="dxa"/>
            </w:tcMar>
          </w:tcPr>
          <w:p w14:paraId="273CD53E" w14:textId="77777777" w:rsidR="00FD1CB1" w:rsidRPr="00F3726A" w:rsidRDefault="00324184" w:rsidP="0099467D">
            <w:pPr>
              <w:pStyle w:val="TableText"/>
            </w:pPr>
            <w:r>
              <w:t>20</w:t>
            </w:r>
          </w:p>
        </w:tc>
        <w:tc>
          <w:tcPr>
            <w:tcW w:w="858" w:type="pct"/>
            <w:shd w:val="clear" w:color="auto" w:fill="auto"/>
            <w:tcMar>
              <w:left w:w="57" w:type="dxa"/>
              <w:right w:w="28" w:type="dxa"/>
            </w:tcMar>
          </w:tcPr>
          <w:p w14:paraId="273CD53F" w14:textId="77777777" w:rsidR="00FD1CB1" w:rsidRPr="00F3726A" w:rsidRDefault="00324184" w:rsidP="003E6641">
            <w:pPr>
              <w:pStyle w:val="TableText"/>
            </w:pPr>
            <w:r>
              <w:t>L</w:t>
            </w:r>
            <w:r w:rsidRPr="00F3726A">
              <w:t xml:space="preserve">OEC </w:t>
            </w:r>
            <w:r w:rsidR="003E6641">
              <w:br/>
            </w:r>
            <w:r w:rsidRPr="00F3726A">
              <w:t>(</w:t>
            </w:r>
            <w:r w:rsidR="00347DDA">
              <w:t>Sporophyte production</w:t>
            </w:r>
            <w:r w:rsidRPr="00F3726A">
              <w:t>)</w:t>
            </w:r>
          </w:p>
        </w:tc>
        <w:tc>
          <w:tcPr>
            <w:tcW w:w="779" w:type="pct"/>
            <w:shd w:val="clear" w:color="auto" w:fill="auto"/>
            <w:tcMar>
              <w:left w:w="85" w:type="dxa"/>
              <w:right w:w="57" w:type="dxa"/>
            </w:tcMar>
          </w:tcPr>
          <w:p w14:paraId="273CD540" w14:textId="77777777" w:rsidR="00FD1CB1" w:rsidRPr="00F3726A" w:rsidRDefault="00324184" w:rsidP="0099467D">
            <w:pPr>
              <w:pStyle w:val="TableText"/>
            </w:pPr>
            <w:r>
              <w:t>10.2</w:t>
            </w:r>
          </w:p>
        </w:tc>
        <w:tc>
          <w:tcPr>
            <w:tcW w:w="541" w:type="pct"/>
            <w:tcMar>
              <w:left w:w="85" w:type="dxa"/>
              <w:right w:w="57" w:type="dxa"/>
            </w:tcMar>
          </w:tcPr>
          <w:p w14:paraId="273CD541" w14:textId="77777777" w:rsidR="00FD1CB1" w:rsidRPr="00F3726A" w:rsidRDefault="00324184" w:rsidP="0099467D">
            <w:pPr>
              <w:pStyle w:val="TableText"/>
            </w:pPr>
            <w:r>
              <w:t>4.1</w:t>
            </w:r>
            <w:r w:rsidR="002C000C">
              <w:t xml:space="preserve"> </w:t>
            </w:r>
            <w:r w:rsidRPr="002C000C">
              <w:rPr>
                <w:rStyle w:val="Strong"/>
                <w:vertAlign w:val="superscript"/>
              </w:rPr>
              <w:t>c</w:t>
            </w:r>
          </w:p>
        </w:tc>
      </w:tr>
      <w:tr w:rsidR="00091AEB" w14:paraId="273CD54A" w14:textId="77777777" w:rsidTr="003E6641">
        <w:trPr>
          <w:cantSplit/>
        </w:trPr>
        <w:tc>
          <w:tcPr>
            <w:tcW w:w="564" w:type="pct"/>
            <w:vMerge/>
            <w:shd w:val="clear" w:color="auto" w:fill="auto"/>
            <w:tcMar>
              <w:left w:w="85" w:type="dxa"/>
              <w:right w:w="57" w:type="dxa"/>
            </w:tcMar>
          </w:tcPr>
          <w:p w14:paraId="273CD543" w14:textId="77777777" w:rsidR="00FD1CB1" w:rsidRPr="00F3726A" w:rsidRDefault="00FD1CB1" w:rsidP="0099467D">
            <w:pPr>
              <w:pStyle w:val="TableText"/>
            </w:pPr>
          </w:p>
        </w:tc>
        <w:tc>
          <w:tcPr>
            <w:tcW w:w="1133" w:type="pct"/>
            <w:shd w:val="clear" w:color="auto" w:fill="auto"/>
            <w:tcMar>
              <w:left w:w="85" w:type="dxa"/>
              <w:right w:w="57" w:type="dxa"/>
            </w:tcMar>
          </w:tcPr>
          <w:p w14:paraId="273CD544" w14:textId="77777777" w:rsidR="00FD1CB1" w:rsidRPr="00944285" w:rsidRDefault="00324184" w:rsidP="0099467D">
            <w:pPr>
              <w:pStyle w:val="TableText"/>
            </w:pPr>
            <w:r w:rsidRPr="00CC4647">
              <w:rPr>
                <w:rStyle w:val="Emphasis"/>
              </w:rPr>
              <w:t>Fucus vesiculosus</w:t>
            </w:r>
            <w:r w:rsidRPr="00944285">
              <w:t xml:space="preserve"> </w:t>
            </w:r>
          </w:p>
        </w:tc>
        <w:tc>
          <w:tcPr>
            <w:tcW w:w="581" w:type="pct"/>
            <w:shd w:val="clear" w:color="auto" w:fill="auto"/>
            <w:tcMar>
              <w:left w:w="85" w:type="dxa"/>
              <w:right w:w="57" w:type="dxa"/>
            </w:tcMar>
          </w:tcPr>
          <w:p w14:paraId="273CD545" w14:textId="77777777" w:rsidR="00FD1CB1" w:rsidRPr="00F3726A" w:rsidRDefault="00324184" w:rsidP="0099467D">
            <w:pPr>
              <w:pStyle w:val="TableText"/>
            </w:pPr>
            <w:r w:rsidRPr="00F3726A">
              <w:t>Germling</w:t>
            </w:r>
          </w:p>
        </w:tc>
        <w:tc>
          <w:tcPr>
            <w:tcW w:w="544" w:type="pct"/>
            <w:shd w:val="clear" w:color="auto" w:fill="auto"/>
            <w:tcMar>
              <w:left w:w="85" w:type="dxa"/>
              <w:right w:w="57" w:type="dxa"/>
            </w:tcMar>
          </w:tcPr>
          <w:p w14:paraId="273CD546" w14:textId="77777777" w:rsidR="00FD1CB1" w:rsidRPr="00F3726A" w:rsidRDefault="00324184" w:rsidP="0099467D">
            <w:pPr>
              <w:pStyle w:val="TableText"/>
            </w:pPr>
            <w:r w:rsidRPr="00F3726A">
              <w:t>14</w:t>
            </w:r>
          </w:p>
        </w:tc>
        <w:tc>
          <w:tcPr>
            <w:tcW w:w="858" w:type="pct"/>
            <w:shd w:val="clear" w:color="auto" w:fill="auto"/>
            <w:tcMar>
              <w:left w:w="57" w:type="dxa"/>
              <w:right w:w="28" w:type="dxa"/>
            </w:tcMar>
          </w:tcPr>
          <w:p w14:paraId="273CD547" w14:textId="77777777" w:rsidR="00FD1CB1" w:rsidRPr="00F3726A" w:rsidRDefault="00324184" w:rsidP="003E6641">
            <w:pPr>
              <w:pStyle w:val="TableText"/>
            </w:pPr>
            <w:r w:rsidRPr="00F3726A">
              <w:t xml:space="preserve">NEC </w:t>
            </w:r>
            <w:r w:rsidR="003E6641">
              <w:br/>
            </w:r>
            <w:r w:rsidRPr="00F3726A">
              <w:t>(Growth)</w:t>
            </w:r>
          </w:p>
        </w:tc>
        <w:tc>
          <w:tcPr>
            <w:tcW w:w="779" w:type="pct"/>
            <w:shd w:val="clear" w:color="auto" w:fill="auto"/>
            <w:tcMar>
              <w:left w:w="85" w:type="dxa"/>
              <w:right w:w="57" w:type="dxa"/>
            </w:tcMar>
          </w:tcPr>
          <w:p w14:paraId="273CD548" w14:textId="77777777" w:rsidR="00FD1CB1" w:rsidRPr="00F3726A" w:rsidRDefault="00324184" w:rsidP="0099467D">
            <w:pPr>
              <w:pStyle w:val="TableText"/>
            </w:pPr>
            <w:r w:rsidRPr="00F3726A">
              <w:t>17</w:t>
            </w:r>
          </w:p>
        </w:tc>
        <w:tc>
          <w:tcPr>
            <w:tcW w:w="541" w:type="pct"/>
            <w:tcMar>
              <w:left w:w="85" w:type="dxa"/>
              <w:right w:w="57" w:type="dxa"/>
            </w:tcMar>
          </w:tcPr>
          <w:p w14:paraId="273CD549" w14:textId="77777777" w:rsidR="00FD1CB1" w:rsidRPr="00F3726A" w:rsidRDefault="00324184" w:rsidP="0099467D">
            <w:pPr>
              <w:pStyle w:val="TableText"/>
            </w:pPr>
            <w:r w:rsidRPr="00F3726A">
              <w:t>17</w:t>
            </w:r>
          </w:p>
        </w:tc>
      </w:tr>
      <w:tr w:rsidR="00091AEB" w14:paraId="273CD552" w14:textId="77777777" w:rsidTr="003E6641">
        <w:trPr>
          <w:cantSplit/>
        </w:trPr>
        <w:tc>
          <w:tcPr>
            <w:tcW w:w="564" w:type="pct"/>
            <w:vMerge w:val="restart"/>
            <w:shd w:val="clear" w:color="auto" w:fill="auto"/>
            <w:tcMar>
              <w:left w:w="85" w:type="dxa"/>
              <w:right w:w="57" w:type="dxa"/>
            </w:tcMar>
          </w:tcPr>
          <w:p w14:paraId="273CD54B" w14:textId="77777777" w:rsidR="009F4BBE" w:rsidRPr="00F3726A" w:rsidRDefault="00324184" w:rsidP="009309CA">
            <w:pPr>
              <w:pStyle w:val="TableText"/>
            </w:pPr>
            <w:r w:rsidRPr="00F3726A">
              <w:t>Cnidaria</w:t>
            </w:r>
            <w:r w:rsidR="00520A34">
              <w:t>n</w:t>
            </w:r>
          </w:p>
        </w:tc>
        <w:tc>
          <w:tcPr>
            <w:tcW w:w="1133" w:type="pct"/>
            <w:shd w:val="clear" w:color="auto" w:fill="auto"/>
            <w:tcMar>
              <w:left w:w="85" w:type="dxa"/>
              <w:right w:w="57" w:type="dxa"/>
            </w:tcMar>
          </w:tcPr>
          <w:p w14:paraId="273CD54C" w14:textId="77777777" w:rsidR="009F4BBE" w:rsidRPr="00CC4647" w:rsidRDefault="00324184" w:rsidP="0099467D">
            <w:pPr>
              <w:pStyle w:val="TableText"/>
              <w:rPr>
                <w:rStyle w:val="Emphasis"/>
              </w:rPr>
            </w:pPr>
            <w:r w:rsidRPr="00CC4647">
              <w:rPr>
                <w:rStyle w:val="Emphasis"/>
              </w:rPr>
              <w:t>Acropora tenuis</w:t>
            </w:r>
          </w:p>
        </w:tc>
        <w:tc>
          <w:tcPr>
            <w:tcW w:w="581" w:type="pct"/>
            <w:shd w:val="clear" w:color="auto" w:fill="auto"/>
            <w:tcMar>
              <w:left w:w="85" w:type="dxa"/>
              <w:right w:w="57" w:type="dxa"/>
            </w:tcMar>
          </w:tcPr>
          <w:p w14:paraId="273CD54D" w14:textId="77777777" w:rsidR="009F4BBE" w:rsidRPr="00F3726A" w:rsidRDefault="00324184" w:rsidP="0099467D">
            <w:pPr>
              <w:pStyle w:val="TableText"/>
            </w:pPr>
            <w:r w:rsidRPr="00F3726A">
              <w:t>Gamete</w:t>
            </w:r>
          </w:p>
        </w:tc>
        <w:tc>
          <w:tcPr>
            <w:tcW w:w="544" w:type="pct"/>
            <w:shd w:val="clear" w:color="auto" w:fill="auto"/>
            <w:tcMar>
              <w:left w:w="85" w:type="dxa"/>
              <w:right w:w="57" w:type="dxa"/>
            </w:tcMar>
          </w:tcPr>
          <w:p w14:paraId="273CD54E" w14:textId="77777777" w:rsidR="009F4BBE" w:rsidRPr="00F3726A" w:rsidRDefault="00324184" w:rsidP="0099467D">
            <w:pPr>
              <w:pStyle w:val="TableText"/>
            </w:pPr>
            <w:r w:rsidRPr="00F3726A">
              <w:t>0.2</w:t>
            </w:r>
          </w:p>
        </w:tc>
        <w:tc>
          <w:tcPr>
            <w:tcW w:w="858" w:type="pct"/>
            <w:shd w:val="clear" w:color="auto" w:fill="auto"/>
            <w:tcMar>
              <w:left w:w="57" w:type="dxa"/>
              <w:right w:w="28" w:type="dxa"/>
            </w:tcMar>
          </w:tcPr>
          <w:p w14:paraId="273CD54F" w14:textId="77777777" w:rsidR="009F4BBE" w:rsidRPr="00F3726A" w:rsidRDefault="00324184" w:rsidP="003E6641">
            <w:pPr>
              <w:pStyle w:val="TableText"/>
            </w:pPr>
            <w:r w:rsidRPr="00F3726A">
              <w:t xml:space="preserve">NOEC </w:t>
            </w:r>
            <w:r w:rsidR="003E6641">
              <w:br/>
            </w:r>
            <w:r w:rsidRPr="00F3726A">
              <w:t>(Fertilisation)</w:t>
            </w:r>
          </w:p>
        </w:tc>
        <w:tc>
          <w:tcPr>
            <w:tcW w:w="779" w:type="pct"/>
            <w:shd w:val="clear" w:color="auto" w:fill="auto"/>
            <w:tcMar>
              <w:left w:w="85" w:type="dxa"/>
              <w:right w:w="57" w:type="dxa"/>
            </w:tcMar>
          </w:tcPr>
          <w:p w14:paraId="273CD550" w14:textId="77777777" w:rsidR="009F4BBE" w:rsidRPr="00F3726A" w:rsidRDefault="00324184" w:rsidP="0099467D">
            <w:pPr>
              <w:pStyle w:val="TableText"/>
            </w:pPr>
            <w:r w:rsidRPr="00F3726A">
              <w:t>34</w:t>
            </w:r>
          </w:p>
        </w:tc>
        <w:tc>
          <w:tcPr>
            <w:tcW w:w="541" w:type="pct"/>
            <w:tcMar>
              <w:left w:w="85" w:type="dxa"/>
              <w:right w:w="57" w:type="dxa"/>
            </w:tcMar>
          </w:tcPr>
          <w:p w14:paraId="273CD551" w14:textId="77777777" w:rsidR="009F4BBE" w:rsidRPr="00F3726A" w:rsidRDefault="00324184" w:rsidP="0099467D">
            <w:pPr>
              <w:pStyle w:val="TableText"/>
            </w:pPr>
            <w:r w:rsidRPr="00F3726A">
              <w:t>34</w:t>
            </w:r>
          </w:p>
        </w:tc>
      </w:tr>
      <w:tr w:rsidR="00091AEB" w14:paraId="273CD55A" w14:textId="77777777" w:rsidTr="003E6641">
        <w:trPr>
          <w:cantSplit/>
        </w:trPr>
        <w:tc>
          <w:tcPr>
            <w:tcW w:w="564" w:type="pct"/>
            <w:vMerge/>
            <w:shd w:val="clear" w:color="auto" w:fill="auto"/>
            <w:tcMar>
              <w:left w:w="85" w:type="dxa"/>
              <w:right w:w="57" w:type="dxa"/>
            </w:tcMar>
          </w:tcPr>
          <w:p w14:paraId="273CD553" w14:textId="77777777" w:rsidR="009F4BBE" w:rsidRPr="00F3726A" w:rsidRDefault="009F4BBE" w:rsidP="0099467D">
            <w:pPr>
              <w:pStyle w:val="TableText"/>
            </w:pPr>
          </w:p>
        </w:tc>
        <w:tc>
          <w:tcPr>
            <w:tcW w:w="1133" w:type="pct"/>
            <w:shd w:val="clear" w:color="auto" w:fill="auto"/>
            <w:tcMar>
              <w:left w:w="85" w:type="dxa"/>
              <w:right w:w="57" w:type="dxa"/>
            </w:tcMar>
          </w:tcPr>
          <w:p w14:paraId="273CD554" w14:textId="77777777" w:rsidR="009F4BBE" w:rsidRPr="00CC4647" w:rsidRDefault="00324184" w:rsidP="0099467D">
            <w:pPr>
              <w:pStyle w:val="TableText"/>
              <w:rPr>
                <w:rStyle w:val="Emphasis"/>
              </w:rPr>
            </w:pPr>
            <w:r w:rsidRPr="00CC4647">
              <w:rPr>
                <w:rStyle w:val="Emphasis"/>
              </w:rPr>
              <w:t>Coelastrea aspera</w:t>
            </w:r>
          </w:p>
        </w:tc>
        <w:tc>
          <w:tcPr>
            <w:tcW w:w="581" w:type="pct"/>
            <w:shd w:val="clear" w:color="auto" w:fill="auto"/>
            <w:tcMar>
              <w:left w:w="85" w:type="dxa"/>
              <w:right w:w="57" w:type="dxa"/>
            </w:tcMar>
          </w:tcPr>
          <w:p w14:paraId="273CD555" w14:textId="77777777" w:rsidR="009F4BBE" w:rsidRPr="00F3726A" w:rsidRDefault="00324184" w:rsidP="0099467D">
            <w:pPr>
              <w:pStyle w:val="TableText"/>
            </w:pPr>
            <w:r w:rsidRPr="00F3726A">
              <w:t>Gamete</w:t>
            </w:r>
          </w:p>
        </w:tc>
        <w:tc>
          <w:tcPr>
            <w:tcW w:w="544" w:type="pct"/>
            <w:shd w:val="clear" w:color="auto" w:fill="auto"/>
            <w:tcMar>
              <w:left w:w="85" w:type="dxa"/>
              <w:right w:w="57" w:type="dxa"/>
            </w:tcMar>
          </w:tcPr>
          <w:p w14:paraId="273CD556" w14:textId="77777777" w:rsidR="009F4BBE" w:rsidRPr="00F3726A" w:rsidRDefault="00324184" w:rsidP="0099467D">
            <w:pPr>
              <w:pStyle w:val="TableText"/>
            </w:pPr>
            <w:r w:rsidRPr="00F3726A">
              <w:t>0.2</w:t>
            </w:r>
          </w:p>
        </w:tc>
        <w:tc>
          <w:tcPr>
            <w:tcW w:w="858" w:type="pct"/>
            <w:shd w:val="clear" w:color="auto" w:fill="auto"/>
            <w:tcMar>
              <w:left w:w="57" w:type="dxa"/>
              <w:right w:w="28" w:type="dxa"/>
            </w:tcMar>
          </w:tcPr>
          <w:p w14:paraId="273CD557" w14:textId="77777777" w:rsidR="009F4BBE" w:rsidRPr="00F3726A" w:rsidRDefault="00324184" w:rsidP="003E6641">
            <w:pPr>
              <w:pStyle w:val="TableText"/>
            </w:pPr>
            <w:r w:rsidRPr="00F3726A">
              <w:t xml:space="preserve">NOEC </w:t>
            </w:r>
            <w:r w:rsidR="003E6641">
              <w:br/>
            </w:r>
            <w:r w:rsidRPr="00F3726A">
              <w:t>(Fertilisation)</w:t>
            </w:r>
          </w:p>
        </w:tc>
        <w:tc>
          <w:tcPr>
            <w:tcW w:w="779" w:type="pct"/>
            <w:shd w:val="clear" w:color="auto" w:fill="auto"/>
            <w:tcMar>
              <w:left w:w="85" w:type="dxa"/>
              <w:right w:w="57" w:type="dxa"/>
            </w:tcMar>
          </w:tcPr>
          <w:p w14:paraId="273CD558" w14:textId="77777777" w:rsidR="009F4BBE" w:rsidRPr="00F3726A" w:rsidRDefault="00324184" w:rsidP="0099467D">
            <w:pPr>
              <w:pStyle w:val="TableText"/>
            </w:pPr>
            <w:r w:rsidRPr="00F3726A">
              <w:t>13</w:t>
            </w:r>
          </w:p>
        </w:tc>
        <w:tc>
          <w:tcPr>
            <w:tcW w:w="541" w:type="pct"/>
            <w:tcMar>
              <w:left w:w="85" w:type="dxa"/>
              <w:right w:w="57" w:type="dxa"/>
            </w:tcMar>
          </w:tcPr>
          <w:p w14:paraId="273CD559" w14:textId="77777777" w:rsidR="009F4BBE" w:rsidRPr="00F3726A" w:rsidRDefault="00324184" w:rsidP="0099467D">
            <w:pPr>
              <w:pStyle w:val="TableText"/>
            </w:pPr>
            <w:r w:rsidRPr="00F3726A">
              <w:t>13</w:t>
            </w:r>
          </w:p>
        </w:tc>
      </w:tr>
      <w:tr w:rsidR="00091AEB" w14:paraId="273CD562" w14:textId="77777777" w:rsidTr="003E6641">
        <w:trPr>
          <w:cantSplit/>
        </w:trPr>
        <w:tc>
          <w:tcPr>
            <w:tcW w:w="564" w:type="pct"/>
            <w:vMerge/>
            <w:shd w:val="clear" w:color="auto" w:fill="auto"/>
            <w:tcMar>
              <w:left w:w="85" w:type="dxa"/>
              <w:right w:w="57" w:type="dxa"/>
            </w:tcMar>
          </w:tcPr>
          <w:p w14:paraId="273CD55B" w14:textId="77777777" w:rsidR="009F4BBE" w:rsidRPr="00F3726A" w:rsidRDefault="009F4BBE" w:rsidP="0099467D">
            <w:pPr>
              <w:pStyle w:val="TableText"/>
            </w:pPr>
          </w:p>
        </w:tc>
        <w:tc>
          <w:tcPr>
            <w:tcW w:w="1133" w:type="pct"/>
            <w:shd w:val="clear" w:color="auto" w:fill="auto"/>
            <w:tcMar>
              <w:left w:w="85" w:type="dxa"/>
              <w:right w:w="57" w:type="dxa"/>
            </w:tcMar>
          </w:tcPr>
          <w:p w14:paraId="273CD55C" w14:textId="77777777" w:rsidR="009F4BBE" w:rsidRPr="00CC4647" w:rsidRDefault="00324184" w:rsidP="0099467D">
            <w:pPr>
              <w:pStyle w:val="TableText"/>
              <w:rPr>
                <w:rStyle w:val="Emphasis"/>
              </w:rPr>
            </w:pPr>
            <w:r w:rsidRPr="00CC4647">
              <w:rPr>
                <w:rStyle w:val="Emphasis"/>
              </w:rPr>
              <w:t>Platygyra daedalea</w:t>
            </w:r>
          </w:p>
        </w:tc>
        <w:tc>
          <w:tcPr>
            <w:tcW w:w="581" w:type="pct"/>
            <w:shd w:val="clear" w:color="auto" w:fill="auto"/>
            <w:tcMar>
              <w:left w:w="85" w:type="dxa"/>
              <w:right w:w="57" w:type="dxa"/>
            </w:tcMar>
          </w:tcPr>
          <w:p w14:paraId="273CD55D" w14:textId="77777777" w:rsidR="009F4BBE" w:rsidRPr="00F3726A" w:rsidRDefault="00324184" w:rsidP="0099467D">
            <w:pPr>
              <w:pStyle w:val="TableText"/>
            </w:pPr>
            <w:r w:rsidRPr="00F3726A">
              <w:t>Gamete</w:t>
            </w:r>
          </w:p>
        </w:tc>
        <w:tc>
          <w:tcPr>
            <w:tcW w:w="544" w:type="pct"/>
            <w:shd w:val="clear" w:color="auto" w:fill="auto"/>
            <w:tcMar>
              <w:left w:w="85" w:type="dxa"/>
              <w:right w:w="57" w:type="dxa"/>
            </w:tcMar>
          </w:tcPr>
          <w:p w14:paraId="273CD55E" w14:textId="77777777" w:rsidR="009F4BBE" w:rsidRPr="00F3726A" w:rsidRDefault="00324184" w:rsidP="0099467D">
            <w:pPr>
              <w:pStyle w:val="TableText"/>
            </w:pPr>
            <w:r w:rsidRPr="00F3726A">
              <w:t>0.2</w:t>
            </w:r>
          </w:p>
        </w:tc>
        <w:tc>
          <w:tcPr>
            <w:tcW w:w="858" w:type="pct"/>
            <w:shd w:val="clear" w:color="auto" w:fill="auto"/>
            <w:tcMar>
              <w:left w:w="57" w:type="dxa"/>
              <w:right w:w="28" w:type="dxa"/>
            </w:tcMar>
          </w:tcPr>
          <w:p w14:paraId="273CD55F" w14:textId="77777777" w:rsidR="009F4BBE" w:rsidRPr="00F3726A" w:rsidRDefault="00324184" w:rsidP="003E6641">
            <w:pPr>
              <w:pStyle w:val="TableText"/>
            </w:pPr>
            <w:r w:rsidRPr="00F3726A">
              <w:t xml:space="preserve">EC10 </w:t>
            </w:r>
            <w:r w:rsidR="003E6641">
              <w:br/>
            </w:r>
            <w:r w:rsidRPr="00F3726A">
              <w:t>(Fertilisation)</w:t>
            </w:r>
          </w:p>
        </w:tc>
        <w:tc>
          <w:tcPr>
            <w:tcW w:w="779" w:type="pct"/>
            <w:shd w:val="clear" w:color="auto" w:fill="auto"/>
            <w:tcMar>
              <w:left w:w="85" w:type="dxa"/>
              <w:right w:w="57" w:type="dxa"/>
            </w:tcMar>
          </w:tcPr>
          <w:p w14:paraId="273CD560" w14:textId="77777777" w:rsidR="009F4BBE" w:rsidRPr="00F3726A" w:rsidRDefault="00324184" w:rsidP="0099467D">
            <w:pPr>
              <w:pStyle w:val="TableText"/>
            </w:pPr>
            <w:r w:rsidRPr="00F3726A">
              <w:t>1.4</w:t>
            </w:r>
          </w:p>
        </w:tc>
        <w:tc>
          <w:tcPr>
            <w:tcW w:w="541" w:type="pct"/>
            <w:tcMar>
              <w:left w:w="85" w:type="dxa"/>
              <w:right w:w="57" w:type="dxa"/>
            </w:tcMar>
          </w:tcPr>
          <w:p w14:paraId="273CD561" w14:textId="77777777" w:rsidR="009F4BBE" w:rsidRPr="00F3726A" w:rsidRDefault="00324184" w:rsidP="0099467D">
            <w:pPr>
              <w:pStyle w:val="TableText"/>
            </w:pPr>
            <w:r w:rsidRPr="00F3726A">
              <w:t>1.4</w:t>
            </w:r>
          </w:p>
        </w:tc>
      </w:tr>
      <w:tr w:rsidR="00091AEB" w14:paraId="273CD56A" w14:textId="77777777" w:rsidTr="003E6641">
        <w:trPr>
          <w:cantSplit/>
        </w:trPr>
        <w:tc>
          <w:tcPr>
            <w:tcW w:w="564" w:type="pct"/>
            <w:vMerge/>
            <w:shd w:val="clear" w:color="auto" w:fill="auto"/>
            <w:tcMar>
              <w:left w:w="85" w:type="dxa"/>
              <w:right w:w="57" w:type="dxa"/>
            </w:tcMar>
          </w:tcPr>
          <w:p w14:paraId="273CD563" w14:textId="77777777" w:rsidR="009F4BBE" w:rsidRPr="00F3726A" w:rsidRDefault="009F4BBE" w:rsidP="0099467D">
            <w:pPr>
              <w:pStyle w:val="TableText"/>
            </w:pPr>
          </w:p>
        </w:tc>
        <w:tc>
          <w:tcPr>
            <w:tcW w:w="1133" w:type="pct"/>
            <w:shd w:val="clear" w:color="auto" w:fill="auto"/>
            <w:tcMar>
              <w:left w:w="85" w:type="dxa"/>
              <w:right w:w="57" w:type="dxa"/>
            </w:tcMar>
          </w:tcPr>
          <w:p w14:paraId="273CD564" w14:textId="77777777" w:rsidR="009F4BBE" w:rsidRPr="00944285" w:rsidRDefault="00324184" w:rsidP="0099467D">
            <w:pPr>
              <w:pStyle w:val="TableText"/>
            </w:pPr>
            <w:r w:rsidRPr="00CC4647">
              <w:rPr>
                <w:rStyle w:val="Emphasis"/>
              </w:rPr>
              <w:t xml:space="preserve">Exaiptasia </w:t>
            </w:r>
            <w:r w:rsidR="009A506D">
              <w:rPr>
                <w:rStyle w:val="Emphasis"/>
              </w:rPr>
              <w:t>diaphana</w:t>
            </w:r>
            <w:r w:rsidR="009A506D" w:rsidRPr="00944285">
              <w:t xml:space="preserve"> </w:t>
            </w:r>
            <w:r w:rsidR="00E336BA" w:rsidRPr="00266D07">
              <w:rPr>
                <w:rStyle w:val="Strong"/>
                <w:vertAlign w:val="superscript"/>
              </w:rPr>
              <w:t>d</w:t>
            </w:r>
          </w:p>
        </w:tc>
        <w:tc>
          <w:tcPr>
            <w:tcW w:w="581" w:type="pct"/>
            <w:shd w:val="clear" w:color="auto" w:fill="auto"/>
            <w:tcMar>
              <w:left w:w="85" w:type="dxa"/>
              <w:right w:w="57" w:type="dxa"/>
            </w:tcMar>
          </w:tcPr>
          <w:p w14:paraId="273CD565" w14:textId="77777777" w:rsidR="009F4BBE" w:rsidRPr="00F3726A" w:rsidRDefault="00324184" w:rsidP="0099467D">
            <w:pPr>
              <w:pStyle w:val="TableText"/>
            </w:pPr>
            <w:r w:rsidRPr="00F3726A">
              <w:t>Adult</w:t>
            </w:r>
          </w:p>
        </w:tc>
        <w:tc>
          <w:tcPr>
            <w:tcW w:w="544" w:type="pct"/>
            <w:shd w:val="clear" w:color="auto" w:fill="auto"/>
            <w:tcMar>
              <w:left w:w="85" w:type="dxa"/>
              <w:right w:w="57" w:type="dxa"/>
            </w:tcMar>
          </w:tcPr>
          <w:p w14:paraId="273CD566" w14:textId="77777777" w:rsidR="009F4BBE" w:rsidRPr="00F3726A" w:rsidRDefault="00324184" w:rsidP="0099467D">
            <w:pPr>
              <w:pStyle w:val="TableText"/>
            </w:pPr>
            <w:r w:rsidRPr="00F3726A">
              <w:t>28</w:t>
            </w:r>
          </w:p>
        </w:tc>
        <w:tc>
          <w:tcPr>
            <w:tcW w:w="858" w:type="pct"/>
            <w:shd w:val="clear" w:color="auto" w:fill="auto"/>
            <w:tcMar>
              <w:left w:w="57" w:type="dxa"/>
              <w:right w:w="28" w:type="dxa"/>
            </w:tcMar>
          </w:tcPr>
          <w:p w14:paraId="273CD567" w14:textId="77777777" w:rsidR="009F4BBE" w:rsidRPr="00F3726A" w:rsidRDefault="00324184" w:rsidP="003E6641">
            <w:pPr>
              <w:pStyle w:val="TableText"/>
            </w:pPr>
            <w:r w:rsidRPr="00F3726A">
              <w:t xml:space="preserve">EC10 </w:t>
            </w:r>
            <w:r w:rsidR="003E6641">
              <w:br/>
            </w:r>
            <w:r w:rsidRPr="00F3726A">
              <w:t>(Reproduction)</w:t>
            </w:r>
          </w:p>
        </w:tc>
        <w:tc>
          <w:tcPr>
            <w:tcW w:w="779" w:type="pct"/>
            <w:shd w:val="clear" w:color="auto" w:fill="auto"/>
            <w:tcMar>
              <w:left w:w="85" w:type="dxa"/>
              <w:right w:w="57" w:type="dxa"/>
            </w:tcMar>
          </w:tcPr>
          <w:p w14:paraId="273CD568" w14:textId="77777777" w:rsidR="009F4BBE" w:rsidRPr="00F3726A" w:rsidRDefault="00324184" w:rsidP="0099467D">
            <w:pPr>
              <w:pStyle w:val="TableText"/>
            </w:pPr>
            <w:r>
              <w:t>9.8</w:t>
            </w:r>
          </w:p>
        </w:tc>
        <w:tc>
          <w:tcPr>
            <w:tcW w:w="541" w:type="pct"/>
            <w:tcMar>
              <w:left w:w="85" w:type="dxa"/>
              <w:right w:w="57" w:type="dxa"/>
            </w:tcMar>
          </w:tcPr>
          <w:p w14:paraId="273CD569" w14:textId="77777777" w:rsidR="009F4BBE" w:rsidRPr="00F3726A" w:rsidRDefault="00324184" w:rsidP="0099467D">
            <w:pPr>
              <w:pStyle w:val="TableText"/>
            </w:pPr>
            <w:r>
              <w:t>9.8</w:t>
            </w:r>
          </w:p>
        </w:tc>
      </w:tr>
      <w:tr w:rsidR="00091AEB" w14:paraId="273CD572" w14:textId="77777777" w:rsidTr="003E6641">
        <w:trPr>
          <w:cantSplit/>
        </w:trPr>
        <w:tc>
          <w:tcPr>
            <w:tcW w:w="564" w:type="pct"/>
            <w:vMerge w:val="restart"/>
            <w:shd w:val="clear" w:color="auto" w:fill="auto"/>
            <w:tcMar>
              <w:left w:w="85" w:type="dxa"/>
              <w:right w:w="57" w:type="dxa"/>
            </w:tcMar>
          </w:tcPr>
          <w:p w14:paraId="273CD56B" w14:textId="77777777" w:rsidR="00FD1CB1" w:rsidRPr="00F3726A" w:rsidRDefault="00324184" w:rsidP="0099467D">
            <w:pPr>
              <w:pStyle w:val="TableText"/>
            </w:pPr>
            <w:r w:rsidRPr="00F3726A">
              <w:t>Echinoderm</w:t>
            </w:r>
          </w:p>
        </w:tc>
        <w:tc>
          <w:tcPr>
            <w:tcW w:w="1133" w:type="pct"/>
            <w:shd w:val="clear" w:color="auto" w:fill="auto"/>
            <w:tcMar>
              <w:left w:w="85" w:type="dxa"/>
              <w:right w:w="57" w:type="dxa"/>
            </w:tcMar>
          </w:tcPr>
          <w:p w14:paraId="273CD56C" w14:textId="77777777" w:rsidR="00FD1CB1" w:rsidRPr="00944285" w:rsidRDefault="00324184" w:rsidP="0099467D">
            <w:pPr>
              <w:pStyle w:val="TableText"/>
            </w:pPr>
            <w:r w:rsidRPr="00CC4647">
              <w:rPr>
                <w:rStyle w:val="Emphasis"/>
              </w:rPr>
              <w:t>Diadema savignyi</w:t>
            </w:r>
            <w:r w:rsidRPr="00944285">
              <w:t xml:space="preserve"> </w:t>
            </w:r>
          </w:p>
        </w:tc>
        <w:tc>
          <w:tcPr>
            <w:tcW w:w="581" w:type="pct"/>
            <w:shd w:val="clear" w:color="auto" w:fill="auto"/>
            <w:tcMar>
              <w:left w:w="85" w:type="dxa"/>
              <w:right w:w="57" w:type="dxa"/>
            </w:tcMar>
          </w:tcPr>
          <w:p w14:paraId="273CD56D" w14:textId="77777777" w:rsidR="00FD1CB1" w:rsidRPr="00F3726A" w:rsidRDefault="00324184" w:rsidP="0099467D">
            <w:pPr>
              <w:pStyle w:val="TableText"/>
            </w:pPr>
            <w:r w:rsidRPr="00F3726A">
              <w:t>Embryo</w:t>
            </w:r>
          </w:p>
        </w:tc>
        <w:tc>
          <w:tcPr>
            <w:tcW w:w="544" w:type="pct"/>
            <w:shd w:val="clear" w:color="auto" w:fill="auto"/>
            <w:tcMar>
              <w:left w:w="85" w:type="dxa"/>
              <w:right w:w="57" w:type="dxa"/>
            </w:tcMar>
          </w:tcPr>
          <w:p w14:paraId="273CD56E" w14:textId="77777777" w:rsidR="00FD1CB1" w:rsidRPr="00F3726A" w:rsidRDefault="00324184" w:rsidP="0099467D">
            <w:pPr>
              <w:pStyle w:val="TableText"/>
            </w:pPr>
            <w:r w:rsidRPr="00F3726A">
              <w:t>2</w:t>
            </w:r>
          </w:p>
        </w:tc>
        <w:tc>
          <w:tcPr>
            <w:tcW w:w="858" w:type="pct"/>
            <w:shd w:val="clear" w:color="auto" w:fill="auto"/>
            <w:tcMar>
              <w:left w:w="57" w:type="dxa"/>
              <w:right w:w="28" w:type="dxa"/>
            </w:tcMar>
          </w:tcPr>
          <w:p w14:paraId="273CD56F" w14:textId="77777777" w:rsidR="00FD1CB1" w:rsidRPr="00F3726A" w:rsidRDefault="00324184" w:rsidP="003E6641">
            <w:pPr>
              <w:pStyle w:val="TableText"/>
            </w:pPr>
            <w:r w:rsidRPr="00F3726A">
              <w:t xml:space="preserve">NOEC </w:t>
            </w:r>
            <w:r w:rsidR="003E6641">
              <w:br/>
            </w:r>
            <w:r w:rsidRPr="00F3726A">
              <w:t>(Development)</w:t>
            </w:r>
          </w:p>
        </w:tc>
        <w:tc>
          <w:tcPr>
            <w:tcW w:w="779" w:type="pct"/>
            <w:shd w:val="clear" w:color="auto" w:fill="auto"/>
            <w:tcMar>
              <w:left w:w="85" w:type="dxa"/>
              <w:right w:w="57" w:type="dxa"/>
            </w:tcMar>
          </w:tcPr>
          <w:p w14:paraId="273CD570" w14:textId="77777777" w:rsidR="00FD1CB1" w:rsidRPr="00F3726A" w:rsidRDefault="00324184" w:rsidP="0099467D">
            <w:pPr>
              <w:pStyle w:val="TableText"/>
            </w:pPr>
            <w:r w:rsidRPr="00F3726A">
              <w:t>9.6</w:t>
            </w:r>
          </w:p>
        </w:tc>
        <w:tc>
          <w:tcPr>
            <w:tcW w:w="541" w:type="pct"/>
            <w:tcMar>
              <w:left w:w="85" w:type="dxa"/>
              <w:right w:w="57" w:type="dxa"/>
            </w:tcMar>
          </w:tcPr>
          <w:p w14:paraId="273CD571" w14:textId="77777777" w:rsidR="00FD1CB1" w:rsidRPr="00F3726A" w:rsidRDefault="00324184" w:rsidP="0099467D">
            <w:pPr>
              <w:pStyle w:val="TableText"/>
            </w:pPr>
            <w:r w:rsidRPr="00F3726A">
              <w:t>9.6</w:t>
            </w:r>
          </w:p>
        </w:tc>
      </w:tr>
      <w:tr w:rsidR="00091AEB" w14:paraId="273CD57A" w14:textId="77777777" w:rsidTr="003E6641">
        <w:trPr>
          <w:cantSplit/>
        </w:trPr>
        <w:tc>
          <w:tcPr>
            <w:tcW w:w="564" w:type="pct"/>
            <w:vMerge/>
            <w:shd w:val="clear" w:color="auto" w:fill="auto"/>
            <w:tcMar>
              <w:left w:w="85" w:type="dxa"/>
              <w:right w:w="57" w:type="dxa"/>
            </w:tcMar>
          </w:tcPr>
          <w:p w14:paraId="273CD573" w14:textId="77777777" w:rsidR="00FD1CB1" w:rsidRPr="00F3726A" w:rsidRDefault="00FD1CB1" w:rsidP="0099467D">
            <w:pPr>
              <w:pStyle w:val="TableText"/>
            </w:pPr>
          </w:p>
        </w:tc>
        <w:tc>
          <w:tcPr>
            <w:tcW w:w="1133" w:type="pct"/>
            <w:shd w:val="clear" w:color="auto" w:fill="auto"/>
            <w:tcMar>
              <w:left w:w="85" w:type="dxa"/>
              <w:right w:w="57" w:type="dxa"/>
            </w:tcMar>
          </w:tcPr>
          <w:p w14:paraId="273CD574" w14:textId="77777777" w:rsidR="00FD1CB1" w:rsidRPr="00944285" w:rsidRDefault="00324184" w:rsidP="0099467D">
            <w:pPr>
              <w:pStyle w:val="TableText"/>
            </w:pPr>
            <w:r w:rsidRPr="00CC4647">
              <w:rPr>
                <w:rStyle w:val="Emphasis"/>
              </w:rPr>
              <w:t>Evechinus chloroticus</w:t>
            </w:r>
            <w:r w:rsidRPr="00944285">
              <w:t xml:space="preserve"> </w:t>
            </w:r>
          </w:p>
        </w:tc>
        <w:tc>
          <w:tcPr>
            <w:tcW w:w="581" w:type="pct"/>
            <w:shd w:val="clear" w:color="auto" w:fill="auto"/>
            <w:tcMar>
              <w:left w:w="85" w:type="dxa"/>
              <w:right w:w="57" w:type="dxa"/>
            </w:tcMar>
          </w:tcPr>
          <w:p w14:paraId="273CD575" w14:textId="77777777" w:rsidR="00FD1CB1" w:rsidRPr="00F3726A" w:rsidRDefault="00324184" w:rsidP="0099467D">
            <w:pPr>
              <w:pStyle w:val="TableText"/>
            </w:pPr>
            <w:r w:rsidRPr="00F3726A">
              <w:t>Larva</w:t>
            </w:r>
          </w:p>
        </w:tc>
        <w:tc>
          <w:tcPr>
            <w:tcW w:w="544" w:type="pct"/>
            <w:shd w:val="clear" w:color="auto" w:fill="auto"/>
            <w:tcMar>
              <w:left w:w="85" w:type="dxa"/>
              <w:right w:w="57" w:type="dxa"/>
            </w:tcMar>
          </w:tcPr>
          <w:p w14:paraId="273CD576" w14:textId="77777777" w:rsidR="00FD1CB1" w:rsidRPr="00F3726A" w:rsidRDefault="00324184" w:rsidP="0099467D">
            <w:pPr>
              <w:pStyle w:val="TableText"/>
            </w:pPr>
            <w:r w:rsidRPr="00F3726A">
              <w:t>3</w:t>
            </w:r>
          </w:p>
        </w:tc>
        <w:tc>
          <w:tcPr>
            <w:tcW w:w="858" w:type="pct"/>
            <w:shd w:val="clear" w:color="auto" w:fill="auto"/>
            <w:tcMar>
              <w:left w:w="57" w:type="dxa"/>
              <w:right w:w="28" w:type="dxa"/>
            </w:tcMar>
          </w:tcPr>
          <w:p w14:paraId="273CD577" w14:textId="77777777" w:rsidR="00FD1CB1" w:rsidRPr="00F3726A" w:rsidRDefault="00324184" w:rsidP="003E6641">
            <w:pPr>
              <w:pStyle w:val="TableText"/>
            </w:pPr>
            <w:r w:rsidRPr="00F3726A">
              <w:t xml:space="preserve">EC10 </w:t>
            </w:r>
            <w:r w:rsidR="003E6641">
              <w:br/>
            </w:r>
            <w:r w:rsidRPr="00F3726A">
              <w:t>(Development)</w:t>
            </w:r>
          </w:p>
        </w:tc>
        <w:tc>
          <w:tcPr>
            <w:tcW w:w="779" w:type="pct"/>
            <w:shd w:val="clear" w:color="auto" w:fill="auto"/>
            <w:tcMar>
              <w:left w:w="85" w:type="dxa"/>
              <w:right w:w="57" w:type="dxa"/>
            </w:tcMar>
          </w:tcPr>
          <w:p w14:paraId="273CD578" w14:textId="77777777" w:rsidR="00FD1CB1" w:rsidRPr="00F3726A" w:rsidRDefault="00324184" w:rsidP="0099467D">
            <w:pPr>
              <w:pStyle w:val="TableText"/>
            </w:pPr>
            <w:r w:rsidRPr="00F3726A">
              <w:t>2.1</w:t>
            </w:r>
          </w:p>
        </w:tc>
        <w:tc>
          <w:tcPr>
            <w:tcW w:w="541" w:type="pct"/>
            <w:tcMar>
              <w:left w:w="85" w:type="dxa"/>
              <w:right w:w="57" w:type="dxa"/>
            </w:tcMar>
          </w:tcPr>
          <w:p w14:paraId="273CD579" w14:textId="77777777" w:rsidR="00FD1CB1" w:rsidRPr="00F3726A" w:rsidRDefault="00324184" w:rsidP="0099467D">
            <w:pPr>
              <w:pStyle w:val="TableText"/>
            </w:pPr>
            <w:r w:rsidRPr="00F3726A">
              <w:t>2.1</w:t>
            </w:r>
          </w:p>
        </w:tc>
      </w:tr>
      <w:tr w:rsidR="00091AEB" w14:paraId="273CD582" w14:textId="77777777" w:rsidTr="003E6641">
        <w:trPr>
          <w:cantSplit/>
        </w:trPr>
        <w:tc>
          <w:tcPr>
            <w:tcW w:w="564" w:type="pct"/>
            <w:shd w:val="clear" w:color="auto" w:fill="auto"/>
            <w:tcMar>
              <w:left w:w="85" w:type="dxa"/>
              <w:right w:w="57" w:type="dxa"/>
            </w:tcMar>
          </w:tcPr>
          <w:p w14:paraId="273CD57B" w14:textId="77777777" w:rsidR="00FD1CB1" w:rsidRPr="00F3726A" w:rsidRDefault="00324184" w:rsidP="0099467D">
            <w:pPr>
              <w:pStyle w:val="TableText"/>
            </w:pPr>
            <w:r w:rsidRPr="00F3726A">
              <w:t>Annelid</w:t>
            </w:r>
          </w:p>
        </w:tc>
        <w:tc>
          <w:tcPr>
            <w:tcW w:w="1133" w:type="pct"/>
            <w:shd w:val="clear" w:color="auto" w:fill="auto"/>
            <w:tcMar>
              <w:left w:w="85" w:type="dxa"/>
              <w:right w:w="57" w:type="dxa"/>
            </w:tcMar>
          </w:tcPr>
          <w:p w14:paraId="273CD57C" w14:textId="77777777" w:rsidR="00FD1CB1" w:rsidRPr="00944285" w:rsidRDefault="00324184" w:rsidP="0099467D">
            <w:pPr>
              <w:pStyle w:val="TableText"/>
            </w:pPr>
            <w:r w:rsidRPr="00CC4647">
              <w:rPr>
                <w:rStyle w:val="Emphasis"/>
              </w:rPr>
              <w:t>Hydroides elegans</w:t>
            </w:r>
            <w:r w:rsidRPr="00944285">
              <w:t xml:space="preserve"> </w:t>
            </w:r>
          </w:p>
        </w:tc>
        <w:tc>
          <w:tcPr>
            <w:tcW w:w="581" w:type="pct"/>
            <w:shd w:val="clear" w:color="auto" w:fill="auto"/>
            <w:tcMar>
              <w:left w:w="85" w:type="dxa"/>
              <w:right w:w="57" w:type="dxa"/>
            </w:tcMar>
          </w:tcPr>
          <w:p w14:paraId="273CD57D" w14:textId="77777777" w:rsidR="00FD1CB1" w:rsidRPr="00F3726A" w:rsidRDefault="00324184" w:rsidP="0099467D">
            <w:pPr>
              <w:pStyle w:val="TableText"/>
            </w:pPr>
            <w:r w:rsidRPr="00F3726A">
              <w:t>Gamete</w:t>
            </w:r>
          </w:p>
        </w:tc>
        <w:tc>
          <w:tcPr>
            <w:tcW w:w="544" w:type="pct"/>
            <w:shd w:val="clear" w:color="auto" w:fill="auto"/>
            <w:tcMar>
              <w:left w:w="85" w:type="dxa"/>
              <w:right w:w="57" w:type="dxa"/>
            </w:tcMar>
          </w:tcPr>
          <w:p w14:paraId="273CD57E" w14:textId="77777777" w:rsidR="00FD1CB1" w:rsidRPr="00F3726A" w:rsidRDefault="00324184" w:rsidP="0099467D">
            <w:pPr>
              <w:pStyle w:val="TableText"/>
            </w:pPr>
            <w:r w:rsidRPr="00F3726A">
              <w:t>8</w:t>
            </w:r>
          </w:p>
        </w:tc>
        <w:tc>
          <w:tcPr>
            <w:tcW w:w="858" w:type="pct"/>
            <w:shd w:val="clear" w:color="auto" w:fill="auto"/>
            <w:tcMar>
              <w:left w:w="57" w:type="dxa"/>
              <w:right w:w="28" w:type="dxa"/>
            </w:tcMar>
          </w:tcPr>
          <w:p w14:paraId="273CD57F" w14:textId="77777777" w:rsidR="00FD1CB1" w:rsidRPr="00F3726A" w:rsidRDefault="00324184" w:rsidP="003E6641">
            <w:pPr>
              <w:pStyle w:val="TableText"/>
            </w:pPr>
            <w:r w:rsidRPr="00F3726A">
              <w:t xml:space="preserve">LOEC </w:t>
            </w:r>
            <w:r w:rsidR="003E6641">
              <w:br/>
            </w:r>
            <w:r w:rsidRPr="00F3726A">
              <w:t>(</w:t>
            </w:r>
            <w:r w:rsidR="00F20617">
              <w:t>Metamorphosis</w:t>
            </w:r>
            <w:r w:rsidRPr="00F3726A">
              <w:t>)</w:t>
            </w:r>
          </w:p>
        </w:tc>
        <w:tc>
          <w:tcPr>
            <w:tcW w:w="779" w:type="pct"/>
            <w:shd w:val="clear" w:color="auto" w:fill="auto"/>
            <w:tcMar>
              <w:left w:w="85" w:type="dxa"/>
              <w:right w:w="57" w:type="dxa"/>
            </w:tcMar>
          </w:tcPr>
          <w:p w14:paraId="273CD580" w14:textId="77777777" w:rsidR="00FD1CB1" w:rsidRPr="00F3726A" w:rsidRDefault="00324184" w:rsidP="0099467D">
            <w:pPr>
              <w:pStyle w:val="TableText"/>
            </w:pPr>
            <w:r w:rsidRPr="00F3726A">
              <w:t>6.2</w:t>
            </w:r>
          </w:p>
        </w:tc>
        <w:tc>
          <w:tcPr>
            <w:tcW w:w="541" w:type="pct"/>
            <w:tcMar>
              <w:left w:w="85" w:type="dxa"/>
              <w:right w:w="57" w:type="dxa"/>
            </w:tcMar>
          </w:tcPr>
          <w:p w14:paraId="273CD581" w14:textId="77777777" w:rsidR="00FD1CB1" w:rsidRPr="00F3726A" w:rsidRDefault="00324184" w:rsidP="0099467D">
            <w:pPr>
              <w:pStyle w:val="TableText"/>
            </w:pPr>
            <w:r w:rsidRPr="00F3726A">
              <w:t xml:space="preserve">2.5 </w:t>
            </w:r>
            <w:r w:rsidRPr="008D069F">
              <w:rPr>
                <w:rStyle w:val="Strong"/>
                <w:vertAlign w:val="superscript"/>
              </w:rPr>
              <w:t>c</w:t>
            </w:r>
          </w:p>
        </w:tc>
      </w:tr>
      <w:tr w:rsidR="00091AEB" w14:paraId="273CD58A" w14:textId="77777777" w:rsidTr="003E6641">
        <w:trPr>
          <w:cantSplit/>
        </w:trPr>
        <w:tc>
          <w:tcPr>
            <w:tcW w:w="564" w:type="pct"/>
            <w:shd w:val="clear" w:color="auto" w:fill="auto"/>
            <w:tcMar>
              <w:left w:w="85" w:type="dxa"/>
              <w:right w:w="57" w:type="dxa"/>
            </w:tcMar>
          </w:tcPr>
          <w:p w14:paraId="273CD583" w14:textId="77777777" w:rsidR="00FD1CB1" w:rsidRPr="00F3726A" w:rsidRDefault="00324184" w:rsidP="0099467D">
            <w:pPr>
              <w:pStyle w:val="TableText"/>
            </w:pPr>
            <w:r w:rsidRPr="00F3726A">
              <w:t>Crustacean</w:t>
            </w:r>
          </w:p>
        </w:tc>
        <w:tc>
          <w:tcPr>
            <w:tcW w:w="1133" w:type="pct"/>
            <w:shd w:val="clear" w:color="auto" w:fill="auto"/>
            <w:tcMar>
              <w:left w:w="85" w:type="dxa"/>
              <w:right w:w="57" w:type="dxa"/>
            </w:tcMar>
          </w:tcPr>
          <w:p w14:paraId="273CD584" w14:textId="77777777" w:rsidR="00FD1CB1" w:rsidRPr="00944285" w:rsidRDefault="00324184" w:rsidP="0099467D">
            <w:pPr>
              <w:pStyle w:val="TableText"/>
            </w:pPr>
            <w:r w:rsidRPr="00CC4647">
              <w:rPr>
                <w:rStyle w:val="Emphasis"/>
              </w:rPr>
              <w:t>Tisbe furcata</w:t>
            </w:r>
            <w:r w:rsidRPr="00944285">
              <w:t xml:space="preserve"> </w:t>
            </w:r>
          </w:p>
        </w:tc>
        <w:tc>
          <w:tcPr>
            <w:tcW w:w="581" w:type="pct"/>
            <w:shd w:val="clear" w:color="auto" w:fill="auto"/>
            <w:tcMar>
              <w:left w:w="85" w:type="dxa"/>
              <w:right w:w="57" w:type="dxa"/>
            </w:tcMar>
          </w:tcPr>
          <w:p w14:paraId="273CD585" w14:textId="77777777" w:rsidR="00FD1CB1" w:rsidRPr="00F3726A" w:rsidRDefault="00324184" w:rsidP="0099467D">
            <w:pPr>
              <w:pStyle w:val="TableText"/>
            </w:pPr>
            <w:r w:rsidRPr="00F3726A">
              <w:t>Life cycle</w:t>
            </w:r>
          </w:p>
        </w:tc>
        <w:tc>
          <w:tcPr>
            <w:tcW w:w="544" w:type="pct"/>
            <w:shd w:val="clear" w:color="auto" w:fill="auto"/>
            <w:tcMar>
              <w:left w:w="85" w:type="dxa"/>
              <w:right w:w="57" w:type="dxa"/>
            </w:tcMar>
          </w:tcPr>
          <w:p w14:paraId="273CD586" w14:textId="77777777" w:rsidR="00FD1CB1" w:rsidRPr="00F3726A" w:rsidRDefault="00324184" w:rsidP="0099467D">
            <w:pPr>
              <w:pStyle w:val="TableText"/>
            </w:pPr>
            <w:r w:rsidRPr="00F3726A">
              <w:t>100</w:t>
            </w:r>
          </w:p>
        </w:tc>
        <w:tc>
          <w:tcPr>
            <w:tcW w:w="858" w:type="pct"/>
            <w:shd w:val="clear" w:color="auto" w:fill="auto"/>
            <w:tcMar>
              <w:left w:w="57" w:type="dxa"/>
              <w:right w:w="28" w:type="dxa"/>
            </w:tcMar>
          </w:tcPr>
          <w:p w14:paraId="273CD587" w14:textId="77777777" w:rsidR="00FD1CB1" w:rsidRPr="00F3726A" w:rsidRDefault="00324184" w:rsidP="003E6641">
            <w:pPr>
              <w:pStyle w:val="TableText"/>
            </w:pPr>
            <w:r w:rsidRPr="00F3726A">
              <w:t xml:space="preserve">NOEC </w:t>
            </w:r>
            <w:r w:rsidR="003E6641">
              <w:br/>
            </w:r>
            <w:r w:rsidRPr="00F3726A">
              <w:t xml:space="preserve">(Survival </w:t>
            </w:r>
            <w:r w:rsidR="00262108">
              <w:t>and</w:t>
            </w:r>
            <w:r w:rsidRPr="00F3726A">
              <w:t xml:space="preserve"> reproduction)</w:t>
            </w:r>
          </w:p>
        </w:tc>
        <w:tc>
          <w:tcPr>
            <w:tcW w:w="779" w:type="pct"/>
            <w:shd w:val="clear" w:color="auto" w:fill="auto"/>
            <w:tcMar>
              <w:left w:w="85" w:type="dxa"/>
              <w:right w:w="57" w:type="dxa"/>
            </w:tcMar>
          </w:tcPr>
          <w:p w14:paraId="273CD588" w14:textId="77777777" w:rsidR="00FD1CB1" w:rsidRPr="00F3726A" w:rsidRDefault="00324184" w:rsidP="0099467D">
            <w:pPr>
              <w:pStyle w:val="TableText"/>
            </w:pPr>
            <w:r w:rsidRPr="00F3726A">
              <w:t>19</w:t>
            </w:r>
          </w:p>
        </w:tc>
        <w:tc>
          <w:tcPr>
            <w:tcW w:w="541" w:type="pct"/>
            <w:tcMar>
              <w:left w:w="85" w:type="dxa"/>
              <w:right w:w="57" w:type="dxa"/>
            </w:tcMar>
          </w:tcPr>
          <w:p w14:paraId="273CD589" w14:textId="77777777" w:rsidR="00FD1CB1" w:rsidRPr="00F3726A" w:rsidRDefault="00324184" w:rsidP="0099467D">
            <w:pPr>
              <w:pStyle w:val="TableText"/>
            </w:pPr>
            <w:r w:rsidRPr="00F3726A">
              <w:t>19</w:t>
            </w:r>
          </w:p>
        </w:tc>
      </w:tr>
      <w:tr w:rsidR="00091AEB" w14:paraId="273CD592" w14:textId="77777777" w:rsidTr="003E6641">
        <w:trPr>
          <w:cantSplit/>
        </w:trPr>
        <w:tc>
          <w:tcPr>
            <w:tcW w:w="564" w:type="pct"/>
            <w:vMerge w:val="restart"/>
            <w:shd w:val="clear" w:color="auto" w:fill="auto"/>
            <w:tcMar>
              <w:left w:w="85" w:type="dxa"/>
              <w:right w:w="57" w:type="dxa"/>
            </w:tcMar>
          </w:tcPr>
          <w:p w14:paraId="273CD58B" w14:textId="77777777" w:rsidR="00FD1CB1" w:rsidRPr="00F3726A" w:rsidRDefault="00324184" w:rsidP="0099467D">
            <w:pPr>
              <w:pStyle w:val="TableText"/>
            </w:pPr>
            <w:r w:rsidRPr="00F3726A">
              <w:t>Mollusc</w:t>
            </w:r>
          </w:p>
        </w:tc>
        <w:tc>
          <w:tcPr>
            <w:tcW w:w="1133" w:type="pct"/>
            <w:shd w:val="clear" w:color="auto" w:fill="auto"/>
            <w:tcMar>
              <w:left w:w="85" w:type="dxa"/>
              <w:right w:w="57" w:type="dxa"/>
            </w:tcMar>
          </w:tcPr>
          <w:p w14:paraId="273CD58C" w14:textId="77777777" w:rsidR="00FD1CB1" w:rsidRPr="00944285" w:rsidRDefault="00324184" w:rsidP="0099467D">
            <w:pPr>
              <w:pStyle w:val="TableText"/>
            </w:pPr>
            <w:r w:rsidRPr="00CC4647">
              <w:rPr>
                <w:rStyle w:val="Emphasis"/>
              </w:rPr>
              <w:t>Amphibalanus</w:t>
            </w:r>
            <w:r w:rsidRPr="00944285">
              <w:t xml:space="preserve"> </w:t>
            </w:r>
            <w:r w:rsidRPr="00CC4647">
              <w:rPr>
                <w:rStyle w:val="Emphasis"/>
              </w:rPr>
              <w:t>amphitrite</w:t>
            </w:r>
            <w:r w:rsidRPr="00944285">
              <w:t xml:space="preserve"> </w:t>
            </w:r>
          </w:p>
        </w:tc>
        <w:tc>
          <w:tcPr>
            <w:tcW w:w="581" w:type="pct"/>
            <w:shd w:val="clear" w:color="auto" w:fill="auto"/>
            <w:tcMar>
              <w:left w:w="85" w:type="dxa"/>
              <w:right w:w="57" w:type="dxa"/>
            </w:tcMar>
          </w:tcPr>
          <w:p w14:paraId="273CD58D" w14:textId="77777777" w:rsidR="00FD1CB1" w:rsidRPr="00F3726A" w:rsidRDefault="00324184" w:rsidP="0099467D">
            <w:pPr>
              <w:pStyle w:val="TableText"/>
            </w:pPr>
            <w:r w:rsidRPr="00F3726A">
              <w:t>Larva</w:t>
            </w:r>
          </w:p>
        </w:tc>
        <w:tc>
          <w:tcPr>
            <w:tcW w:w="544" w:type="pct"/>
            <w:shd w:val="clear" w:color="auto" w:fill="auto"/>
            <w:tcMar>
              <w:left w:w="85" w:type="dxa"/>
              <w:right w:w="57" w:type="dxa"/>
            </w:tcMar>
          </w:tcPr>
          <w:p w14:paraId="273CD58E" w14:textId="77777777" w:rsidR="00FD1CB1" w:rsidRPr="00F3726A" w:rsidRDefault="00324184" w:rsidP="0099467D">
            <w:pPr>
              <w:pStyle w:val="TableText"/>
            </w:pPr>
            <w:r w:rsidRPr="00F3726A">
              <w:t>4</w:t>
            </w:r>
          </w:p>
        </w:tc>
        <w:tc>
          <w:tcPr>
            <w:tcW w:w="858" w:type="pct"/>
            <w:shd w:val="clear" w:color="auto" w:fill="auto"/>
            <w:tcMar>
              <w:left w:w="57" w:type="dxa"/>
              <w:right w:w="28" w:type="dxa"/>
            </w:tcMar>
          </w:tcPr>
          <w:p w14:paraId="273CD58F" w14:textId="77777777" w:rsidR="00FD1CB1" w:rsidRPr="00F3726A" w:rsidRDefault="00324184" w:rsidP="003E6641">
            <w:pPr>
              <w:pStyle w:val="TableText"/>
            </w:pPr>
            <w:r w:rsidRPr="00F3726A">
              <w:t>EC10</w:t>
            </w:r>
            <w:r w:rsidR="003E6641">
              <w:br/>
            </w:r>
            <w:r w:rsidRPr="00F3726A">
              <w:t>(Metamorphosis)</w:t>
            </w:r>
          </w:p>
        </w:tc>
        <w:tc>
          <w:tcPr>
            <w:tcW w:w="779" w:type="pct"/>
            <w:shd w:val="clear" w:color="auto" w:fill="auto"/>
            <w:tcMar>
              <w:left w:w="85" w:type="dxa"/>
              <w:right w:w="57" w:type="dxa"/>
            </w:tcMar>
          </w:tcPr>
          <w:p w14:paraId="273CD590" w14:textId="77777777" w:rsidR="00FD1CB1" w:rsidRPr="00F3726A" w:rsidRDefault="00324184" w:rsidP="0099467D">
            <w:pPr>
              <w:pStyle w:val="TableText"/>
            </w:pPr>
            <w:r w:rsidRPr="00F3726A">
              <w:t>28</w:t>
            </w:r>
          </w:p>
        </w:tc>
        <w:tc>
          <w:tcPr>
            <w:tcW w:w="541" w:type="pct"/>
            <w:tcMar>
              <w:left w:w="85" w:type="dxa"/>
              <w:right w:w="57" w:type="dxa"/>
            </w:tcMar>
          </w:tcPr>
          <w:p w14:paraId="273CD591" w14:textId="77777777" w:rsidR="00FD1CB1" w:rsidRPr="00F3726A" w:rsidRDefault="00324184" w:rsidP="0099467D">
            <w:pPr>
              <w:pStyle w:val="TableText"/>
            </w:pPr>
            <w:r w:rsidRPr="00F3726A">
              <w:t>28</w:t>
            </w:r>
          </w:p>
        </w:tc>
      </w:tr>
      <w:tr w:rsidR="00091AEB" w14:paraId="273CD59A" w14:textId="77777777" w:rsidTr="003E6641">
        <w:trPr>
          <w:cantSplit/>
        </w:trPr>
        <w:tc>
          <w:tcPr>
            <w:tcW w:w="564" w:type="pct"/>
            <w:vMerge/>
            <w:shd w:val="clear" w:color="auto" w:fill="auto"/>
            <w:tcMar>
              <w:left w:w="85" w:type="dxa"/>
              <w:right w:w="57" w:type="dxa"/>
            </w:tcMar>
          </w:tcPr>
          <w:p w14:paraId="273CD593" w14:textId="77777777" w:rsidR="00FD1CB1" w:rsidRPr="00F3726A" w:rsidRDefault="00FD1CB1" w:rsidP="0099467D">
            <w:pPr>
              <w:pStyle w:val="TableText"/>
            </w:pPr>
          </w:p>
        </w:tc>
        <w:tc>
          <w:tcPr>
            <w:tcW w:w="1133" w:type="pct"/>
            <w:shd w:val="clear" w:color="auto" w:fill="auto"/>
            <w:tcMar>
              <w:left w:w="85" w:type="dxa"/>
              <w:right w:w="57" w:type="dxa"/>
            </w:tcMar>
          </w:tcPr>
          <w:p w14:paraId="273CD594" w14:textId="77777777" w:rsidR="00FD1CB1" w:rsidRPr="00944285" w:rsidRDefault="00324184" w:rsidP="0099467D">
            <w:pPr>
              <w:pStyle w:val="TableText"/>
              <w:rPr>
                <w:b/>
              </w:rPr>
            </w:pPr>
            <w:r w:rsidRPr="00CC4647">
              <w:rPr>
                <w:rStyle w:val="Emphasis"/>
              </w:rPr>
              <w:t>Haliotis iris</w:t>
            </w:r>
            <w:r w:rsidRPr="00944285">
              <w:t xml:space="preserve"> </w:t>
            </w:r>
          </w:p>
        </w:tc>
        <w:tc>
          <w:tcPr>
            <w:tcW w:w="581" w:type="pct"/>
            <w:shd w:val="clear" w:color="auto" w:fill="auto"/>
            <w:tcMar>
              <w:left w:w="85" w:type="dxa"/>
              <w:right w:w="57" w:type="dxa"/>
            </w:tcMar>
          </w:tcPr>
          <w:p w14:paraId="273CD595" w14:textId="77777777" w:rsidR="00FD1CB1" w:rsidRPr="00F3726A" w:rsidRDefault="00324184" w:rsidP="0099467D">
            <w:pPr>
              <w:pStyle w:val="TableText"/>
            </w:pPr>
            <w:r w:rsidRPr="00F3726A">
              <w:t>Larva</w:t>
            </w:r>
          </w:p>
        </w:tc>
        <w:tc>
          <w:tcPr>
            <w:tcW w:w="544" w:type="pct"/>
            <w:shd w:val="clear" w:color="auto" w:fill="auto"/>
            <w:tcMar>
              <w:left w:w="85" w:type="dxa"/>
              <w:right w:w="57" w:type="dxa"/>
            </w:tcMar>
          </w:tcPr>
          <w:p w14:paraId="273CD596" w14:textId="77777777" w:rsidR="00FD1CB1" w:rsidRPr="00F3726A" w:rsidRDefault="00324184" w:rsidP="0099467D">
            <w:pPr>
              <w:pStyle w:val="TableText"/>
            </w:pPr>
            <w:r w:rsidRPr="00F3726A">
              <w:t>3</w:t>
            </w:r>
          </w:p>
        </w:tc>
        <w:tc>
          <w:tcPr>
            <w:tcW w:w="858" w:type="pct"/>
            <w:shd w:val="clear" w:color="auto" w:fill="auto"/>
            <w:tcMar>
              <w:left w:w="57" w:type="dxa"/>
              <w:right w:w="28" w:type="dxa"/>
            </w:tcMar>
          </w:tcPr>
          <w:p w14:paraId="273CD597" w14:textId="77777777" w:rsidR="00FD1CB1" w:rsidRPr="00F3726A" w:rsidRDefault="00324184" w:rsidP="003E6641">
            <w:pPr>
              <w:pStyle w:val="TableText"/>
            </w:pPr>
            <w:r w:rsidRPr="00F3726A">
              <w:t xml:space="preserve">EC10 </w:t>
            </w:r>
            <w:r w:rsidR="003E6641">
              <w:br/>
            </w:r>
            <w:r w:rsidRPr="00F3726A">
              <w:t>(Development)</w:t>
            </w:r>
          </w:p>
        </w:tc>
        <w:tc>
          <w:tcPr>
            <w:tcW w:w="779" w:type="pct"/>
            <w:shd w:val="clear" w:color="auto" w:fill="auto"/>
            <w:tcMar>
              <w:left w:w="85" w:type="dxa"/>
              <w:right w:w="57" w:type="dxa"/>
            </w:tcMar>
          </w:tcPr>
          <w:p w14:paraId="273CD598" w14:textId="77777777" w:rsidR="00FD1CB1" w:rsidRPr="00F3726A" w:rsidRDefault="00324184" w:rsidP="0099467D">
            <w:pPr>
              <w:pStyle w:val="TableText"/>
            </w:pPr>
            <w:r w:rsidRPr="00F3726A">
              <w:t>0.7</w:t>
            </w:r>
          </w:p>
        </w:tc>
        <w:tc>
          <w:tcPr>
            <w:tcW w:w="541" w:type="pct"/>
            <w:tcMar>
              <w:left w:w="85" w:type="dxa"/>
              <w:right w:w="57" w:type="dxa"/>
            </w:tcMar>
          </w:tcPr>
          <w:p w14:paraId="273CD599" w14:textId="77777777" w:rsidR="00FD1CB1" w:rsidRPr="00F3726A" w:rsidRDefault="00324184" w:rsidP="0099467D">
            <w:pPr>
              <w:pStyle w:val="TableText"/>
            </w:pPr>
            <w:r w:rsidRPr="00F3726A">
              <w:t>0.7</w:t>
            </w:r>
          </w:p>
        </w:tc>
      </w:tr>
      <w:tr w:rsidR="00091AEB" w14:paraId="273CD5A2" w14:textId="77777777" w:rsidTr="003E6641">
        <w:trPr>
          <w:cantSplit/>
        </w:trPr>
        <w:tc>
          <w:tcPr>
            <w:tcW w:w="564" w:type="pct"/>
            <w:vMerge/>
            <w:shd w:val="clear" w:color="auto" w:fill="auto"/>
            <w:tcMar>
              <w:left w:w="85" w:type="dxa"/>
              <w:right w:w="57" w:type="dxa"/>
            </w:tcMar>
          </w:tcPr>
          <w:p w14:paraId="273CD59B" w14:textId="77777777" w:rsidR="00FD1CB1" w:rsidRPr="00F3726A" w:rsidRDefault="00FD1CB1" w:rsidP="0099467D">
            <w:pPr>
              <w:pStyle w:val="TableText"/>
            </w:pPr>
          </w:p>
        </w:tc>
        <w:tc>
          <w:tcPr>
            <w:tcW w:w="1133" w:type="pct"/>
            <w:shd w:val="clear" w:color="auto" w:fill="auto"/>
            <w:tcMar>
              <w:left w:w="85" w:type="dxa"/>
              <w:right w:w="57" w:type="dxa"/>
            </w:tcMar>
          </w:tcPr>
          <w:p w14:paraId="273CD59C" w14:textId="77777777" w:rsidR="00FD1CB1" w:rsidRPr="00944285" w:rsidRDefault="00324184" w:rsidP="0099467D">
            <w:pPr>
              <w:pStyle w:val="TableText"/>
            </w:pPr>
            <w:r w:rsidRPr="00CC4647">
              <w:rPr>
                <w:rStyle w:val="Emphasis"/>
              </w:rPr>
              <w:t>Mimachlamys asperrima</w:t>
            </w:r>
            <w:r w:rsidRPr="00944285">
              <w:t xml:space="preserve"> </w:t>
            </w:r>
          </w:p>
        </w:tc>
        <w:tc>
          <w:tcPr>
            <w:tcW w:w="581" w:type="pct"/>
            <w:shd w:val="clear" w:color="auto" w:fill="auto"/>
            <w:tcMar>
              <w:left w:w="85" w:type="dxa"/>
              <w:right w:w="57" w:type="dxa"/>
            </w:tcMar>
          </w:tcPr>
          <w:p w14:paraId="273CD59D" w14:textId="77777777" w:rsidR="00FD1CB1" w:rsidRPr="00F3726A" w:rsidRDefault="00324184" w:rsidP="0099467D">
            <w:pPr>
              <w:pStyle w:val="TableText"/>
            </w:pPr>
            <w:r w:rsidRPr="00F3726A">
              <w:t>Larva</w:t>
            </w:r>
          </w:p>
        </w:tc>
        <w:tc>
          <w:tcPr>
            <w:tcW w:w="544" w:type="pct"/>
            <w:shd w:val="clear" w:color="auto" w:fill="auto"/>
            <w:tcMar>
              <w:left w:w="85" w:type="dxa"/>
              <w:right w:w="57" w:type="dxa"/>
            </w:tcMar>
          </w:tcPr>
          <w:p w14:paraId="273CD59E" w14:textId="77777777" w:rsidR="00FD1CB1" w:rsidRPr="00F3726A" w:rsidRDefault="00324184" w:rsidP="0099467D">
            <w:pPr>
              <w:pStyle w:val="TableText"/>
            </w:pPr>
            <w:r w:rsidRPr="00F3726A">
              <w:t>2</w:t>
            </w:r>
          </w:p>
        </w:tc>
        <w:tc>
          <w:tcPr>
            <w:tcW w:w="858" w:type="pct"/>
            <w:shd w:val="clear" w:color="auto" w:fill="auto"/>
            <w:tcMar>
              <w:left w:w="57" w:type="dxa"/>
              <w:right w:w="28" w:type="dxa"/>
            </w:tcMar>
          </w:tcPr>
          <w:p w14:paraId="273CD59F" w14:textId="77777777" w:rsidR="00FD1CB1" w:rsidRPr="00F3726A" w:rsidRDefault="00324184" w:rsidP="003E6641">
            <w:pPr>
              <w:pStyle w:val="TableText"/>
            </w:pPr>
            <w:r w:rsidRPr="00F3726A">
              <w:t xml:space="preserve">NOEC </w:t>
            </w:r>
            <w:r w:rsidR="003E6641">
              <w:br/>
            </w:r>
            <w:r w:rsidRPr="00F3726A">
              <w:t>(Development)</w:t>
            </w:r>
          </w:p>
        </w:tc>
        <w:tc>
          <w:tcPr>
            <w:tcW w:w="779" w:type="pct"/>
            <w:shd w:val="clear" w:color="auto" w:fill="auto"/>
            <w:tcMar>
              <w:left w:w="85" w:type="dxa"/>
              <w:right w:w="57" w:type="dxa"/>
            </w:tcMar>
          </w:tcPr>
          <w:p w14:paraId="273CD5A0" w14:textId="77777777" w:rsidR="00FD1CB1" w:rsidRPr="00F3726A" w:rsidRDefault="00324184" w:rsidP="0099467D">
            <w:pPr>
              <w:pStyle w:val="TableText"/>
            </w:pPr>
            <w:r w:rsidRPr="00F3726A">
              <w:t>2</w:t>
            </w:r>
          </w:p>
        </w:tc>
        <w:tc>
          <w:tcPr>
            <w:tcW w:w="541" w:type="pct"/>
            <w:tcMar>
              <w:left w:w="85" w:type="dxa"/>
              <w:right w:w="57" w:type="dxa"/>
            </w:tcMar>
          </w:tcPr>
          <w:p w14:paraId="273CD5A1" w14:textId="77777777" w:rsidR="00FD1CB1" w:rsidRPr="00F3726A" w:rsidRDefault="00324184" w:rsidP="0099467D">
            <w:pPr>
              <w:pStyle w:val="TableText"/>
            </w:pPr>
            <w:r w:rsidRPr="00F3726A">
              <w:t>2</w:t>
            </w:r>
          </w:p>
        </w:tc>
      </w:tr>
      <w:tr w:rsidR="00091AEB" w14:paraId="273CD5AA" w14:textId="77777777" w:rsidTr="003E6641">
        <w:trPr>
          <w:cantSplit/>
        </w:trPr>
        <w:tc>
          <w:tcPr>
            <w:tcW w:w="564" w:type="pct"/>
            <w:vMerge/>
            <w:shd w:val="clear" w:color="auto" w:fill="auto"/>
            <w:tcMar>
              <w:left w:w="85" w:type="dxa"/>
              <w:right w:w="57" w:type="dxa"/>
            </w:tcMar>
          </w:tcPr>
          <w:p w14:paraId="273CD5A3" w14:textId="77777777" w:rsidR="00FD1CB1" w:rsidRPr="00F3726A" w:rsidRDefault="00FD1CB1" w:rsidP="0099467D">
            <w:pPr>
              <w:pStyle w:val="TableText"/>
            </w:pPr>
          </w:p>
        </w:tc>
        <w:tc>
          <w:tcPr>
            <w:tcW w:w="1133" w:type="pct"/>
            <w:shd w:val="clear" w:color="auto" w:fill="auto"/>
            <w:tcMar>
              <w:left w:w="85" w:type="dxa"/>
              <w:right w:w="57" w:type="dxa"/>
            </w:tcMar>
          </w:tcPr>
          <w:p w14:paraId="273CD5A4" w14:textId="77777777" w:rsidR="00FD1CB1" w:rsidRPr="00944285" w:rsidRDefault="00324184" w:rsidP="0099467D">
            <w:pPr>
              <w:pStyle w:val="TableText"/>
            </w:pPr>
            <w:r w:rsidRPr="00CC4647">
              <w:rPr>
                <w:rStyle w:val="Emphasis"/>
              </w:rPr>
              <w:t>Mytilus galloprovincialis</w:t>
            </w:r>
            <w:r w:rsidRPr="00944285">
              <w:t xml:space="preserve"> </w:t>
            </w:r>
          </w:p>
        </w:tc>
        <w:tc>
          <w:tcPr>
            <w:tcW w:w="581" w:type="pct"/>
            <w:shd w:val="clear" w:color="auto" w:fill="auto"/>
            <w:tcMar>
              <w:left w:w="85" w:type="dxa"/>
              <w:right w:w="57" w:type="dxa"/>
            </w:tcMar>
          </w:tcPr>
          <w:p w14:paraId="273CD5A5" w14:textId="77777777" w:rsidR="00FD1CB1" w:rsidRPr="00F3726A" w:rsidRDefault="00324184" w:rsidP="0099467D">
            <w:pPr>
              <w:pStyle w:val="TableText"/>
            </w:pPr>
            <w:r w:rsidRPr="00F3726A">
              <w:t>Embryo</w:t>
            </w:r>
          </w:p>
        </w:tc>
        <w:tc>
          <w:tcPr>
            <w:tcW w:w="544" w:type="pct"/>
            <w:shd w:val="clear" w:color="auto" w:fill="auto"/>
            <w:tcMar>
              <w:left w:w="85" w:type="dxa"/>
              <w:right w:w="57" w:type="dxa"/>
            </w:tcMar>
          </w:tcPr>
          <w:p w14:paraId="273CD5A6" w14:textId="77777777" w:rsidR="00FD1CB1" w:rsidRPr="00F3726A" w:rsidRDefault="00324184" w:rsidP="0099467D">
            <w:pPr>
              <w:pStyle w:val="TableText"/>
            </w:pPr>
            <w:r w:rsidRPr="00F3726A">
              <w:t>2</w:t>
            </w:r>
          </w:p>
        </w:tc>
        <w:tc>
          <w:tcPr>
            <w:tcW w:w="858" w:type="pct"/>
            <w:shd w:val="clear" w:color="auto" w:fill="auto"/>
            <w:tcMar>
              <w:left w:w="57" w:type="dxa"/>
              <w:right w:w="28" w:type="dxa"/>
            </w:tcMar>
          </w:tcPr>
          <w:p w14:paraId="273CD5A7" w14:textId="77777777" w:rsidR="00FD1CB1" w:rsidRPr="00F3726A" w:rsidRDefault="00324184" w:rsidP="003E6641">
            <w:pPr>
              <w:pStyle w:val="TableText"/>
            </w:pPr>
            <w:r w:rsidRPr="00F3726A">
              <w:t xml:space="preserve">EC10 </w:t>
            </w:r>
            <w:r w:rsidR="003E6641">
              <w:br/>
            </w:r>
            <w:r w:rsidRPr="00F3726A">
              <w:t>(Development)</w:t>
            </w:r>
          </w:p>
        </w:tc>
        <w:tc>
          <w:tcPr>
            <w:tcW w:w="779" w:type="pct"/>
            <w:shd w:val="clear" w:color="auto" w:fill="auto"/>
            <w:tcMar>
              <w:left w:w="85" w:type="dxa"/>
              <w:right w:w="57" w:type="dxa"/>
            </w:tcMar>
          </w:tcPr>
          <w:p w14:paraId="273CD5A8" w14:textId="77777777" w:rsidR="00FD1CB1" w:rsidRPr="00F3726A" w:rsidRDefault="00324184" w:rsidP="0099467D">
            <w:pPr>
              <w:pStyle w:val="TableText"/>
            </w:pPr>
            <w:r w:rsidRPr="00F3726A">
              <w:t>4.8</w:t>
            </w:r>
          </w:p>
        </w:tc>
        <w:tc>
          <w:tcPr>
            <w:tcW w:w="541" w:type="pct"/>
            <w:tcMar>
              <w:left w:w="85" w:type="dxa"/>
              <w:right w:w="57" w:type="dxa"/>
            </w:tcMar>
          </w:tcPr>
          <w:p w14:paraId="273CD5A9" w14:textId="77777777" w:rsidR="00FD1CB1" w:rsidRPr="00F3726A" w:rsidRDefault="00324184" w:rsidP="0099467D">
            <w:pPr>
              <w:pStyle w:val="TableText"/>
            </w:pPr>
            <w:r w:rsidRPr="00F3726A">
              <w:t>4.8</w:t>
            </w:r>
          </w:p>
        </w:tc>
      </w:tr>
      <w:tr w:rsidR="00091AEB" w14:paraId="273CD5B2" w14:textId="77777777" w:rsidTr="003E6641">
        <w:trPr>
          <w:cantSplit/>
        </w:trPr>
        <w:tc>
          <w:tcPr>
            <w:tcW w:w="564" w:type="pct"/>
            <w:vMerge/>
            <w:shd w:val="clear" w:color="auto" w:fill="auto"/>
            <w:tcMar>
              <w:left w:w="85" w:type="dxa"/>
              <w:right w:w="57" w:type="dxa"/>
            </w:tcMar>
          </w:tcPr>
          <w:p w14:paraId="273CD5AB" w14:textId="77777777" w:rsidR="00FD1CB1" w:rsidRPr="00F3726A" w:rsidRDefault="00FD1CB1" w:rsidP="0099467D">
            <w:pPr>
              <w:pStyle w:val="TableText"/>
            </w:pPr>
          </w:p>
        </w:tc>
        <w:tc>
          <w:tcPr>
            <w:tcW w:w="1133" w:type="pct"/>
            <w:shd w:val="clear" w:color="auto" w:fill="auto"/>
            <w:tcMar>
              <w:left w:w="85" w:type="dxa"/>
              <w:right w:w="57" w:type="dxa"/>
            </w:tcMar>
          </w:tcPr>
          <w:p w14:paraId="273CD5AC" w14:textId="77777777" w:rsidR="00FD1CB1" w:rsidRPr="00944285" w:rsidRDefault="00324184" w:rsidP="0099467D">
            <w:pPr>
              <w:pStyle w:val="TableText"/>
            </w:pPr>
            <w:r w:rsidRPr="00CC4647">
              <w:rPr>
                <w:rStyle w:val="Emphasis"/>
              </w:rPr>
              <w:t>Mytilus trossulus</w:t>
            </w:r>
            <w:r w:rsidRPr="00944285">
              <w:t xml:space="preserve"> </w:t>
            </w:r>
          </w:p>
        </w:tc>
        <w:tc>
          <w:tcPr>
            <w:tcW w:w="581" w:type="pct"/>
            <w:shd w:val="clear" w:color="auto" w:fill="auto"/>
            <w:tcMar>
              <w:left w:w="85" w:type="dxa"/>
              <w:right w:w="57" w:type="dxa"/>
            </w:tcMar>
          </w:tcPr>
          <w:p w14:paraId="273CD5AD" w14:textId="77777777" w:rsidR="00FD1CB1" w:rsidRPr="00F3726A" w:rsidRDefault="00324184" w:rsidP="0099467D">
            <w:pPr>
              <w:pStyle w:val="TableText"/>
            </w:pPr>
            <w:r w:rsidRPr="00F3726A">
              <w:t>Embryo</w:t>
            </w:r>
          </w:p>
        </w:tc>
        <w:tc>
          <w:tcPr>
            <w:tcW w:w="544" w:type="pct"/>
            <w:shd w:val="clear" w:color="auto" w:fill="auto"/>
            <w:tcMar>
              <w:left w:w="85" w:type="dxa"/>
              <w:right w:w="57" w:type="dxa"/>
            </w:tcMar>
          </w:tcPr>
          <w:p w14:paraId="273CD5AE" w14:textId="77777777" w:rsidR="00FD1CB1" w:rsidRPr="00F3726A" w:rsidRDefault="00324184" w:rsidP="0099467D">
            <w:pPr>
              <w:pStyle w:val="TableText"/>
            </w:pPr>
            <w:r w:rsidRPr="00F3726A">
              <w:t>2</w:t>
            </w:r>
          </w:p>
        </w:tc>
        <w:tc>
          <w:tcPr>
            <w:tcW w:w="858" w:type="pct"/>
            <w:shd w:val="clear" w:color="auto" w:fill="auto"/>
            <w:tcMar>
              <w:left w:w="57" w:type="dxa"/>
              <w:right w:w="28" w:type="dxa"/>
            </w:tcMar>
          </w:tcPr>
          <w:p w14:paraId="273CD5AF" w14:textId="77777777" w:rsidR="00FD1CB1" w:rsidRPr="00F3726A" w:rsidRDefault="00324184" w:rsidP="003E6641">
            <w:pPr>
              <w:pStyle w:val="TableText"/>
            </w:pPr>
            <w:r w:rsidRPr="00F3726A">
              <w:t xml:space="preserve">EC20 </w:t>
            </w:r>
            <w:r w:rsidR="003E6641">
              <w:br/>
            </w:r>
            <w:r w:rsidRPr="00F3726A">
              <w:t>(Development)</w:t>
            </w:r>
          </w:p>
        </w:tc>
        <w:tc>
          <w:tcPr>
            <w:tcW w:w="779" w:type="pct"/>
            <w:shd w:val="clear" w:color="auto" w:fill="auto"/>
            <w:tcMar>
              <w:left w:w="85" w:type="dxa"/>
              <w:right w:w="57" w:type="dxa"/>
            </w:tcMar>
          </w:tcPr>
          <w:p w14:paraId="273CD5B0" w14:textId="77777777" w:rsidR="00FD1CB1" w:rsidRPr="00F3726A" w:rsidRDefault="00324184" w:rsidP="0099467D">
            <w:pPr>
              <w:pStyle w:val="TableText"/>
            </w:pPr>
            <w:r w:rsidRPr="00F3726A">
              <w:t>5.6</w:t>
            </w:r>
          </w:p>
        </w:tc>
        <w:tc>
          <w:tcPr>
            <w:tcW w:w="541" w:type="pct"/>
            <w:tcMar>
              <w:left w:w="85" w:type="dxa"/>
              <w:right w:w="57" w:type="dxa"/>
            </w:tcMar>
          </w:tcPr>
          <w:p w14:paraId="273CD5B1" w14:textId="77777777" w:rsidR="00FD1CB1" w:rsidRPr="00F3726A" w:rsidRDefault="00324184" w:rsidP="0099467D">
            <w:pPr>
              <w:pStyle w:val="TableText"/>
            </w:pPr>
            <w:r w:rsidRPr="00F3726A">
              <w:t>5.6</w:t>
            </w:r>
          </w:p>
        </w:tc>
      </w:tr>
      <w:tr w:rsidR="00091AEB" w14:paraId="273CD5BA" w14:textId="77777777" w:rsidTr="003E6641">
        <w:trPr>
          <w:cantSplit/>
        </w:trPr>
        <w:tc>
          <w:tcPr>
            <w:tcW w:w="564" w:type="pct"/>
            <w:vMerge/>
            <w:shd w:val="clear" w:color="auto" w:fill="auto"/>
            <w:tcMar>
              <w:left w:w="85" w:type="dxa"/>
              <w:right w:w="57" w:type="dxa"/>
            </w:tcMar>
          </w:tcPr>
          <w:p w14:paraId="273CD5B3" w14:textId="77777777" w:rsidR="00FD1CB1" w:rsidRPr="00F3726A" w:rsidRDefault="00FD1CB1" w:rsidP="0099467D">
            <w:pPr>
              <w:pStyle w:val="TableText"/>
            </w:pPr>
          </w:p>
        </w:tc>
        <w:tc>
          <w:tcPr>
            <w:tcW w:w="1133" w:type="pct"/>
            <w:shd w:val="clear" w:color="auto" w:fill="auto"/>
            <w:tcMar>
              <w:left w:w="85" w:type="dxa"/>
              <w:right w:w="57" w:type="dxa"/>
            </w:tcMar>
          </w:tcPr>
          <w:p w14:paraId="273CD5B4" w14:textId="77777777" w:rsidR="00FD1CB1" w:rsidRPr="00944285" w:rsidRDefault="00324184" w:rsidP="0099467D">
            <w:pPr>
              <w:pStyle w:val="TableText"/>
            </w:pPr>
            <w:r w:rsidRPr="00CC4647">
              <w:rPr>
                <w:rStyle w:val="Emphasis"/>
              </w:rPr>
              <w:t xml:space="preserve">Saccostrea </w:t>
            </w:r>
            <w:r w:rsidRPr="00CC4647">
              <w:rPr>
                <w:rStyle w:val="Emphasis"/>
              </w:rPr>
              <w:t>glomerata</w:t>
            </w:r>
            <w:r w:rsidRPr="00944285">
              <w:t xml:space="preserve"> </w:t>
            </w:r>
          </w:p>
        </w:tc>
        <w:tc>
          <w:tcPr>
            <w:tcW w:w="581" w:type="pct"/>
            <w:shd w:val="clear" w:color="auto" w:fill="auto"/>
            <w:tcMar>
              <w:left w:w="85" w:type="dxa"/>
              <w:right w:w="57" w:type="dxa"/>
            </w:tcMar>
          </w:tcPr>
          <w:p w14:paraId="273CD5B5" w14:textId="77777777" w:rsidR="00FD1CB1" w:rsidRPr="00F3726A" w:rsidRDefault="00324184" w:rsidP="0099467D">
            <w:pPr>
              <w:pStyle w:val="TableText"/>
            </w:pPr>
            <w:r w:rsidRPr="00F3726A">
              <w:t>Larva</w:t>
            </w:r>
          </w:p>
        </w:tc>
        <w:tc>
          <w:tcPr>
            <w:tcW w:w="544" w:type="pct"/>
            <w:shd w:val="clear" w:color="auto" w:fill="auto"/>
            <w:tcMar>
              <w:left w:w="85" w:type="dxa"/>
              <w:right w:w="57" w:type="dxa"/>
            </w:tcMar>
          </w:tcPr>
          <w:p w14:paraId="273CD5B6" w14:textId="77777777" w:rsidR="00FD1CB1" w:rsidRPr="00F3726A" w:rsidRDefault="00324184" w:rsidP="0099467D">
            <w:pPr>
              <w:pStyle w:val="TableText"/>
            </w:pPr>
            <w:r>
              <w:t>14</w:t>
            </w:r>
          </w:p>
        </w:tc>
        <w:tc>
          <w:tcPr>
            <w:tcW w:w="858" w:type="pct"/>
            <w:shd w:val="clear" w:color="auto" w:fill="auto"/>
            <w:tcMar>
              <w:left w:w="57" w:type="dxa"/>
              <w:right w:w="28" w:type="dxa"/>
            </w:tcMar>
          </w:tcPr>
          <w:p w14:paraId="273CD5B7" w14:textId="77777777" w:rsidR="00FD1CB1" w:rsidRPr="00F3726A" w:rsidRDefault="00324184" w:rsidP="003E6641">
            <w:pPr>
              <w:pStyle w:val="TableText"/>
            </w:pPr>
            <w:r w:rsidRPr="00F3726A">
              <w:t xml:space="preserve">LC10 </w:t>
            </w:r>
            <w:r w:rsidR="003E6641">
              <w:br/>
            </w:r>
            <w:r w:rsidRPr="00F3726A">
              <w:t>(Mortality)</w:t>
            </w:r>
          </w:p>
        </w:tc>
        <w:tc>
          <w:tcPr>
            <w:tcW w:w="779" w:type="pct"/>
            <w:shd w:val="clear" w:color="auto" w:fill="auto"/>
            <w:tcMar>
              <w:left w:w="85" w:type="dxa"/>
              <w:right w:w="57" w:type="dxa"/>
            </w:tcMar>
          </w:tcPr>
          <w:p w14:paraId="273CD5B8" w14:textId="77777777" w:rsidR="00FD1CB1" w:rsidRPr="00F3726A" w:rsidRDefault="00324184" w:rsidP="0099467D">
            <w:pPr>
              <w:pStyle w:val="TableText"/>
            </w:pPr>
            <w:r w:rsidRPr="00F3726A">
              <w:t>70</w:t>
            </w:r>
          </w:p>
        </w:tc>
        <w:tc>
          <w:tcPr>
            <w:tcW w:w="541" w:type="pct"/>
            <w:tcMar>
              <w:left w:w="85" w:type="dxa"/>
              <w:right w:w="57" w:type="dxa"/>
            </w:tcMar>
          </w:tcPr>
          <w:p w14:paraId="273CD5B9" w14:textId="77777777" w:rsidR="00FD1CB1" w:rsidRPr="00F3726A" w:rsidRDefault="00324184" w:rsidP="0099467D">
            <w:pPr>
              <w:pStyle w:val="TableText"/>
            </w:pPr>
            <w:r w:rsidRPr="00F3726A">
              <w:t>70</w:t>
            </w:r>
          </w:p>
        </w:tc>
      </w:tr>
      <w:tr w:rsidR="00091AEB" w14:paraId="273CD5C2" w14:textId="77777777" w:rsidTr="003E6641">
        <w:trPr>
          <w:cantSplit/>
        </w:trPr>
        <w:tc>
          <w:tcPr>
            <w:tcW w:w="564" w:type="pct"/>
            <w:vMerge w:val="restart"/>
            <w:shd w:val="clear" w:color="auto" w:fill="FFFFFF" w:themeFill="background1"/>
            <w:tcMar>
              <w:left w:w="85" w:type="dxa"/>
              <w:right w:w="57" w:type="dxa"/>
            </w:tcMar>
          </w:tcPr>
          <w:p w14:paraId="273CD5BB" w14:textId="77777777" w:rsidR="00FD1CB1" w:rsidRPr="00F3726A" w:rsidRDefault="00324184" w:rsidP="0099467D">
            <w:pPr>
              <w:pStyle w:val="TableText"/>
            </w:pPr>
            <w:r w:rsidRPr="00F3726A">
              <w:t>Fish</w:t>
            </w:r>
          </w:p>
        </w:tc>
        <w:tc>
          <w:tcPr>
            <w:tcW w:w="1133" w:type="pct"/>
            <w:tcBorders>
              <w:bottom w:val="single" w:sz="6" w:space="0" w:color="auto"/>
            </w:tcBorders>
            <w:shd w:val="clear" w:color="auto" w:fill="FFFFFF" w:themeFill="background1"/>
            <w:tcMar>
              <w:left w:w="85" w:type="dxa"/>
              <w:right w:w="57" w:type="dxa"/>
            </w:tcMar>
          </w:tcPr>
          <w:p w14:paraId="273CD5BC" w14:textId="77777777" w:rsidR="00FD1CB1" w:rsidRPr="00944285" w:rsidRDefault="00324184" w:rsidP="0099467D">
            <w:pPr>
              <w:pStyle w:val="TableText"/>
            </w:pPr>
            <w:r w:rsidRPr="00CC4647">
              <w:rPr>
                <w:rStyle w:val="Emphasis"/>
              </w:rPr>
              <w:t>Atherinops affinis</w:t>
            </w:r>
            <w:r w:rsidRPr="00944285">
              <w:t xml:space="preserve"> </w:t>
            </w:r>
          </w:p>
        </w:tc>
        <w:tc>
          <w:tcPr>
            <w:tcW w:w="581" w:type="pct"/>
            <w:tcBorders>
              <w:bottom w:val="single" w:sz="6" w:space="0" w:color="auto"/>
            </w:tcBorders>
            <w:shd w:val="clear" w:color="auto" w:fill="FFFFFF" w:themeFill="background1"/>
            <w:tcMar>
              <w:left w:w="85" w:type="dxa"/>
              <w:right w:w="57" w:type="dxa"/>
            </w:tcMar>
          </w:tcPr>
          <w:p w14:paraId="273CD5BD" w14:textId="77777777" w:rsidR="00FD1CB1" w:rsidRPr="00F3726A" w:rsidRDefault="00324184" w:rsidP="0099467D">
            <w:pPr>
              <w:pStyle w:val="TableText"/>
            </w:pPr>
            <w:r w:rsidRPr="00F3726A">
              <w:t>Larva</w:t>
            </w:r>
          </w:p>
        </w:tc>
        <w:tc>
          <w:tcPr>
            <w:tcW w:w="544" w:type="pct"/>
            <w:tcBorders>
              <w:bottom w:val="single" w:sz="6" w:space="0" w:color="auto"/>
            </w:tcBorders>
            <w:shd w:val="clear" w:color="auto" w:fill="FFFFFF" w:themeFill="background1"/>
            <w:tcMar>
              <w:left w:w="85" w:type="dxa"/>
              <w:right w:w="57" w:type="dxa"/>
            </w:tcMar>
          </w:tcPr>
          <w:p w14:paraId="273CD5BE" w14:textId="77777777" w:rsidR="00FD1CB1" w:rsidRPr="00F3726A" w:rsidRDefault="00324184" w:rsidP="0099467D">
            <w:pPr>
              <w:pStyle w:val="TableText"/>
            </w:pPr>
            <w:r w:rsidRPr="00F3726A">
              <w:t>12</w:t>
            </w:r>
          </w:p>
        </w:tc>
        <w:tc>
          <w:tcPr>
            <w:tcW w:w="858" w:type="pct"/>
            <w:tcBorders>
              <w:bottom w:val="single" w:sz="6" w:space="0" w:color="auto"/>
            </w:tcBorders>
            <w:shd w:val="clear" w:color="auto" w:fill="FFFFFF" w:themeFill="background1"/>
            <w:tcMar>
              <w:left w:w="57" w:type="dxa"/>
              <w:right w:w="28" w:type="dxa"/>
            </w:tcMar>
          </w:tcPr>
          <w:p w14:paraId="273CD5BF" w14:textId="77777777" w:rsidR="00FD1CB1" w:rsidRPr="00F3726A" w:rsidRDefault="00324184" w:rsidP="003E6641">
            <w:pPr>
              <w:pStyle w:val="TableText"/>
            </w:pPr>
            <w:r w:rsidRPr="00F3726A">
              <w:t xml:space="preserve">NOEC </w:t>
            </w:r>
            <w:r w:rsidR="003E6641">
              <w:br/>
            </w:r>
            <w:r w:rsidRPr="00F3726A">
              <w:t>(Development)</w:t>
            </w:r>
          </w:p>
        </w:tc>
        <w:tc>
          <w:tcPr>
            <w:tcW w:w="779" w:type="pct"/>
            <w:tcBorders>
              <w:bottom w:val="single" w:sz="6" w:space="0" w:color="auto"/>
            </w:tcBorders>
            <w:shd w:val="clear" w:color="auto" w:fill="FFFFFF" w:themeFill="background1"/>
            <w:tcMar>
              <w:left w:w="85" w:type="dxa"/>
              <w:right w:w="57" w:type="dxa"/>
            </w:tcMar>
          </w:tcPr>
          <w:p w14:paraId="273CD5C0" w14:textId="77777777" w:rsidR="00FD1CB1" w:rsidRPr="00F3726A" w:rsidRDefault="00324184" w:rsidP="0099467D">
            <w:pPr>
              <w:pStyle w:val="TableText"/>
            </w:pPr>
            <w:r w:rsidRPr="00F3726A">
              <w:t>62</w:t>
            </w:r>
          </w:p>
        </w:tc>
        <w:tc>
          <w:tcPr>
            <w:tcW w:w="541" w:type="pct"/>
            <w:tcBorders>
              <w:bottom w:val="single" w:sz="6" w:space="0" w:color="auto"/>
            </w:tcBorders>
            <w:shd w:val="clear" w:color="auto" w:fill="FFFFFF" w:themeFill="background1"/>
            <w:tcMar>
              <w:left w:w="85" w:type="dxa"/>
              <w:right w:w="57" w:type="dxa"/>
            </w:tcMar>
          </w:tcPr>
          <w:p w14:paraId="273CD5C1" w14:textId="77777777" w:rsidR="00FD1CB1" w:rsidRPr="00F3726A" w:rsidRDefault="00324184" w:rsidP="0099467D">
            <w:pPr>
              <w:pStyle w:val="TableText"/>
            </w:pPr>
            <w:r w:rsidRPr="00F3726A">
              <w:t>62</w:t>
            </w:r>
          </w:p>
        </w:tc>
      </w:tr>
      <w:tr w:rsidR="00091AEB" w14:paraId="273CD5CA" w14:textId="77777777" w:rsidTr="003E6641">
        <w:trPr>
          <w:cantSplit/>
        </w:trPr>
        <w:tc>
          <w:tcPr>
            <w:tcW w:w="564" w:type="pct"/>
            <w:vMerge/>
            <w:tcBorders>
              <w:bottom w:val="single" w:sz="12" w:space="0" w:color="auto"/>
            </w:tcBorders>
            <w:shd w:val="clear" w:color="auto" w:fill="FFFFFF" w:themeFill="background1"/>
            <w:tcMar>
              <w:left w:w="85" w:type="dxa"/>
              <w:right w:w="57" w:type="dxa"/>
            </w:tcMar>
          </w:tcPr>
          <w:p w14:paraId="273CD5C3" w14:textId="77777777" w:rsidR="00FD1CB1" w:rsidRPr="00F3726A" w:rsidRDefault="00FD1CB1" w:rsidP="0099467D">
            <w:pPr>
              <w:pStyle w:val="TableText"/>
            </w:pPr>
          </w:p>
        </w:tc>
        <w:tc>
          <w:tcPr>
            <w:tcW w:w="1133" w:type="pct"/>
            <w:tcBorders>
              <w:bottom w:val="single" w:sz="12" w:space="0" w:color="auto"/>
            </w:tcBorders>
            <w:shd w:val="clear" w:color="auto" w:fill="FFFFFF" w:themeFill="background1"/>
            <w:tcMar>
              <w:left w:w="85" w:type="dxa"/>
              <w:right w:w="57" w:type="dxa"/>
            </w:tcMar>
          </w:tcPr>
          <w:p w14:paraId="273CD5C4" w14:textId="77777777" w:rsidR="00FD1CB1" w:rsidRPr="00944285" w:rsidRDefault="00324184" w:rsidP="0099467D">
            <w:pPr>
              <w:pStyle w:val="TableText"/>
            </w:pPr>
            <w:r w:rsidRPr="00CC4647">
              <w:rPr>
                <w:rStyle w:val="Emphasis"/>
              </w:rPr>
              <w:t>Epinephelus coioides</w:t>
            </w:r>
            <w:r w:rsidRPr="00944285">
              <w:t xml:space="preserve"> </w:t>
            </w:r>
          </w:p>
        </w:tc>
        <w:tc>
          <w:tcPr>
            <w:tcW w:w="581" w:type="pct"/>
            <w:tcBorders>
              <w:bottom w:val="single" w:sz="12" w:space="0" w:color="auto"/>
            </w:tcBorders>
            <w:shd w:val="clear" w:color="auto" w:fill="FFFFFF" w:themeFill="background1"/>
            <w:tcMar>
              <w:left w:w="85" w:type="dxa"/>
              <w:right w:w="57" w:type="dxa"/>
            </w:tcMar>
          </w:tcPr>
          <w:p w14:paraId="273CD5C5" w14:textId="77777777" w:rsidR="00FD1CB1" w:rsidRPr="00F3726A" w:rsidRDefault="00324184" w:rsidP="0099467D">
            <w:pPr>
              <w:pStyle w:val="TableText"/>
            </w:pPr>
            <w:r w:rsidRPr="00F3726A">
              <w:t>Juvenile</w:t>
            </w:r>
          </w:p>
        </w:tc>
        <w:tc>
          <w:tcPr>
            <w:tcW w:w="544" w:type="pct"/>
            <w:tcBorders>
              <w:bottom w:val="single" w:sz="12" w:space="0" w:color="auto"/>
            </w:tcBorders>
            <w:shd w:val="clear" w:color="auto" w:fill="FFFFFF" w:themeFill="background1"/>
            <w:tcMar>
              <w:left w:w="85" w:type="dxa"/>
              <w:right w:w="57" w:type="dxa"/>
            </w:tcMar>
          </w:tcPr>
          <w:p w14:paraId="273CD5C6" w14:textId="77777777" w:rsidR="00FD1CB1" w:rsidRPr="00F3726A" w:rsidRDefault="00324184" w:rsidP="0099467D">
            <w:pPr>
              <w:pStyle w:val="TableText"/>
            </w:pPr>
            <w:r w:rsidRPr="00F3726A">
              <w:t>25</w:t>
            </w:r>
          </w:p>
        </w:tc>
        <w:tc>
          <w:tcPr>
            <w:tcW w:w="858" w:type="pct"/>
            <w:tcBorders>
              <w:bottom w:val="single" w:sz="12" w:space="0" w:color="auto"/>
            </w:tcBorders>
            <w:shd w:val="clear" w:color="auto" w:fill="FFFFFF" w:themeFill="background1"/>
            <w:tcMar>
              <w:left w:w="57" w:type="dxa"/>
              <w:right w:w="28" w:type="dxa"/>
            </w:tcMar>
          </w:tcPr>
          <w:p w14:paraId="273CD5C7" w14:textId="77777777" w:rsidR="00FD1CB1" w:rsidRPr="00F3726A" w:rsidRDefault="00324184" w:rsidP="003E6641">
            <w:pPr>
              <w:pStyle w:val="TableText"/>
            </w:pPr>
            <w:r w:rsidRPr="00F3726A">
              <w:t xml:space="preserve">NOEC </w:t>
            </w:r>
            <w:r w:rsidR="003E6641">
              <w:br/>
            </w:r>
            <w:r w:rsidRPr="00F3726A">
              <w:t>(Growth)</w:t>
            </w:r>
          </w:p>
        </w:tc>
        <w:tc>
          <w:tcPr>
            <w:tcW w:w="779" w:type="pct"/>
            <w:tcBorders>
              <w:bottom w:val="single" w:sz="12" w:space="0" w:color="auto"/>
            </w:tcBorders>
            <w:shd w:val="clear" w:color="auto" w:fill="FFFFFF" w:themeFill="background1"/>
            <w:tcMar>
              <w:left w:w="85" w:type="dxa"/>
              <w:right w:w="57" w:type="dxa"/>
            </w:tcMar>
          </w:tcPr>
          <w:p w14:paraId="273CD5C8" w14:textId="77777777" w:rsidR="00FD1CB1" w:rsidRPr="00F3726A" w:rsidRDefault="00324184" w:rsidP="0099467D">
            <w:pPr>
              <w:pStyle w:val="TableText"/>
            </w:pPr>
            <w:r w:rsidRPr="00F3726A">
              <w:t>21</w:t>
            </w:r>
          </w:p>
        </w:tc>
        <w:tc>
          <w:tcPr>
            <w:tcW w:w="541" w:type="pct"/>
            <w:tcBorders>
              <w:bottom w:val="single" w:sz="12" w:space="0" w:color="auto"/>
            </w:tcBorders>
            <w:shd w:val="clear" w:color="auto" w:fill="FFFFFF" w:themeFill="background1"/>
            <w:tcMar>
              <w:left w:w="85" w:type="dxa"/>
              <w:right w:w="57" w:type="dxa"/>
            </w:tcMar>
          </w:tcPr>
          <w:p w14:paraId="273CD5C9" w14:textId="77777777" w:rsidR="00FD1CB1" w:rsidRPr="00F3726A" w:rsidRDefault="00324184" w:rsidP="0099467D">
            <w:pPr>
              <w:pStyle w:val="TableText"/>
            </w:pPr>
            <w:r w:rsidRPr="00F3726A">
              <w:t>21</w:t>
            </w:r>
          </w:p>
        </w:tc>
      </w:tr>
    </w:tbl>
    <w:bookmarkEnd w:id="39"/>
    <w:p w14:paraId="273CD5CB" w14:textId="77777777" w:rsidR="00FD1CB1" w:rsidRDefault="00324184" w:rsidP="00FD1CB1">
      <w:pPr>
        <w:pStyle w:val="FigureTableNoteSource"/>
      </w:pPr>
      <w:r w:rsidRPr="00CB5D5E">
        <w:rPr>
          <w:rStyle w:val="Strong"/>
        </w:rPr>
        <w:t>a</w:t>
      </w:r>
      <w:r w:rsidRPr="00F3726A">
        <w:t xml:space="preserve"> Less than (&lt;) value</w:t>
      </w:r>
      <w:r w:rsidR="00034983">
        <w:t>;</w:t>
      </w:r>
      <w:r w:rsidRPr="00F3726A">
        <w:t xml:space="preserve"> a</w:t>
      </w:r>
      <w:r w:rsidR="00693B8B">
        <w:t>ctual</w:t>
      </w:r>
      <w:r w:rsidRPr="00F3726A">
        <w:t xml:space="preserve"> value used in SSD </w:t>
      </w:r>
      <w:r w:rsidR="004432FF">
        <w:t>(Warne et al. 2018)</w:t>
      </w:r>
      <w:r w:rsidRPr="00F3726A">
        <w:t xml:space="preserve">. </w:t>
      </w:r>
    </w:p>
    <w:p w14:paraId="273CD5CC" w14:textId="77777777" w:rsidR="00FD1CB1" w:rsidRDefault="00324184" w:rsidP="00FD1CB1">
      <w:pPr>
        <w:pStyle w:val="FigureTableNoteSource"/>
      </w:pPr>
      <w:r w:rsidRPr="00CB5D5E">
        <w:rPr>
          <w:rStyle w:val="Strong"/>
        </w:rPr>
        <w:t>b</w:t>
      </w:r>
      <w:r w:rsidRPr="00F3726A">
        <w:t xml:space="preserve"> Chronic </w:t>
      </w:r>
      <w:r w:rsidR="00E00AE2" w:rsidRPr="00F3726A">
        <w:t>I</w:t>
      </w:r>
      <w:r w:rsidRPr="00F3726A">
        <w:t xml:space="preserve">C50 converted to chronic NOEC/EC10 value by dividing by 5 </w:t>
      </w:r>
      <w:r w:rsidR="00523914">
        <w:t>(Warne et al. 2018)</w:t>
      </w:r>
      <w:r w:rsidR="00523914" w:rsidRPr="00F3726A">
        <w:t xml:space="preserve"> </w:t>
      </w:r>
      <w:r w:rsidRPr="00F3726A">
        <w:t xml:space="preserve">. </w:t>
      </w:r>
    </w:p>
    <w:p w14:paraId="273CD5CD" w14:textId="77777777" w:rsidR="00FD1CB1" w:rsidRPr="00E336BA" w:rsidRDefault="00324184" w:rsidP="00FD1CB1">
      <w:pPr>
        <w:pStyle w:val="FigureTableNoteSource"/>
      </w:pPr>
      <w:r w:rsidRPr="00CB5D5E">
        <w:rPr>
          <w:rStyle w:val="Strong"/>
        </w:rPr>
        <w:t>c</w:t>
      </w:r>
      <w:r w:rsidRPr="00F3726A">
        <w:t xml:space="preserve"> </w:t>
      </w:r>
      <w:r w:rsidRPr="00E336BA">
        <w:t xml:space="preserve">Chronic LOEC value converted to chronic NOEC/EC10 value by dividing by 2.5 </w:t>
      </w:r>
      <w:r w:rsidR="00523914">
        <w:t>(Warne et al. 2018)</w:t>
      </w:r>
      <w:r w:rsidRPr="00E336BA">
        <w:t>.</w:t>
      </w:r>
    </w:p>
    <w:p w14:paraId="273CD5CE" w14:textId="77777777" w:rsidR="00E336BA" w:rsidRPr="00E336BA" w:rsidRDefault="00324184" w:rsidP="00E336BA">
      <w:pPr>
        <w:pStyle w:val="FigureTableNoteSource"/>
      </w:pPr>
      <w:r w:rsidRPr="00E336BA">
        <w:rPr>
          <w:rStyle w:val="Strong"/>
        </w:rPr>
        <w:t>d</w:t>
      </w:r>
      <w:r w:rsidRPr="00E336BA">
        <w:t xml:space="preserve"> </w:t>
      </w:r>
      <w:r>
        <w:t>F</w:t>
      </w:r>
      <w:r w:rsidRPr="00E336BA">
        <w:t xml:space="preserve">ormerly </w:t>
      </w:r>
      <w:r w:rsidRPr="00E336BA">
        <w:rPr>
          <w:rStyle w:val="Emphasis"/>
        </w:rPr>
        <w:t>Aiptasia pulchella</w:t>
      </w:r>
      <w:r w:rsidR="009A506D">
        <w:rPr>
          <w:rStyle w:val="Emphasis"/>
        </w:rPr>
        <w:t xml:space="preserve"> </w:t>
      </w:r>
      <w:r w:rsidR="009A506D">
        <w:rPr>
          <w:lang w:eastAsia="ja-JP"/>
        </w:rPr>
        <w:t xml:space="preserve">and </w:t>
      </w:r>
      <w:r w:rsidR="009A506D" w:rsidRPr="00AA3163">
        <w:rPr>
          <w:rStyle w:val="Emphasis"/>
        </w:rPr>
        <w:t>Exaiptasia pallida</w:t>
      </w:r>
      <w:r>
        <w:t>.</w:t>
      </w:r>
    </w:p>
    <w:p w14:paraId="273CD5CF" w14:textId="77777777" w:rsidR="001303C0" w:rsidRPr="00F3726A" w:rsidRDefault="00324184" w:rsidP="001303C0">
      <w:pPr>
        <w:pStyle w:val="Heading3"/>
      </w:pPr>
      <w:bookmarkStart w:id="40" w:name="_Toc89265619"/>
      <w:bookmarkStart w:id="41" w:name="_Toc89268659"/>
      <w:r w:rsidRPr="00F3726A">
        <w:t>Species sensitivity dis</w:t>
      </w:r>
      <w:r w:rsidRPr="00F3726A">
        <w:t>tribution</w:t>
      </w:r>
      <w:bookmarkEnd w:id="40"/>
      <w:bookmarkEnd w:id="41"/>
    </w:p>
    <w:p w14:paraId="273CD5D0" w14:textId="77777777" w:rsidR="00475C23" w:rsidRDefault="00324184" w:rsidP="00F315EE">
      <w:pPr>
        <w:spacing w:after="120"/>
        <w:rPr>
          <w:highlight w:val="yellow"/>
        </w:rPr>
      </w:pPr>
      <w:r w:rsidRPr="00F3726A">
        <w:t xml:space="preserve">The cumulative frequency (species sensitivity) distribution (SSD) of the 32 marine copper chronic toxicity </w:t>
      </w:r>
      <w:r w:rsidR="004B1D76">
        <w:t>values</w:t>
      </w:r>
      <w:r w:rsidRPr="00F3726A">
        <w:t xml:space="preserve"> reported in </w:t>
      </w:r>
      <w:r w:rsidR="00AF4F1D">
        <w:fldChar w:fldCharType="begin"/>
      </w:r>
      <w:r w:rsidR="00AF4F1D">
        <w:instrText xml:space="preserve"> REF _Ref85903509 \h </w:instrText>
      </w:r>
      <w:r w:rsidR="00AF4F1D">
        <w:fldChar w:fldCharType="separate"/>
      </w:r>
      <w:r w:rsidR="00A41C81">
        <w:t>Table </w:t>
      </w:r>
      <w:r w:rsidR="00A41C81">
        <w:rPr>
          <w:noProof/>
        </w:rPr>
        <w:t>1</w:t>
      </w:r>
      <w:r w:rsidR="00AF4F1D">
        <w:fldChar w:fldCharType="end"/>
      </w:r>
      <w:r w:rsidRPr="00F3726A">
        <w:t xml:space="preserve"> is shown in </w:t>
      </w:r>
      <w:r w:rsidR="00C12A88">
        <w:fldChar w:fldCharType="begin"/>
      </w:r>
      <w:r w:rsidR="00C12A88">
        <w:instrText xml:space="preserve"> REF _Ref85903823 \h </w:instrText>
      </w:r>
      <w:r w:rsidR="00C12A88">
        <w:fldChar w:fldCharType="separate"/>
      </w:r>
      <w:r w:rsidR="00A41C81">
        <w:t>Figure </w:t>
      </w:r>
      <w:r w:rsidR="00A41C81">
        <w:rPr>
          <w:noProof/>
        </w:rPr>
        <w:t>1</w:t>
      </w:r>
      <w:r w:rsidR="00C12A88">
        <w:fldChar w:fldCharType="end"/>
      </w:r>
      <w:r w:rsidRPr="00F3726A">
        <w:t>. The SSD was plotted using the Burrlioz 2.0 software. The model provided a good fit to the data, including the most sensitive species (</w:t>
      </w:r>
      <w:r w:rsidR="00C12A88">
        <w:fldChar w:fldCharType="begin"/>
      </w:r>
      <w:r w:rsidR="00C12A88">
        <w:instrText xml:space="preserve"> REF _Ref85903823 \h </w:instrText>
      </w:r>
      <w:r w:rsidR="00C12A88">
        <w:fldChar w:fldCharType="separate"/>
      </w:r>
      <w:r w:rsidR="00A41C81">
        <w:t>Figure </w:t>
      </w:r>
      <w:r w:rsidR="00A41C81">
        <w:rPr>
          <w:noProof/>
        </w:rPr>
        <w:t>1</w:t>
      </w:r>
      <w:r w:rsidR="00C12A88">
        <w:fldChar w:fldCharType="end"/>
      </w:r>
      <w:r w:rsidRPr="00F3726A">
        <w:t>).</w:t>
      </w:r>
    </w:p>
    <w:p w14:paraId="273CD5D1" w14:textId="77777777" w:rsidR="00475C23" w:rsidRDefault="00324184" w:rsidP="00CA7AC2">
      <w:pPr>
        <w:spacing w:after="0"/>
        <w:rPr>
          <w:highlight w:val="yellow"/>
        </w:rPr>
      </w:pPr>
      <w:r>
        <w:rPr>
          <w:noProof/>
        </w:rPr>
        <w:drawing>
          <wp:inline distT="0" distB="0" distL="0" distR="0" wp14:anchorId="273CDDFC" wp14:editId="273CDDFD">
            <wp:extent cx="4454067" cy="3856008"/>
            <wp:effectExtent l="0" t="0" r="3810" b="0"/>
            <wp:docPr id="9" name="Picture 9" descr="Species sensitivity distribution, dissolved copper in marine water &#10;&#10;Figure is a species sensitivity distribution (SSD) that shows 32 species that are potentially affected by concentrations of dissolved copper (microgram per litre). Chronic toxicity data (NOEC, EC10, IC20, converted IC50, IC10, converted LOEC, EC20, NEC, LC10) data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17668" name="Picture 9" descr="Species sensitivity distribution, dissolved copper in marine water &#10;&#10;Figure is a species sensitivity distribution (SSD) that shows 32 species that are potentially affected by concentrations of dissolved copper (microgram per litre). Chronic toxicity data (NOEC, EC10, IC20, converted IC50, IC10, converted LOEC, EC20, NEC, LC10) data are shown."/>
                    <pic:cNvPicPr/>
                  </pic:nvPicPr>
                  <pic:blipFill>
                    <a:blip r:embed="rId23">
                      <a:extLst>
                        <a:ext uri="{28A0092B-C50C-407E-A947-70E740481C1C}">
                          <a14:useLocalDpi xmlns:a14="http://schemas.microsoft.com/office/drawing/2010/main" val="0"/>
                        </a:ext>
                      </a:extLst>
                    </a:blip>
                    <a:srcRect t="12232" r="5186" b="3564"/>
                    <a:stretch>
                      <a:fillRect/>
                    </a:stretch>
                  </pic:blipFill>
                  <pic:spPr bwMode="auto">
                    <a:xfrm>
                      <a:off x="0" y="0"/>
                      <a:ext cx="4465714" cy="3866091"/>
                    </a:xfrm>
                    <a:prstGeom prst="rect">
                      <a:avLst/>
                    </a:prstGeom>
                    <a:ln>
                      <a:noFill/>
                    </a:ln>
                    <a:extLst>
                      <a:ext uri="{53640926-AAD7-44D8-BBD7-CCE9431645EC}">
                        <a14:shadowObscured xmlns:a14="http://schemas.microsoft.com/office/drawing/2010/main"/>
                      </a:ext>
                    </a:extLst>
                  </pic:spPr>
                </pic:pic>
              </a:graphicData>
            </a:graphic>
          </wp:inline>
        </w:drawing>
      </w:r>
    </w:p>
    <w:p w14:paraId="273CD5D2" w14:textId="77777777" w:rsidR="00174964" w:rsidRDefault="00324184" w:rsidP="00723327">
      <w:pPr>
        <w:pStyle w:val="Caption"/>
        <w:rPr>
          <w:highlight w:val="yellow"/>
        </w:rPr>
      </w:pPr>
      <w:bookmarkStart w:id="42" w:name="_Ref85903823"/>
      <w:bookmarkStart w:id="43" w:name="_Toc88127896"/>
      <w:bookmarkStart w:id="44" w:name="_Toc89268671"/>
      <w:r>
        <w:t>Figure </w:t>
      </w:r>
      <w:r w:rsidR="00A41C81">
        <w:fldChar w:fldCharType="begin"/>
      </w:r>
      <w:r>
        <w:instrText xml:space="preserve"> SEQ Figure \* ARABIC </w:instrText>
      </w:r>
      <w:r w:rsidR="00A41C81">
        <w:fldChar w:fldCharType="separate"/>
      </w:r>
      <w:r w:rsidR="00A41C81">
        <w:rPr>
          <w:noProof/>
        </w:rPr>
        <w:t>1</w:t>
      </w:r>
      <w:r w:rsidR="00A41C81">
        <w:rPr>
          <w:noProof/>
        </w:rPr>
        <w:fldChar w:fldCharType="end"/>
      </w:r>
      <w:bookmarkEnd w:id="42"/>
      <w:r w:rsidR="00A44549" w:rsidRPr="00A44549">
        <w:t xml:space="preserve"> </w:t>
      </w:r>
      <w:r w:rsidR="0002717D">
        <w:t>Species sensitivity distribution, dissolved copper in marine water</w:t>
      </w:r>
      <w:bookmarkEnd w:id="43"/>
      <w:bookmarkEnd w:id="44"/>
    </w:p>
    <w:p w14:paraId="273CD5D3" w14:textId="77777777" w:rsidR="001303C0" w:rsidRPr="003425E5" w:rsidRDefault="00324184" w:rsidP="001303C0">
      <w:pPr>
        <w:pStyle w:val="Heading3"/>
      </w:pPr>
      <w:bookmarkStart w:id="45" w:name="_Default_guideline_values"/>
      <w:bookmarkStart w:id="46" w:name="_Toc89265620"/>
      <w:bookmarkStart w:id="47" w:name="_Toc89268660"/>
      <w:bookmarkEnd w:id="45"/>
      <w:r w:rsidRPr="003425E5">
        <w:t>Default guideline values</w:t>
      </w:r>
      <w:bookmarkEnd w:id="46"/>
      <w:bookmarkEnd w:id="47"/>
    </w:p>
    <w:p w14:paraId="273CD5D4" w14:textId="77777777" w:rsidR="001303C0" w:rsidRPr="003425E5" w:rsidRDefault="00324184" w:rsidP="001303C0">
      <w:r w:rsidRPr="003425E5">
        <w:t xml:space="preserve">It is important that the DGVs </w:t>
      </w:r>
      <w:r w:rsidR="009D54BA" w:rsidRPr="003425E5">
        <w:t>(</w:t>
      </w:r>
      <w:r w:rsidR="00AF4F1D">
        <w:fldChar w:fldCharType="begin"/>
      </w:r>
      <w:r w:rsidR="00AF4F1D">
        <w:instrText xml:space="preserve"> REF _Ref6321833 \h </w:instrText>
      </w:r>
      <w:r w:rsidR="00AF4F1D">
        <w:fldChar w:fldCharType="separate"/>
      </w:r>
      <w:r w:rsidR="00A41C81">
        <w:t>Table </w:t>
      </w:r>
      <w:r w:rsidR="00A41C81">
        <w:rPr>
          <w:noProof/>
        </w:rPr>
        <w:t>2</w:t>
      </w:r>
      <w:r w:rsidR="00AF4F1D">
        <w:fldChar w:fldCharType="end"/>
      </w:r>
      <w:r w:rsidR="009D54BA" w:rsidRPr="003425E5">
        <w:t xml:space="preserve">) </w:t>
      </w:r>
      <w:r w:rsidRPr="003425E5">
        <w:t>and associated information in this technical brief are used in accordance with the detailed guidance provided in the Australian and New Zealand Guidelines for Fresh and Marine Water Quality website</w:t>
      </w:r>
      <w:r w:rsidR="00981370" w:rsidRPr="003425E5">
        <w:rPr>
          <w:color w:val="000000" w:themeColor="text1"/>
        </w:rPr>
        <w:t xml:space="preserve"> (ANZG 2018)</w:t>
      </w:r>
      <w:r w:rsidRPr="003425E5">
        <w:t xml:space="preserve">. </w:t>
      </w:r>
    </w:p>
    <w:p w14:paraId="273CD5D5" w14:textId="77777777" w:rsidR="00791558" w:rsidRDefault="00324184" w:rsidP="00FD5781">
      <w:pPr>
        <w:spacing w:after="160"/>
      </w:pPr>
      <w:r w:rsidRPr="003425E5">
        <w:rPr>
          <w:bCs/>
        </w:rPr>
        <w:t xml:space="preserve">The </w:t>
      </w:r>
      <w:r w:rsidRPr="003425E5">
        <w:rPr>
          <w:bCs/>
        </w:rPr>
        <w:t>DGVs for 99</w:t>
      </w:r>
      <w:r w:rsidR="002F26E2">
        <w:rPr>
          <w:bCs/>
        </w:rPr>
        <w:t>%</w:t>
      </w:r>
      <w:r w:rsidRPr="003425E5">
        <w:rPr>
          <w:bCs/>
        </w:rPr>
        <w:t>, 95</w:t>
      </w:r>
      <w:r w:rsidR="002F26E2">
        <w:rPr>
          <w:bCs/>
        </w:rPr>
        <w:t>%</w:t>
      </w:r>
      <w:r w:rsidRPr="003425E5">
        <w:rPr>
          <w:bCs/>
        </w:rPr>
        <w:t>, 90</w:t>
      </w:r>
      <w:r w:rsidR="002F26E2">
        <w:rPr>
          <w:bCs/>
        </w:rPr>
        <w:t>%</w:t>
      </w:r>
      <w:r w:rsidRPr="003425E5">
        <w:rPr>
          <w:bCs/>
        </w:rPr>
        <w:t xml:space="preserve"> and 80% species protection are shown in </w:t>
      </w:r>
      <w:r w:rsidR="00D660EE">
        <w:rPr>
          <w:bCs/>
        </w:rPr>
        <w:fldChar w:fldCharType="begin"/>
      </w:r>
      <w:r w:rsidR="00D660EE">
        <w:rPr>
          <w:bCs/>
        </w:rPr>
        <w:instrText xml:space="preserve"> REF _Ref6321833 \h </w:instrText>
      </w:r>
      <w:r w:rsidR="00D660EE">
        <w:rPr>
          <w:bCs/>
        </w:rPr>
      </w:r>
      <w:r w:rsidR="00D660EE">
        <w:rPr>
          <w:bCs/>
        </w:rPr>
        <w:fldChar w:fldCharType="separate"/>
      </w:r>
      <w:r w:rsidR="00A41C81">
        <w:t>Table </w:t>
      </w:r>
      <w:r w:rsidR="00A41C81">
        <w:rPr>
          <w:noProof/>
        </w:rPr>
        <w:t>2</w:t>
      </w:r>
      <w:r w:rsidR="00D660EE">
        <w:rPr>
          <w:bCs/>
        </w:rPr>
        <w:fldChar w:fldCharType="end"/>
      </w:r>
      <w:r w:rsidRPr="003425E5">
        <w:rPr>
          <w:bCs/>
        </w:rPr>
        <w:t>.</w:t>
      </w:r>
      <w:r w:rsidR="00170AD2" w:rsidRPr="00170AD2">
        <w:t xml:space="preserve"> </w:t>
      </w:r>
      <w:r w:rsidR="00170AD2">
        <w:t>The DGVs apply to water with</w:t>
      </w:r>
      <w:r>
        <w:t>:</w:t>
      </w:r>
    </w:p>
    <w:p w14:paraId="273CD5D6" w14:textId="77777777" w:rsidR="00791558" w:rsidRDefault="00324184" w:rsidP="00791558">
      <w:pPr>
        <w:pStyle w:val="ListBullet"/>
      </w:pPr>
      <w:r>
        <w:t>DOC ≤0.5 mg/L</w:t>
      </w:r>
    </w:p>
    <w:p w14:paraId="273CD5D7" w14:textId="77777777" w:rsidR="00791558" w:rsidRDefault="00324184" w:rsidP="00791558">
      <w:pPr>
        <w:pStyle w:val="ListBullet"/>
      </w:pPr>
      <w:r>
        <w:t>salinity 25–36‰</w:t>
      </w:r>
    </w:p>
    <w:p w14:paraId="273CD5D8" w14:textId="77777777" w:rsidR="00791558" w:rsidRDefault="00324184" w:rsidP="00791558">
      <w:pPr>
        <w:pStyle w:val="ListBullet"/>
      </w:pPr>
      <w:r>
        <w:t xml:space="preserve">pH 6.5–8.0. </w:t>
      </w:r>
    </w:p>
    <w:p w14:paraId="273CD5D9" w14:textId="77777777" w:rsidR="001303C0" w:rsidRPr="003425E5" w:rsidRDefault="00324184" w:rsidP="001303C0">
      <w:pPr>
        <w:rPr>
          <w:bCs/>
        </w:rPr>
      </w:pPr>
      <w:r>
        <w:t xml:space="preserve">For marine water outside this range of salinity and pH, site-specific factors affecting toxicity should be considered, </w:t>
      </w:r>
      <w:r>
        <w:t xml:space="preserve">including modelling of metal speciation (see </w:t>
      </w:r>
      <w:r w:rsidR="0098794D">
        <w:fldChar w:fldCharType="begin"/>
      </w:r>
      <w:r w:rsidR="0098794D">
        <w:instrText xml:space="preserve"> REF _Ref85904112 \h </w:instrText>
      </w:r>
      <w:r w:rsidR="0098794D">
        <w:fldChar w:fldCharType="separate"/>
      </w:r>
      <w:r w:rsidR="00A41C81">
        <w:t>Appendix </w:t>
      </w:r>
      <w:r w:rsidR="00A41C81" w:rsidRPr="006402D2">
        <w:t>A</w:t>
      </w:r>
      <w:r w:rsidR="00A41C81">
        <w:t>:</w:t>
      </w:r>
      <w:r w:rsidR="00A41C81" w:rsidRPr="006402D2">
        <w:t xml:space="preserve"> </w:t>
      </w:r>
      <w:r w:rsidR="00A41C81">
        <w:t>A</w:t>
      </w:r>
      <w:r w:rsidR="00A41C81" w:rsidRPr="006402D2">
        <w:t xml:space="preserve">ctions to assess </w:t>
      </w:r>
      <w:r w:rsidR="00A41C81">
        <w:t xml:space="preserve">the </w:t>
      </w:r>
      <w:r w:rsidR="00A41C81" w:rsidRPr="006402D2">
        <w:t>bioavailable fraction of a metal</w:t>
      </w:r>
      <w:r w:rsidR="0098794D">
        <w:fldChar w:fldCharType="end"/>
      </w:r>
      <w:r>
        <w:t>).</w:t>
      </w:r>
    </w:p>
    <w:p w14:paraId="273CD5DA" w14:textId="77777777" w:rsidR="001303C0" w:rsidRPr="005B4F68" w:rsidRDefault="00324184" w:rsidP="00723327">
      <w:pPr>
        <w:pStyle w:val="Caption"/>
      </w:pPr>
      <w:bookmarkStart w:id="48" w:name="_Ref6321833"/>
      <w:bookmarkStart w:id="49" w:name="_Toc88127898"/>
      <w:bookmarkStart w:id="50" w:name="_Toc89268673"/>
      <w:r>
        <w:t>Table </w:t>
      </w:r>
      <w:r w:rsidR="00A41C81">
        <w:fldChar w:fldCharType="begin"/>
      </w:r>
      <w:r>
        <w:instrText xml:space="preserve"> SEQ Table \* ARABIC </w:instrText>
      </w:r>
      <w:r w:rsidR="00A41C81">
        <w:fldChar w:fldCharType="separate"/>
      </w:r>
      <w:r w:rsidR="00A41C81">
        <w:rPr>
          <w:noProof/>
        </w:rPr>
        <w:t>2</w:t>
      </w:r>
      <w:r w:rsidR="00A41C81">
        <w:rPr>
          <w:noProof/>
        </w:rPr>
        <w:fldChar w:fldCharType="end"/>
      </w:r>
      <w:bookmarkEnd w:id="48"/>
      <w:r w:rsidR="001F2460" w:rsidRPr="005B4F68">
        <w:t xml:space="preserve"> </w:t>
      </w:r>
      <w:r w:rsidR="005B4F68" w:rsidRPr="005B4F68">
        <w:rPr>
          <w:noProof/>
        </w:rPr>
        <w:t xml:space="preserve">Toxicant default guideline values, </w:t>
      </w:r>
      <w:r w:rsidR="005B4F68">
        <w:rPr>
          <w:noProof/>
        </w:rPr>
        <w:t>dissolved coper in marine water, very high reliability</w:t>
      </w:r>
      <w:bookmarkEnd w:id="49"/>
      <w:bookmarkEnd w:id="5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dissolved copper total in marine water, very high reliability"/>
        <w:tblDescription w:val="Table shows the guideline values for a range of protection levels for dissolved copper in marine water. The four levels of species protection are 99%, 95%, 90% and 80%. The corresponding default guideline values are 0.12, 0.40, 0.72 and 1.4 (microgram per litre), respectively."/>
      </w:tblPr>
      <w:tblGrid>
        <w:gridCol w:w="4535"/>
        <w:gridCol w:w="4535"/>
      </w:tblGrid>
      <w:tr w:rsidR="00091AEB" w14:paraId="273CD5DD" w14:textId="77777777" w:rsidTr="00CA7AC2">
        <w:trPr>
          <w:trHeight w:val="44"/>
          <w:tblHeader/>
        </w:trPr>
        <w:tc>
          <w:tcPr>
            <w:tcW w:w="2500" w:type="pct"/>
            <w:tcBorders>
              <w:top w:val="single" w:sz="12" w:space="0" w:color="auto"/>
              <w:bottom w:val="single" w:sz="12" w:space="0" w:color="auto"/>
            </w:tcBorders>
          </w:tcPr>
          <w:p w14:paraId="273CD5DB" w14:textId="77777777" w:rsidR="001303C0" w:rsidRPr="00E54F7F" w:rsidRDefault="00324184" w:rsidP="00FD5781">
            <w:pPr>
              <w:pStyle w:val="TableHeading"/>
              <w:spacing w:before="50" w:after="50"/>
            </w:pPr>
            <w:r w:rsidRPr="00E54F7F">
              <w:t>Level of species protection (%)</w:t>
            </w:r>
          </w:p>
        </w:tc>
        <w:tc>
          <w:tcPr>
            <w:tcW w:w="2500" w:type="pct"/>
            <w:tcBorders>
              <w:top w:val="single" w:sz="12" w:space="0" w:color="auto"/>
              <w:bottom w:val="single" w:sz="12" w:space="0" w:color="auto"/>
            </w:tcBorders>
          </w:tcPr>
          <w:p w14:paraId="273CD5DC" w14:textId="77777777" w:rsidR="001303C0" w:rsidRPr="00E54F7F" w:rsidRDefault="00324184" w:rsidP="00FD5781">
            <w:pPr>
              <w:pStyle w:val="TableHeading"/>
              <w:spacing w:before="50" w:after="50"/>
              <w:jc w:val="right"/>
            </w:pPr>
            <w:r w:rsidRPr="00E54F7F">
              <w:t xml:space="preserve">DGV for </w:t>
            </w:r>
            <w:r w:rsidR="00E54F7F">
              <w:t>copper</w:t>
            </w:r>
            <w:r w:rsidRPr="00E54F7F">
              <w:t xml:space="preserve"> in </w:t>
            </w:r>
            <w:r w:rsidR="00E54F7F">
              <w:t>marine water</w:t>
            </w:r>
            <w:r w:rsidRPr="00E54F7F">
              <w:t xml:space="preserve"> (</w:t>
            </w:r>
            <w:r w:rsidRPr="00E54F7F">
              <w:rPr>
                <w:rFonts w:ascii="Symbol" w:hAnsi="Symbol"/>
                <w:b w:val="0"/>
              </w:rPr>
              <w:sym w:font="Symbol" w:char="F06D"/>
            </w:r>
            <w:r w:rsidRPr="00E54F7F">
              <w:t>g/L)</w:t>
            </w:r>
            <w:r w:rsidR="00D653F3">
              <w:t xml:space="preserve"> </w:t>
            </w:r>
            <w:r w:rsidRPr="00D653F3">
              <w:rPr>
                <w:rStyle w:val="Strong"/>
                <w:vertAlign w:val="superscript"/>
              </w:rPr>
              <w:t>a</w:t>
            </w:r>
            <w:r w:rsidR="00E54F7F" w:rsidRPr="00D653F3">
              <w:rPr>
                <w:rStyle w:val="Strong"/>
                <w:vertAlign w:val="superscript"/>
              </w:rPr>
              <w:t>, b</w:t>
            </w:r>
          </w:p>
        </w:tc>
      </w:tr>
      <w:tr w:rsidR="00091AEB" w14:paraId="273CD5E0" w14:textId="77777777" w:rsidTr="001E2B75">
        <w:trPr>
          <w:trHeight w:val="44"/>
        </w:trPr>
        <w:tc>
          <w:tcPr>
            <w:tcW w:w="2500" w:type="pct"/>
            <w:tcBorders>
              <w:top w:val="single" w:sz="12" w:space="0" w:color="auto"/>
              <w:bottom w:val="single" w:sz="4" w:space="0" w:color="auto"/>
            </w:tcBorders>
          </w:tcPr>
          <w:p w14:paraId="273CD5DE" w14:textId="77777777" w:rsidR="001303C0" w:rsidRPr="00E54F7F" w:rsidRDefault="00324184" w:rsidP="00FD5781">
            <w:pPr>
              <w:pStyle w:val="TableText"/>
              <w:spacing w:before="50" w:after="50"/>
              <w:ind w:firstLine="459"/>
            </w:pPr>
            <w:r w:rsidRPr="00E54F7F">
              <w:t>99</w:t>
            </w:r>
          </w:p>
        </w:tc>
        <w:tc>
          <w:tcPr>
            <w:tcW w:w="2500" w:type="pct"/>
            <w:tcBorders>
              <w:top w:val="single" w:sz="12" w:space="0" w:color="auto"/>
              <w:bottom w:val="single" w:sz="4" w:space="0" w:color="auto"/>
            </w:tcBorders>
          </w:tcPr>
          <w:p w14:paraId="273CD5DF" w14:textId="77777777" w:rsidR="001303C0" w:rsidRPr="00E54F7F" w:rsidRDefault="00324184" w:rsidP="00FD5781">
            <w:pPr>
              <w:pStyle w:val="TableText"/>
              <w:spacing w:before="50" w:after="50"/>
              <w:ind w:right="457"/>
              <w:jc w:val="right"/>
            </w:pPr>
            <w:r>
              <w:t>0.1</w:t>
            </w:r>
            <w:r w:rsidR="006B7395">
              <w:t>2</w:t>
            </w:r>
          </w:p>
        </w:tc>
      </w:tr>
      <w:tr w:rsidR="00091AEB" w14:paraId="273CD5E3" w14:textId="77777777" w:rsidTr="002B182F">
        <w:trPr>
          <w:trHeight w:val="284"/>
        </w:trPr>
        <w:tc>
          <w:tcPr>
            <w:tcW w:w="2500" w:type="pct"/>
            <w:tcBorders>
              <w:top w:val="single" w:sz="4" w:space="0" w:color="auto"/>
              <w:bottom w:val="single" w:sz="4" w:space="0" w:color="auto"/>
            </w:tcBorders>
          </w:tcPr>
          <w:p w14:paraId="273CD5E1" w14:textId="77777777" w:rsidR="001303C0" w:rsidRPr="00E54F7F" w:rsidRDefault="00324184" w:rsidP="00FD5781">
            <w:pPr>
              <w:pStyle w:val="TableText"/>
              <w:spacing w:before="50" w:after="50"/>
              <w:ind w:firstLine="459"/>
            </w:pPr>
            <w:r w:rsidRPr="00E54F7F">
              <w:t>95</w:t>
            </w:r>
          </w:p>
        </w:tc>
        <w:tc>
          <w:tcPr>
            <w:tcW w:w="2500" w:type="pct"/>
            <w:tcBorders>
              <w:top w:val="single" w:sz="4" w:space="0" w:color="auto"/>
              <w:bottom w:val="single" w:sz="4" w:space="0" w:color="auto"/>
            </w:tcBorders>
          </w:tcPr>
          <w:p w14:paraId="273CD5E2" w14:textId="77777777" w:rsidR="001303C0" w:rsidRPr="00E54F7F" w:rsidRDefault="00324184" w:rsidP="00FD5781">
            <w:pPr>
              <w:pStyle w:val="TableText"/>
              <w:spacing w:before="50" w:after="50"/>
              <w:ind w:right="457"/>
              <w:jc w:val="right"/>
            </w:pPr>
            <w:r>
              <w:t>0.40</w:t>
            </w:r>
          </w:p>
        </w:tc>
      </w:tr>
      <w:tr w:rsidR="00091AEB" w14:paraId="273CD5E6" w14:textId="77777777" w:rsidTr="00CA7AC2">
        <w:trPr>
          <w:trHeight w:val="284"/>
        </w:trPr>
        <w:tc>
          <w:tcPr>
            <w:tcW w:w="2500" w:type="pct"/>
            <w:tcBorders>
              <w:top w:val="single" w:sz="4" w:space="0" w:color="auto"/>
              <w:bottom w:val="single" w:sz="4" w:space="0" w:color="auto"/>
            </w:tcBorders>
          </w:tcPr>
          <w:p w14:paraId="273CD5E4" w14:textId="77777777" w:rsidR="001303C0" w:rsidRPr="00E54F7F" w:rsidRDefault="00324184" w:rsidP="00FD5781">
            <w:pPr>
              <w:pStyle w:val="TableText"/>
              <w:spacing w:before="50" w:after="50"/>
              <w:ind w:firstLine="459"/>
            </w:pPr>
            <w:r w:rsidRPr="00E54F7F">
              <w:t>90</w:t>
            </w:r>
          </w:p>
        </w:tc>
        <w:tc>
          <w:tcPr>
            <w:tcW w:w="2500" w:type="pct"/>
            <w:tcBorders>
              <w:top w:val="single" w:sz="4" w:space="0" w:color="auto"/>
              <w:bottom w:val="single" w:sz="4" w:space="0" w:color="auto"/>
            </w:tcBorders>
          </w:tcPr>
          <w:p w14:paraId="273CD5E5" w14:textId="77777777" w:rsidR="001303C0" w:rsidRPr="00E54F7F" w:rsidRDefault="00324184" w:rsidP="00FD5781">
            <w:pPr>
              <w:pStyle w:val="TableText"/>
              <w:spacing w:before="50" w:after="50"/>
              <w:ind w:right="457"/>
              <w:jc w:val="right"/>
            </w:pPr>
            <w:r>
              <w:t>0.7</w:t>
            </w:r>
            <w:r w:rsidR="006B7395">
              <w:t>2</w:t>
            </w:r>
          </w:p>
        </w:tc>
      </w:tr>
      <w:tr w:rsidR="00091AEB" w14:paraId="273CD5E9" w14:textId="77777777" w:rsidTr="00CA7AC2">
        <w:trPr>
          <w:trHeight w:val="64"/>
        </w:trPr>
        <w:tc>
          <w:tcPr>
            <w:tcW w:w="2500" w:type="pct"/>
            <w:tcBorders>
              <w:top w:val="single" w:sz="4" w:space="0" w:color="auto"/>
              <w:bottom w:val="single" w:sz="12" w:space="0" w:color="auto"/>
            </w:tcBorders>
          </w:tcPr>
          <w:p w14:paraId="273CD5E7" w14:textId="77777777" w:rsidR="001303C0" w:rsidRPr="00E54F7F" w:rsidRDefault="00324184" w:rsidP="00FD5781">
            <w:pPr>
              <w:pStyle w:val="TableText"/>
              <w:spacing w:before="50" w:after="50"/>
              <w:ind w:firstLine="459"/>
            </w:pPr>
            <w:r w:rsidRPr="00E54F7F">
              <w:t>80</w:t>
            </w:r>
          </w:p>
        </w:tc>
        <w:tc>
          <w:tcPr>
            <w:tcW w:w="2500" w:type="pct"/>
            <w:tcBorders>
              <w:top w:val="single" w:sz="4" w:space="0" w:color="auto"/>
              <w:bottom w:val="single" w:sz="12" w:space="0" w:color="auto"/>
            </w:tcBorders>
          </w:tcPr>
          <w:p w14:paraId="273CD5E8" w14:textId="77777777" w:rsidR="001303C0" w:rsidRPr="00E54F7F" w:rsidRDefault="00324184" w:rsidP="00FD5781">
            <w:pPr>
              <w:pStyle w:val="TableText"/>
              <w:spacing w:before="50" w:after="50"/>
              <w:ind w:right="457"/>
              <w:jc w:val="right"/>
            </w:pPr>
            <w:r>
              <w:t>1.</w:t>
            </w:r>
            <w:r w:rsidR="006B7395">
              <w:t>4</w:t>
            </w:r>
          </w:p>
        </w:tc>
      </w:tr>
    </w:tbl>
    <w:p w14:paraId="273CD5EA" w14:textId="77777777" w:rsidR="00E54F7F" w:rsidRPr="00467D7C" w:rsidRDefault="00324184" w:rsidP="00FD5781">
      <w:pPr>
        <w:pStyle w:val="FigureTableNoteSource"/>
        <w:spacing w:before="40"/>
        <w:rPr>
          <w:rStyle w:val="Strong"/>
          <w:b w:val="0"/>
          <w:bCs w:val="0"/>
        </w:rPr>
      </w:pPr>
      <w:r w:rsidRPr="00467D7C">
        <w:rPr>
          <w:rStyle w:val="Strong"/>
        </w:rPr>
        <w:t>a</w:t>
      </w:r>
      <w:r w:rsidRPr="00467D7C">
        <w:rPr>
          <w:rStyle w:val="Strong"/>
          <w:b w:val="0"/>
          <w:bCs w:val="0"/>
        </w:rPr>
        <w:t xml:space="preserve"> The</w:t>
      </w:r>
      <w:r w:rsidR="001D00C6">
        <w:rPr>
          <w:rStyle w:val="Strong"/>
          <w:b w:val="0"/>
          <w:bCs w:val="0"/>
        </w:rPr>
        <w:t xml:space="preserve"> DGVs</w:t>
      </w:r>
      <w:r w:rsidRPr="00467D7C">
        <w:rPr>
          <w:rStyle w:val="Strong"/>
          <w:b w:val="0"/>
          <w:bCs w:val="0"/>
        </w:rPr>
        <w:t xml:space="preserve"> apply when DOC ≤0.5</w:t>
      </w:r>
      <w:r w:rsidR="001D00C6">
        <w:rPr>
          <w:rStyle w:val="Strong"/>
          <w:b w:val="0"/>
          <w:bCs w:val="0"/>
        </w:rPr>
        <w:t> </w:t>
      </w:r>
      <w:r w:rsidRPr="00467D7C">
        <w:rPr>
          <w:rStyle w:val="Strong"/>
          <w:b w:val="0"/>
          <w:bCs w:val="0"/>
        </w:rPr>
        <w:t xml:space="preserve">mg/L. </w:t>
      </w:r>
      <w:r w:rsidR="001D00C6">
        <w:rPr>
          <w:rStyle w:val="Strong"/>
          <w:b w:val="0"/>
          <w:bCs w:val="0"/>
        </w:rPr>
        <w:t>W</w:t>
      </w:r>
      <w:r w:rsidR="001D00C6" w:rsidRPr="00467D7C">
        <w:rPr>
          <w:rStyle w:val="Strong"/>
          <w:b w:val="0"/>
          <w:bCs w:val="0"/>
        </w:rPr>
        <w:t>hen DOC is &gt;0.5</w:t>
      </w:r>
      <w:r w:rsidR="001D00C6">
        <w:rPr>
          <w:rStyle w:val="Strong"/>
          <w:b w:val="0"/>
          <w:bCs w:val="0"/>
        </w:rPr>
        <w:t> </w:t>
      </w:r>
      <w:r w:rsidR="001D00C6" w:rsidRPr="00467D7C">
        <w:rPr>
          <w:rStyle w:val="Strong"/>
          <w:b w:val="0"/>
          <w:bCs w:val="0"/>
        </w:rPr>
        <w:t>mg/L</w:t>
      </w:r>
      <w:r w:rsidR="001D00C6">
        <w:rPr>
          <w:rStyle w:val="Strong"/>
          <w:b w:val="0"/>
          <w:bCs w:val="0"/>
        </w:rPr>
        <w:t>,</w:t>
      </w:r>
      <w:r w:rsidR="001D00C6" w:rsidRPr="00467D7C">
        <w:rPr>
          <w:rStyle w:val="Strong"/>
          <w:b w:val="0"/>
          <w:bCs w:val="0"/>
        </w:rPr>
        <w:t xml:space="preserve"> </w:t>
      </w:r>
      <w:r w:rsidR="001D00C6">
        <w:rPr>
          <w:rStyle w:val="Strong"/>
          <w:b w:val="0"/>
          <w:bCs w:val="0"/>
        </w:rPr>
        <w:t>t</w:t>
      </w:r>
      <w:r w:rsidRPr="00467D7C">
        <w:rPr>
          <w:rStyle w:val="Strong"/>
          <w:b w:val="0"/>
          <w:bCs w:val="0"/>
        </w:rPr>
        <w:t>he</w:t>
      </w:r>
      <w:r w:rsidR="001D00C6">
        <w:rPr>
          <w:rStyle w:val="Strong"/>
          <w:b w:val="0"/>
          <w:bCs w:val="0"/>
        </w:rPr>
        <w:t xml:space="preserve"> DGVs</w:t>
      </w:r>
      <w:r w:rsidRPr="00467D7C">
        <w:rPr>
          <w:rStyle w:val="Strong"/>
          <w:b w:val="0"/>
          <w:bCs w:val="0"/>
        </w:rPr>
        <w:t xml:space="preserve"> should be adjusted based on the values in </w:t>
      </w:r>
      <w:r w:rsidR="00C12A88">
        <w:rPr>
          <w:rStyle w:val="Strong"/>
          <w:b w:val="0"/>
          <w:bCs w:val="0"/>
        </w:rPr>
        <w:fldChar w:fldCharType="begin"/>
      </w:r>
      <w:r w:rsidR="00C12A88">
        <w:rPr>
          <w:rStyle w:val="Strong"/>
          <w:b w:val="0"/>
          <w:bCs w:val="0"/>
        </w:rPr>
        <w:instrText xml:space="preserve"> REF _Ref85903611 \h </w:instrText>
      </w:r>
      <w:r w:rsidR="00C12A88">
        <w:rPr>
          <w:rStyle w:val="Strong"/>
          <w:b w:val="0"/>
          <w:bCs w:val="0"/>
        </w:rPr>
      </w:r>
      <w:r w:rsidR="00C12A88">
        <w:rPr>
          <w:rStyle w:val="Strong"/>
          <w:b w:val="0"/>
          <w:bCs w:val="0"/>
        </w:rPr>
        <w:fldChar w:fldCharType="separate"/>
      </w:r>
      <w:r w:rsidR="00A41C81">
        <w:t>Table </w:t>
      </w:r>
      <w:r w:rsidR="00A41C81">
        <w:rPr>
          <w:noProof/>
        </w:rPr>
        <w:t>3</w:t>
      </w:r>
      <w:r w:rsidR="00C12A88">
        <w:rPr>
          <w:rStyle w:val="Strong"/>
          <w:b w:val="0"/>
          <w:bCs w:val="0"/>
        </w:rPr>
        <w:fldChar w:fldCharType="end"/>
      </w:r>
      <w:r w:rsidRPr="00467D7C">
        <w:rPr>
          <w:rStyle w:val="Strong"/>
          <w:b w:val="0"/>
          <w:bCs w:val="0"/>
        </w:rPr>
        <w:t xml:space="preserve"> or the equations in </w:t>
      </w:r>
      <w:r w:rsidR="0098794D">
        <w:rPr>
          <w:rStyle w:val="Strong"/>
          <w:b w:val="0"/>
          <w:bCs w:val="0"/>
        </w:rPr>
        <w:fldChar w:fldCharType="begin"/>
      </w:r>
      <w:r w:rsidR="0098794D">
        <w:rPr>
          <w:rStyle w:val="Strong"/>
          <w:b w:val="0"/>
          <w:bCs w:val="0"/>
        </w:rPr>
        <w:instrText xml:space="preserve"> REF _Ref85904150 \h </w:instrText>
      </w:r>
      <w:r w:rsidR="0098794D">
        <w:rPr>
          <w:rStyle w:val="Strong"/>
          <w:b w:val="0"/>
          <w:bCs w:val="0"/>
        </w:rPr>
      </w:r>
      <w:r w:rsidR="0098794D">
        <w:rPr>
          <w:rStyle w:val="Strong"/>
          <w:b w:val="0"/>
          <w:bCs w:val="0"/>
        </w:rPr>
        <w:fldChar w:fldCharType="separate"/>
      </w:r>
      <w:r w:rsidR="00A41C81" w:rsidRPr="000079DA">
        <w:t>A</w:t>
      </w:r>
      <w:r w:rsidR="00A41C81">
        <w:t>ppendix </w:t>
      </w:r>
      <w:r w:rsidR="00A41C81" w:rsidRPr="000079DA">
        <w:t>C</w:t>
      </w:r>
      <w:r w:rsidR="00A41C81">
        <w:t>:</w:t>
      </w:r>
      <w:r w:rsidR="00A41C81" w:rsidRPr="000079DA">
        <w:t xml:space="preserve"> DOC </w:t>
      </w:r>
      <w:r w:rsidR="00A41C81">
        <w:t>c</w:t>
      </w:r>
      <w:r w:rsidR="00A41C81" w:rsidRPr="000079DA">
        <w:t xml:space="preserve">orrection for </w:t>
      </w:r>
      <w:r w:rsidR="00A41C81">
        <w:t xml:space="preserve">dissolved </w:t>
      </w:r>
      <w:r w:rsidR="00A41C81" w:rsidRPr="000079DA">
        <w:t>copper default guideline values</w:t>
      </w:r>
      <w:r w:rsidR="0098794D">
        <w:rPr>
          <w:rStyle w:val="Strong"/>
          <w:b w:val="0"/>
          <w:bCs w:val="0"/>
        </w:rPr>
        <w:fldChar w:fldCharType="end"/>
      </w:r>
      <w:r w:rsidR="001D00C6">
        <w:rPr>
          <w:rStyle w:val="Strong"/>
          <w:b w:val="0"/>
          <w:bCs w:val="0"/>
        </w:rPr>
        <w:t>; however,</w:t>
      </w:r>
      <w:r w:rsidRPr="00467D7C">
        <w:rPr>
          <w:rStyle w:val="Strong"/>
          <w:b w:val="0"/>
          <w:bCs w:val="0"/>
        </w:rPr>
        <w:t xml:space="preserve"> no</w:t>
      </w:r>
      <w:r w:rsidRPr="00467D7C">
        <w:rPr>
          <w:rStyle w:val="Strong"/>
          <w:b w:val="0"/>
          <w:bCs w:val="0"/>
        </w:rPr>
        <w:t xml:space="preserve"> further adjustments should be made when DOC &gt;6</w:t>
      </w:r>
      <w:r w:rsidR="001D00C6">
        <w:rPr>
          <w:rStyle w:val="Strong"/>
          <w:b w:val="0"/>
          <w:bCs w:val="0"/>
        </w:rPr>
        <w:t> </w:t>
      </w:r>
      <w:r w:rsidRPr="00467D7C">
        <w:rPr>
          <w:rStyle w:val="Strong"/>
          <w:b w:val="0"/>
          <w:bCs w:val="0"/>
        </w:rPr>
        <w:t>mg/L.</w:t>
      </w:r>
    </w:p>
    <w:p w14:paraId="273CD5EB" w14:textId="77777777" w:rsidR="00E54F7F" w:rsidRPr="00467D7C" w:rsidRDefault="00324184" w:rsidP="00FD5781">
      <w:pPr>
        <w:pStyle w:val="FigureTableNoteSource"/>
        <w:spacing w:before="40"/>
        <w:rPr>
          <w:rStyle w:val="Strong"/>
          <w:b w:val="0"/>
          <w:bCs w:val="0"/>
        </w:rPr>
      </w:pPr>
      <w:r w:rsidRPr="00467D7C">
        <w:rPr>
          <w:rStyle w:val="Strong"/>
        </w:rPr>
        <w:t>b</w:t>
      </w:r>
      <w:r w:rsidRPr="00467D7C">
        <w:rPr>
          <w:rStyle w:val="Strong"/>
          <w:b w:val="0"/>
          <w:bCs w:val="0"/>
        </w:rPr>
        <w:t xml:space="preserve"> </w:t>
      </w:r>
      <w:r w:rsidR="001D00C6">
        <w:rPr>
          <w:rStyle w:val="Strong"/>
          <w:b w:val="0"/>
          <w:bCs w:val="0"/>
        </w:rPr>
        <w:t>The DGVs</w:t>
      </w:r>
      <w:r w:rsidRPr="00467D7C">
        <w:rPr>
          <w:rStyle w:val="Strong"/>
          <w:b w:val="0"/>
          <w:bCs w:val="0"/>
        </w:rPr>
        <w:t xml:space="preserve"> were derived using the Burrlioz 2.0 software</w:t>
      </w:r>
      <w:r w:rsidR="004B1D76">
        <w:rPr>
          <w:rStyle w:val="Strong"/>
          <w:b w:val="0"/>
          <w:bCs w:val="0"/>
        </w:rPr>
        <w:t xml:space="preserve"> and rounded to two significant figures</w:t>
      </w:r>
      <w:r w:rsidRPr="00467D7C">
        <w:rPr>
          <w:rStyle w:val="Strong"/>
          <w:b w:val="0"/>
          <w:bCs w:val="0"/>
        </w:rPr>
        <w:t>.</w:t>
      </w:r>
    </w:p>
    <w:p w14:paraId="273CD5EC" w14:textId="77777777" w:rsidR="004D1BB5" w:rsidRDefault="00324184" w:rsidP="004D1BB5">
      <w:pPr>
        <w:spacing w:before="240"/>
      </w:pPr>
      <w:r>
        <w:t xml:space="preserve">The DGVs can be adjusted for different DOC concentrations to produce DOC-modified </w:t>
      </w:r>
      <w:r w:rsidR="00CA5CB2">
        <w:t>DGVs</w:t>
      </w:r>
      <w:r>
        <w:t xml:space="preserve"> (</w:t>
      </w:r>
      <w:r w:rsidR="00C12A88">
        <w:fldChar w:fldCharType="begin"/>
      </w:r>
      <w:r w:rsidR="00C12A88">
        <w:instrText xml:space="preserve"> REF _Ref85903611 \h </w:instrText>
      </w:r>
      <w:r w:rsidR="00C12A88">
        <w:fldChar w:fldCharType="separate"/>
      </w:r>
      <w:r w:rsidR="00A41C81">
        <w:t>Table </w:t>
      </w:r>
      <w:r w:rsidR="00A41C81">
        <w:rPr>
          <w:noProof/>
        </w:rPr>
        <w:t>3</w:t>
      </w:r>
      <w:r w:rsidR="00C12A88">
        <w:fldChar w:fldCharType="end"/>
      </w:r>
      <w:r>
        <w:t xml:space="preserve">). Equations and tables for deriving </w:t>
      </w:r>
      <w:r w:rsidR="008D6333">
        <w:t>D</w:t>
      </w:r>
      <w:r>
        <w:t xml:space="preserve">GVs at other DOC concentrations are provided in </w:t>
      </w:r>
      <w:r w:rsidR="0098794D">
        <w:fldChar w:fldCharType="begin"/>
      </w:r>
      <w:r w:rsidR="0098794D">
        <w:instrText xml:space="preserve"> REF _Ref85904150 \h </w:instrText>
      </w:r>
      <w:r w:rsidR="0098794D">
        <w:fldChar w:fldCharType="separate"/>
      </w:r>
      <w:r w:rsidR="00A41C81" w:rsidRPr="000079DA">
        <w:t>A</w:t>
      </w:r>
      <w:r w:rsidR="00A41C81">
        <w:t>ppendix </w:t>
      </w:r>
      <w:r w:rsidR="00A41C81" w:rsidRPr="000079DA">
        <w:t>C</w:t>
      </w:r>
      <w:r w:rsidR="00A41C81">
        <w:t>:</w:t>
      </w:r>
      <w:r w:rsidR="00A41C81" w:rsidRPr="000079DA">
        <w:t xml:space="preserve"> DOC </w:t>
      </w:r>
      <w:r w:rsidR="00A41C81">
        <w:t>c</w:t>
      </w:r>
      <w:r w:rsidR="00A41C81" w:rsidRPr="000079DA">
        <w:t xml:space="preserve">orrection for </w:t>
      </w:r>
      <w:r w:rsidR="00A41C81">
        <w:t xml:space="preserve">dissolved </w:t>
      </w:r>
      <w:r w:rsidR="00A41C81" w:rsidRPr="000079DA">
        <w:t>copper default guideline values</w:t>
      </w:r>
      <w:r w:rsidR="0098794D">
        <w:fldChar w:fldCharType="end"/>
      </w:r>
      <w:r w:rsidR="001C3FE8">
        <w:t>,</w:t>
      </w:r>
      <w:r>
        <w:t xml:space="preserve"> and the rationale for this is provided in </w:t>
      </w:r>
      <w:r w:rsidR="00F97985">
        <w:fldChar w:fldCharType="begin"/>
      </w:r>
      <w:r w:rsidR="00F97985">
        <w:instrText xml:space="preserve"> REF _Ref85904335 \h </w:instrText>
      </w:r>
      <w:r w:rsidR="00F97985">
        <w:fldChar w:fldCharType="separate"/>
      </w:r>
      <w:r w:rsidR="00A41C81">
        <w:t>Appendix G: Rationale for DOC correction</w:t>
      </w:r>
      <w:r w:rsidR="00F97985">
        <w:fldChar w:fldCharType="end"/>
      </w:r>
      <w:r>
        <w:t>.</w:t>
      </w:r>
      <w:r>
        <w:t xml:space="preserve"> The adjustment is based on a linear slope of 1.24, obtained from a linear regression of the copper marine WQC </w:t>
      </w:r>
      <w:r w:rsidR="000D6051">
        <w:t>USEPA (2016a)</w:t>
      </w:r>
      <w:r w:rsidR="00A431E6">
        <w:t xml:space="preserve"> </w:t>
      </w:r>
      <w:r>
        <w:t>with varying DOC as modelled by its BLM, based on DOC from 0.5</w:t>
      </w:r>
      <w:r w:rsidR="00C97DC5">
        <w:t> mg/L</w:t>
      </w:r>
      <w:r>
        <w:t xml:space="preserve"> to 6</w:t>
      </w:r>
      <w:r w:rsidR="00C97DC5">
        <w:t> </w:t>
      </w:r>
      <w:r>
        <w:t>mg/L. These DOC concentrations are expected to be represen</w:t>
      </w:r>
      <w:r>
        <w:t>tative of most New Zealand and Australian coastal marine waters. There is no adjustment above 6</w:t>
      </w:r>
      <w:r w:rsidR="00C97DC5">
        <w:t> </w:t>
      </w:r>
      <w:r>
        <w:t>mg/L DOC, irrespective of whether DOC is higher than this. For DOC concentrations well above 6</w:t>
      </w:r>
      <w:r w:rsidR="00C97DC5">
        <w:t> </w:t>
      </w:r>
      <w:r>
        <w:t>mg/L, either the adjustment to 6</w:t>
      </w:r>
      <w:r w:rsidR="00C97DC5">
        <w:t> </w:t>
      </w:r>
      <w:r>
        <w:t>mg/L should be used, or site-spe</w:t>
      </w:r>
      <w:r>
        <w:t>cific studies undertaken.</w:t>
      </w:r>
    </w:p>
    <w:p w14:paraId="273CD5ED" w14:textId="77777777" w:rsidR="004D1BB5" w:rsidRPr="00DF6E85" w:rsidRDefault="00324184" w:rsidP="004D1BB5">
      <w:pPr>
        <w:spacing w:before="240"/>
      </w:pPr>
      <w:r>
        <w:t xml:space="preserve">The USEPA </w:t>
      </w:r>
      <w:r w:rsidR="000D6051">
        <w:t xml:space="preserve">(2016a) </w:t>
      </w:r>
      <w:r>
        <w:t>BLM and the chemical speciation modelling within it were based on copper complexometric titrations. Although this should in theory be applicable to all species, it appears that the protective effect of DOC does n</w:t>
      </w:r>
      <w:r>
        <w:t xml:space="preserve">ot apply to settled mussels, potentially due to DOC-Cu complexes being bioavailable to these mussels, or becoming bioavailable within the gill microenvironment </w:t>
      </w:r>
      <w:r w:rsidR="00C636D7">
        <w:t>(Deruytter et al. 2017).</w:t>
      </w:r>
      <w:r>
        <w:t xml:space="preserve"> The reported </w:t>
      </w:r>
      <w:r w:rsidR="006E4972">
        <w:rPr>
          <w:lang w:eastAsia="ja-JP"/>
        </w:rPr>
        <w:t>5% effect concentration</w:t>
      </w:r>
      <w:r w:rsidR="006E4972">
        <w:t xml:space="preserve"> (</w:t>
      </w:r>
      <w:r>
        <w:t>EC5</w:t>
      </w:r>
      <w:r w:rsidR="006E4972">
        <w:t>)</w:t>
      </w:r>
      <w:r>
        <w:t xml:space="preserve"> for blue mussels (</w:t>
      </w:r>
      <w:r w:rsidRPr="00F34924">
        <w:rPr>
          <w:rStyle w:val="Emphasis"/>
        </w:rPr>
        <w:t>M. edulis</w:t>
      </w:r>
      <w:r>
        <w:t>)</w:t>
      </w:r>
      <w:r>
        <w:t xml:space="preserve"> is 8.8</w:t>
      </w:r>
      <w:r w:rsidR="00D3049D">
        <w:t> </w:t>
      </w:r>
      <w:r>
        <w:t xml:space="preserve">µg/L for clearance rate </w:t>
      </w:r>
      <w:r w:rsidR="00C636D7">
        <w:t>(Deruytter et al. 2017)</w:t>
      </w:r>
      <w:r>
        <w:t>. Th</w:t>
      </w:r>
      <w:r w:rsidR="00A431E6">
        <w:t>erefore, th</w:t>
      </w:r>
      <w:r>
        <w:t xml:space="preserve">is species should be protected by </w:t>
      </w:r>
      <w:r w:rsidR="00DE45C3">
        <w:t xml:space="preserve">all of </w:t>
      </w:r>
      <w:r>
        <w:t>the DGV</w:t>
      </w:r>
      <w:r w:rsidR="00DE45C3">
        <w:t>s</w:t>
      </w:r>
      <w:r>
        <w:t xml:space="preserve"> for 95% species protection</w:t>
      </w:r>
      <w:r w:rsidR="00DE45C3">
        <w:t xml:space="preserve"> up to the </w:t>
      </w:r>
      <w:r w:rsidR="00A431E6">
        <w:t xml:space="preserve">maximum DGV </w:t>
      </w:r>
      <w:r>
        <w:t>of 7.2</w:t>
      </w:r>
      <w:r w:rsidR="00D3049D">
        <w:t> </w:t>
      </w:r>
      <w:r>
        <w:t>µg/L</w:t>
      </w:r>
      <w:r w:rsidR="00A431E6">
        <w:t xml:space="preserve"> for ≥6</w:t>
      </w:r>
      <w:r w:rsidR="00D3049D">
        <w:t> </w:t>
      </w:r>
      <w:r w:rsidR="00A431E6">
        <w:t>mg/L DOC (</w:t>
      </w:r>
      <w:r w:rsidR="00A431E6">
        <w:fldChar w:fldCharType="begin"/>
      </w:r>
      <w:r w:rsidR="00A431E6">
        <w:instrText xml:space="preserve"> REF _Ref85903611 \h </w:instrText>
      </w:r>
      <w:r w:rsidR="00A431E6">
        <w:fldChar w:fldCharType="separate"/>
      </w:r>
      <w:r w:rsidR="00A41C81">
        <w:t>Table </w:t>
      </w:r>
      <w:r w:rsidR="00A41C81">
        <w:rPr>
          <w:noProof/>
        </w:rPr>
        <w:t>3</w:t>
      </w:r>
      <w:r w:rsidR="00A431E6">
        <w:fldChar w:fldCharType="end"/>
      </w:r>
      <w:r w:rsidR="00A431E6">
        <w:t>)</w:t>
      </w:r>
      <w:r>
        <w:t>.</w:t>
      </w:r>
      <w:r w:rsidR="00A276CA">
        <w:t xml:space="preserve"> </w:t>
      </w:r>
    </w:p>
    <w:p w14:paraId="273CD5EE" w14:textId="77777777" w:rsidR="00577E76" w:rsidRPr="00F3726A" w:rsidRDefault="00324184" w:rsidP="00B01C43">
      <w:pPr>
        <w:pStyle w:val="Caption"/>
      </w:pPr>
      <w:bookmarkStart w:id="51" w:name="_Ref85903611"/>
      <w:bookmarkStart w:id="52" w:name="_Toc88127899"/>
      <w:bookmarkStart w:id="53" w:name="_Toc89268674"/>
      <w:r>
        <w:t>Table </w:t>
      </w:r>
      <w:r w:rsidR="00A41C81">
        <w:fldChar w:fldCharType="begin"/>
      </w:r>
      <w:r>
        <w:instrText xml:space="preserve"> SEQ Table \* ARABIC </w:instrText>
      </w:r>
      <w:r w:rsidR="00A41C81">
        <w:fldChar w:fldCharType="separate"/>
      </w:r>
      <w:r w:rsidR="00A41C81">
        <w:rPr>
          <w:noProof/>
        </w:rPr>
        <w:t>3</w:t>
      </w:r>
      <w:r w:rsidR="00A41C81">
        <w:rPr>
          <w:noProof/>
        </w:rPr>
        <w:fldChar w:fldCharType="end"/>
      </w:r>
      <w:bookmarkEnd w:id="51"/>
      <w:r w:rsidRPr="00F3726A">
        <w:t xml:space="preserve"> </w:t>
      </w:r>
      <w:r w:rsidR="00573E89">
        <w:t>Default g</w:t>
      </w:r>
      <w:r w:rsidRPr="00F3726A">
        <w:t>uideline values</w:t>
      </w:r>
      <w:r w:rsidR="00573E89">
        <w:t xml:space="preserve"> for 95% species protection,</w:t>
      </w:r>
      <w:r w:rsidRPr="00F3726A">
        <w:t xml:space="preserve"> dissolved copper </w:t>
      </w:r>
      <w:r w:rsidR="00573E89">
        <w:t xml:space="preserve">in marine water with </w:t>
      </w:r>
      <w:r w:rsidRPr="00F3726A">
        <w:t>different dissolved organic carbon</w:t>
      </w:r>
      <w:bookmarkEnd w:id="52"/>
      <w:bookmarkEnd w:id="5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Default guideline values for 95% species protection, dissolved copper in marine water with different dissolved organic carbon"/>
        <w:tblDescription w:val="Table shows the default guideline values (DGVs) for 95% species protection modified by different concentrations of dissolved organic carbon (DOC). The DOC values (in miligrams per litre) are 0.5, 1, 2, 4 and ≥6. The corresponding DGVs (in micrograms per litre) are 0.40, 1.0, 2.3, 4.7 and 7.2, respectively."/>
      </w:tblPr>
      <w:tblGrid>
        <w:gridCol w:w="2694"/>
        <w:gridCol w:w="6376"/>
      </w:tblGrid>
      <w:tr w:rsidR="00091AEB" w14:paraId="273CD5F1" w14:textId="77777777" w:rsidTr="00CA7AC2">
        <w:tc>
          <w:tcPr>
            <w:tcW w:w="1485" w:type="pct"/>
            <w:tcBorders>
              <w:top w:val="single" w:sz="12" w:space="0" w:color="auto"/>
              <w:bottom w:val="single" w:sz="12" w:space="0" w:color="auto"/>
            </w:tcBorders>
            <w:shd w:val="clear" w:color="auto" w:fill="auto"/>
          </w:tcPr>
          <w:p w14:paraId="273CD5EF" w14:textId="77777777" w:rsidR="00577E76" w:rsidRPr="00F3726A" w:rsidRDefault="00324184" w:rsidP="0099467D">
            <w:pPr>
              <w:pStyle w:val="TableHeading"/>
            </w:pPr>
            <w:r w:rsidRPr="00F3726A">
              <w:t>DOC (mg/L)</w:t>
            </w:r>
          </w:p>
        </w:tc>
        <w:tc>
          <w:tcPr>
            <w:tcW w:w="3515" w:type="pct"/>
            <w:tcBorders>
              <w:top w:val="single" w:sz="12" w:space="0" w:color="auto"/>
              <w:bottom w:val="single" w:sz="12" w:space="0" w:color="auto"/>
            </w:tcBorders>
            <w:shd w:val="clear" w:color="auto" w:fill="auto"/>
          </w:tcPr>
          <w:p w14:paraId="273CD5F0" w14:textId="77777777" w:rsidR="00577E76" w:rsidRPr="00F3726A" w:rsidRDefault="00324184" w:rsidP="0099467D">
            <w:pPr>
              <w:pStyle w:val="TableHeading"/>
            </w:pPr>
            <w:r w:rsidRPr="00F3726A">
              <w:t>Dissolved copper DOC</w:t>
            </w:r>
            <w:r w:rsidRPr="00F3726A">
              <w:t>-modified guideline value at 95% species protection (</w:t>
            </w:r>
            <w:r w:rsidRPr="00F3726A">
              <w:rPr>
                <w:rFonts w:ascii="Corbel" w:hAnsi="Corbel"/>
              </w:rPr>
              <w:t>µ</w:t>
            </w:r>
            <w:r w:rsidRPr="00F3726A">
              <w:t>g/L)</w:t>
            </w:r>
          </w:p>
        </w:tc>
      </w:tr>
      <w:tr w:rsidR="00091AEB" w14:paraId="273CD5F4" w14:textId="77777777" w:rsidTr="00CA7AC2">
        <w:trPr>
          <w:trHeight w:val="279"/>
        </w:trPr>
        <w:tc>
          <w:tcPr>
            <w:tcW w:w="1485" w:type="pct"/>
            <w:tcBorders>
              <w:top w:val="single" w:sz="12" w:space="0" w:color="auto"/>
            </w:tcBorders>
            <w:shd w:val="clear" w:color="auto" w:fill="auto"/>
          </w:tcPr>
          <w:p w14:paraId="273CD5F2" w14:textId="77777777" w:rsidR="00577E76" w:rsidRPr="00F3726A" w:rsidRDefault="00324184" w:rsidP="0099467D">
            <w:pPr>
              <w:pStyle w:val="TableText"/>
            </w:pPr>
            <w:r w:rsidRPr="00F3726A">
              <w:t>0.5</w:t>
            </w:r>
          </w:p>
        </w:tc>
        <w:tc>
          <w:tcPr>
            <w:tcW w:w="3515" w:type="pct"/>
            <w:tcBorders>
              <w:top w:val="single" w:sz="12" w:space="0" w:color="auto"/>
            </w:tcBorders>
            <w:shd w:val="clear" w:color="auto" w:fill="D9D9D9" w:themeFill="background1" w:themeFillShade="D9"/>
          </w:tcPr>
          <w:p w14:paraId="273CD5F3" w14:textId="77777777" w:rsidR="00577E76" w:rsidRPr="00F3726A" w:rsidRDefault="00324184" w:rsidP="0099467D">
            <w:pPr>
              <w:pStyle w:val="TableText"/>
            </w:pPr>
            <w:r w:rsidRPr="00F3726A">
              <w:t>0.4</w:t>
            </w:r>
            <w:r w:rsidR="00425F4D">
              <w:t>0</w:t>
            </w:r>
          </w:p>
        </w:tc>
      </w:tr>
      <w:tr w:rsidR="00091AEB" w14:paraId="273CD5F7" w14:textId="77777777" w:rsidTr="00573E89">
        <w:tc>
          <w:tcPr>
            <w:tcW w:w="1485" w:type="pct"/>
            <w:shd w:val="clear" w:color="auto" w:fill="auto"/>
          </w:tcPr>
          <w:p w14:paraId="273CD5F5" w14:textId="77777777" w:rsidR="00577E76" w:rsidRPr="00F3726A" w:rsidRDefault="00324184" w:rsidP="0099467D">
            <w:pPr>
              <w:pStyle w:val="TableText"/>
            </w:pPr>
            <w:r w:rsidRPr="00F3726A">
              <w:t>1</w:t>
            </w:r>
          </w:p>
        </w:tc>
        <w:tc>
          <w:tcPr>
            <w:tcW w:w="3515" w:type="pct"/>
            <w:shd w:val="clear" w:color="auto" w:fill="auto"/>
            <w:vAlign w:val="bottom"/>
          </w:tcPr>
          <w:p w14:paraId="273CD5F6" w14:textId="77777777" w:rsidR="00577E76" w:rsidRPr="00F3726A" w:rsidRDefault="00324184" w:rsidP="0099467D">
            <w:pPr>
              <w:pStyle w:val="TableText"/>
            </w:pPr>
            <w:r w:rsidRPr="00F3726A">
              <w:t>1.0</w:t>
            </w:r>
          </w:p>
        </w:tc>
      </w:tr>
      <w:tr w:rsidR="00091AEB" w14:paraId="273CD5FA" w14:textId="77777777" w:rsidTr="00573E89">
        <w:tc>
          <w:tcPr>
            <w:tcW w:w="1485" w:type="pct"/>
            <w:shd w:val="clear" w:color="auto" w:fill="auto"/>
          </w:tcPr>
          <w:p w14:paraId="273CD5F8" w14:textId="77777777" w:rsidR="00577E76" w:rsidRPr="00F3726A" w:rsidRDefault="00324184" w:rsidP="0099467D">
            <w:pPr>
              <w:pStyle w:val="TableText"/>
            </w:pPr>
            <w:r w:rsidRPr="00F3726A">
              <w:t>2</w:t>
            </w:r>
          </w:p>
        </w:tc>
        <w:tc>
          <w:tcPr>
            <w:tcW w:w="3515" w:type="pct"/>
            <w:shd w:val="clear" w:color="auto" w:fill="auto"/>
            <w:vAlign w:val="bottom"/>
          </w:tcPr>
          <w:p w14:paraId="273CD5F9" w14:textId="77777777" w:rsidR="00577E76" w:rsidRPr="00F3726A" w:rsidRDefault="00324184" w:rsidP="0099467D">
            <w:pPr>
              <w:pStyle w:val="TableText"/>
            </w:pPr>
            <w:r w:rsidRPr="00F3726A">
              <w:t>2.3</w:t>
            </w:r>
          </w:p>
        </w:tc>
      </w:tr>
      <w:tr w:rsidR="00091AEB" w14:paraId="273CD5FD" w14:textId="77777777" w:rsidTr="00CA7AC2">
        <w:tc>
          <w:tcPr>
            <w:tcW w:w="1485" w:type="pct"/>
            <w:tcBorders>
              <w:bottom w:val="single" w:sz="4" w:space="0" w:color="auto"/>
            </w:tcBorders>
            <w:shd w:val="clear" w:color="auto" w:fill="auto"/>
          </w:tcPr>
          <w:p w14:paraId="273CD5FB" w14:textId="77777777" w:rsidR="00577E76" w:rsidRPr="00F3726A" w:rsidRDefault="00324184" w:rsidP="0099467D">
            <w:pPr>
              <w:pStyle w:val="TableText"/>
            </w:pPr>
            <w:r w:rsidRPr="00F3726A">
              <w:t>4</w:t>
            </w:r>
          </w:p>
        </w:tc>
        <w:tc>
          <w:tcPr>
            <w:tcW w:w="3515" w:type="pct"/>
            <w:tcBorders>
              <w:bottom w:val="single" w:sz="4" w:space="0" w:color="auto"/>
            </w:tcBorders>
            <w:shd w:val="clear" w:color="auto" w:fill="auto"/>
            <w:vAlign w:val="bottom"/>
          </w:tcPr>
          <w:p w14:paraId="273CD5FC" w14:textId="77777777" w:rsidR="00577E76" w:rsidRPr="00F3726A" w:rsidRDefault="00324184" w:rsidP="0099467D">
            <w:pPr>
              <w:pStyle w:val="TableText"/>
            </w:pPr>
            <w:r w:rsidRPr="00F3726A">
              <w:t>4.7</w:t>
            </w:r>
          </w:p>
        </w:tc>
      </w:tr>
      <w:tr w:rsidR="00091AEB" w14:paraId="273CD600" w14:textId="77777777" w:rsidTr="00CA7AC2">
        <w:tc>
          <w:tcPr>
            <w:tcW w:w="1485" w:type="pct"/>
            <w:tcBorders>
              <w:bottom w:val="single" w:sz="12" w:space="0" w:color="auto"/>
            </w:tcBorders>
            <w:shd w:val="clear" w:color="auto" w:fill="auto"/>
          </w:tcPr>
          <w:p w14:paraId="273CD5FE" w14:textId="77777777" w:rsidR="00577E76" w:rsidRPr="00F3726A" w:rsidRDefault="00324184" w:rsidP="0099467D">
            <w:pPr>
              <w:pStyle w:val="TableText"/>
            </w:pPr>
            <w:r w:rsidRPr="00F3726A">
              <w:rPr>
                <w:rFonts w:ascii="Symbol" w:hAnsi="Symbol"/>
              </w:rPr>
              <w:sym w:font="Symbol" w:char="F0B3"/>
            </w:r>
            <w:r w:rsidRPr="00F3726A">
              <w:t>6</w:t>
            </w:r>
          </w:p>
        </w:tc>
        <w:tc>
          <w:tcPr>
            <w:tcW w:w="3515" w:type="pct"/>
            <w:tcBorders>
              <w:bottom w:val="single" w:sz="12" w:space="0" w:color="auto"/>
            </w:tcBorders>
            <w:shd w:val="clear" w:color="auto" w:fill="auto"/>
            <w:vAlign w:val="bottom"/>
          </w:tcPr>
          <w:p w14:paraId="273CD5FF" w14:textId="77777777" w:rsidR="00577E76" w:rsidRPr="00F3726A" w:rsidRDefault="00324184" w:rsidP="0099467D">
            <w:pPr>
              <w:pStyle w:val="TableText"/>
            </w:pPr>
            <w:r w:rsidRPr="00F3726A">
              <w:t>7.2</w:t>
            </w:r>
          </w:p>
        </w:tc>
      </w:tr>
    </w:tbl>
    <w:p w14:paraId="273CD601" w14:textId="77777777" w:rsidR="005D6916" w:rsidRDefault="00324184" w:rsidP="005D6916">
      <w:pPr>
        <w:pStyle w:val="FigureTableNoteSource"/>
      </w:pPr>
      <w:r w:rsidRPr="00F3726A">
        <w:t xml:space="preserve">Shading indicates the </w:t>
      </w:r>
      <w:r w:rsidR="00C368FA">
        <w:t>DGV</w:t>
      </w:r>
      <w:r w:rsidRPr="00F3726A">
        <w:t xml:space="preserve"> for 95% species protection</w:t>
      </w:r>
      <w:r>
        <w:t xml:space="preserve"> in the absence of information on DOC concentration</w:t>
      </w:r>
      <w:r w:rsidRPr="00F3726A">
        <w:t>.</w:t>
      </w:r>
    </w:p>
    <w:p w14:paraId="273CD602" w14:textId="77777777" w:rsidR="001303C0" w:rsidRPr="00C545D4" w:rsidRDefault="00324184" w:rsidP="00C545D4">
      <w:pPr>
        <w:pStyle w:val="Heading3"/>
        <w:tabs>
          <w:tab w:val="left" w:pos="1843"/>
        </w:tabs>
      </w:pPr>
      <w:bookmarkStart w:id="54" w:name="_Toc89265621"/>
      <w:bookmarkStart w:id="55" w:name="_Toc89268661"/>
      <w:r w:rsidRPr="00C545D4">
        <w:t>Reliability classification</w:t>
      </w:r>
      <w:bookmarkEnd w:id="54"/>
      <w:bookmarkEnd w:id="55"/>
      <w:r w:rsidRPr="00C545D4">
        <w:t xml:space="preserve"> </w:t>
      </w:r>
    </w:p>
    <w:p w14:paraId="273CD603" w14:textId="77777777" w:rsidR="001303C0" w:rsidRPr="00C545D4" w:rsidRDefault="00324184" w:rsidP="001303C0">
      <w:pPr>
        <w:rPr>
          <w:lang w:eastAsia="ja-JP"/>
        </w:rPr>
      </w:pPr>
      <w:r w:rsidRPr="00C545D4">
        <w:rPr>
          <w:lang w:eastAsia="ja-JP"/>
        </w:rPr>
        <w:t xml:space="preserve">The </w:t>
      </w:r>
      <w:r w:rsidR="00C545D4">
        <w:rPr>
          <w:lang w:eastAsia="ja-JP"/>
        </w:rPr>
        <w:t>dissolved copper marine water</w:t>
      </w:r>
      <w:r w:rsidRPr="00C545D4">
        <w:rPr>
          <w:lang w:eastAsia="ja-JP"/>
        </w:rPr>
        <w:t xml:space="preserve"> DGVs have a </w:t>
      </w:r>
      <w:r w:rsidR="00C545D4">
        <w:rPr>
          <w:lang w:eastAsia="ja-JP"/>
        </w:rPr>
        <w:t xml:space="preserve">very high </w:t>
      </w:r>
      <w:r w:rsidRPr="00C545D4">
        <w:rPr>
          <w:lang w:eastAsia="ja-JP"/>
        </w:rPr>
        <w:t>reliability classification (Warne et al. 2018) based on the outcomes for the following three criteria:</w:t>
      </w:r>
    </w:p>
    <w:p w14:paraId="273CD604" w14:textId="77777777" w:rsidR="001303C0" w:rsidRPr="00C545D4" w:rsidRDefault="00324184" w:rsidP="001303C0">
      <w:pPr>
        <w:pStyle w:val="ListBullet"/>
        <w:rPr>
          <w:lang w:eastAsia="ja-JP"/>
        </w:rPr>
      </w:pPr>
      <w:r w:rsidRPr="00C545D4">
        <w:rPr>
          <w:lang w:eastAsia="ja-JP"/>
        </w:rPr>
        <w:t>Sample size—</w:t>
      </w:r>
      <w:r w:rsidR="00C545D4">
        <w:rPr>
          <w:lang w:eastAsia="ja-JP"/>
        </w:rPr>
        <w:t>32</w:t>
      </w:r>
      <w:r w:rsidRPr="00C545D4">
        <w:rPr>
          <w:lang w:eastAsia="ja-JP"/>
        </w:rPr>
        <w:t xml:space="preserve"> (</w:t>
      </w:r>
      <w:r w:rsidR="00A848FB">
        <w:rPr>
          <w:lang w:eastAsia="ja-JP"/>
        </w:rPr>
        <w:t>preferred</w:t>
      </w:r>
      <w:r w:rsidRPr="00C545D4">
        <w:rPr>
          <w:lang w:eastAsia="ja-JP"/>
        </w:rPr>
        <w:t>)</w:t>
      </w:r>
    </w:p>
    <w:p w14:paraId="273CD605" w14:textId="77777777" w:rsidR="001303C0" w:rsidRPr="00C545D4" w:rsidRDefault="00324184" w:rsidP="001303C0">
      <w:pPr>
        <w:pStyle w:val="ListBullet"/>
        <w:rPr>
          <w:lang w:eastAsia="ja-JP"/>
        </w:rPr>
      </w:pPr>
      <w:r w:rsidRPr="00C545D4">
        <w:rPr>
          <w:lang w:eastAsia="ja-JP"/>
        </w:rPr>
        <w:t xml:space="preserve">Type of toxicity data—chronic </w:t>
      </w:r>
    </w:p>
    <w:p w14:paraId="273CD606" w14:textId="77777777" w:rsidR="001303C0" w:rsidRPr="00C545D4" w:rsidRDefault="00324184" w:rsidP="001303C0">
      <w:pPr>
        <w:pStyle w:val="ListBullet"/>
        <w:rPr>
          <w:lang w:eastAsia="ja-JP"/>
        </w:rPr>
      </w:pPr>
      <w:r w:rsidRPr="00C545D4">
        <w:rPr>
          <w:lang w:eastAsia="ja-JP"/>
        </w:rPr>
        <w:t>SSD model fit—</w:t>
      </w:r>
      <w:r w:rsidR="00C545D4">
        <w:rPr>
          <w:lang w:eastAsia="ja-JP"/>
        </w:rPr>
        <w:t>good</w:t>
      </w:r>
      <w:r w:rsidRPr="00C545D4">
        <w:rPr>
          <w:lang w:eastAsia="ja-JP"/>
        </w:rPr>
        <w:t xml:space="preserve"> (</w:t>
      </w:r>
      <w:r w:rsidR="00425F4D">
        <w:rPr>
          <w:lang w:eastAsia="ja-JP"/>
        </w:rPr>
        <w:t>Burr type III</w:t>
      </w:r>
      <w:r w:rsidRPr="00C545D4">
        <w:rPr>
          <w:lang w:eastAsia="ja-JP"/>
        </w:rPr>
        <w:t xml:space="preserve"> model).</w:t>
      </w:r>
    </w:p>
    <w:p w14:paraId="273CD607" w14:textId="77777777" w:rsidR="001303C0" w:rsidRDefault="001303C0" w:rsidP="001303C0">
      <w:pPr>
        <w:pStyle w:val="ListBullet"/>
        <w:numPr>
          <w:ilvl w:val="0"/>
          <w:numId w:val="0"/>
        </w:numPr>
        <w:ind w:left="397" w:hanging="397"/>
        <w:rPr>
          <w:lang w:eastAsia="ja-JP"/>
        </w:rPr>
      </w:pPr>
    </w:p>
    <w:p w14:paraId="273CD608" w14:textId="77777777" w:rsidR="000756BD" w:rsidRPr="00C22CCD" w:rsidRDefault="00324184" w:rsidP="001303C0">
      <w:pPr>
        <w:pStyle w:val="Heading2"/>
        <w:numPr>
          <w:ilvl w:val="0"/>
          <w:numId w:val="0"/>
        </w:numPr>
      </w:pPr>
      <w:bookmarkStart w:id="56" w:name="_Toc89265622"/>
      <w:bookmarkStart w:id="57" w:name="_Toc89268662"/>
      <w:r w:rsidRPr="00C22CCD">
        <w:t>Glossary</w:t>
      </w:r>
      <w:bookmarkEnd w:id="56"/>
      <w:bookmarkEnd w:id="57"/>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091AEB" w14:paraId="273CD60B" w14:textId="77777777" w:rsidTr="006C4BAD">
        <w:trPr>
          <w:cantSplit/>
          <w:tblHeader/>
        </w:trPr>
        <w:tc>
          <w:tcPr>
            <w:tcW w:w="1509" w:type="pct"/>
            <w:tcBorders>
              <w:top w:val="single" w:sz="12" w:space="0" w:color="auto"/>
              <w:bottom w:val="single" w:sz="12" w:space="0" w:color="auto"/>
            </w:tcBorders>
          </w:tcPr>
          <w:p w14:paraId="273CD609" w14:textId="77777777" w:rsidR="001303C0" w:rsidRPr="001812BC" w:rsidRDefault="00324184" w:rsidP="007336AC">
            <w:pPr>
              <w:pStyle w:val="TableHeading"/>
              <w:rPr>
                <w:lang w:eastAsia="ja-JP"/>
              </w:rPr>
            </w:pPr>
            <w:r w:rsidRPr="001812BC">
              <w:rPr>
                <w:lang w:eastAsia="ja-JP"/>
              </w:rPr>
              <w:t>Term</w:t>
            </w:r>
          </w:p>
        </w:tc>
        <w:tc>
          <w:tcPr>
            <w:tcW w:w="3491" w:type="pct"/>
            <w:tcBorders>
              <w:top w:val="single" w:sz="12" w:space="0" w:color="auto"/>
              <w:bottom w:val="single" w:sz="12" w:space="0" w:color="auto"/>
            </w:tcBorders>
          </w:tcPr>
          <w:p w14:paraId="273CD60A" w14:textId="77777777" w:rsidR="001303C0" w:rsidRPr="001812BC" w:rsidRDefault="00324184" w:rsidP="007336AC">
            <w:pPr>
              <w:pStyle w:val="TableHeading"/>
              <w:rPr>
                <w:lang w:eastAsia="ja-JP"/>
              </w:rPr>
            </w:pPr>
            <w:r w:rsidRPr="001812BC">
              <w:rPr>
                <w:lang w:eastAsia="ja-JP"/>
              </w:rPr>
              <w:t>Definition</w:t>
            </w:r>
          </w:p>
        </w:tc>
      </w:tr>
      <w:tr w:rsidR="00091AEB" w14:paraId="273CD60E" w14:textId="77777777" w:rsidTr="006C4BAD">
        <w:tc>
          <w:tcPr>
            <w:tcW w:w="1509" w:type="pct"/>
            <w:tcBorders>
              <w:top w:val="single" w:sz="12" w:space="0" w:color="auto"/>
              <w:bottom w:val="single" w:sz="4" w:space="0" w:color="auto"/>
            </w:tcBorders>
          </w:tcPr>
          <w:p w14:paraId="273CD60C" w14:textId="77777777" w:rsidR="006C4BAD" w:rsidRPr="001F2460" w:rsidRDefault="00324184" w:rsidP="007336AC">
            <w:pPr>
              <w:pStyle w:val="TableText"/>
              <w:rPr>
                <w:highlight w:val="yellow"/>
                <w:lang w:eastAsia="ja-JP"/>
              </w:rPr>
            </w:pPr>
            <w:r w:rsidRPr="00BA1BD5">
              <w:rPr>
                <w:lang w:eastAsia="ja-JP"/>
              </w:rPr>
              <w:t>acute toxicity</w:t>
            </w:r>
          </w:p>
        </w:tc>
        <w:tc>
          <w:tcPr>
            <w:tcW w:w="3491" w:type="pct"/>
            <w:tcBorders>
              <w:top w:val="single" w:sz="12" w:space="0" w:color="auto"/>
              <w:bottom w:val="single" w:sz="4" w:space="0" w:color="auto"/>
            </w:tcBorders>
          </w:tcPr>
          <w:p w14:paraId="273CD60D" w14:textId="77777777" w:rsidR="006C4BAD" w:rsidRPr="001F2460" w:rsidRDefault="00324184" w:rsidP="00BA1BD5">
            <w:pPr>
              <w:pStyle w:val="TableText"/>
              <w:rPr>
                <w:highlight w:val="yellow"/>
                <w:lang w:eastAsia="ja-JP"/>
              </w:rPr>
            </w:pPr>
            <w:r w:rsidRPr="00BE3065">
              <w:rPr>
                <w:lang w:eastAsia="ja-JP"/>
              </w:rPr>
              <w:t>A lethal or adverse sub-lethal effect that occurs after exposure to a chemical for a short period relative to the organism’s life span. Refer to Warne et al. [67] for examples of acute exposures.</w:t>
            </w:r>
          </w:p>
        </w:tc>
      </w:tr>
      <w:tr w:rsidR="00091AEB" w14:paraId="273CD611" w14:textId="77777777" w:rsidTr="006C4BAD">
        <w:tc>
          <w:tcPr>
            <w:tcW w:w="1509" w:type="pct"/>
            <w:tcBorders>
              <w:top w:val="single" w:sz="4" w:space="0" w:color="auto"/>
              <w:bottom w:val="single" w:sz="4" w:space="0" w:color="auto"/>
            </w:tcBorders>
          </w:tcPr>
          <w:p w14:paraId="273CD60F" w14:textId="77777777" w:rsidR="006C4BAD" w:rsidRPr="00BE3065" w:rsidRDefault="00324184" w:rsidP="007336AC">
            <w:pPr>
              <w:pStyle w:val="TableText"/>
              <w:rPr>
                <w:lang w:eastAsia="ja-JP"/>
              </w:rPr>
            </w:pPr>
            <w:r w:rsidRPr="00BE3065">
              <w:rPr>
                <w:lang w:eastAsia="ja-JP"/>
              </w:rPr>
              <w:t>acute</w:t>
            </w:r>
            <w:r>
              <w:rPr>
                <w:lang w:eastAsia="ja-JP"/>
              </w:rPr>
              <w:t>-</w:t>
            </w:r>
            <w:r w:rsidRPr="00BE3065">
              <w:rPr>
                <w:lang w:eastAsia="ja-JP"/>
              </w:rPr>
              <w:t>to</w:t>
            </w:r>
            <w:r>
              <w:rPr>
                <w:lang w:eastAsia="ja-JP"/>
              </w:rPr>
              <w:t>-</w:t>
            </w:r>
            <w:r w:rsidRPr="00BE3065">
              <w:rPr>
                <w:lang w:eastAsia="ja-JP"/>
              </w:rPr>
              <w:t>chronic ratio</w:t>
            </w:r>
          </w:p>
        </w:tc>
        <w:tc>
          <w:tcPr>
            <w:tcW w:w="3491" w:type="pct"/>
            <w:tcBorders>
              <w:top w:val="single" w:sz="4" w:space="0" w:color="auto"/>
              <w:bottom w:val="single" w:sz="4" w:space="0" w:color="auto"/>
            </w:tcBorders>
          </w:tcPr>
          <w:p w14:paraId="273CD610" w14:textId="77777777" w:rsidR="006C4BAD" w:rsidRPr="001F2460" w:rsidRDefault="00324184" w:rsidP="007336AC">
            <w:pPr>
              <w:pStyle w:val="TableText"/>
              <w:rPr>
                <w:highlight w:val="yellow"/>
                <w:lang w:eastAsia="ja-JP"/>
              </w:rPr>
            </w:pPr>
            <w:r>
              <w:rPr>
                <w:lang w:eastAsia="ja-JP"/>
              </w:rPr>
              <w:t>T</w:t>
            </w:r>
            <w:r w:rsidRPr="00BE3065">
              <w:rPr>
                <w:lang w:eastAsia="ja-JP"/>
              </w:rPr>
              <w:t>he species mean acute value (LC/EC50) divided by the chronic value (e.g. NOEC or EC10) for the same species.</w:t>
            </w:r>
          </w:p>
        </w:tc>
      </w:tr>
      <w:tr w:rsidR="00091AEB" w14:paraId="273CD614" w14:textId="77777777" w:rsidTr="006C4BAD">
        <w:tc>
          <w:tcPr>
            <w:tcW w:w="1509" w:type="pct"/>
            <w:tcBorders>
              <w:top w:val="single" w:sz="4" w:space="0" w:color="auto"/>
              <w:bottom w:val="single" w:sz="4" w:space="0" w:color="auto"/>
            </w:tcBorders>
          </w:tcPr>
          <w:p w14:paraId="273CD612" w14:textId="77777777" w:rsidR="006C4BAD" w:rsidRPr="008F28D6" w:rsidRDefault="00324184" w:rsidP="008F28D6">
            <w:pPr>
              <w:pStyle w:val="TableText"/>
              <w:rPr>
                <w:lang w:eastAsia="ja-JP"/>
              </w:rPr>
            </w:pPr>
            <w:r w:rsidRPr="00275A8D">
              <w:t>BLM</w:t>
            </w:r>
          </w:p>
        </w:tc>
        <w:tc>
          <w:tcPr>
            <w:tcW w:w="3491" w:type="pct"/>
            <w:tcBorders>
              <w:top w:val="single" w:sz="4" w:space="0" w:color="auto"/>
              <w:bottom w:val="single" w:sz="4" w:space="0" w:color="auto"/>
            </w:tcBorders>
          </w:tcPr>
          <w:p w14:paraId="273CD613" w14:textId="77777777" w:rsidR="006C4BAD" w:rsidRPr="008F28D6" w:rsidRDefault="00324184" w:rsidP="008F28D6">
            <w:pPr>
              <w:pStyle w:val="TableText"/>
              <w:rPr>
                <w:lang w:eastAsia="ja-JP"/>
              </w:rPr>
            </w:pPr>
            <w:r w:rsidRPr="00275A8D">
              <w:t>Biotic ligand model</w:t>
            </w:r>
          </w:p>
        </w:tc>
      </w:tr>
      <w:tr w:rsidR="00091AEB" w14:paraId="273CD617" w14:textId="77777777" w:rsidTr="006C4BAD">
        <w:tc>
          <w:tcPr>
            <w:tcW w:w="1509" w:type="pct"/>
            <w:tcBorders>
              <w:top w:val="single" w:sz="4" w:space="0" w:color="auto"/>
              <w:bottom w:val="single" w:sz="4" w:space="0" w:color="auto"/>
            </w:tcBorders>
          </w:tcPr>
          <w:p w14:paraId="273CD615" w14:textId="77777777" w:rsidR="006C4BAD" w:rsidRPr="00BE3065" w:rsidRDefault="00324184" w:rsidP="007336AC">
            <w:pPr>
              <w:pStyle w:val="TableText"/>
              <w:rPr>
                <w:lang w:eastAsia="ja-JP"/>
              </w:rPr>
            </w:pPr>
            <w:r w:rsidRPr="00BE3065">
              <w:rPr>
                <w:lang w:eastAsia="ja-JP"/>
              </w:rPr>
              <w:t>chronic toxicity</w:t>
            </w:r>
          </w:p>
        </w:tc>
        <w:tc>
          <w:tcPr>
            <w:tcW w:w="3491" w:type="pct"/>
            <w:tcBorders>
              <w:top w:val="single" w:sz="4" w:space="0" w:color="auto"/>
              <w:bottom w:val="single" w:sz="4" w:space="0" w:color="auto"/>
            </w:tcBorders>
          </w:tcPr>
          <w:p w14:paraId="273CD616" w14:textId="77777777" w:rsidR="006C4BAD" w:rsidRPr="00BE3065" w:rsidRDefault="00324184" w:rsidP="007336AC">
            <w:pPr>
              <w:pStyle w:val="TableText"/>
              <w:rPr>
                <w:lang w:eastAsia="ja-JP"/>
              </w:rPr>
            </w:pPr>
            <w:r w:rsidRPr="00BE3065">
              <w:rPr>
                <w:lang w:eastAsia="ja-JP"/>
              </w:rPr>
              <w:t>A lethal or sub-lethal adverse effect that occurs after exposure to a chemical for a period of time that</w:t>
            </w:r>
            <w:r w:rsidRPr="00BE3065">
              <w:rPr>
                <w:lang w:eastAsia="ja-JP"/>
              </w:rPr>
              <w:t xml:space="preserve"> is a substantial portion of the organism’s life span or an adverse effect on a sensitive early life stage. </w:t>
            </w:r>
          </w:p>
        </w:tc>
      </w:tr>
      <w:tr w:rsidR="00091AEB" w14:paraId="273CD61A" w14:textId="77777777" w:rsidTr="006C4BAD">
        <w:tc>
          <w:tcPr>
            <w:tcW w:w="1509" w:type="pct"/>
            <w:tcBorders>
              <w:top w:val="single" w:sz="4" w:space="0" w:color="auto"/>
              <w:bottom w:val="single" w:sz="4" w:space="0" w:color="auto"/>
            </w:tcBorders>
          </w:tcPr>
          <w:p w14:paraId="273CD618" w14:textId="77777777" w:rsidR="006C4BAD" w:rsidRPr="00BE3065" w:rsidRDefault="00324184" w:rsidP="007336AC">
            <w:pPr>
              <w:pStyle w:val="TableText"/>
              <w:rPr>
                <w:lang w:eastAsia="ja-JP"/>
              </w:rPr>
            </w:pPr>
            <w:r w:rsidRPr="00BE3065">
              <w:rPr>
                <w:lang w:eastAsia="ja-JP"/>
              </w:rPr>
              <w:t>default guideline value (DGV)</w:t>
            </w:r>
          </w:p>
        </w:tc>
        <w:tc>
          <w:tcPr>
            <w:tcW w:w="3491" w:type="pct"/>
            <w:tcBorders>
              <w:top w:val="single" w:sz="4" w:space="0" w:color="auto"/>
              <w:bottom w:val="single" w:sz="4" w:space="0" w:color="auto"/>
            </w:tcBorders>
          </w:tcPr>
          <w:p w14:paraId="273CD619" w14:textId="77777777" w:rsidR="006C4BAD" w:rsidRPr="00BE3065" w:rsidRDefault="00324184" w:rsidP="007336AC">
            <w:pPr>
              <w:pStyle w:val="TableText"/>
              <w:rPr>
                <w:lang w:eastAsia="ja-JP"/>
              </w:rPr>
            </w:pPr>
            <w:r>
              <w:rPr>
                <w:lang w:eastAsia="ja-JP"/>
              </w:rPr>
              <w:t>A</w:t>
            </w:r>
            <w:r w:rsidRPr="00DD72C8">
              <w:rPr>
                <w:lang w:eastAsia="ja-JP"/>
              </w:rPr>
              <w:t xml:space="preserve"> guideline value recommended for generic application in the absence of a more specific guideline value (e.g. a site</w:t>
            </w:r>
            <w:r w:rsidRPr="00DD72C8">
              <w:rPr>
                <w:lang w:eastAsia="ja-JP"/>
              </w:rPr>
              <w:t xml:space="preserve">-specific guideline value) in the Australian and New Zealand Guidelines for Fresh and Marine Water Quality. Formerly known as ‘trigger values’. </w:t>
            </w:r>
          </w:p>
        </w:tc>
      </w:tr>
      <w:tr w:rsidR="00091AEB" w14:paraId="273CD61D" w14:textId="77777777" w:rsidTr="006C4BAD">
        <w:tc>
          <w:tcPr>
            <w:tcW w:w="1509" w:type="pct"/>
            <w:tcBorders>
              <w:top w:val="single" w:sz="4" w:space="0" w:color="auto"/>
              <w:bottom w:val="single" w:sz="4" w:space="0" w:color="auto"/>
            </w:tcBorders>
          </w:tcPr>
          <w:p w14:paraId="273CD61B" w14:textId="77777777" w:rsidR="006C4BAD" w:rsidRPr="001F2460" w:rsidRDefault="00324184" w:rsidP="008F28D6">
            <w:pPr>
              <w:pStyle w:val="TableText"/>
              <w:rPr>
                <w:highlight w:val="yellow"/>
                <w:lang w:eastAsia="ja-JP"/>
              </w:rPr>
            </w:pPr>
            <w:r w:rsidRPr="00874183">
              <w:t>DOC</w:t>
            </w:r>
          </w:p>
        </w:tc>
        <w:tc>
          <w:tcPr>
            <w:tcW w:w="3491" w:type="pct"/>
            <w:tcBorders>
              <w:top w:val="single" w:sz="4" w:space="0" w:color="auto"/>
              <w:bottom w:val="single" w:sz="4" w:space="0" w:color="auto"/>
            </w:tcBorders>
          </w:tcPr>
          <w:p w14:paraId="273CD61C" w14:textId="77777777" w:rsidR="006C4BAD" w:rsidRPr="001F2460" w:rsidRDefault="00324184" w:rsidP="008F28D6">
            <w:pPr>
              <w:pStyle w:val="TableText"/>
              <w:rPr>
                <w:highlight w:val="yellow"/>
                <w:lang w:eastAsia="ja-JP"/>
              </w:rPr>
            </w:pPr>
            <w:r w:rsidRPr="00874183">
              <w:t>Dissolved organic carbon</w:t>
            </w:r>
            <w:r>
              <w:t>.</w:t>
            </w:r>
          </w:p>
        </w:tc>
      </w:tr>
      <w:tr w:rsidR="00091AEB" w14:paraId="273CD620" w14:textId="77777777" w:rsidTr="006C4BAD">
        <w:tc>
          <w:tcPr>
            <w:tcW w:w="1509" w:type="pct"/>
            <w:tcBorders>
              <w:top w:val="single" w:sz="4" w:space="0" w:color="auto"/>
              <w:bottom w:val="single" w:sz="4" w:space="0" w:color="auto"/>
            </w:tcBorders>
          </w:tcPr>
          <w:p w14:paraId="273CD61E" w14:textId="77777777" w:rsidR="006C4BAD" w:rsidRPr="001F2460" w:rsidRDefault="00324184" w:rsidP="008F28D6">
            <w:pPr>
              <w:pStyle w:val="TableText"/>
              <w:rPr>
                <w:highlight w:val="yellow"/>
                <w:lang w:eastAsia="ja-JP"/>
              </w:rPr>
            </w:pPr>
            <w:r w:rsidRPr="00874183">
              <w:t>DOM</w:t>
            </w:r>
          </w:p>
        </w:tc>
        <w:tc>
          <w:tcPr>
            <w:tcW w:w="3491" w:type="pct"/>
            <w:tcBorders>
              <w:top w:val="single" w:sz="4" w:space="0" w:color="auto"/>
              <w:bottom w:val="single" w:sz="4" w:space="0" w:color="auto"/>
            </w:tcBorders>
          </w:tcPr>
          <w:p w14:paraId="273CD61F" w14:textId="77777777" w:rsidR="006C4BAD" w:rsidRPr="001F2460" w:rsidRDefault="00324184" w:rsidP="008F28D6">
            <w:pPr>
              <w:pStyle w:val="TableText"/>
              <w:rPr>
                <w:highlight w:val="yellow"/>
                <w:lang w:eastAsia="ja-JP"/>
              </w:rPr>
            </w:pPr>
            <w:r w:rsidRPr="00874183">
              <w:t>Dissolved organic matter</w:t>
            </w:r>
            <w:r>
              <w:t>.</w:t>
            </w:r>
          </w:p>
        </w:tc>
      </w:tr>
      <w:tr w:rsidR="00091AEB" w14:paraId="273CD623" w14:textId="77777777" w:rsidTr="006C4BAD">
        <w:tc>
          <w:tcPr>
            <w:tcW w:w="1509" w:type="pct"/>
            <w:tcBorders>
              <w:top w:val="single" w:sz="4" w:space="0" w:color="auto"/>
              <w:bottom w:val="single" w:sz="4" w:space="0" w:color="auto"/>
            </w:tcBorders>
          </w:tcPr>
          <w:p w14:paraId="273CD621" w14:textId="77777777" w:rsidR="006C4BAD" w:rsidRPr="00BE3065" w:rsidRDefault="00324184" w:rsidP="007336AC">
            <w:pPr>
              <w:pStyle w:val="TableText"/>
              <w:rPr>
                <w:lang w:eastAsia="ja-JP"/>
              </w:rPr>
            </w:pPr>
            <w:r w:rsidRPr="00BE3065">
              <w:rPr>
                <w:lang w:eastAsia="ja-JP"/>
              </w:rPr>
              <w:t>EC50</w:t>
            </w:r>
            <w:r>
              <w:rPr>
                <w:lang w:eastAsia="ja-JP"/>
              </w:rPr>
              <w:t xml:space="preserve"> </w:t>
            </w:r>
            <w:r w:rsidRPr="000C5DBB">
              <w:rPr>
                <w:lang w:eastAsia="ja-JP"/>
              </w:rPr>
              <w:t xml:space="preserve">(median effective </w:t>
            </w:r>
            <w:r w:rsidRPr="000C5DBB">
              <w:rPr>
                <w:lang w:eastAsia="ja-JP"/>
              </w:rPr>
              <w:t>concentration)</w:t>
            </w:r>
          </w:p>
        </w:tc>
        <w:tc>
          <w:tcPr>
            <w:tcW w:w="3491" w:type="pct"/>
            <w:tcBorders>
              <w:top w:val="single" w:sz="4" w:space="0" w:color="auto"/>
              <w:bottom w:val="single" w:sz="4" w:space="0" w:color="auto"/>
            </w:tcBorders>
          </w:tcPr>
          <w:p w14:paraId="273CD622" w14:textId="77777777" w:rsidR="006C4BAD" w:rsidRPr="001F2460" w:rsidRDefault="00324184" w:rsidP="007336AC">
            <w:pPr>
              <w:pStyle w:val="TableText"/>
              <w:rPr>
                <w:highlight w:val="yellow"/>
                <w:lang w:eastAsia="ja-JP"/>
              </w:rPr>
            </w:pPr>
            <w:r>
              <w:rPr>
                <w:lang w:eastAsia="ja-JP"/>
              </w:rPr>
              <w:t>T</w:t>
            </w:r>
            <w:r w:rsidRPr="000C5DBB">
              <w:rPr>
                <w:lang w:eastAsia="ja-JP"/>
              </w:rPr>
              <w:t xml:space="preserve">he concentration of a substance in water or sediment that is estimated to produce a 50% change in the response being measured or a certain effect in 50% of the test organisms relative to the control response, under specified conditions. </w:t>
            </w:r>
          </w:p>
        </w:tc>
      </w:tr>
      <w:tr w:rsidR="00091AEB" w14:paraId="273CD626" w14:textId="77777777" w:rsidTr="006C4BAD">
        <w:tc>
          <w:tcPr>
            <w:tcW w:w="1509" w:type="pct"/>
            <w:tcBorders>
              <w:top w:val="single" w:sz="4" w:space="0" w:color="auto"/>
              <w:bottom w:val="single" w:sz="4" w:space="0" w:color="auto"/>
            </w:tcBorders>
          </w:tcPr>
          <w:p w14:paraId="273CD624" w14:textId="77777777" w:rsidR="006C4BAD" w:rsidRPr="001F2460" w:rsidRDefault="00324184" w:rsidP="006907E4">
            <w:pPr>
              <w:pStyle w:val="TableText"/>
              <w:rPr>
                <w:highlight w:val="yellow"/>
                <w:lang w:eastAsia="ja-JP"/>
              </w:rPr>
            </w:pPr>
            <w:r w:rsidRPr="00745640">
              <w:t>E</w:t>
            </w:r>
            <w:r w:rsidRPr="00745640">
              <w:t>Cx</w:t>
            </w:r>
          </w:p>
        </w:tc>
        <w:tc>
          <w:tcPr>
            <w:tcW w:w="3491" w:type="pct"/>
            <w:tcBorders>
              <w:top w:val="single" w:sz="4" w:space="0" w:color="auto"/>
              <w:bottom w:val="single" w:sz="4" w:space="0" w:color="auto"/>
            </w:tcBorders>
          </w:tcPr>
          <w:p w14:paraId="273CD625" w14:textId="77777777" w:rsidR="006C4BAD" w:rsidRPr="001F2460" w:rsidRDefault="00324184" w:rsidP="006907E4">
            <w:pPr>
              <w:pStyle w:val="TableText"/>
              <w:rPr>
                <w:highlight w:val="yellow"/>
                <w:lang w:eastAsia="ja-JP"/>
              </w:rPr>
            </w:pPr>
            <w:r>
              <w:t>T</w:t>
            </w:r>
            <w:r w:rsidRPr="00134FA7">
              <w:t xml:space="preserve">he concentration of a substance in water or sediment that is estimated to produce an x% change in the response being measured or a certain effect in x% of the test organisms, under specified conditions. </w:t>
            </w:r>
          </w:p>
        </w:tc>
      </w:tr>
      <w:tr w:rsidR="00091AEB" w14:paraId="273CD629" w14:textId="77777777" w:rsidTr="006C4BAD">
        <w:tc>
          <w:tcPr>
            <w:tcW w:w="1509" w:type="pct"/>
            <w:tcBorders>
              <w:top w:val="single" w:sz="4" w:space="0" w:color="auto"/>
              <w:bottom w:val="single" w:sz="4" w:space="0" w:color="auto"/>
            </w:tcBorders>
          </w:tcPr>
          <w:p w14:paraId="273CD627" w14:textId="77777777" w:rsidR="006C4BAD" w:rsidRPr="006907E4" w:rsidRDefault="00324184" w:rsidP="007336AC">
            <w:pPr>
              <w:pStyle w:val="TableText"/>
              <w:rPr>
                <w:lang w:eastAsia="ja-JP"/>
              </w:rPr>
            </w:pPr>
            <w:r w:rsidRPr="006907E4">
              <w:rPr>
                <w:lang w:eastAsia="ja-JP"/>
              </w:rPr>
              <w:t>endpoint</w:t>
            </w:r>
          </w:p>
        </w:tc>
        <w:tc>
          <w:tcPr>
            <w:tcW w:w="3491" w:type="pct"/>
            <w:tcBorders>
              <w:top w:val="single" w:sz="4" w:space="0" w:color="auto"/>
              <w:bottom w:val="single" w:sz="4" w:space="0" w:color="auto"/>
            </w:tcBorders>
          </w:tcPr>
          <w:p w14:paraId="273CD628" w14:textId="77777777" w:rsidR="006C4BAD" w:rsidRPr="006907E4" w:rsidRDefault="00324184" w:rsidP="007336AC">
            <w:pPr>
              <w:pStyle w:val="TableText"/>
              <w:rPr>
                <w:lang w:eastAsia="ja-JP"/>
              </w:rPr>
            </w:pPr>
            <w:r>
              <w:rPr>
                <w:lang w:eastAsia="ja-JP"/>
              </w:rPr>
              <w:t>T</w:t>
            </w:r>
            <w:r w:rsidRPr="004151DC">
              <w:rPr>
                <w:lang w:eastAsia="ja-JP"/>
              </w:rPr>
              <w:t>he specific response of an organism t</w:t>
            </w:r>
            <w:r w:rsidRPr="004151DC">
              <w:rPr>
                <w:lang w:eastAsia="ja-JP"/>
              </w:rPr>
              <w:t xml:space="preserve">hat is measured in a toxicity test (e.g. mortality, growth, a particular biomarker). </w:t>
            </w:r>
          </w:p>
        </w:tc>
      </w:tr>
      <w:tr w:rsidR="00091AEB" w14:paraId="273CD62C" w14:textId="77777777" w:rsidTr="006C4BAD">
        <w:tc>
          <w:tcPr>
            <w:tcW w:w="1509" w:type="pct"/>
            <w:tcBorders>
              <w:top w:val="single" w:sz="4" w:space="0" w:color="auto"/>
              <w:bottom w:val="single" w:sz="4" w:space="0" w:color="auto"/>
            </w:tcBorders>
          </w:tcPr>
          <w:p w14:paraId="273CD62A" w14:textId="77777777" w:rsidR="006C4BAD" w:rsidRPr="00BE3065" w:rsidRDefault="00324184" w:rsidP="007336AC">
            <w:pPr>
              <w:pStyle w:val="TableText"/>
              <w:rPr>
                <w:lang w:eastAsia="ja-JP"/>
              </w:rPr>
            </w:pPr>
            <w:r w:rsidRPr="00BE3065">
              <w:rPr>
                <w:lang w:eastAsia="ja-JP"/>
              </w:rPr>
              <w:t>guideline value (GV)</w:t>
            </w:r>
          </w:p>
        </w:tc>
        <w:tc>
          <w:tcPr>
            <w:tcW w:w="3491" w:type="pct"/>
            <w:tcBorders>
              <w:top w:val="single" w:sz="4" w:space="0" w:color="auto"/>
              <w:bottom w:val="single" w:sz="4" w:space="0" w:color="auto"/>
            </w:tcBorders>
          </w:tcPr>
          <w:p w14:paraId="273CD62B" w14:textId="77777777" w:rsidR="006C4BAD" w:rsidRPr="00BE3065" w:rsidRDefault="00324184" w:rsidP="007336AC">
            <w:pPr>
              <w:pStyle w:val="TableText"/>
              <w:rPr>
                <w:lang w:eastAsia="ja-JP"/>
              </w:rPr>
            </w:pPr>
            <w:r>
              <w:rPr>
                <w:lang w:eastAsia="ja-JP"/>
              </w:rPr>
              <w:t>A</w:t>
            </w:r>
            <w:r w:rsidRPr="002A43EB">
              <w:rPr>
                <w:lang w:eastAsia="ja-JP"/>
              </w:rPr>
              <w:t xml:space="preserve"> measurable quantity (e.g. concentration) or condition of an indicator for a specific community value below which (or above which, in the case of s</w:t>
            </w:r>
            <w:r w:rsidRPr="002A43EB">
              <w:rPr>
                <w:lang w:eastAsia="ja-JP"/>
              </w:rPr>
              <w:t xml:space="preserve">tressors such as pH, dissolved oxygen and many biodiversity responses) there is considered to be a low risk of unacceptable effects occurring to that community value. Guideline values for more than one indicator should be used simultaneously in a multiple </w:t>
            </w:r>
            <w:r w:rsidRPr="002A43EB">
              <w:rPr>
                <w:lang w:eastAsia="ja-JP"/>
              </w:rPr>
              <w:t xml:space="preserve">lines of evidence approach. (Also refer to default guideline value and site-specific guideline value.) </w:t>
            </w:r>
          </w:p>
        </w:tc>
      </w:tr>
      <w:tr w:rsidR="00091AEB" w14:paraId="273CD62F" w14:textId="77777777" w:rsidTr="006C4BAD">
        <w:tc>
          <w:tcPr>
            <w:tcW w:w="1509" w:type="pct"/>
            <w:tcBorders>
              <w:top w:val="single" w:sz="4" w:space="0" w:color="auto"/>
              <w:bottom w:val="single" w:sz="4" w:space="0" w:color="auto"/>
            </w:tcBorders>
          </w:tcPr>
          <w:p w14:paraId="273CD62D" w14:textId="77777777" w:rsidR="006C4BAD" w:rsidRDefault="00324184" w:rsidP="007336AC">
            <w:pPr>
              <w:pStyle w:val="TableText"/>
              <w:rPr>
                <w:lang w:eastAsia="ja-JP"/>
              </w:rPr>
            </w:pPr>
            <w:r>
              <w:rPr>
                <w:lang w:eastAsia="ja-JP"/>
              </w:rPr>
              <w:t>HC5 (</w:t>
            </w:r>
            <w:r>
              <w:rPr>
                <w:shd w:val="clear" w:color="auto" w:fill="FFFFFF"/>
              </w:rPr>
              <w:t>5% hazardous concentration)</w:t>
            </w:r>
          </w:p>
        </w:tc>
        <w:tc>
          <w:tcPr>
            <w:tcW w:w="3491" w:type="pct"/>
            <w:tcBorders>
              <w:top w:val="single" w:sz="4" w:space="0" w:color="auto"/>
              <w:bottom w:val="single" w:sz="4" w:space="0" w:color="auto"/>
            </w:tcBorders>
          </w:tcPr>
          <w:p w14:paraId="273CD62E" w14:textId="77777777" w:rsidR="006C4BAD" w:rsidRPr="004A17D6" w:rsidRDefault="00324184" w:rsidP="00620280">
            <w:pPr>
              <w:pStyle w:val="TableText"/>
              <w:rPr>
                <w:shd w:val="clear" w:color="auto" w:fill="FFFFFF"/>
              </w:rPr>
            </w:pPr>
            <w:r>
              <w:rPr>
                <w:shd w:val="clear" w:color="auto" w:fill="FFFFFF"/>
              </w:rPr>
              <w:t xml:space="preserve">The concentration that may result in effects to 5% of species. It is equivalent to the concentration that will </w:t>
            </w:r>
            <w:r>
              <w:rPr>
                <w:shd w:val="clear" w:color="auto" w:fill="FFFFFF"/>
              </w:rPr>
              <w:t>protect 95% of species.</w:t>
            </w:r>
          </w:p>
        </w:tc>
      </w:tr>
      <w:tr w:rsidR="00091AEB" w14:paraId="273CD632" w14:textId="77777777" w:rsidTr="006C4BAD">
        <w:tc>
          <w:tcPr>
            <w:tcW w:w="1509" w:type="pct"/>
            <w:tcBorders>
              <w:top w:val="single" w:sz="4" w:space="0" w:color="auto"/>
              <w:bottom w:val="single" w:sz="4" w:space="0" w:color="auto"/>
            </w:tcBorders>
          </w:tcPr>
          <w:p w14:paraId="273CD630" w14:textId="77777777" w:rsidR="006C4BAD" w:rsidRPr="004A17D6" w:rsidRDefault="00324184" w:rsidP="007336AC">
            <w:pPr>
              <w:pStyle w:val="TableText"/>
              <w:rPr>
                <w:lang w:eastAsia="ja-JP"/>
              </w:rPr>
            </w:pPr>
            <w:r>
              <w:rPr>
                <w:lang w:eastAsia="ja-JP"/>
              </w:rPr>
              <w:t>h</w:t>
            </w:r>
            <w:r w:rsidRPr="004A17D6">
              <w:rPr>
                <w:lang w:eastAsia="ja-JP"/>
              </w:rPr>
              <w:t>umic substances</w:t>
            </w:r>
          </w:p>
        </w:tc>
        <w:tc>
          <w:tcPr>
            <w:tcW w:w="3491" w:type="pct"/>
            <w:tcBorders>
              <w:top w:val="single" w:sz="4" w:space="0" w:color="auto"/>
              <w:bottom w:val="single" w:sz="4" w:space="0" w:color="auto"/>
            </w:tcBorders>
          </w:tcPr>
          <w:p w14:paraId="273CD631" w14:textId="77777777" w:rsidR="006C4BAD" w:rsidRPr="004A17D6" w:rsidRDefault="00324184" w:rsidP="00620280">
            <w:pPr>
              <w:pStyle w:val="TableText"/>
              <w:rPr>
                <w:shd w:val="clear" w:color="auto" w:fill="FFFFFF"/>
              </w:rPr>
            </w:pPr>
            <w:r w:rsidRPr="004A17D6">
              <w:rPr>
                <w:shd w:val="clear" w:color="auto" w:fill="FFFFFF"/>
              </w:rPr>
              <w:t>Organic substances only partially broken down that occur in water mainly in a colloidal state. Humic acids are large-molecule organic acids that dissolve in water.</w:t>
            </w:r>
          </w:p>
        </w:tc>
      </w:tr>
      <w:tr w:rsidR="00091AEB" w14:paraId="273CD635" w14:textId="77777777" w:rsidTr="006C4BAD">
        <w:tc>
          <w:tcPr>
            <w:tcW w:w="1509" w:type="pct"/>
            <w:tcBorders>
              <w:top w:val="single" w:sz="4" w:space="0" w:color="auto"/>
              <w:bottom w:val="single" w:sz="4" w:space="0" w:color="auto"/>
            </w:tcBorders>
          </w:tcPr>
          <w:p w14:paraId="273CD633" w14:textId="77777777" w:rsidR="006C4BAD" w:rsidRPr="001F2460" w:rsidRDefault="00324184" w:rsidP="006907E4">
            <w:pPr>
              <w:pStyle w:val="TableText"/>
              <w:rPr>
                <w:highlight w:val="yellow"/>
                <w:lang w:eastAsia="ja-JP"/>
              </w:rPr>
            </w:pPr>
            <w:r w:rsidRPr="0003702F">
              <w:t>ICx</w:t>
            </w:r>
          </w:p>
        </w:tc>
        <w:tc>
          <w:tcPr>
            <w:tcW w:w="3491" w:type="pct"/>
            <w:tcBorders>
              <w:top w:val="single" w:sz="4" w:space="0" w:color="auto"/>
              <w:bottom w:val="single" w:sz="4" w:space="0" w:color="auto"/>
            </w:tcBorders>
          </w:tcPr>
          <w:p w14:paraId="273CD634" w14:textId="77777777" w:rsidR="006C4BAD" w:rsidRPr="001F2460" w:rsidRDefault="00324184" w:rsidP="006907E4">
            <w:pPr>
              <w:pStyle w:val="TableText"/>
              <w:rPr>
                <w:highlight w:val="yellow"/>
                <w:shd w:val="clear" w:color="auto" w:fill="FFFFFF"/>
              </w:rPr>
            </w:pPr>
            <w:r>
              <w:t>T</w:t>
            </w:r>
            <w:r w:rsidRPr="004A17D6">
              <w:t xml:space="preserve">he concentration of a substance in </w:t>
            </w:r>
            <w:r w:rsidRPr="004A17D6">
              <w:t>water or sediment that is estimated to produce an x% inhibition of the response being measured in test organisms relative to the control response, under specified conditions.</w:t>
            </w:r>
          </w:p>
        </w:tc>
      </w:tr>
      <w:tr w:rsidR="00091AEB" w14:paraId="273CD638" w14:textId="77777777" w:rsidTr="006C4BAD">
        <w:tc>
          <w:tcPr>
            <w:tcW w:w="1509" w:type="pct"/>
            <w:tcBorders>
              <w:top w:val="single" w:sz="4" w:space="0" w:color="auto"/>
              <w:bottom w:val="single" w:sz="4" w:space="0" w:color="auto"/>
            </w:tcBorders>
          </w:tcPr>
          <w:p w14:paraId="273CD636" w14:textId="77777777" w:rsidR="006C4BAD" w:rsidRPr="00BE3065" w:rsidRDefault="00324184" w:rsidP="007336AC">
            <w:pPr>
              <w:pStyle w:val="TableText"/>
              <w:rPr>
                <w:lang w:eastAsia="ja-JP"/>
              </w:rPr>
            </w:pPr>
            <w:r w:rsidRPr="00BE3065">
              <w:rPr>
                <w:lang w:eastAsia="ja-JP"/>
              </w:rPr>
              <w:t>LC50</w:t>
            </w:r>
            <w:r>
              <w:rPr>
                <w:lang w:eastAsia="ja-JP"/>
              </w:rPr>
              <w:t xml:space="preserve"> </w:t>
            </w:r>
            <w:r w:rsidRPr="004A17D6">
              <w:rPr>
                <w:lang w:eastAsia="ja-JP"/>
              </w:rPr>
              <w:t>(median lethal concentration)</w:t>
            </w:r>
          </w:p>
        </w:tc>
        <w:tc>
          <w:tcPr>
            <w:tcW w:w="3491" w:type="pct"/>
            <w:tcBorders>
              <w:top w:val="single" w:sz="4" w:space="0" w:color="auto"/>
              <w:bottom w:val="single" w:sz="4" w:space="0" w:color="auto"/>
            </w:tcBorders>
          </w:tcPr>
          <w:p w14:paraId="273CD637" w14:textId="77777777" w:rsidR="006C4BAD" w:rsidRPr="00BE3065" w:rsidRDefault="00324184" w:rsidP="007336AC">
            <w:pPr>
              <w:pStyle w:val="TableText"/>
              <w:rPr>
                <w:lang w:eastAsia="ja-JP"/>
              </w:rPr>
            </w:pPr>
            <w:r>
              <w:rPr>
                <w:lang w:eastAsia="ja-JP"/>
              </w:rPr>
              <w:t>T</w:t>
            </w:r>
            <w:r w:rsidRPr="004A17D6">
              <w:rPr>
                <w:lang w:eastAsia="ja-JP"/>
              </w:rPr>
              <w:t xml:space="preserve">he concentration of a substance in water or </w:t>
            </w:r>
            <w:r w:rsidRPr="004A17D6">
              <w:rPr>
                <w:lang w:eastAsia="ja-JP"/>
              </w:rPr>
              <w:t>sediment that is estimated to be lethal to 50% of a group of test organisms, relative to the control response, under specified conditions.</w:t>
            </w:r>
          </w:p>
        </w:tc>
      </w:tr>
      <w:tr w:rsidR="00091AEB" w14:paraId="273CD63B" w14:textId="77777777" w:rsidTr="006C4BAD">
        <w:tc>
          <w:tcPr>
            <w:tcW w:w="1509" w:type="pct"/>
            <w:tcBorders>
              <w:top w:val="single" w:sz="4" w:space="0" w:color="auto"/>
              <w:bottom w:val="single" w:sz="4" w:space="0" w:color="auto"/>
            </w:tcBorders>
          </w:tcPr>
          <w:p w14:paraId="273CD639" w14:textId="77777777" w:rsidR="006C4BAD" w:rsidRPr="001F2460" w:rsidRDefault="00324184" w:rsidP="006907E4">
            <w:pPr>
              <w:pStyle w:val="TableText"/>
              <w:rPr>
                <w:highlight w:val="yellow"/>
                <w:lang w:eastAsia="ja-JP"/>
              </w:rPr>
            </w:pPr>
            <w:r w:rsidRPr="004B7514">
              <w:t>LCx</w:t>
            </w:r>
          </w:p>
        </w:tc>
        <w:tc>
          <w:tcPr>
            <w:tcW w:w="3491" w:type="pct"/>
            <w:tcBorders>
              <w:top w:val="single" w:sz="4" w:space="0" w:color="auto"/>
              <w:bottom w:val="single" w:sz="4" w:space="0" w:color="auto"/>
            </w:tcBorders>
          </w:tcPr>
          <w:p w14:paraId="273CD63A" w14:textId="77777777" w:rsidR="006C4BAD" w:rsidRPr="001F2460" w:rsidRDefault="00324184" w:rsidP="006907E4">
            <w:pPr>
              <w:pStyle w:val="TableText"/>
              <w:rPr>
                <w:highlight w:val="yellow"/>
                <w:lang w:eastAsia="ja-JP"/>
              </w:rPr>
            </w:pPr>
            <w:r>
              <w:t>T</w:t>
            </w:r>
            <w:r w:rsidRPr="00100EA6">
              <w:t>he concentration of a substance in water or sediment that is estimated to be lethal to x% of a group of test or</w:t>
            </w:r>
            <w:r w:rsidRPr="00100EA6">
              <w:t>ganisms under specified conditions.</w:t>
            </w:r>
          </w:p>
        </w:tc>
      </w:tr>
      <w:tr w:rsidR="00091AEB" w14:paraId="273CD63E" w14:textId="77777777" w:rsidTr="006C4BAD">
        <w:tc>
          <w:tcPr>
            <w:tcW w:w="1509" w:type="pct"/>
            <w:tcBorders>
              <w:top w:val="single" w:sz="4" w:space="0" w:color="auto"/>
              <w:bottom w:val="single" w:sz="4" w:space="0" w:color="auto"/>
            </w:tcBorders>
          </w:tcPr>
          <w:p w14:paraId="273CD63C" w14:textId="77777777" w:rsidR="006C4BAD" w:rsidRPr="00BE3065" w:rsidRDefault="00324184" w:rsidP="007336AC">
            <w:pPr>
              <w:pStyle w:val="TableText"/>
              <w:rPr>
                <w:lang w:eastAsia="ja-JP"/>
              </w:rPr>
            </w:pPr>
            <w:r w:rsidRPr="00BE3065">
              <w:rPr>
                <w:lang w:eastAsia="ja-JP"/>
              </w:rPr>
              <w:t>lowest observed effect concentration (LOEC)</w:t>
            </w:r>
          </w:p>
        </w:tc>
        <w:tc>
          <w:tcPr>
            <w:tcW w:w="3491" w:type="pct"/>
            <w:tcBorders>
              <w:top w:val="single" w:sz="4" w:space="0" w:color="auto"/>
              <w:bottom w:val="single" w:sz="4" w:space="0" w:color="auto"/>
            </w:tcBorders>
          </w:tcPr>
          <w:p w14:paraId="273CD63D" w14:textId="77777777" w:rsidR="006C4BAD" w:rsidRPr="00BE3065" w:rsidRDefault="00324184" w:rsidP="007336AC">
            <w:pPr>
              <w:pStyle w:val="TableText"/>
              <w:rPr>
                <w:lang w:eastAsia="ja-JP"/>
              </w:rPr>
            </w:pPr>
            <w:r>
              <w:rPr>
                <w:lang w:eastAsia="ja-JP"/>
              </w:rPr>
              <w:t>T</w:t>
            </w:r>
            <w:r w:rsidRPr="00342AB1">
              <w:rPr>
                <w:lang w:eastAsia="ja-JP"/>
              </w:rPr>
              <w:t>he lowest concentration of a material used in a toxicity test that has a statistically significant adverse effect on the exposed population of test organisms as compared with</w:t>
            </w:r>
            <w:r w:rsidRPr="00342AB1">
              <w:rPr>
                <w:lang w:eastAsia="ja-JP"/>
              </w:rPr>
              <w:t xml:space="preserve"> the controls.</w:t>
            </w:r>
          </w:p>
        </w:tc>
      </w:tr>
      <w:tr w:rsidR="00091AEB" w14:paraId="273CD641" w14:textId="77777777" w:rsidTr="006C4BAD">
        <w:tc>
          <w:tcPr>
            <w:tcW w:w="1509" w:type="pct"/>
            <w:tcBorders>
              <w:top w:val="single" w:sz="4" w:space="0" w:color="auto"/>
              <w:bottom w:val="single" w:sz="4" w:space="0" w:color="auto"/>
            </w:tcBorders>
          </w:tcPr>
          <w:p w14:paraId="273CD63F" w14:textId="77777777" w:rsidR="006C4BAD" w:rsidRPr="001F2460" w:rsidRDefault="00324184" w:rsidP="00177167">
            <w:pPr>
              <w:pStyle w:val="TableText"/>
              <w:rPr>
                <w:highlight w:val="yellow"/>
                <w:lang w:eastAsia="ja-JP"/>
              </w:rPr>
            </w:pPr>
            <w:r>
              <w:t>n</w:t>
            </w:r>
            <w:r w:rsidRPr="005F0D05">
              <w:t xml:space="preserve">o effect concentration </w:t>
            </w:r>
            <w:r>
              <w:t>(</w:t>
            </w:r>
            <w:r w:rsidRPr="005F0D05">
              <w:t>NEC</w:t>
            </w:r>
            <w:r>
              <w:t>)</w:t>
            </w:r>
          </w:p>
        </w:tc>
        <w:tc>
          <w:tcPr>
            <w:tcW w:w="3491" w:type="pct"/>
            <w:tcBorders>
              <w:top w:val="single" w:sz="4" w:space="0" w:color="auto"/>
              <w:bottom w:val="single" w:sz="4" w:space="0" w:color="auto"/>
            </w:tcBorders>
          </w:tcPr>
          <w:p w14:paraId="273CD640" w14:textId="77777777" w:rsidR="006C4BAD" w:rsidRPr="001F2460" w:rsidRDefault="00324184" w:rsidP="00177167">
            <w:pPr>
              <w:pStyle w:val="TableText"/>
              <w:rPr>
                <w:highlight w:val="yellow"/>
              </w:rPr>
            </w:pPr>
            <w:r>
              <w:rPr>
                <w:lang w:val="en-GB" w:eastAsia="ja-JP"/>
              </w:rPr>
              <w:t>T</w:t>
            </w:r>
            <w:r w:rsidRPr="0020248D">
              <w:rPr>
                <w:lang w:val="en-GB" w:eastAsia="ja-JP"/>
              </w:rPr>
              <w:t xml:space="preserve">he maximum concentration </w:t>
            </w:r>
            <w:r>
              <w:rPr>
                <w:lang w:val="en-GB" w:eastAsia="ja-JP"/>
              </w:rPr>
              <w:t xml:space="preserve">of a toxicant that </w:t>
            </w:r>
            <w:r w:rsidRPr="0020248D">
              <w:rPr>
                <w:lang w:val="en-GB" w:eastAsia="ja-JP"/>
              </w:rPr>
              <w:t>causes no adverse effect in a target organism</w:t>
            </w:r>
            <w:r>
              <w:rPr>
                <w:lang w:val="en-GB" w:eastAsia="ja-JP"/>
              </w:rPr>
              <w:t>, based on a threshold parameter in a concentration–response model.</w:t>
            </w:r>
          </w:p>
        </w:tc>
      </w:tr>
      <w:tr w:rsidR="00091AEB" w14:paraId="273CD644" w14:textId="77777777" w:rsidTr="006C4BAD">
        <w:tc>
          <w:tcPr>
            <w:tcW w:w="1509" w:type="pct"/>
            <w:tcBorders>
              <w:top w:val="single" w:sz="4" w:space="0" w:color="auto"/>
              <w:bottom w:val="single" w:sz="4" w:space="0" w:color="auto"/>
            </w:tcBorders>
          </w:tcPr>
          <w:p w14:paraId="273CD642" w14:textId="77777777" w:rsidR="006C4BAD" w:rsidRPr="009A4D4A" w:rsidRDefault="00324184" w:rsidP="007336AC">
            <w:pPr>
              <w:pStyle w:val="TableText"/>
              <w:rPr>
                <w:lang w:eastAsia="ja-JP"/>
              </w:rPr>
            </w:pPr>
            <w:r>
              <w:rPr>
                <w:lang w:eastAsia="ja-JP"/>
              </w:rPr>
              <w:t>n</w:t>
            </w:r>
            <w:r w:rsidRPr="009A4D4A">
              <w:rPr>
                <w:lang w:eastAsia="ja-JP"/>
              </w:rPr>
              <w:t>o observed effect concentration</w:t>
            </w:r>
            <w:r>
              <w:rPr>
                <w:lang w:eastAsia="ja-JP"/>
              </w:rPr>
              <w:t xml:space="preserve"> (</w:t>
            </w:r>
            <w:r w:rsidRPr="009A4D4A">
              <w:rPr>
                <w:lang w:eastAsia="ja-JP"/>
              </w:rPr>
              <w:t>NOEC</w:t>
            </w:r>
            <w:r>
              <w:rPr>
                <w:lang w:eastAsia="ja-JP"/>
              </w:rPr>
              <w:t>)</w:t>
            </w:r>
          </w:p>
        </w:tc>
        <w:tc>
          <w:tcPr>
            <w:tcW w:w="3491" w:type="pct"/>
            <w:tcBorders>
              <w:top w:val="single" w:sz="4" w:space="0" w:color="auto"/>
              <w:bottom w:val="single" w:sz="4" w:space="0" w:color="auto"/>
            </w:tcBorders>
          </w:tcPr>
          <w:p w14:paraId="273CD643" w14:textId="77777777" w:rsidR="006C4BAD" w:rsidRPr="009A4D4A" w:rsidRDefault="00324184" w:rsidP="007336AC">
            <w:pPr>
              <w:pStyle w:val="TableText"/>
              <w:rPr>
                <w:lang w:eastAsia="ja-JP"/>
              </w:rPr>
            </w:pPr>
            <w:r>
              <w:rPr>
                <w:lang w:eastAsia="ja-JP"/>
              </w:rPr>
              <w:t>T</w:t>
            </w:r>
            <w:r w:rsidRPr="000158D8">
              <w:rPr>
                <w:lang w:eastAsia="ja-JP"/>
              </w:rPr>
              <w:t xml:space="preserve">he highest concentration of a material used in a toxicity test that has no statistically significant adverse effect on the exposed population of test organisms as compared with the controls. </w:t>
            </w:r>
          </w:p>
        </w:tc>
      </w:tr>
      <w:tr w:rsidR="00091AEB" w14:paraId="273CD647" w14:textId="77777777" w:rsidTr="006C4BAD">
        <w:tc>
          <w:tcPr>
            <w:tcW w:w="1509" w:type="pct"/>
            <w:tcBorders>
              <w:top w:val="single" w:sz="4" w:space="0" w:color="auto"/>
              <w:bottom w:val="single" w:sz="4" w:space="0" w:color="auto"/>
            </w:tcBorders>
          </w:tcPr>
          <w:p w14:paraId="273CD645" w14:textId="77777777" w:rsidR="006C4BAD" w:rsidRPr="008C59D1" w:rsidRDefault="00324184" w:rsidP="00177167">
            <w:pPr>
              <w:pStyle w:val="TableText"/>
            </w:pPr>
            <w:r>
              <w:t>predicted no effect concentration (PNEC)</w:t>
            </w:r>
          </w:p>
        </w:tc>
        <w:tc>
          <w:tcPr>
            <w:tcW w:w="3491" w:type="pct"/>
            <w:tcBorders>
              <w:top w:val="single" w:sz="4" w:space="0" w:color="auto"/>
              <w:bottom w:val="single" w:sz="4" w:space="0" w:color="auto"/>
            </w:tcBorders>
          </w:tcPr>
          <w:p w14:paraId="273CD646" w14:textId="77777777" w:rsidR="006C4BAD" w:rsidRPr="002E7AE2" w:rsidRDefault="00324184" w:rsidP="00177167">
            <w:pPr>
              <w:pStyle w:val="TableText"/>
            </w:pPr>
            <w:r>
              <w:t>T</w:t>
            </w:r>
            <w:r w:rsidRPr="002E7AE2">
              <w:t>he concentration of a</w:t>
            </w:r>
            <w:r w:rsidRPr="002E7AE2">
              <w:t xml:space="preserve"> chemical </w:t>
            </w:r>
            <w:r>
              <w:t>that</w:t>
            </w:r>
            <w:r w:rsidRPr="002E7AE2">
              <w:t xml:space="preserve"> marks the limit at which below no adverse effects of exposure in an ecosystem are measured</w:t>
            </w:r>
            <w:r>
              <w:t>.</w:t>
            </w:r>
          </w:p>
        </w:tc>
      </w:tr>
      <w:tr w:rsidR="00091AEB" w14:paraId="273CD64A" w14:textId="77777777" w:rsidTr="006C4BAD">
        <w:tc>
          <w:tcPr>
            <w:tcW w:w="1509" w:type="pct"/>
            <w:tcBorders>
              <w:top w:val="single" w:sz="4" w:space="0" w:color="auto"/>
              <w:bottom w:val="single" w:sz="4" w:space="0" w:color="auto"/>
            </w:tcBorders>
          </w:tcPr>
          <w:p w14:paraId="273CD648" w14:textId="77777777" w:rsidR="006C4BAD" w:rsidRPr="001F2460" w:rsidRDefault="00324184" w:rsidP="00177167">
            <w:pPr>
              <w:pStyle w:val="TableText"/>
              <w:rPr>
                <w:highlight w:val="yellow"/>
                <w:lang w:eastAsia="ja-JP"/>
              </w:rPr>
            </w:pPr>
            <w:r w:rsidRPr="008C59D1">
              <w:t>site-specific guideline value</w:t>
            </w:r>
          </w:p>
        </w:tc>
        <w:tc>
          <w:tcPr>
            <w:tcW w:w="3491" w:type="pct"/>
            <w:tcBorders>
              <w:top w:val="single" w:sz="4" w:space="0" w:color="auto"/>
              <w:bottom w:val="single" w:sz="4" w:space="0" w:color="auto"/>
            </w:tcBorders>
          </w:tcPr>
          <w:p w14:paraId="273CD649" w14:textId="77777777" w:rsidR="006C4BAD" w:rsidRPr="001F2460" w:rsidRDefault="00324184" w:rsidP="00177167">
            <w:pPr>
              <w:pStyle w:val="TableText"/>
              <w:rPr>
                <w:highlight w:val="yellow"/>
                <w:lang w:eastAsia="ja-JP"/>
              </w:rPr>
            </w:pPr>
            <w:r w:rsidRPr="008078AF">
              <w:t xml:space="preserve">A guideline value that is relevant to the specific location or conditions that are the focus of a given assessment or </w:t>
            </w:r>
            <w:r w:rsidRPr="008078AF">
              <w:t>issue.</w:t>
            </w:r>
          </w:p>
        </w:tc>
      </w:tr>
      <w:tr w:rsidR="00091AEB" w14:paraId="273CD64D" w14:textId="77777777" w:rsidTr="006C4BAD">
        <w:tc>
          <w:tcPr>
            <w:tcW w:w="1509" w:type="pct"/>
            <w:tcBorders>
              <w:top w:val="single" w:sz="4" w:space="0" w:color="auto"/>
              <w:bottom w:val="single" w:sz="4" w:space="0" w:color="auto"/>
            </w:tcBorders>
          </w:tcPr>
          <w:p w14:paraId="273CD64B" w14:textId="77777777" w:rsidR="006C4BAD" w:rsidRPr="008C59D1" w:rsidRDefault="00324184" w:rsidP="00177167">
            <w:pPr>
              <w:pStyle w:val="TableText"/>
            </w:pPr>
            <w:r w:rsidRPr="00105BEF">
              <w:t>speciation</w:t>
            </w:r>
          </w:p>
        </w:tc>
        <w:tc>
          <w:tcPr>
            <w:tcW w:w="3491" w:type="pct"/>
            <w:tcBorders>
              <w:top w:val="single" w:sz="4" w:space="0" w:color="auto"/>
              <w:bottom w:val="single" w:sz="4" w:space="0" w:color="auto"/>
            </w:tcBorders>
          </w:tcPr>
          <w:p w14:paraId="273CD64C" w14:textId="77777777" w:rsidR="006C4BAD" w:rsidRPr="008078AF" w:rsidRDefault="00324184" w:rsidP="00177167">
            <w:pPr>
              <w:pStyle w:val="TableText"/>
            </w:pPr>
            <w:r>
              <w:t>T</w:t>
            </w:r>
            <w:r w:rsidRPr="00105BEF">
              <w:t>he intimate chemical environment of the indicator, that is the compound or ion of which it forms a part.</w:t>
            </w:r>
          </w:p>
        </w:tc>
      </w:tr>
      <w:tr w:rsidR="00091AEB" w14:paraId="273CD650" w14:textId="77777777" w:rsidTr="006C4BAD">
        <w:tc>
          <w:tcPr>
            <w:tcW w:w="1509" w:type="pct"/>
            <w:tcBorders>
              <w:top w:val="single" w:sz="4" w:space="0" w:color="auto"/>
              <w:bottom w:val="single" w:sz="4" w:space="0" w:color="auto"/>
            </w:tcBorders>
          </w:tcPr>
          <w:p w14:paraId="273CD64E" w14:textId="77777777" w:rsidR="006C4BAD" w:rsidRPr="00BE3065" w:rsidRDefault="00324184" w:rsidP="007336AC">
            <w:pPr>
              <w:pStyle w:val="TableText"/>
              <w:rPr>
                <w:lang w:eastAsia="ja-JP"/>
              </w:rPr>
            </w:pPr>
            <w:r w:rsidRPr="00BE3065">
              <w:rPr>
                <w:lang w:eastAsia="ja-JP"/>
              </w:rPr>
              <w:t>species</w:t>
            </w:r>
            <w:r>
              <w:rPr>
                <w:lang w:eastAsia="ja-JP"/>
              </w:rPr>
              <w:t xml:space="preserve"> (biological)</w:t>
            </w:r>
          </w:p>
        </w:tc>
        <w:tc>
          <w:tcPr>
            <w:tcW w:w="3491" w:type="pct"/>
            <w:tcBorders>
              <w:top w:val="single" w:sz="4" w:space="0" w:color="auto"/>
              <w:bottom w:val="single" w:sz="4" w:space="0" w:color="auto"/>
            </w:tcBorders>
          </w:tcPr>
          <w:p w14:paraId="273CD64F" w14:textId="77777777" w:rsidR="006C4BAD" w:rsidRPr="001F2460" w:rsidRDefault="00324184" w:rsidP="00DA6894">
            <w:pPr>
              <w:pStyle w:val="TableText"/>
              <w:rPr>
                <w:highlight w:val="yellow"/>
                <w:lang w:eastAsia="ja-JP"/>
              </w:rPr>
            </w:pPr>
            <w:r w:rsidRPr="00BE3065">
              <w:rPr>
                <w:lang w:eastAsia="ja-JP"/>
              </w:rPr>
              <w:t xml:space="preserve">A group of organisms that resemble each other to a greater degree than members of other groups and that form a reproductively isolated group that will not </w:t>
            </w:r>
            <w:r w:rsidRPr="00DA6894">
              <w:rPr>
                <w:lang w:eastAsia="ja-JP"/>
              </w:rPr>
              <w:t>produce viable offspring if bred with members of another group.</w:t>
            </w:r>
          </w:p>
        </w:tc>
      </w:tr>
      <w:tr w:rsidR="00091AEB" w14:paraId="273CD653" w14:textId="77777777" w:rsidTr="006C4BAD">
        <w:tc>
          <w:tcPr>
            <w:tcW w:w="1509" w:type="pct"/>
            <w:tcBorders>
              <w:top w:val="single" w:sz="4" w:space="0" w:color="auto"/>
              <w:bottom w:val="single" w:sz="4" w:space="0" w:color="auto"/>
            </w:tcBorders>
          </w:tcPr>
          <w:p w14:paraId="273CD651" w14:textId="77777777" w:rsidR="006C4BAD" w:rsidRPr="00BE3065" w:rsidRDefault="00324184" w:rsidP="007336AC">
            <w:pPr>
              <w:pStyle w:val="TableText"/>
              <w:rPr>
                <w:lang w:eastAsia="ja-JP"/>
              </w:rPr>
            </w:pPr>
            <w:r>
              <w:rPr>
                <w:lang w:eastAsia="ja-JP"/>
              </w:rPr>
              <w:t>species (</w:t>
            </w:r>
            <w:r w:rsidRPr="00DD6F3F">
              <w:rPr>
                <w:lang w:eastAsia="ja-JP"/>
              </w:rPr>
              <w:t>chemical</w:t>
            </w:r>
            <w:r>
              <w:rPr>
                <w:lang w:eastAsia="ja-JP"/>
              </w:rPr>
              <w:t>)</w:t>
            </w:r>
          </w:p>
        </w:tc>
        <w:tc>
          <w:tcPr>
            <w:tcW w:w="3491" w:type="pct"/>
            <w:tcBorders>
              <w:top w:val="single" w:sz="4" w:space="0" w:color="auto"/>
              <w:bottom w:val="single" w:sz="4" w:space="0" w:color="auto"/>
            </w:tcBorders>
          </w:tcPr>
          <w:p w14:paraId="273CD652" w14:textId="77777777" w:rsidR="006C4BAD" w:rsidRPr="00BE3065" w:rsidRDefault="00324184" w:rsidP="00DA6894">
            <w:pPr>
              <w:pStyle w:val="TableText"/>
              <w:rPr>
                <w:lang w:eastAsia="ja-JP"/>
              </w:rPr>
            </w:pPr>
            <w:r>
              <w:rPr>
                <w:lang w:eastAsia="ja-JP"/>
              </w:rPr>
              <w:t>M</w:t>
            </w:r>
            <w:r w:rsidRPr="00DD6F3F">
              <w:rPr>
                <w:lang w:eastAsia="ja-JP"/>
              </w:rPr>
              <w:t xml:space="preserve">ost </w:t>
            </w:r>
            <w:r w:rsidRPr="00DD6F3F">
              <w:rPr>
                <w:lang w:eastAsia="ja-JP"/>
              </w:rPr>
              <w:t>commonly used for metals, chemical species are different forms of a particular chemical that may include different oxidation states, isotopes, complexes with organic ligands (in the case of metals) or with particulate matter.</w:t>
            </w:r>
          </w:p>
        </w:tc>
      </w:tr>
      <w:tr w:rsidR="00091AEB" w14:paraId="273CD656" w14:textId="77777777" w:rsidTr="006C4BAD">
        <w:tc>
          <w:tcPr>
            <w:tcW w:w="1509" w:type="pct"/>
            <w:tcBorders>
              <w:top w:val="single" w:sz="4" w:space="0" w:color="auto"/>
              <w:bottom w:val="single" w:sz="4" w:space="0" w:color="auto"/>
            </w:tcBorders>
          </w:tcPr>
          <w:p w14:paraId="273CD654" w14:textId="77777777" w:rsidR="006C4BAD" w:rsidRPr="00BE3065" w:rsidRDefault="00324184" w:rsidP="007336AC">
            <w:pPr>
              <w:pStyle w:val="TableText"/>
              <w:rPr>
                <w:lang w:eastAsia="ja-JP"/>
              </w:rPr>
            </w:pPr>
            <w:r w:rsidRPr="00BE3065">
              <w:rPr>
                <w:lang w:eastAsia="ja-JP"/>
              </w:rPr>
              <w:t>species sensitivity distribut</w:t>
            </w:r>
            <w:r w:rsidRPr="00BE3065">
              <w:rPr>
                <w:lang w:eastAsia="ja-JP"/>
              </w:rPr>
              <w:t xml:space="preserve">ion (SSD) </w:t>
            </w:r>
          </w:p>
        </w:tc>
        <w:tc>
          <w:tcPr>
            <w:tcW w:w="3491" w:type="pct"/>
            <w:tcBorders>
              <w:top w:val="single" w:sz="4" w:space="0" w:color="auto"/>
              <w:bottom w:val="single" w:sz="4" w:space="0" w:color="auto"/>
            </w:tcBorders>
          </w:tcPr>
          <w:p w14:paraId="273CD655" w14:textId="77777777" w:rsidR="006C4BAD" w:rsidRPr="001F2460" w:rsidRDefault="00324184" w:rsidP="007336AC">
            <w:pPr>
              <w:pStyle w:val="TableText"/>
              <w:rPr>
                <w:highlight w:val="yellow"/>
                <w:lang w:eastAsia="ja-JP"/>
              </w:rPr>
            </w:pPr>
            <w:r>
              <w:rPr>
                <w:lang w:eastAsia="ja-JP"/>
              </w:rPr>
              <w:t>A</w:t>
            </w:r>
            <w:r w:rsidRPr="006D6161">
              <w:rPr>
                <w:lang w:eastAsia="ja-JP"/>
              </w:rPr>
              <w:t xml:space="preserve"> method that plots the cumulative frequency of species’ sensitivities to a toxicant and fits a statistical distribution to the data. From the distribution, the concentration that should theoretically protect a selected percentage of species can</w:t>
            </w:r>
            <w:r w:rsidRPr="006D6161">
              <w:rPr>
                <w:lang w:eastAsia="ja-JP"/>
              </w:rPr>
              <w:t xml:space="preserve"> be determined.</w:t>
            </w:r>
          </w:p>
        </w:tc>
      </w:tr>
      <w:tr w:rsidR="00091AEB" w14:paraId="273CD659" w14:textId="77777777" w:rsidTr="006C4BAD">
        <w:tc>
          <w:tcPr>
            <w:tcW w:w="1509" w:type="pct"/>
            <w:tcBorders>
              <w:top w:val="single" w:sz="4" w:space="0" w:color="auto"/>
              <w:bottom w:val="single" w:sz="4" w:space="0" w:color="auto"/>
            </w:tcBorders>
          </w:tcPr>
          <w:p w14:paraId="273CD657" w14:textId="77777777" w:rsidR="006C4BAD" w:rsidRPr="00177167" w:rsidRDefault="00324184" w:rsidP="007336AC">
            <w:pPr>
              <w:pStyle w:val="TableText"/>
              <w:rPr>
                <w:lang w:eastAsia="ja-JP"/>
              </w:rPr>
            </w:pPr>
            <w:r w:rsidRPr="00177167">
              <w:rPr>
                <w:lang w:eastAsia="ja-JP"/>
              </w:rPr>
              <w:t>toxicity</w:t>
            </w:r>
          </w:p>
        </w:tc>
        <w:tc>
          <w:tcPr>
            <w:tcW w:w="3491" w:type="pct"/>
            <w:tcBorders>
              <w:top w:val="single" w:sz="4" w:space="0" w:color="auto"/>
              <w:bottom w:val="single" w:sz="4" w:space="0" w:color="auto"/>
            </w:tcBorders>
          </w:tcPr>
          <w:p w14:paraId="273CD658" w14:textId="77777777" w:rsidR="006C4BAD" w:rsidRPr="00177167" w:rsidRDefault="00324184" w:rsidP="007336AC">
            <w:pPr>
              <w:pStyle w:val="TableText"/>
              <w:rPr>
                <w:lang w:eastAsia="ja-JP"/>
              </w:rPr>
            </w:pPr>
            <w:r w:rsidRPr="00177167">
              <w:rPr>
                <w:lang w:eastAsia="ja-JP"/>
              </w:rPr>
              <w:t>The inherent potential or capacity of a material to cause adverse effects in a living organism.</w:t>
            </w:r>
          </w:p>
        </w:tc>
      </w:tr>
      <w:tr w:rsidR="00091AEB" w14:paraId="273CD65C" w14:textId="77777777" w:rsidTr="006C4BAD">
        <w:tc>
          <w:tcPr>
            <w:tcW w:w="1509" w:type="pct"/>
            <w:tcBorders>
              <w:top w:val="single" w:sz="4" w:space="0" w:color="auto"/>
              <w:bottom w:val="single" w:sz="12" w:space="0" w:color="auto"/>
            </w:tcBorders>
          </w:tcPr>
          <w:p w14:paraId="273CD65A" w14:textId="77777777" w:rsidR="006C4BAD" w:rsidRPr="00177167" w:rsidRDefault="00324184" w:rsidP="007336AC">
            <w:pPr>
              <w:pStyle w:val="TableText"/>
              <w:rPr>
                <w:lang w:eastAsia="ja-JP"/>
              </w:rPr>
            </w:pPr>
            <w:r w:rsidRPr="00177167">
              <w:rPr>
                <w:lang w:eastAsia="ja-JP"/>
              </w:rPr>
              <w:t>toxicity test</w:t>
            </w:r>
          </w:p>
        </w:tc>
        <w:tc>
          <w:tcPr>
            <w:tcW w:w="3491" w:type="pct"/>
            <w:tcBorders>
              <w:top w:val="single" w:sz="4" w:space="0" w:color="auto"/>
              <w:bottom w:val="single" w:sz="12" w:space="0" w:color="auto"/>
            </w:tcBorders>
          </w:tcPr>
          <w:p w14:paraId="273CD65B" w14:textId="77777777" w:rsidR="006C4BAD" w:rsidRPr="00177167" w:rsidRDefault="00324184" w:rsidP="007336AC">
            <w:pPr>
              <w:pStyle w:val="TableText"/>
              <w:rPr>
                <w:lang w:eastAsia="ja-JP"/>
              </w:rPr>
            </w:pPr>
            <w:r w:rsidRPr="00177167">
              <w:rPr>
                <w:lang w:eastAsia="ja-JP"/>
              </w:rPr>
              <w:t xml:space="preserve">The means by which the toxicity of a chemical or other test material is determined. A toxicity test is used to measure </w:t>
            </w:r>
            <w:r w:rsidRPr="00177167">
              <w:rPr>
                <w:lang w:eastAsia="ja-JP"/>
              </w:rPr>
              <w:t xml:space="preserve">the degree of response produced by exposure </w:t>
            </w:r>
            <w:r w:rsidRPr="00A512B9">
              <w:rPr>
                <w:lang w:eastAsia="ja-JP"/>
              </w:rPr>
              <w:t>to a specific level of stimulus (or concentration of chemical) for a specified test period.</w:t>
            </w:r>
          </w:p>
        </w:tc>
      </w:tr>
    </w:tbl>
    <w:p w14:paraId="273CD65D" w14:textId="77777777" w:rsidR="00FF18B3" w:rsidRDefault="00FF18B3" w:rsidP="001303C0">
      <w:pPr>
        <w:rPr>
          <w:highlight w:val="yellow"/>
          <w:lang w:eastAsia="ja-JP"/>
        </w:rPr>
      </w:pPr>
    </w:p>
    <w:p w14:paraId="273CD65E" w14:textId="77777777" w:rsidR="00FF18B3" w:rsidRPr="001F2460" w:rsidRDefault="00FF18B3" w:rsidP="001303C0">
      <w:pPr>
        <w:rPr>
          <w:highlight w:val="yellow"/>
          <w:lang w:eastAsia="ja-JP"/>
        </w:rPr>
        <w:sectPr w:rsidR="00FF18B3" w:rsidRPr="001F2460" w:rsidSect="000F5FD9">
          <w:headerReference w:type="even" r:id="rId24"/>
          <w:headerReference w:type="default" r:id="rId25"/>
          <w:footerReference w:type="default" r:id="rId26"/>
          <w:headerReference w:type="first" r:id="rId27"/>
          <w:pgSz w:w="11906" w:h="16838" w:code="9"/>
          <w:pgMar w:top="1418" w:right="1418" w:bottom="1418" w:left="1418" w:header="567" w:footer="284" w:gutter="0"/>
          <w:pgNumType w:start="1"/>
          <w:cols w:space="708"/>
          <w:docGrid w:linePitch="360"/>
        </w:sectPr>
      </w:pPr>
    </w:p>
    <w:p w14:paraId="273CD65F" w14:textId="77777777" w:rsidR="00E17F57" w:rsidRDefault="00324184">
      <w:pPr>
        <w:pStyle w:val="Heading2"/>
        <w:numPr>
          <w:ilvl w:val="0"/>
          <w:numId w:val="0"/>
        </w:numPr>
      </w:pPr>
      <w:bookmarkStart w:id="58" w:name="_Appendix_A:_Summary"/>
      <w:bookmarkStart w:id="59" w:name="_Ref85904112"/>
      <w:bookmarkStart w:id="60" w:name="_Toc89265623"/>
      <w:bookmarkStart w:id="61" w:name="_Toc89268663"/>
      <w:bookmarkEnd w:id="58"/>
      <w:r>
        <w:t>Appendix </w:t>
      </w:r>
      <w:r w:rsidRPr="006402D2">
        <w:t>A</w:t>
      </w:r>
      <w:r>
        <w:t>:</w:t>
      </w:r>
      <w:r w:rsidRPr="006402D2">
        <w:t xml:space="preserve"> </w:t>
      </w:r>
      <w:r w:rsidR="00D2264D">
        <w:t>A</w:t>
      </w:r>
      <w:r w:rsidRPr="006402D2">
        <w:t xml:space="preserve">ctions to assess </w:t>
      </w:r>
      <w:r w:rsidR="008E13D7">
        <w:t xml:space="preserve">the </w:t>
      </w:r>
      <w:r w:rsidRPr="006402D2">
        <w:t>bioavailable fraction of a metal</w:t>
      </w:r>
      <w:bookmarkEnd w:id="59"/>
      <w:bookmarkEnd w:id="60"/>
      <w:bookmarkEnd w:id="61"/>
    </w:p>
    <w:p w14:paraId="273CD660" w14:textId="77777777" w:rsidR="00432308" w:rsidRDefault="00324184" w:rsidP="00432308">
      <w:r>
        <w:t xml:space="preserve">A decision tree for evaluating monitoring data against default guideline values (DGVs) or site-specific guideline values for </w:t>
      </w:r>
      <w:r w:rsidR="00644222">
        <w:t xml:space="preserve">dissolved </w:t>
      </w:r>
      <w:r>
        <w:t>copper in marine water, which includes consideration of the bioavailable fraction, is shown in</w:t>
      </w:r>
      <w:r w:rsidR="00F1103E">
        <w:t xml:space="preserve"> </w:t>
      </w:r>
      <w:r w:rsidR="00F1103E">
        <w:fldChar w:fldCharType="begin"/>
      </w:r>
      <w:r w:rsidR="00F1103E">
        <w:instrText xml:space="preserve"> REF _Ref89262092 \h </w:instrText>
      </w:r>
      <w:r w:rsidR="00F1103E">
        <w:fldChar w:fldCharType="separate"/>
      </w:r>
      <w:r w:rsidR="00A41C81">
        <w:t>Figure A </w:t>
      </w:r>
      <w:r w:rsidR="00A41C81">
        <w:rPr>
          <w:noProof/>
        </w:rPr>
        <w:t>1</w:t>
      </w:r>
      <w:r w:rsidR="00F1103E">
        <w:fldChar w:fldCharType="end"/>
      </w:r>
      <w:r>
        <w:t>. The outcomes of the process shown here for water chemistry assessment should be used with</w:t>
      </w:r>
      <w:r w:rsidRPr="00006995">
        <w:t xml:space="preserve"> other lines of evidence</w:t>
      </w:r>
      <w:r w:rsidR="00644222">
        <w:t xml:space="preserve"> (e.g.</w:t>
      </w:r>
      <w:r w:rsidRPr="00603D83">
        <w:rPr>
          <w:rFonts w:ascii="Calibri" w:eastAsia="Times New Roman" w:hAnsi="Calibri" w:cs="Calibri"/>
          <w:color w:val="000000" w:themeColor="text1"/>
          <w:lang w:eastAsia="en-GB"/>
        </w:rPr>
        <w:t xml:space="preserve"> biodiversity assessment or direct toxicity assessment</w:t>
      </w:r>
      <w:r w:rsidR="00644222">
        <w:rPr>
          <w:rFonts w:ascii="Calibri" w:eastAsia="Times New Roman" w:hAnsi="Calibri" w:cs="Calibri"/>
          <w:color w:val="000000" w:themeColor="text1"/>
          <w:lang w:eastAsia="en-GB"/>
        </w:rPr>
        <w:t>)</w:t>
      </w:r>
      <w:r w:rsidRPr="00006995">
        <w:t xml:space="preserve"> in a wei</w:t>
      </w:r>
      <w:r w:rsidRPr="00006995">
        <w:t xml:space="preserve">ght of evidence approach </w:t>
      </w:r>
      <w:r>
        <w:t xml:space="preserve">to assess overall water quality. </w:t>
      </w:r>
    </w:p>
    <w:p w14:paraId="273CD661" w14:textId="77777777" w:rsidR="00432308" w:rsidRPr="00CA70E1" w:rsidRDefault="00324184" w:rsidP="00432308">
      <w:r>
        <w:t>With respect to the modelling of bioavailable copper, it</w:t>
      </w:r>
      <w:r w:rsidR="00644222">
        <w:t xml:space="preserve"> is</w:t>
      </w:r>
      <w:r>
        <w:t xml:space="preserve"> necessary to</w:t>
      </w:r>
      <w:r w:rsidRPr="00CA70E1">
        <w:t xml:space="preserve"> consider simple ionic complexes</w:t>
      </w:r>
      <w:r>
        <w:t>;</w:t>
      </w:r>
      <w:r w:rsidRPr="00CA70E1">
        <w:t xml:space="preserve"> however, </w:t>
      </w:r>
      <w:r>
        <w:t>it is also</w:t>
      </w:r>
      <w:r w:rsidRPr="00CA70E1">
        <w:t xml:space="preserve"> know</w:t>
      </w:r>
      <w:r>
        <w:t>n</w:t>
      </w:r>
      <w:r w:rsidRPr="00CA70E1">
        <w:t xml:space="preserve"> that there are colloidal forms and weak ionic complexes that can </w:t>
      </w:r>
      <w:r w:rsidRPr="00CA70E1">
        <w:t xml:space="preserve">dissociate and cross biological membranes. </w:t>
      </w:r>
      <w:r>
        <w:t>A</w:t>
      </w:r>
      <w:r w:rsidRPr="00CA70E1">
        <w:t xml:space="preserve">pproaches such as the biotic ligand model </w:t>
      </w:r>
      <w:r w:rsidR="00644222">
        <w:t xml:space="preserve">(BLM) </w:t>
      </w:r>
      <w:r>
        <w:t xml:space="preserve">for copper in marine water (USEPA 2016a) </w:t>
      </w:r>
      <w:r w:rsidR="00714172">
        <w:t>are</w:t>
      </w:r>
      <w:r w:rsidR="00644222">
        <w:t xml:space="preserve"> </w:t>
      </w:r>
      <w:r>
        <w:t>appropriate</w:t>
      </w:r>
      <w:r w:rsidRPr="00CA70E1">
        <w:t xml:space="preserve"> modelling option</w:t>
      </w:r>
      <w:r w:rsidR="00A41CA1">
        <w:t>s</w:t>
      </w:r>
      <w:r>
        <w:t xml:space="preserve">. Alternatively, speciation modelling is also an option, for example, the </w:t>
      </w:r>
      <w:r w:rsidRPr="003A54D9">
        <w:t>Windermere Humic</w:t>
      </w:r>
      <w:r w:rsidRPr="003A54D9">
        <w:t xml:space="preserve"> Aqueous Model (WHAM7)</w:t>
      </w:r>
      <w:r>
        <w:t xml:space="preserve">, which includes a solution speciation model as well as sub-models for ion binding to humic and fulvic acids, clay and oxides of iron, aluminium, manganese and silica (UKCEH 2021). </w:t>
      </w:r>
      <w:r w:rsidR="00675A71">
        <w:t>B</w:t>
      </w:r>
      <w:r>
        <w:t>ioavailable copper</w:t>
      </w:r>
      <w:r w:rsidRPr="00CA70E1">
        <w:t xml:space="preserve"> </w:t>
      </w:r>
      <w:r w:rsidR="00675A71">
        <w:t>can be measured</w:t>
      </w:r>
      <w:r w:rsidR="00675A71" w:rsidRPr="00CA70E1">
        <w:t xml:space="preserve"> </w:t>
      </w:r>
      <w:r w:rsidR="003F69A6">
        <w:t>using</w:t>
      </w:r>
      <w:r w:rsidRPr="00CA70E1">
        <w:t xml:space="preserve"> a range of techniques designed to measure the ‘labile’ fraction of metals that has been shown to correlate with the fraction that is biologically available</w:t>
      </w:r>
      <w:r>
        <w:t xml:space="preserve"> (see Batley et al. 2004). </w:t>
      </w:r>
      <w:r w:rsidRPr="00CA70E1">
        <w:t xml:space="preserve">Currently, the use of Chelex columns and </w:t>
      </w:r>
      <w:r>
        <w:t>diffusive gradients in thin film</w:t>
      </w:r>
      <w:r>
        <w:t>s (DGT)</w:t>
      </w:r>
      <w:r w:rsidRPr="00CA70E1">
        <w:t xml:space="preserve"> are the most widely used approaches.</w:t>
      </w:r>
    </w:p>
    <w:p w14:paraId="273CD662" w14:textId="77777777" w:rsidR="007E16DB" w:rsidRPr="007E16DB" w:rsidRDefault="00324184" w:rsidP="007E16DB">
      <w:pPr>
        <w:rPr>
          <w:lang w:eastAsia="ja-JP"/>
        </w:rPr>
      </w:pPr>
      <w:r>
        <w:rPr>
          <w:noProof/>
        </w:rPr>
        <w:drawing>
          <wp:inline distT="0" distB="0" distL="0" distR="0" wp14:anchorId="273CDDFE" wp14:editId="273CDDFF">
            <wp:extent cx="3348000" cy="4087987"/>
            <wp:effectExtent l="0" t="0" r="5080" b="1905"/>
            <wp:docPr id="404669158"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95226" name="Picture 2" descr="Timelin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3348000" cy="4087987"/>
                    </a:xfrm>
                    <a:prstGeom prst="rect">
                      <a:avLst/>
                    </a:prstGeom>
                  </pic:spPr>
                </pic:pic>
              </a:graphicData>
            </a:graphic>
          </wp:inline>
        </w:drawing>
      </w:r>
    </w:p>
    <w:p w14:paraId="273CD663" w14:textId="77777777" w:rsidR="00724E45" w:rsidRDefault="00324184" w:rsidP="00BD3F72">
      <w:pPr>
        <w:pStyle w:val="Caption"/>
        <w:rPr>
          <w:highlight w:val="yellow"/>
          <w:lang w:eastAsia="ja-JP"/>
        </w:rPr>
      </w:pPr>
      <w:bookmarkStart w:id="62" w:name="_Ref89262092"/>
      <w:bookmarkStart w:id="63" w:name="_Toc89268609"/>
      <w:r>
        <w:t>Figure A </w:t>
      </w:r>
      <w:r w:rsidR="00A41C81">
        <w:fldChar w:fldCharType="begin"/>
      </w:r>
      <w:r>
        <w:instrText xml:space="preserve"> SEQ Figure_A \* ARABIC </w:instrText>
      </w:r>
      <w:r w:rsidR="00A41C81">
        <w:fldChar w:fldCharType="separate"/>
      </w:r>
      <w:r w:rsidR="00A41C81">
        <w:rPr>
          <w:noProof/>
        </w:rPr>
        <w:t>1</w:t>
      </w:r>
      <w:r w:rsidR="00A41C81">
        <w:rPr>
          <w:noProof/>
        </w:rPr>
        <w:fldChar w:fldCharType="end"/>
      </w:r>
      <w:bookmarkEnd w:id="62"/>
      <w:r w:rsidR="00C92D3A">
        <w:t xml:space="preserve"> </w:t>
      </w:r>
      <w:r w:rsidR="00432308">
        <w:t>A</w:t>
      </w:r>
      <w:r w:rsidR="00432308" w:rsidRPr="00006995">
        <w:t xml:space="preserve">ctions to assess bioavailable fraction of </w:t>
      </w:r>
      <w:r w:rsidR="00432308">
        <w:t>copper in marine water</w:t>
      </w:r>
      <w:bookmarkEnd w:id="63"/>
      <w:r w:rsidR="003F69A6">
        <w:t xml:space="preserve"> </w:t>
      </w:r>
    </w:p>
    <w:p w14:paraId="273CD664" w14:textId="77777777" w:rsidR="00F1103E" w:rsidRPr="00F1103E" w:rsidRDefault="00F1103E" w:rsidP="00F1103E">
      <w:pPr>
        <w:rPr>
          <w:highlight w:val="yellow"/>
          <w:lang w:eastAsia="ja-JP"/>
        </w:rPr>
        <w:sectPr w:rsidR="00F1103E" w:rsidRPr="00F1103E" w:rsidSect="00A46751">
          <w:headerReference w:type="even" r:id="rId29"/>
          <w:headerReference w:type="default" r:id="rId30"/>
          <w:headerReference w:type="first" r:id="rId31"/>
          <w:footerReference w:type="first" r:id="rId32"/>
          <w:pgSz w:w="11906" w:h="16838" w:code="9"/>
          <w:pgMar w:top="1418" w:right="1418" w:bottom="1418" w:left="1418" w:header="567" w:footer="284" w:gutter="0"/>
          <w:cols w:space="708"/>
          <w:docGrid w:linePitch="360"/>
        </w:sectPr>
      </w:pPr>
    </w:p>
    <w:p w14:paraId="273CD665" w14:textId="77777777" w:rsidR="00A46751" w:rsidRDefault="00324184" w:rsidP="006402D2">
      <w:pPr>
        <w:pStyle w:val="Heading2"/>
        <w:numPr>
          <w:ilvl w:val="0"/>
          <w:numId w:val="0"/>
        </w:numPr>
      </w:pPr>
      <w:bookmarkStart w:id="64" w:name="_Ref85904129"/>
      <w:bookmarkStart w:id="65" w:name="_Toc89265624"/>
      <w:bookmarkStart w:id="66" w:name="_Toc89268664"/>
      <w:r>
        <w:t>Appendix </w:t>
      </w:r>
      <w:r w:rsidRPr="006402D2">
        <w:t>B</w:t>
      </w:r>
      <w:r>
        <w:t>:</w:t>
      </w:r>
      <w:r w:rsidRPr="006402D2">
        <w:t xml:space="preserve"> </w:t>
      </w:r>
      <w:r w:rsidR="00A34B68">
        <w:t>Toxicity data that passed the screening and quality assessment and were used to derive the default guideline values</w:t>
      </w:r>
      <w:bookmarkEnd w:id="64"/>
      <w:bookmarkEnd w:id="65"/>
      <w:bookmarkEnd w:id="66"/>
    </w:p>
    <w:p w14:paraId="273CD666" w14:textId="77777777" w:rsidR="002D5063" w:rsidRPr="002D5063" w:rsidRDefault="00324184" w:rsidP="002D5063">
      <w:pPr>
        <w:pStyle w:val="Caption"/>
        <w:rPr>
          <w:lang w:eastAsia="ja-JP"/>
        </w:rPr>
      </w:pPr>
      <w:bookmarkStart w:id="67" w:name="_Toc89265703"/>
      <w:bookmarkStart w:id="68" w:name="_Toc89268629"/>
      <w:r>
        <w:t>Table B </w:t>
      </w:r>
      <w:r w:rsidR="00A41C81">
        <w:fldChar w:fldCharType="begin"/>
      </w:r>
      <w:r>
        <w:instrText xml:space="preserve"> SEQ Table_B \* ARABIC </w:instrText>
      </w:r>
      <w:r w:rsidR="00A41C81">
        <w:fldChar w:fldCharType="separate"/>
      </w:r>
      <w:r w:rsidR="00A41C81">
        <w:rPr>
          <w:noProof/>
        </w:rPr>
        <w:t>1</w:t>
      </w:r>
      <w:r w:rsidR="00A41C81">
        <w:rPr>
          <w:noProof/>
        </w:rPr>
        <w:fldChar w:fldCharType="end"/>
      </w:r>
      <w:r w:rsidR="00E56CE3">
        <w:rPr>
          <w:noProof/>
        </w:rPr>
        <w:t xml:space="preserve"> </w:t>
      </w:r>
      <w:r w:rsidRPr="002D5063">
        <w:rPr>
          <w:lang w:eastAsia="ja-JP"/>
        </w:rPr>
        <w:t xml:space="preserve">Summary, toxicity data that passed the screening and quality assurance processes, </w:t>
      </w:r>
      <w:r>
        <w:rPr>
          <w:lang w:eastAsia="ja-JP"/>
        </w:rPr>
        <w:t xml:space="preserve">dissolved copper in </w:t>
      </w:r>
      <w:r>
        <w:rPr>
          <w:lang w:eastAsia="ja-JP"/>
        </w:rPr>
        <w:t>marine water</w:t>
      </w:r>
      <w:bookmarkEnd w:id="67"/>
      <w:bookmarkEnd w:id="68"/>
    </w:p>
    <w:tbl>
      <w:tblPr>
        <w:tblW w:w="5000" w:type="pct"/>
        <w:tblBorders>
          <w:top w:val="single" w:sz="4" w:space="0" w:color="auto"/>
          <w:bottom w:val="single" w:sz="4" w:space="0" w:color="auto"/>
          <w:insideH w:val="single" w:sz="4" w:space="0" w:color="auto"/>
        </w:tblBorders>
        <w:tblLook w:val="0200" w:firstRow="0" w:lastRow="0" w:firstColumn="0" w:lastColumn="0" w:noHBand="1" w:noVBand="0"/>
        <w:tblCaption w:val="Summary, toxicity data that passed the screening and quality assurance processes, dissolved copper in marine water"/>
        <w:tblDescription w:val="Table lists 32 species with their taxonomic group. The different life stages for each species are provided with the following test information: exposure duration (day), toxicity measure (test endpoint), salinity, dissolved organic carbon (DOC), temperature, concentration (microgram per litre) and reference."/>
      </w:tblPr>
      <w:tblGrid>
        <w:gridCol w:w="1416"/>
        <w:gridCol w:w="1984"/>
        <w:gridCol w:w="1699"/>
        <w:gridCol w:w="1134"/>
        <w:gridCol w:w="1985"/>
        <w:gridCol w:w="851"/>
        <w:gridCol w:w="851"/>
        <w:gridCol w:w="1134"/>
        <w:gridCol w:w="1209"/>
        <w:gridCol w:w="1739"/>
      </w:tblGrid>
      <w:tr w:rsidR="00091AEB" w14:paraId="273CD672" w14:textId="77777777" w:rsidTr="00375885">
        <w:trPr>
          <w:cantSplit/>
          <w:tblHeader/>
        </w:trPr>
        <w:tc>
          <w:tcPr>
            <w:tcW w:w="506" w:type="pct"/>
            <w:tcBorders>
              <w:top w:val="single" w:sz="12" w:space="0" w:color="auto"/>
              <w:bottom w:val="single" w:sz="12" w:space="0" w:color="auto"/>
            </w:tcBorders>
            <w:shd w:val="clear" w:color="auto" w:fill="auto"/>
            <w:tcMar>
              <w:left w:w="85" w:type="dxa"/>
              <w:right w:w="57" w:type="dxa"/>
            </w:tcMar>
          </w:tcPr>
          <w:p w14:paraId="273CD667" w14:textId="77777777" w:rsidR="00A46751" w:rsidRPr="003978B4" w:rsidRDefault="00324184" w:rsidP="00254919">
            <w:pPr>
              <w:pStyle w:val="TableHeading"/>
            </w:pPr>
            <w:r>
              <w:t>Taxonomic group</w:t>
            </w:r>
          </w:p>
        </w:tc>
        <w:tc>
          <w:tcPr>
            <w:tcW w:w="709" w:type="pct"/>
            <w:tcBorders>
              <w:top w:val="single" w:sz="12" w:space="0" w:color="auto"/>
              <w:bottom w:val="single" w:sz="12" w:space="0" w:color="auto"/>
            </w:tcBorders>
            <w:shd w:val="clear" w:color="auto" w:fill="auto"/>
            <w:tcMar>
              <w:left w:w="85" w:type="dxa"/>
              <w:right w:w="57" w:type="dxa"/>
            </w:tcMar>
          </w:tcPr>
          <w:p w14:paraId="273CD668" w14:textId="77777777" w:rsidR="00A46751" w:rsidRPr="00254919" w:rsidRDefault="00324184" w:rsidP="00254919">
            <w:pPr>
              <w:pStyle w:val="TableHeading"/>
            </w:pPr>
            <w:r w:rsidRPr="00254919">
              <w:t>Species</w:t>
            </w:r>
          </w:p>
        </w:tc>
        <w:tc>
          <w:tcPr>
            <w:tcW w:w="607" w:type="pct"/>
            <w:tcBorders>
              <w:top w:val="single" w:sz="12" w:space="0" w:color="auto"/>
              <w:bottom w:val="single" w:sz="12" w:space="0" w:color="auto"/>
            </w:tcBorders>
            <w:shd w:val="clear" w:color="auto" w:fill="auto"/>
            <w:tcMar>
              <w:left w:w="85" w:type="dxa"/>
              <w:right w:w="57" w:type="dxa"/>
            </w:tcMar>
          </w:tcPr>
          <w:p w14:paraId="273CD669" w14:textId="77777777" w:rsidR="00A46751" w:rsidRPr="003978B4" w:rsidRDefault="00324184" w:rsidP="00254919">
            <w:pPr>
              <w:pStyle w:val="TableHeading"/>
            </w:pPr>
            <w:r w:rsidRPr="003978B4">
              <w:t>Life stage</w:t>
            </w:r>
          </w:p>
        </w:tc>
        <w:tc>
          <w:tcPr>
            <w:tcW w:w="405" w:type="pct"/>
            <w:tcBorders>
              <w:top w:val="single" w:sz="12" w:space="0" w:color="auto"/>
              <w:bottom w:val="single" w:sz="12" w:space="0" w:color="auto"/>
            </w:tcBorders>
            <w:shd w:val="clear" w:color="auto" w:fill="auto"/>
            <w:tcMar>
              <w:left w:w="85" w:type="dxa"/>
              <w:right w:w="57" w:type="dxa"/>
            </w:tcMar>
          </w:tcPr>
          <w:p w14:paraId="273CD66A" w14:textId="77777777" w:rsidR="00A46751" w:rsidRPr="003978B4" w:rsidRDefault="00324184" w:rsidP="00254919">
            <w:pPr>
              <w:pStyle w:val="TableHeading"/>
            </w:pPr>
            <w:r w:rsidRPr="003978B4">
              <w:t>Exposure duration (d)</w:t>
            </w:r>
          </w:p>
        </w:tc>
        <w:tc>
          <w:tcPr>
            <w:tcW w:w="709" w:type="pct"/>
            <w:tcBorders>
              <w:top w:val="single" w:sz="12" w:space="0" w:color="auto"/>
              <w:bottom w:val="single" w:sz="12" w:space="0" w:color="auto"/>
            </w:tcBorders>
            <w:shd w:val="clear" w:color="auto" w:fill="auto"/>
            <w:tcMar>
              <w:left w:w="85" w:type="dxa"/>
              <w:right w:w="57" w:type="dxa"/>
            </w:tcMar>
          </w:tcPr>
          <w:p w14:paraId="273CD66B" w14:textId="77777777" w:rsidR="00A46751" w:rsidRDefault="00324184" w:rsidP="00254919">
            <w:pPr>
              <w:pStyle w:val="TableHeading"/>
            </w:pPr>
            <w:r w:rsidRPr="003978B4">
              <w:t>Toxicity measure</w:t>
            </w:r>
          </w:p>
          <w:p w14:paraId="273CD66C" w14:textId="77777777" w:rsidR="00211B8D" w:rsidRPr="003978B4" w:rsidRDefault="00324184" w:rsidP="00254919">
            <w:pPr>
              <w:pStyle w:val="TableHeading"/>
            </w:pPr>
            <w:r>
              <w:t>(test endpoint)</w:t>
            </w:r>
          </w:p>
        </w:tc>
        <w:tc>
          <w:tcPr>
            <w:tcW w:w="304" w:type="pct"/>
            <w:tcBorders>
              <w:top w:val="single" w:sz="12" w:space="0" w:color="auto"/>
              <w:bottom w:val="single" w:sz="12" w:space="0" w:color="auto"/>
            </w:tcBorders>
            <w:shd w:val="clear" w:color="auto" w:fill="auto"/>
            <w:tcMar>
              <w:left w:w="57" w:type="dxa"/>
              <w:right w:w="28" w:type="dxa"/>
            </w:tcMar>
          </w:tcPr>
          <w:p w14:paraId="273CD66D" w14:textId="77777777" w:rsidR="00A46751" w:rsidRPr="003978B4" w:rsidRDefault="00324184" w:rsidP="00254919">
            <w:pPr>
              <w:pStyle w:val="TableHeading"/>
            </w:pPr>
            <w:r w:rsidRPr="003978B4">
              <w:t>Salinity (‰)</w:t>
            </w:r>
          </w:p>
        </w:tc>
        <w:tc>
          <w:tcPr>
            <w:tcW w:w="304" w:type="pct"/>
            <w:tcBorders>
              <w:top w:val="single" w:sz="12" w:space="0" w:color="auto"/>
              <w:bottom w:val="single" w:sz="12" w:space="0" w:color="auto"/>
            </w:tcBorders>
            <w:shd w:val="clear" w:color="auto" w:fill="auto"/>
            <w:tcMar>
              <w:left w:w="57" w:type="dxa"/>
              <w:right w:w="28" w:type="dxa"/>
            </w:tcMar>
          </w:tcPr>
          <w:p w14:paraId="273CD66E" w14:textId="77777777" w:rsidR="00A46751" w:rsidRPr="003978B4" w:rsidRDefault="00324184" w:rsidP="00254919">
            <w:pPr>
              <w:pStyle w:val="TableHeading"/>
            </w:pPr>
            <w:r w:rsidRPr="003978B4">
              <w:t>DOC (mg/L)</w:t>
            </w:r>
          </w:p>
        </w:tc>
        <w:tc>
          <w:tcPr>
            <w:tcW w:w="405" w:type="pct"/>
            <w:tcBorders>
              <w:top w:val="single" w:sz="12" w:space="0" w:color="auto"/>
              <w:bottom w:val="single" w:sz="12" w:space="0" w:color="auto"/>
            </w:tcBorders>
            <w:shd w:val="clear" w:color="auto" w:fill="auto"/>
            <w:tcMar>
              <w:left w:w="57" w:type="dxa"/>
              <w:right w:w="28" w:type="dxa"/>
            </w:tcMar>
          </w:tcPr>
          <w:p w14:paraId="273CD66F" w14:textId="77777777" w:rsidR="00A46751" w:rsidRPr="003978B4" w:rsidRDefault="00324184" w:rsidP="00254919">
            <w:pPr>
              <w:pStyle w:val="TableHeading"/>
            </w:pPr>
            <w:r w:rsidRPr="003978B4">
              <w:t>Temp</w:t>
            </w:r>
            <w:r w:rsidR="00375885">
              <w:t>erature</w:t>
            </w:r>
            <w:r w:rsidRPr="003978B4">
              <w:t xml:space="preserve"> (</w:t>
            </w:r>
            <w:r w:rsidRPr="003978B4">
              <w:rPr>
                <w:rFonts w:ascii="Symbol" w:hAnsi="Symbol"/>
              </w:rPr>
              <w:sym w:font="Symbol" w:char="F0B0"/>
            </w:r>
            <w:r w:rsidRPr="003978B4">
              <w:t>C)</w:t>
            </w:r>
          </w:p>
        </w:tc>
        <w:tc>
          <w:tcPr>
            <w:tcW w:w="430" w:type="pct"/>
            <w:tcBorders>
              <w:top w:val="single" w:sz="12" w:space="0" w:color="auto"/>
              <w:bottom w:val="single" w:sz="12" w:space="0" w:color="auto"/>
            </w:tcBorders>
            <w:shd w:val="clear" w:color="auto" w:fill="auto"/>
            <w:tcMar>
              <w:left w:w="85" w:type="dxa"/>
              <w:right w:w="57" w:type="dxa"/>
            </w:tcMar>
          </w:tcPr>
          <w:p w14:paraId="273CD670" w14:textId="77777777" w:rsidR="00A46751" w:rsidRPr="003978B4" w:rsidRDefault="00324184" w:rsidP="00254919">
            <w:pPr>
              <w:pStyle w:val="TableHeading"/>
            </w:pPr>
            <w:r w:rsidRPr="003978B4">
              <w:t>Concentration (</w:t>
            </w:r>
            <w:r w:rsidRPr="003978B4">
              <w:rPr>
                <w:rFonts w:ascii="Corbel" w:hAnsi="Corbel"/>
              </w:rPr>
              <w:t>µ</w:t>
            </w:r>
            <w:r w:rsidRPr="003978B4">
              <w:t>g/L)</w:t>
            </w:r>
          </w:p>
        </w:tc>
        <w:tc>
          <w:tcPr>
            <w:tcW w:w="621" w:type="pct"/>
            <w:tcBorders>
              <w:top w:val="single" w:sz="12" w:space="0" w:color="auto"/>
              <w:bottom w:val="single" w:sz="12" w:space="0" w:color="auto"/>
            </w:tcBorders>
            <w:shd w:val="clear" w:color="auto" w:fill="auto"/>
            <w:tcMar>
              <w:left w:w="85" w:type="dxa"/>
              <w:right w:w="57" w:type="dxa"/>
            </w:tcMar>
          </w:tcPr>
          <w:p w14:paraId="273CD671" w14:textId="77777777" w:rsidR="00A46751" w:rsidRPr="003978B4" w:rsidRDefault="00324184" w:rsidP="00254919">
            <w:pPr>
              <w:pStyle w:val="TableHeading"/>
            </w:pPr>
            <w:r w:rsidRPr="003978B4">
              <w:t>Reference</w:t>
            </w:r>
          </w:p>
        </w:tc>
      </w:tr>
      <w:tr w:rsidR="00091AEB" w14:paraId="273CD67D" w14:textId="77777777" w:rsidTr="00375885">
        <w:trPr>
          <w:cantSplit/>
        </w:trPr>
        <w:tc>
          <w:tcPr>
            <w:tcW w:w="506" w:type="pct"/>
            <w:vMerge w:val="restart"/>
            <w:tcBorders>
              <w:top w:val="single" w:sz="12" w:space="0" w:color="auto"/>
            </w:tcBorders>
            <w:shd w:val="clear" w:color="auto" w:fill="auto"/>
            <w:tcMar>
              <w:left w:w="85" w:type="dxa"/>
              <w:right w:w="57" w:type="dxa"/>
            </w:tcMar>
          </w:tcPr>
          <w:p w14:paraId="273CD673" w14:textId="77777777" w:rsidR="00343D03" w:rsidRPr="003978B4" w:rsidRDefault="00324184" w:rsidP="00254919">
            <w:pPr>
              <w:pStyle w:val="TableText"/>
            </w:pPr>
            <w:r w:rsidRPr="003978B4">
              <w:t>Diatom</w:t>
            </w:r>
          </w:p>
        </w:tc>
        <w:tc>
          <w:tcPr>
            <w:tcW w:w="709" w:type="pct"/>
            <w:tcBorders>
              <w:top w:val="single" w:sz="12" w:space="0" w:color="auto"/>
              <w:bottom w:val="nil"/>
            </w:tcBorders>
            <w:shd w:val="clear" w:color="auto" w:fill="auto"/>
            <w:tcMar>
              <w:left w:w="85" w:type="dxa"/>
              <w:right w:w="57" w:type="dxa"/>
            </w:tcMar>
          </w:tcPr>
          <w:p w14:paraId="273CD674" w14:textId="77777777" w:rsidR="00343D03" w:rsidRPr="00A616D8" w:rsidRDefault="00324184" w:rsidP="00254919">
            <w:pPr>
              <w:pStyle w:val="TableText"/>
              <w:rPr>
                <w:rStyle w:val="Emphasis"/>
              </w:rPr>
            </w:pPr>
            <w:r w:rsidRPr="00A616D8">
              <w:rPr>
                <w:rStyle w:val="Emphasis"/>
              </w:rPr>
              <w:t>Entomoneis punctulata</w:t>
            </w:r>
          </w:p>
        </w:tc>
        <w:tc>
          <w:tcPr>
            <w:tcW w:w="607" w:type="pct"/>
            <w:tcBorders>
              <w:top w:val="single" w:sz="12" w:space="0" w:color="auto"/>
              <w:bottom w:val="nil"/>
            </w:tcBorders>
            <w:shd w:val="clear" w:color="auto" w:fill="auto"/>
            <w:tcMar>
              <w:left w:w="85" w:type="dxa"/>
              <w:right w:w="57" w:type="dxa"/>
            </w:tcMar>
          </w:tcPr>
          <w:p w14:paraId="273CD675" w14:textId="77777777" w:rsidR="00343D03" w:rsidRPr="003978B4" w:rsidRDefault="00324184" w:rsidP="00254919">
            <w:pPr>
              <w:pStyle w:val="TableText"/>
            </w:pPr>
            <w:r w:rsidRPr="003978B4">
              <w:t>Exp</w:t>
            </w:r>
            <w:r w:rsidR="00BF0C83">
              <w:t>onential</w:t>
            </w:r>
            <w:r w:rsidRPr="003978B4">
              <w:t xml:space="preserve"> growth</w:t>
            </w:r>
          </w:p>
        </w:tc>
        <w:tc>
          <w:tcPr>
            <w:tcW w:w="405" w:type="pct"/>
            <w:tcBorders>
              <w:top w:val="single" w:sz="12" w:space="0" w:color="auto"/>
              <w:bottom w:val="nil"/>
            </w:tcBorders>
            <w:shd w:val="clear" w:color="auto" w:fill="auto"/>
            <w:tcMar>
              <w:left w:w="85" w:type="dxa"/>
              <w:right w:w="57" w:type="dxa"/>
            </w:tcMar>
          </w:tcPr>
          <w:p w14:paraId="273CD676" w14:textId="77777777" w:rsidR="00343D03" w:rsidRPr="003978B4" w:rsidRDefault="00324184" w:rsidP="00254919">
            <w:pPr>
              <w:pStyle w:val="TableText"/>
            </w:pPr>
            <w:r w:rsidRPr="003978B4">
              <w:t>3</w:t>
            </w:r>
          </w:p>
        </w:tc>
        <w:tc>
          <w:tcPr>
            <w:tcW w:w="709" w:type="pct"/>
            <w:tcBorders>
              <w:top w:val="single" w:sz="12" w:space="0" w:color="auto"/>
              <w:bottom w:val="nil"/>
            </w:tcBorders>
            <w:shd w:val="clear" w:color="auto" w:fill="auto"/>
            <w:tcMar>
              <w:left w:w="85" w:type="dxa"/>
              <w:right w:w="57" w:type="dxa"/>
            </w:tcMar>
          </w:tcPr>
          <w:p w14:paraId="273CD677" w14:textId="77777777" w:rsidR="00343D03" w:rsidRPr="003978B4" w:rsidRDefault="00324184" w:rsidP="006C4BAD">
            <w:pPr>
              <w:pStyle w:val="TableText"/>
            </w:pPr>
            <w:r w:rsidRPr="003978B4">
              <w:t>IC10</w:t>
            </w:r>
            <w:r w:rsidR="009E7D15">
              <w:t xml:space="preserve"> </w:t>
            </w:r>
            <w:r w:rsidR="006C4BAD">
              <w:br/>
            </w:r>
            <w:r w:rsidRPr="003978B4">
              <w:t xml:space="preserve">(Population growth </w:t>
            </w:r>
            <w:r w:rsidRPr="003978B4">
              <w:t>rate)</w:t>
            </w:r>
          </w:p>
        </w:tc>
        <w:tc>
          <w:tcPr>
            <w:tcW w:w="304" w:type="pct"/>
            <w:tcBorders>
              <w:top w:val="single" w:sz="12" w:space="0" w:color="auto"/>
              <w:bottom w:val="nil"/>
            </w:tcBorders>
            <w:shd w:val="clear" w:color="auto" w:fill="auto"/>
            <w:tcMar>
              <w:left w:w="85" w:type="dxa"/>
              <w:right w:w="57" w:type="dxa"/>
            </w:tcMar>
          </w:tcPr>
          <w:p w14:paraId="273CD678" w14:textId="77777777" w:rsidR="00343D03" w:rsidRPr="003978B4" w:rsidRDefault="00324184" w:rsidP="00254919">
            <w:pPr>
              <w:pStyle w:val="TableText"/>
            </w:pPr>
            <w:r w:rsidRPr="003978B4">
              <w:t>34</w:t>
            </w:r>
          </w:p>
        </w:tc>
        <w:tc>
          <w:tcPr>
            <w:tcW w:w="304" w:type="pct"/>
            <w:tcBorders>
              <w:top w:val="single" w:sz="12" w:space="0" w:color="auto"/>
              <w:bottom w:val="nil"/>
            </w:tcBorders>
            <w:shd w:val="clear" w:color="auto" w:fill="auto"/>
            <w:tcMar>
              <w:left w:w="85" w:type="dxa"/>
              <w:right w:w="57" w:type="dxa"/>
            </w:tcMar>
          </w:tcPr>
          <w:p w14:paraId="273CD679" w14:textId="77777777" w:rsidR="00343D03" w:rsidRPr="003978B4" w:rsidRDefault="00324184" w:rsidP="00254919">
            <w:pPr>
              <w:pStyle w:val="TableText"/>
            </w:pPr>
            <w:r w:rsidRPr="003978B4">
              <w:t>1</w:t>
            </w:r>
          </w:p>
        </w:tc>
        <w:tc>
          <w:tcPr>
            <w:tcW w:w="405" w:type="pct"/>
            <w:tcBorders>
              <w:top w:val="single" w:sz="12" w:space="0" w:color="auto"/>
              <w:bottom w:val="nil"/>
            </w:tcBorders>
            <w:shd w:val="clear" w:color="auto" w:fill="auto"/>
            <w:tcMar>
              <w:left w:w="85" w:type="dxa"/>
              <w:right w:w="57" w:type="dxa"/>
            </w:tcMar>
          </w:tcPr>
          <w:p w14:paraId="273CD67A" w14:textId="77777777" w:rsidR="00343D03" w:rsidRPr="003978B4" w:rsidRDefault="00324184" w:rsidP="00254919">
            <w:pPr>
              <w:pStyle w:val="TableText"/>
            </w:pPr>
            <w:r w:rsidRPr="003978B4">
              <w:t>21</w:t>
            </w:r>
          </w:p>
        </w:tc>
        <w:tc>
          <w:tcPr>
            <w:tcW w:w="430" w:type="pct"/>
            <w:tcBorders>
              <w:top w:val="single" w:sz="12" w:space="0" w:color="auto"/>
            </w:tcBorders>
            <w:shd w:val="clear" w:color="auto" w:fill="auto"/>
            <w:tcMar>
              <w:left w:w="85" w:type="dxa"/>
              <w:right w:w="57" w:type="dxa"/>
            </w:tcMar>
          </w:tcPr>
          <w:p w14:paraId="273CD67B" w14:textId="77777777" w:rsidR="00343D03" w:rsidRPr="003978B4" w:rsidRDefault="00324184" w:rsidP="00254919">
            <w:pPr>
              <w:pStyle w:val="TableText"/>
            </w:pPr>
            <w:r w:rsidRPr="003978B4">
              <w:t>1.4</w:t>
            </w:r>
          </w:p>
        </w:tc>
        <w:tc>
          <w:tcPr>
            <w:tcW w:w="621" w:type="pct"/>
            <w:tcBorders>
              <w:top w:val="single" w:sz="12" w:space="0" w:color="auto"/>
            </w:tcBorders>
            <w:shd w:val="clear" w:color="auto" w:fill="auto"/>
            <w:tcMar>
              <w:left w:w="85" w:type="dxa"/>
              <w:right w:w="57" w:type="dxa"/>
            </w:tcMar>
          </w:tcPr>
          <w:p w14:paraId="273CD67C" w14:textId="77777777" w:rsidR="00343D03" w:rsidRPr="003978B4" w:rsidRDefault="00324184" w:rsidP="00254919">
            <w:pPr>
              <w:pStyle w:val="TableText"/>
            </w:pPr>
            <w:r w:rsidRPr="003978B4">
              <w:rPr>
                <w:noProof/>
              </w:rPr>
              <w:t>Stauber et al. (2008)</w:t>
            </w:r>
          </w:p>
        </w:tc>
      </w:tr>
      <w:tr w:rsidR="00091AEB" w14:paraId="273CD682" w14:textId="77777777" w:rsidTr="00375885">
        <w:trPr>
          <w:cantSplit/>
        </w:trPr>
        <w:tc>
          <w:tcPr>
            <w:tcW w:w="506" w:type="pct"/>
            <w:vMerge/>
            <w:shd w:val="clear" w:color="auto" w:fill="auto"/>
            <w:tcMar>
              <w:left w:w="85" w:type="dxa"/>
              <w:right w:w="57" w:type="dxa"/>
            </w:tcMar>
          </w:tcPr>
          <w:p w14:paraId="273CD67E" w14:textId="77777777" w:rsidR="00343D03" w:rsidRPr="003978B4" w:rsidRDefault="00343D03" w:rsidP="00254919">
            <w:pPr>
              <w:pStyle w:val="TableText"/>
            </w:pPr>
          </w:p>
        </w:tc>
        <w:tc>
          <w:tcPr>
            <w:tcW w:w="3443" w:type="pct"/>
            <w:gridSpan w:val="7"/>
            <w:tcBorders>
              <w:top w:val="nil"/>
            </w:tcBorders>
            <w:shd w:val="clear" w:color="auto" w:fill="auto"/>
            <w:tcMar>
              <w:left w:w="85" w:type="dxa"/>
              <w:right w:w="57" w:type="dxa"/>
            </w:tcMar>
          </w:tcPr>
          <w:p w14:paraId="273CD67F" w14:textId="77777777" w:rsidR="00343D03" w:rsidRPr="003978B4" w:rsidRDefault="00324184" w:rsidP="00254919">
            <w:pPr>
              <w:pStyle w:val="TableText"/>
            </w:pPr>
            <w:r>
              <w:t>–</w:t>
            </w:r>
          </w:p>
        </w:tc>
        <w:tc>
          <w:tcPr>
            <w:tcW w:w="430" w:type="pct"/>
            <w:shd w:val="clear" w:color="auto" w:fill="auto"/>
            <w:tcMar>
              <w:left w:w="85" w:type="dxa"/>
              <w:right w:w="57" w:type="dxa"/>
            </w:tcMar>
          </w:tcPr>
          <w:p w14:paraId="273CD680" w14:textId="77777777" w:rsidR="00343D03" w:rsidRPr="00275044" w:rsidRDefault="00324184" w:rsidP="00254919">
            <w:pPr>
              <w:pStyle w:val="TableText"/>
              <w:rPr>
                <w:b/>
                <w:bCs/>
              </w:rPr>
            </w:pPr>
            <w:r w:rsidRPr="00275044">
              <w:rPr>
                <w:b/>
                <w:bCs/>
              </w:rPr>
              <w:t>1.4</w:t>
            </w:r>
          </w:p>
        </w:tc>
        <w:tc>
          <w:tcPr>
            <w:tcW w:w="621" w:type="pct"/>
            <w:shd w:val="clear" w:color="auto" w:fill="auto"/>
            <w:tcMar>
              <w:left w:w="85" w:type="dxa"/>
              <w:right w:w="57" w:type="dxa"/>
            </w:tcMar>
          </w:tcPr>
          <w:p w14:paraId="273CD681" w14:textId="77777777" w:rsidR="00343D03" w:rsidRPr="00275044" w:rsidRDefault="00324184" w:rsidP="00254919">
            <w:pPr>
              <w:pStyle w:val="TableText"/>
              <w:rPr>
                <w:b/>
                <w:bCs/>
              </w:rPr>
            </w:pPr>
            <w:r w:rsidRPr="00275044">
              <w:rPr>
                <w:b/>
                <w:bCs/>
              </w:rPr>
              <w:t>Value used in SSD</w:t>
            </w:r>
          </w:p>
        </w:tc>
      </w:tr>
      <w:tr w:rsidR="00091AEB" w14:paraId="273CD68D" w14:textId="77777777" w:rsidTr="00375885">
        <w:trPr>
          <w:cantSplit/>
        </w:trPr>
        <w:tc>
          <w:tcPr>
            <w:tcW w:w="506" w:type="pct"/>
            <w:vMerge/>
            <w:shd w:val="clear" w:color="auto" w:fill="auto"/>
            <w:tcMar>
              <w:left w:w="85" w:type="dxa"/>
              <w:right w:w="57" w:type="dxa"/>
            </w:tcMar>
          </w:tcPr>
          <w:p w14:paraId="273CD683" w14:textId="77777777" w:rsidR="00343D03" w:rsidRPr="003978B4" w:rsidRDefault="00343D03" w:rsidP="00254919">
            <w:pPr>
              <w:pStyle w:val="TableText"/>
            </w:pPr>
          </w:p>
        </w:tc>
        <w:tc>
          <w:tcPr>
            <w:tcW w:w="709" w:type="pct"/>
            <w:tcBorders>
              <w:bottom w:val="nil"/>
            </w:tcBorders>
            <w:shd w:val="clear" w:color="auto" w:fill="auto"/>
            <w:tcMar>
              <w:left w:w="85" w:type="dxa"/>
              <w:right w:w="57" w:type="dxa"/>
            </w:tcMar>
          </w:tcPr>
          <w:p w14:paraId="273CD684" w14:textId="77777777" w:rsidR="00343D03" w:rsidRPr="00A616D8" w:rsidRDefault="00324184" w:rsidP="00254919">
            <w:pPr>
              <w:pStyle w:val="TableText"/>
              <w:rPr>
                <w:rStyle w:val="Emphasis"/>
              </w:rPr>
            </w:pPr>
            <w:r w:rsidRPr="00A616D8">
              <w:rPr>
                <w:rStyle w:val="Emphasis"/>
              </w:rPr>
              <w:t>Minutocellus polymorphus</w:t>
            </w:r>
          </w:p>
        </w:tc>
        <w:tc>
          <w:tcPr>
            <w:tcW w:w="607" w:type="pct"/>
            <w:tcBorders>
              <w:bottom w:val="nil"/>
            </w:tcBorders>
            <w:shd w:val="clear" w:color="auto" w:fill="auto"/>
            <w:tcMar>
              <w:left w:w="85" w:type="dxa"/>
              <w:right w:w="57" w:type="dxa"/>
            </w:tcMar>
          </w:tcPr>
          <w:p w14:paraId="273CD685" w14:textId="77777777" w:rsidR="00343D03" w:rsidRPr="003978B4" w:rsidRDefault="00324184" w:rsidP="00254919">
            <w:pPr>
              <w:pStyle w:val="TableText"/>
            </w:pPr>
            <w:r w:rsidRPr="003978B4">
              <w:t>Exp</w:t>
            </w:r>
            <w:r>
              <w:t>onential</w:t>
            </w:r>
            <w:r w:rsidRPr="003978B4">
              <w:t xml:space="preserve"> growth</w:t>
            </w:r>
          </w:p>
        </w:tc>
        <w:tc>
          <w:tcPr>
            <w:tcW w:w="405" w:type="pct"/>
            <w:tcBorders>
              <w:bottom w:val="nil"/>
            </w:tcBorders>
            <w:shd w:val="clear" w:color="auto" w:fill="auto"/>
            <w:tcMar>
              <w:left w:w="85" w:type="dxa"/>
              <w:right w:w="57" w:type="dxa"/>
            </w:tcMar>
          </w:tcPr>
          <w:p w14:paraId="273CD686" w14:textId="77777777" w:rsidR="00343D03" w:rsidRPr="003978B4" w:rsidRDefault="00324184" w:rsidP="00254919">
            <w:pPr>
              <w:pStyle w:val="TableText"/>
            </w:pPr>
            <w:r w:rsidRPr="003978B4">
              <w:t>3</w:t>
            </w:r>
          </w:p>
        </w:tc>
        <w:tc>
          <w:tcPr>
            <w:tcW w:w="709" w:type="pct"/>
            <w:tcBorders>
              <w:bottom w:val="nil"/>
            </w:tcBorders>
            <w:shd w:val="clear" w:color="auto" w:fill="auto"/>
            <w:tcMar>
              <w:left w:w="85" w:type="dxa"/>
              <w:right w:w="57" w:type="dxa"/>
            </w:tcMar>
          </w:tcPr>
          <w:p w14:paraId="273CD687" w14:textId="77777777" w:rsidR="00343D03" w:rsidRPr="003978B4" w:rsidRDefault="00324184" w:rsidP="006C4BAD">
            <w:pPr>
              <w:pStyle w:val="TableText"/>
            </w:pPr>
            <w:r w:rsidRPr="003978B4">
              <w:t>NOEC</w:t>
            </w:r>
            <w:r w:rsidR="009E7D15">
              <w:t xml:space="preserve"> </w:t>
            </w:r>
            <w:r w:rsidR="006C4BAD">
              <w:br/>
            </w:r>
            <w:r w:rsidRPr="003978B4">
              <w:t>(Population growth rate)</w:t>
            </w:r>
          </w:p>
        </w:tc>
        <w:tc>
          <w:tcPr>
            <w:tcW w:w="304" w:type="pct"/>
            <w:tcBorders>
              <w:bottom w:val="nil"/>
            </w:tcBorders>
            <w:shd w:val="clear" w:color="auto" w:fill="auto"/>
            <w:tcMar>
              <w:left w:w="85" w:type="dxa"/>
              <w:right w:w="57" w:type="dxa"/>
            </w:tcMar>
          </w:tcPr>
          <w:p w14:paraId="273CD688" w14:textId="77777777" w:rsidR="00343D03" w:rsidRPr="003978B4" w:rsidRDefault="00324184" w:rsidP="00254919">
            <w:pPr>
              <w:pStyle w:val="TableText"/>
            </w:pPr>
            <w:r>
              <w:t>–</w:t>
            </w:r>
          </w:p>
        </w:tc>
        <w:tc>
          <w:tcPr>
            <w:tcW w:w="304" w:type="pct"/>
            <w:tcBorders>
              <w:bottom w:val="nil"/>
            </w:tcBorders>
            <w:shd w:val="clear" w:color="auto" w:fill="auto"/>
            <w:tcMar>
              <w:left w:w="85" w:type="dxa"/>
              <w:right w:w="57" w:type="dxa"/>
            </w:tcMar>
          </w:tcPr>
          <w:p w14:paraId="273CD689" w14:textId="77777777" w:rsidR="00343D03" w:rsidRPr="003978B4" w:rsidRDefault="00324184" w:rsidP="00254919">
            <w:pPr>
              <w:pStyle w:val="TableText"/>
            </w:pPr>
            <w:r>
              <w:t>–</w:t>
            </w:r>
          </w:p>
        </w:tc>
        <w:tc>
          <w:tcPr>
            <w:tcW w:w="405" w:type="pct"/>
            <w:tcBorders>
              <w:bottom w:val="nil"/>
            </w:tcBorders>
            <w:shd w:val="clear" w:color="auto" w:fill="auto"/>
            <w:tcMar>
              <w:left w:w="85" w:type="dxa"/>
              <w:right w:w="57" w:type="dxa"/>
            </w:tcMar>
          </w:tcPr>
          <w:p w14:paraId="273CD68A" w14:textId="77777777" w:rsidR="00343D03" w:rsidRPr="003978B4" w:rsidRDefault="00324184" w:rsidP="00254919">
            <w:pPr>
              <w:pStyle w:val="TableText"/>
            </w:pPr>
            <w:r w:rsidRPr="003978B4">
              <w:t>21</w:t>
            </w:r>
          </w:p>
        </w:tc>
        <w:tc>
          <w:tcPr>
            <w:tcW w:w="430" w:type="pct"/>
            <w:shd w:val="clear" w:color="auto" w:fill="auto"/>
            <w:tcMar>
              <w:left w:w="85" w:type="dxa"/>
              <w:right w:w="57" w:type="dxa"/>
            </w:tcMar>
          </w:tcPr>
          <w:p w14:paraId="273CD68B" w14:textId="77777777" w:rsidR="00343D03" w:rsidRPr="003978B4" w:rsidRDefault="00324184" w:rsidP="00254919">
            <w:pPr>
              <w:pStyle w:val="TableText"/>
            </w:pPr>
            <w:r w:rsidRPr="003978B4">
              <w:t>&lt;0.2</w:t>
            </w:r>
          </w:p>
        </w:tc>
        <w:tc>
          <w:tcPr>
            <w:tcW w:w="621" w:type="pct"/>
            <w:shd w:val="clear" w:color="auto" w:fill="auto"/>
            <w:tcMar>
              <w:left w:w="85" w:type="dxa"/>
              <w:right w:w="57" w:type="dxa"/>
            </w:tcMar>
          </w:tcPr>
          <w:p w14:paraId="273CD68C" w14:textId="77777777" w:rsidR="00343D03" w:rsidRPr="003978B4" w:rsidRDefault="00324184" w:rsidP="00254919">
            <w:pPr>
              <w:pStyle w:val="TableText"/>
            </w:pPr>
            <w:r w:rsidRPr="003978B4">
              <w:rPr>
                <w:noProof/>
              </w:rPr>
              <w:t>Levy et al. (2007)</w:t>
            </w:r>
          </w:p>
        </w:tc>
      </w:tr>
      <w:tr w:rsidR="00091AEB" w14:paraId="273CD692" w14:textId="77777777" w:rsidTr="00A77E19">
        <w:trPr>
          <w:cantSplit/>
          <w:trHeight w:val="70"/>
        </w:trPr>
        <w:tc>
          <w:tcPr>
            <w:tcW w:w="506" w:type="pct"/>
            <w:vMerge/>
            <w:shd w:val="clear" w:color="auto" w:fill="auto"/>
            <w:tcMar>
              <w:left w:w="85" w:type="dxa"/>
              <w:right w:w="57" w:type="dxa"/>
            </w:tcMar>
          </w:tcPr>
          <w:p w14:paraId="273CD68E" w14:textId="77777777" w:rsidR="00343D03" w:rsidRPr="003978B4" w:rsidRDefault="00343D03" w:rsidP="00254919">
            <w:pPr>
              <w:pStyle w:val="TableText"/>
            </w:pPr>
          </w:p>
        </w:tc>
        <w:tc>
          <w:tcPr>
            <w:tcW w:w="3443" w:type="pct"/>
            <w:gridSpan w:val="7"/>
            <w:tcBorders>
              <w:top w:val="nil"/>
            </w:tcBorders>
            <w:shd w:val="clear" w:color="auto" w:fill="auto"/>
            <w:tcMar>
              <w:left w:w="85" w:type="dxa"/>
              <w:right w:w="57" w:type="dxa"/>
            </w:tcMar>
          </w:tcPr>
          <w:p w14:paraId="273CD68F" w14:textId="77777777" w:rsidR="00343D03" w:rsidRPr="003978B4" w:rsidRDefault="00324184" w:rsidP="00254919">
            <w:pPr>
              <w:pStyle w:val="TableText"/>
            </w:pPr>
            <w:r>
              <w:t>–</w:t>
            </w:r>
          </w:p>
        </w:tc>
        <w:tc>
          <w:tcPr>
            <w:tcW w:w="430" w:type="pct"/>
            <w:shd w:val="clear" w:color="auto" w:fill="auto"/>
            <w:tcMar>
              <w:left w:w="85" w:type="dxa"/>
              <w:right w:w="57" w:type="dxa"/>
            </w:tcMar>
          </w:tcPr>
          <w:p w14:paraId="273CD690" w14:textId="77777777" w:rsidR="00343D03" w:rsidRPr="00275044" w:rsidRDefault="00324184" w:rsidP="00254919">
            <w:pPr>
              <w:pStyle w:val="TableText"/>
              <w:rPr>
                <w:b/>
                <w:bCs/>
              </w:rPr>
            </w:pPr>
            <w:r w:rsidRPr="00275044">
              <w:rPr>
                <w:b/>
                <w:bCs/>
              </w:rPr>
              <w:t xml:space="preserve">0.2 </w:t>
            </w:r>
            <w:r w:rsidRPr="0090363F">
              <w:rPr>
                <w:rStyle w:val="Strong"/>
                <w:vertAlign w:val="superscript"/>
              </w:rPr>
              <w:t>a</w:t>
            </w:r>
          </w:p>
        </w:tc>
        <w:tc>
          <w:tcPr>
            <w:tcW w:w="621" w:type="pct"/>
            <w:shd w:val="clear" w:color="auto" w:fill="auto"/>
            <w:tcMar>
              <w:left w:w="85" w:type="dxa"/>
              <w:right w:w="57" w:type="dxa"/>
            </w:tcMar>
          </w:tcPr>
          <w:p w14:paraId="273CD691" w14:textId="77777777" w:rsidR="00343D03" w:rsidRPr="00275044" w:rsidRDefault="00324184" w:rsidP="00254919">
            <w:pPr>
              <w:pStyle w:val="TableText"/>
              <w:rPr>
                <w:b/>
                <w:bCs/>
              </w:rPr>
            </w:pPr>
            <w:r w:rsidRPr="00275044">
              <w:rPr>
                <w:b/>
                <w:bCs/>
              </w:rPr>
              <w:t>Value used in SSD</w:t>
            </w:r>
          </w:p>
        </w:tc>
      </w:tr>
      <w:tr w:rsidR="00091AEB" w14:paraId="273CD69D" w14:textId="77777777" w:rsidTr="00375885">
        <w:trPr>
          <w:cantSplit/>
        </w:trPr>
        <w:tc>
          <w:tcPr>
            <w:tcW w:w="506" w:type="pct"/>
            <w:vMerge/>
            <w:shd w:val="clear" w:color="auto" w:fill="auto"/>
            <w:tcMar>
              <w:left w:w="85" w:type="dxa"/>
              <w:right w:w="57" w:type="dxa"/>
            </w:tcMar>
          </w:tcPr>
          <w:p w14:paraId="273CD693" w14:textId="77777777" w:rsidR="00A90B31" w:rsidRPr="003978B4" w:rsidRDefault="00A90B31" w:rsidP="00254919">
            <w:pPr>
              <w:pStyle w:val="TableText"/>
            </w:pPr>
          </w:p>
        </w:tc>
        <w:tc>
          <w:tcPr>
            <w:tcW w:w="709" w:type="pct"/>
            <w:vMerge w:val="restart"/>
            <w:shd w:val="clear" w:color="auto" w:fill="auto"/>
            <w:tcMar>
              <w:left w:w="85" w:type="dxa"/>
              <w:right w:w="57" w:type="dxa"/>
            </w:tcMar>
          </w:tcPr>
          <w:p w14:paraId="273CD694" w14:textId="77777777" w:rsidR="00A90B31" w:rsidRPr="00254919" w:rsidRDefault="00324184" w:rsidP="00254919">
            <w:pPr>
              <w:pStyle w:val="TableText"/>
            </w:pPr>
            <w:r w:rsidRPr="00A616D8">
              <w:rPr>
                <w:rStyle w:val="Emphasis"/>
              </w:rPr>
              <w:t>Ceratoneis closterium</w:t>
            </w:r>
            <w:r w:rsidRPr="00254919">
              <w:t xml:space="preserve"> </w:t>
            </w:r>
            <w:r w:rsidR="00BF0C83" w:rsidRPr="00530C74">
              <w:rPr>
                <w:rStyle w:val="Strong"/>
                <w:vertAlign w:val="superscript"/>
              </w:rPr>
              <w:t>d</w:t>
            </w:r>
            <w:r w:rsidR="00BF0C83">
              <w:t xml:space="preserve"> </w:t>
            </w:r>
          </w:p>
        </w:tc>
        <w:tc>
          <w:tcPr>
            <w:tcW w:w="607" w:type="pct"/>
            <w:shd w:val="clear" w:color="auto" w:fill="auto"/>
            <w:tcMar>
              <w:left w:w="85" w:type="dxa"/>
              <w:right w:w="57" w:type="dxa"/>
            </w:tcMar>
          </w:tcPr>
          <w:p w14:paraId="273CD695" w14:textId="77777777" w:rsidR="00A90B31" w:rsidRPr="003978B4" w:rsidRDefault="00324184" w:rsidP="00254919">
            <w:pPr>
              <w:pStyle w:val="TableText"/>
            </w:pPr>
            <w:r w:rsidRPr="003978B4">
              <w:t>Exp</w:t>
            </w:r>
            <w:r>
              <w:t>onential</w:t>
            </w:r>
            <w:r w:rsidRPr="003978B4">
              <w:t xml:space="preserve"> growth</w:t>
            </w:r>
          </w:p>
        </w:tc>
        <w:tc>
          <w:tcPr>
            <w:tcW w:w="405" w:type="pct"/>
            <w:shd w:val="clear" w:color="auto" w:fill="auto"/>
            <w:tcMar>
              <w:left w:w="85" w:type="dxa"/>
              <w:right w:w="57" w:type="dxa"/>
            </w:tcMar>
          </w:tcPr>
          <w:p w14:paraId="273CD696" w14:textId="77777777" w:rsidR="00A90B31" w:rsidRPr="003978B4" w:rsidRDefault="00324184" w:rsidP="00254919">
            <w:pPr>
              <w:pStyle w:val="TableText"/>
            </w:pPr>
            <w:r w:rsidRPr="003978B4">
              <w:t>3</w:t>
            </w:r>
          </w:p>
        </w:tc>
        <w:tc>
          <w:tcPr>
            <w:tcW w:w="709" w:type="pct"/>
            <w:shd w:val="clear" w:color="auto" w:fill="auto"/>
            <w:tcMar>
              <w:left w:w="85" w:type="dxa"/>
              <w:right w:w="57" w:type="dxa"/>
            </w:tcMar>
          </w:tcPr>
          <w:p w14:paraId="273CD697" w14:textId="77777777" w:rsidR="00A90B31" w:rsidRPr="003978B4" w:rsidRDefault="00324184" w:rsidP="006C4BAD">
            <w:pPr>
              <w:pStyle w:val="TableText"/>
            </w:pPr>
            <w:r w:rsidRPr="003978B4">
              <w:t>IC10</w:t>
            </w:r>
            <w:r w:rsidR="009E7D15">
              <w:t xml:space="preserve"> </w:t>
            </w:r>
            <w:r w:rsidR="006C4BAD">
              <w:br/>
            </w:r>
            <w:r w:rsidRPr="003978B4">
              <w:t>(Population growth rate)</w:t>
            </w:r>
          </w:p>
        </w:tc>
        <w:tc>
          <w:tcPr>
            <w:tcW w:w="304" w:type="pct"/>
            <w:shd w:val="clear" w:color="auto" w:fill="auto"/>
            <w:tcMar>
              <w:left w:w="85" w:type="dxa"/>
              <w:right w:w="57" w:type="dxa"/>
            </w:tcMar>
          </w:tcPr>
          <w:p w14:paraId="273CD698" w14:textId="77777777" w:rsidR="00A90B31" w:rsidRPr="003978B4" w:rsidRDefault="00324184" w:rsidP="00254919">
            <w:pPr>
              <w:pStyle w:val="TableText"/>
            </w:pPr>
            <w:r w:rsidRPr="003978B4">
              <w:t>34</w:t>
            </w:r>
          </w:p>
        </w:tc>
        <w:tc>
          <w:tcPr>
            <w:tcW w:w="304" w:type="pct"/>
            <w:shd w:val="clear" w:color="auto" w:fill="auto"/>
            <w:tcMar>
              <w:left w:w="85" w:type="dxa"/>
              <w:right w:w="57" w:type="dxa"/>
            </w:tcMar>
          </w:tcPr>
          <w:p w14:paraId="273CD699" w14:textId="77777777" w:rsidR="00A90B31" w:rsidRPr="003978B4" w:rsidRDefault="00324184" w:rsidP="00254919">
            <w:pPr>
              <w:pStyle w:val="TableText"/>
            </w:pPr>
            <w:r>
              <w:t>–</w:t>
            </w:r>
          </w:p>
        </w:tc>
        <w:tc>
          <w:tcPr>
            <w:tcW w:w="405" w:type="pct"/>
            <w:shd w:val="clear" w:color="auto" w:fill="auto"/>
            <w:tcMar>
              <w:left w:w="85" w:type="dxa"/>
              <w:right w:w="57" w:type="dxa"/>
            </w:tcMar>
          </w:tcPr>
          <w:p w14:paraId="273CD69A" w14:textId="77777777" w:rsidR="00A90B31" w:rsidRPr="003978B4" w:rsidRDefault="00324184" w:rsidP="00254919">
            <w:pPr>
              <w:pStyle w:val="TableText"/>
            </w:pPr>
            <w:r w:rsidRPr="003978B4">
              <w:t>27</w:t>
            </w:r>
          </w:p>
        </w:tc>
        <w:tc>
          <w:tcPr>
            <w:tcW w:w="430" w:type="pct"/>
            <w:shd w:val="clear" w:color="auto" w:fill="auto"/>
            <w:tcMar>
              <w:left w:w="85" w:type="dxa"/>
              <w:right w:w="57" w:type="dxa"/>
            </w:tcMar>
          </w:tcPr>
          <w:p w14:paraId="273CD69B" w14:textId="77777777" w:rsidR="00A90B31" w:rsidRPr="003978B4" w:rsidRDefault="00324184" w:rsidP="00254919">
            <w:pPr>
              <w:pStyle w:val="TableText"/>
            </w:pPr>
            <w:r w:rsidRPr="003978B4">
              <w:t>8</w:t>
            </w:r>
          </w:p>
        </w:tc>
        <w:tc>
          <w:tcPr>
            <w:tcW w:w="621" w:type="pct"/>
            <w:shd w:val="clear" w:color="auto" w:fill="auto"/>
            <w:tcMar>
              <w:left w:w="85" w:type="dxa"/>
              <w:right w:w="57" w:type="dxa"/>
            </w:tcMar>
          </w:tcPr>
          <w:p w14:paraId="273CD69C" w14:textId="77777777" w:rsidR="00A90B31" w:rsidRPr="003978B4" w:rsidRDefault="00324184" w:rsidP="00254919">
            <w:pPr>
              <w:pStyle w:val="TableText"/>
            </w:pPr>
            <w:r w:rsidRPr="003978B4">
              <w:rPr>
                <w:noProof/>
              </w:rPr>
              <w:t>Johnson et al. (2007)</w:t>
            </w:r>
          </w:p>
        </w:tc>
      </w:tr>
      <w:tr w:rsidR="00091AEB" w14:paraId="273CD6A8" w14:textId="77777777" w:rsidTr="00375885">
        <w:trPr>
          <w:cantSplit/>
        </w:trPr>
        <w:tc>
          <w:tcPr>
            <w:tcW w:w="506" w:type="pct"/>
            <w:vMerge/>
            <w:shd w:val="clear" w:color="auto" w:fill="auto"/>
            <w:tcMar>
              <w:left w:w="85" w:type="dxa"/>
              <w:right w:w="57" w:type="dxa"/>
            </w:tcMar>
          </w:tcPr>
          <w:p w14:paraId="273CD69E" w14:textId="77777777" w:rsidR="00A90B31" w:rsidRPr="003978B4" w:rsidRDefault="00A90B31" w:rsidP="00254919">
            <w:pPr>
              <w:pStyle w:val="TableText"/>
            </w:pPr>
          </w:p>
        </w:tc>
        <w:tc>
          <w:tcPr>
            <w:tcW w:w="709" w:type="pct"/>
            <w:vMerge/>
            <w:shd w:val="clear" w:color="auto" w:fill="auto"/>
            <w:tcMar>
              <w:left w:w="85" w:type="dxa"/>
              <w:right w:w="57" w:type="dxa"/>
            </w:tcMar>
          </w:tcPr>
          <w:p w14:paraId="273CD69F" w14:textId="77777777" w:rsidR="00A90B31" w:rsidRPr="00254919" w:rsidRDefault="00A90B31" w:rsidP="00254919">
            <w:pPr>
              <w:pStyle w:val="TableText"/>
            </w:pPr>
          </w:p>
        </w:tc>
        <w:tc>
          <w:tcPr>
            <w:tcW w:w="607" w:type="pct"/>
            <w:shd w:val="clear" w:color="auto" w:fill="auto"/>
            <w:tcMar>
              <w:left w:w="85" w:type="dxa"/>
              <w:right w:w="57" w:type="dxa"/>
            </w:tcMar>
          </w:tcPr>
          <w:p w14:paraId="273CD6A0" w14:textId="77777777" w:rsidR="00A90B31" w:rsidRPr="003978B4" w:rsidRDefault="00324184" w:rsidP="00254919">
            <w:pPr>
              <w:pStyle w:val="TableText"/>
            </w:pPr>
            <w:r w:rsidRPr="003978B4">
              <w:t>Exp</w:t>
            </w:r>
            <w:r>
              <w:t>onential</w:t>
            </w:r>
            <w:r w:rsidRPr="003978B4">
              <w:t xml:space="preserve"> growth</w:t>
            </w:r>
          </w:p>
        </w:tc>
        <w:tc>
          <w:tcPr>
            <w:tcW w:w="405" w:type="pct"/>
            <w:shd w:val="clear" w:color="auto" w:fill="auto"/>
            <w:tcMar>
              <w:left w:w="85" w:type="dxa"/>
              <w:right w:w="57" w:type="dxa"/>
            </w:tcMar>
          </w:tcPr>
          <w:p w14:paraId="273CD6A1" w14:textId="77777777" w:rsidR="00A90B31" w:rsidRPr="003978B4" w:rsidRDefault="00324184" w:rsidP="00254919">
            <w:pPr>
              <w:pStyle w:val="TableText"/>
            </w:pPr>
            <w:r w:rsidRPr="003978B4">
              <w:t>3</w:t>
            </w:r>
          </w:p>
        </w:tc>
        <w:tc>
          <w:tcPr>
            <w:tcW w:w="709" w:type="pct"/>
            <w:shd w:val="clear" w:color="auto" w:fill="auto"/>
            <w:tcMar>
              <w:left w:w="85" w:type="dxa"/>
              <w:right w:w="57" w:type="dxa"/>
            </w:tcMar>
          </w:tcPr>
          <w:p w14:paraId="273CD6A2" w14:textId="77777777" w:rsidR="00A90B31" w:rsidRPr="003978B4" w:rsidRDefault="00324184" w:rsidP="006C4BAD">
            <w:pPr>
              <w:pStyle w:val="TableText"/>
            </w:pPr>
            <w:r w:rsidRPr="003978B4">
              <w:t>EC10</w:t>
            </w:r>
            <w:r w:rsidR="009E7D15">
              <w:t xml:space="preserve"> </w:t>
            </w:r>
            <w:r w:rsidR="006C4BAD">
              <w:br/>
            </w:r>
            <w:r w:rsidRPr="003978B4">
              <w:t>(Population growth rate)</w:t>
            </w:r>
          </w:p>
        </w:tc>
        <w:tc>
          <w:tcPr>
            <w:tcW w:w="304" w:type="pct"/>
            <w:shd w:val="clear" w:color="auto" w:fill="auto"/>
            <w:tcMar>
              <w:left w:w="85" w:type="dxa"/>
              <w:right w:w="57" w:type="dxa"/>
            </w:tcMar>
          </w:tcPr>
          <w:p w14:paraId="273CD6A3" w14:textId="77777777" w:rsidR="00A90B31" w:rsidRPr="003978B4" w:rsidRDefault="00324184" w:rsidP="00254919">
            <w:pPr>
              <w:pStyle w:val="TableText"/>
            </w:pPr>
            <w:r w:rsidRPr="003978B4">
              <w:t>36</w:t>
            </w:r>
          </w:p>
        </w:tc>
        <w:tc>
          <w:tcPr>
            <w:tcW w:w="304" w:type="pct"/>
            <w:shd w:val="clear" w:color="auto" w:fill="auto"/>
            <w:tcMar>
              <w:left w:w="85" w:type="dxa"/>
              <w:right w:w="57" w:type="dxa"/>
            </w:tcMar>
          </w:tcPr>
          <w:p w14:paraId="273CD6A4" w14:textId="77777777" w:rsidR="00A90B31" w:rsidRPr="003978B4" w:rsidRDefault="00324184" w:rsidP="00254919">
            <w:pPr>
              <w:pStyle w:val="TableText"/>
            </w:pPr>
            <w:r w:rsidRPr="003978B4">
              <w:t>1.4</w:t>
            </w:r>
          </w:p>
        </w:tc>
        <w:tc>
          <w:tcPr>
            <w:tcW w:w="405" w:type="pct"/>
            <w:shd w:val="clear" w:color="auto" w:fill="auto"/>
            <w:tcMar>
              <w:left w:w="85" w:type="dxa"/>
              <w:right w:w="57" w:type="dxa"/>
            </w:tcMar>
          </w:tcPr>
          <w:p w14:paraId="273CD6A5" w14:textId="77777777" w:rsidR="00A90B31" w:rsidRPr="003978B4" w:rsidRDefault="00324184" w:rsidP="00254919">
            <w:pPr>
              <w:pStyle w:val="TableText"/>
            </w:pPr>
            <w:r w:rsidRPr="003978B4">
              <w:t>27</w:t>
            </w:r>
          </w:p>
        </w:tc>
        <w:tc>
          <w:tcPr>
            <w:tcW w:w="430" w:type="pct"/>
            <w:shd w:val="clear" w:color="auto" w:fill="auto"/>
            <w:tcMar>
              <w:left w:w="85" w:type="dxa"/>
              <w:right w:w="57" w:type="dxa"/>
            </w:tcMar>
          </w:tcPr>
          <w:p w14:paraId="273CD6A6" w14:textId="77777777" w:rsidR="00A90B31" w:rsidRPr="003978B4" w:rsidRDefault="00324184" w:rsidP="00254919">
            <w:pPr>
              <w:pStyle w:val="TableText"/>
            </w:pPr>
            <w:r w:rsidRPr="003978B4">
              <w:t>0.97</w:t>
            </w:r>
          </w:p>
        </w:tc>
        <w:tc>
          <w:tcPr>
            <w:tcW w:w="621" w:type="pct"/>
            <w:shd w:val="clear" w:color="auto" w:fill="auto"/>
            <w:tcMar>
              <w:left w:w="85" w:type="dxa"/>
              <w:right w:w="57" w:type="dxa"/>
            </w:tcMar>
          </w:tcPr>
          <w:p w14:paraId="273CD6A7" w14:textId="77777777" w:rsidR="00A90B31" w:rsidRPr="003978B4" w:rsidRDefault="00324184" w:rsidP="00254919">
            <w:pPr>
              <w:pStyle w:val="TableText"/>
              <w:rPr>
                <w:noProof/>
              </w:rPr>
            </w:pPr>
            <w:r w:rsidRPr="003978B4">
              <w:rPr>
                <w:noProof/>
              </w:rPr>
              <w:t>Adams et al. (2018)</w:t>
            </w:r>
          </w:p>
        </w:tc>
      </w:tr>
      <w:tr w:rsidR="00091AEB" w14:paraId="273CD6B3" w14:textId="77777777" w:rsidTr="00375885">
        <w:trPr>
          <w:cantSplit/>
        </w:trPr>
        <w:tc>
          <w:tcPr>
            <w:tcW w:w="506" w:type="pct"/>
            <w:vMerge/>
            <w:shd w:val="clear" w:color="auto" w:fill="auto"/>
            <w:tcMar>
              <w:left w:w="85" w:type="dxa"/>
              <w:right w:w="57" w:type="dxa"/>
            </w:tcMar>
          </w:tcPr>
          <w:p w14:paraId="273CD6A9" w14:textId="77777777" w:rsidR="00A90B31" w:rsidRPr="003978B4" w:rsidRDefault="00A90B31" w:rsidP="00254919">
            <w:pPr>
              <w:pStyle w:val="TableText"/>
            </w:pPr>
          </w:p>
        </w:tc>
        <w:tc>
          <w:tcPr>
            <w:tcW w:w="709" w:type="pct"/>
            <w:vMerge/>
            <w:shd w:val="clear" w:color="auto" w:fill="auto"/>
            <w:tcMar>
              <w:left w:w="85" w:type="dxa"/>
              <w:right w:w="57" w:type="dxa"/>
            </w:tcMar>
          </w:tcPr>
          <w:p w14:paraId="273CD6AA" w14:textId="77777777" w:rsidR="00A90B31" w:rsidRPr="00254919" w:rsidRDefault="00A90B31" w:rsidP="00254919">
            <w:pPr>
              <w:pStyle w:val="TableText"/>
            </w:pPr>
          </w:p>
        </w:tc>
        <w:tc>
          <w:tcPr>
            <w:tcW w:w="607" w:type="pct"/>
            <w:shd w:val="clear" w:color="auto" w:fill="auto"/>
            <w:tcMar>
              <w:left w:w="85" w:type="dxa"/>
              <w:right w:w="57" w:type="dxa"/>
            </w:tcMar>
          </w:tcPr>
          <w:p w14:paraId="273CD6AB" w14:textId="77777777" w:rsidR="00A90B31" w:rsidRPr="003978B4" w:rsidRDefault="00324184" w:rsidP="00254919">
            <w:pPr>
              <w:pStyle w:val="TableText"/>
            </w:pPr>
            <w:r w:rsidRPr="003978B4">
              <w:t>Exp</w:t>
            </w:r>
            <w:r>
              <w:t>onential</w:t>
            </w:r>
            <w:r w:rsidRPr="003978B4">
              <w:t xml:space="preserve"> growth</w:t>
            </w:r>
          </w:p>
        </w:tc>
        <w:tc>
          <w:tcPr>
            <w:tcW w:w="405" w:type="pct"/>
            <w:shd w:val="clear" w:color="auto" w:fill="auto"/>
            <w:tcMar>
              <w:left w:w="85" w:type="dxa"/>
              <w:right w:w="57" w:type="dxa"/>
            </w:tcMar>
          </w:tcPr>
          <w:p w14:paraId="273CD6AC" w14:textId="77777777" w:rsidR="00A90B31" w:rsidRPr="003978B4" w:rsidRDefault="00324184" w:rsidP="00254919">
            <w:pPr>
              <w:pStyle w:val="TableText"/>
            </w:pPr>
            <w:r w:rsidRPr="003978B4">
              <w:t>3</w:t>
            </w:r>
          </w:p>
        </w:tc>
        <w:tc>
          <w:tcPr>
            <w:tcW w:w="709" w:type="pct"/>
            <w:shd w:val="clear" w:color="auto" w:fill="auto"/>
            <w:tcMar>
              <w:left w:w="85" w:type="dxa"/>
              <w:right w:w="57" w:type="dxa"/>
            </w:tcMar>
          </w:tcPr>
          <w:p w14:paraId="273CD6AD" w14:textId="77777777" w:rsidR="00A90B31" w:rsidRPr="003978B4" w:rsidRDefault="00324184" w:rsidP="006C4BAD">
            <w:pPr>
              <w:pStyle w:val="TableText"/>
            </w:pPr>
            <w:r w:rsidRPr="003978B4">
              <w:t>EC10</w:t>
            </w:r>
            <w:r w:rsidR="009E7D15">
              <w:t xml:space="preserve"> </w:t>
            </w:r>
            <w:r w:rsidR="006C4BAD">
              <w:br/>
            </w:r>
            <w:r w:rsidRPr="003978B4">
              <w:t>(Population growth rate)</w:t>
            </w:r>
          </w:p>
        </w:tc>
        <w:tc>
          <w:tcPr>
            <w:tcW w:w="304" w:type="pct"/>
            <w:shd w:val="clear" w:color="auto" w:fill="auto"/>
            <w:tcMar>
              <w:left w:w="85" w:type="dxa"/>
              <w:right w:w="57" w:type="dxa"/>
            </w:tcMar>
          </w:tcPr>
          <w:p w14:paraId="273CD6AE" w14:textId="77777777" w:rsidR="00A90B31" w:rsidRPr="003978B4" w:rsidRDefault="00324184" w:rsidP="00254919">
            <w:pPr>
              <w:pStyle w:val="TableText"/>
            </w:pPr>
            <w:r w:rsidRPr="003978B4">
              <w:t>36</w:t>
            </w:r>
          </w:p>
        </w:tc>
        <w:tc>
          <w:tcPr>
            <w:tcW w:w="304" w:type="pct"/>
            <w:shd w:val="clear" w:color="auto" w:fill="auto"/>
            <w:tcMar>
              <w:left w:w="85" w:type="dxa"/>
              <w:right w:w="57" w:type="dxa"/>
            </w:tcMar>
          </w:tcPr>
          <w:p w14:paraId="273CD6AF" w14:textId="77777777" w:rsidR="00A90B31" w:rsidRPr="003978B4" w:rsidRDefault="00324184" w:rsidP="00254919">
            <w:pPr>
              <w:pStyle w:val="TableText"/>
            </w:pPr>
            <w:r w:rsidRPr="003978B4">
              <w:t>1.4</w:t>
            </w:r>
          </w:p>
        </w:tc>
        <w:tc>
          <w:tcPr>
            <w:tcW w:w="405" w:type="pct"/>
            <w:shd w:val="clear" w:color="auto" w:fill="auto"/>
            <w:tcMar>
              <w:left w:w="85" w:type="dxa"/>
              <w:right w:w="57" w:type="dxa"/>
            </w:tcMar>
          </w:tcPr>
          <w:p w14:paraId="273CD6B0" w14:textId="77777777" w:rsidR="00A90B31" w:rsidRPr="003978B4" w:rsidRDefault="00324184" w:rsidP="00254919">
            <w:pPr>
              <w:pStyle w:val="TableText"/>
            </w:pPr>
            <w:r w:rsidRPr="003978B4">
              <w:t>27</w:t>
            </w:r>
          </w:p>
        </w:tc>
        <w:tc>
          <w:tcPr>
            <w:tcW w:w="430" w:type="pct"/>
            <w:shd w:val="clear" w:color="auto" w:fill="auto"/>
            <w:tcMar>
              <w:left w:w="85" w:type="dxa"/>
              <w:right w:w="57" w:type="dxa"/>
            </w:tcMar>
          </w:tcPr>
          <w:p w14:paraId="273CD6B1" w14:textId="77777777" w:rsidR="00A90B31" w:rsidRPr="003978B4" w:rsidRDefault="00324184" w:rsidP="00254919">
            <w:pPr>
              <w:pStyle w:val="TableText"/>
            </w:pPr>
            <w:r w:rsidRPr="003978B4">
              <w:t>0.87</w:t>
            </w:r>
          </w:p>
        </w:tc>
        <w:tc>
          <w:tcPr>
            <w:tcW w:w="621" w:type="pct"/>
            <w:shd w:val="clear" w:color="auto" w:fill="auto"/>
            <w:tcMar>
              <w:left w:w="85" w:type="dxa"/>
              <w:right w:w="57" w:type="dxa"/>
            </w:tcMar>
          </w:tcPr>
          <w:p w14:paraId="273CD6B2" w14:textId="77777777" w:rsidR="00A90B31" w:rsidRPr="003978B4" w:rsidRDefault="00324184" w:rsidP="00254919">
            <w:pPr>
              <w:pStyle w:val="TableText"/>
              <w:rPr>
                <w:noProof/>
              </w:rPr>
            </w:pPr>
            <w:r w:rsidRPr="003978B4">
              <w:rPr>
                <w:noProof/>
              </w:rPr>
              <w:t>Adams et al. (2018)</w:t>
            </w:r>
          </w:p>
        </w:tc>
      </w:tr>
      <w:tr w:rsidR="00091AEB" w14:paraId="273CD6BE" w14:textId="77777777" w:rsidTr="00375885">
        <w:trPr>
          <w:cantSplit/>
        </w:trPr>
        <w:tc>
          <w:tcPr>
            <w:tcW w:w="506" w:type="pct"/>
            <w:vMerge/>
            <w:shd w:val="clear" w:color="auto" w:fill="auto"/>
            <w:tcMar>
              <w:left w:w="85" w:type="dxa"/>
              <w:right w:w="57" w:type="dxa"/>
            </w:tcMar>
          </w:tcPr>
          <w:p w14:paraId="273CD6B4" w14:textId="77777777" w:rsidR="00A90B31" w:rsidRPr="003978B4" w:rsidRDefault="00A90B31" w:rsidP="00254919">
            <w:pPr>
              <w:pStyle w:val="TableText"/>
            </w:pPr>
          </w:p>
        </w:tc>
        <w:tc>
          <w:tcPr>
            <w:tcW w:w="709" w:type="pct"/>
            <w:vMerge/>
            <w:tcBorders>
              <w:bottom w:val="nil"/>
            </w:tcBorders>
            <w:shd w:val="clear" w:color="auto" w:fill="auto"/>
            <w:tcMar>
              <w:left w:w="85" w:type="dxa"/>
              <w:right w:w="57" w:type="dxa"/>
            </w:tcMar>
          </w:tcPr>
          <w:p w14:paraId="273CD6B5" w14:textId="77777777" w:rsidR="00A90B31" w:rsidRPr="00254919" w:rsidRDefault="00A90B31" w:rsidP="00254919">
            <w:pPr>
              <w:pStyle w:val="TableText"/>
            </w:pPr>
          </w:p>
        </w:tc>
        <w:tc>
          <w:tcPr>
            <w:tcW w:w="607" w:type="pct"/>
            <w:tcBorders>
              <w:bottom w:val="nil"/>
            </w:tcBorders>
            <w:shd w:val="clear" w:color="auto" w:fill="auto"/>
            <w:tcMar>
              <w:left w:w="85" w:type="dxa"/>
              <w:right w:w="57" w:type="dxa"/>
            </w:tcMar>
          </w:tcPr>
          <w:p w14:paraId="273CD6B6" w14:textId="77777777" w:rsidR="00A90B31" w:rsidRPr="003978B4" w:rsidRDefault="00324184" w:rsidP="00254919">
            <w:pPr>
              <w:pStyle w:val="TableText"/>
            </w:pPr>
            <w:r w:rsidRPr="003978B4">
              <w:t>Exp</w:t>
            </w:r>
            <w:r>
              <w:t>onential</w:t>
            </w:r>
            <w:r w:rsidRPr="003978B4">
              <w:t xml:space="preserve"> growth</w:t>
            </w:r>
          </w:p>
        </w:tc>
        <w:tc>
          <w:tcPr>
            <w:tcW w:w="405" w:type="pct"/>
            <w:tcBorders>
              <w:bottom w:val="nil"/>
            </w:tcBorders>
            <w:shd w:val="clear" w:color="auto" w:fill="auto"/>
            <w:tcMar>
              <w:left w:w="85" w:type="dxa"/>
              <w:right w:w="57" w:type="dxa"/>
            </w:tcMar>
          </w:tcPr>
          <w:p w14:paraId="273CD6B7" w14:textId="77777777" w:rsidR="00A90B31" w:rsidRPr="003978B4" w:rsidRDefault="00324184" w:rsidP="00254919">
            <w:pPr>
              <w:pStyle w:val="TableText"/>
            </w:pPr>
            <w:r w:rsidRPr="003978B4">
              <w:t>3</w:t>
            </w:r>
          </w:p>
        </w:tc>
        <w:tc>
          <w:tcPr>
            <w:tcW w:w="709" w:type="pct"/>
            <w:tcBorders>
              <w:bottom w:val="nil"/>
            </w:tcBorders>
            <w:shd w:val="clear" w:color="auto" w:fill="auto"/>
            <w:tcMar>
              <w:left w:w="85" w:type="dxa"/>
              <w:right w:w="57" w:type="dxa"/>
            </w:tcMar>
          </w:tcPr>
          <w:p w14:paraId="273CD6B8" w14:textId="77777777" w:rsidR="00A90B31" w:rsidRPr="003978B4" w:rsidRDefault="00324184" w:rsidP="006C4BAD">
            <w:pPr>
              <w:pStyle w:val="TableText"/>
            </w:pPr>
            <w:r w:rsidRPr="003978B4">
              <w:t>EC10</w:t>
            </w:r>
            <w:r w:rsidR="009E7D15">
              <w:t xml:space="preserve"> </w:t>
            </w:r>
            <w:r w:rsidR="006C4BAD">
              <w:br/>
            </w:r>
            <w:r w:rsidRPr="003978B4">
              <w:t>(Population growth rate)</w:t>
            </w:r>
          </w:p>
        </w:tc>
        <w:tc>
          <w:tcPr>
            <w:tcW w:w="304" w:type="pct"/>
            <w:tcBorders>
              <w:bottom w:val="nil"/>
            </w:tcBorders>
            <w:shd w:val="clear" w:color="auto" w:fill="auto"/>
            <w:tcMar>
              <w:left w:w="85" w:type="dxa"/>
              <w:right w:w="57" w:type="dxa"/>
            </w:tcMar>
          </w:tcPr>
          <w:p w14:paraId="273CD6B9" w14:textId="77777777" w:rsidR="00A90B31" w:rsidRPr="003978B4" w:rsidRDefault="00324184" w:rsidP="00254919">
            <w:pPr>
              <w:pStyle w:val="TableText"/>
            </w:pPr>
            <w:r w:rsidRPr="003978B4">
              <w:t>36</w:t>
            </w:r>
          </w:p>
        </w:tc>
        <w:tc>
          <w:tcPr>
            <w:tcW w:w="304" w:type="pct"/>
            <w:tcBorders>
              <w:bottom w:val="nil"/>
            </w:tcBorders>
            <w:shd w:val="clear" w:color="auto" w:fill="auto"/>
            <w:tcMar>
              <w:left w:w="85" w:type="dxa"/>
              <w:right w:w="57" w:type="dxa"/>
            </w:tcMar>
          </w:tcPr>
          <w:p w14:paraId="273CD6BA" w14:textId="77777777" w:rsidR="00A90B31" w:rsidRPr="003978B4" w:rsidRDefault="00324184" w:rsidP="00254919">
            <w:pPr>
              <w:pStyle w:val="TableText"/>
            </w:pPr>
            <w:r w:rsidRPr="003978B4">
              <w:t>1.4</w:t>
            </w:r>
          </w:p>
        </w:tc>
        <w:tc>
          <w:tcPr>
            <w:tcW w:w="405" w:type="pct"/>
            <w:tcBorders>
              <w:bottom w:val="nil"/>
            </w:tcBorders>
            <w:shd w:val="clear" w:color="auto" w:fill="auto"/>
            <w:tcMar>
              <w:left w:w="85" w:type="dxa"/>
              <w:right w:w="57" w:type="dxa"/>
            </w:tcMar>
          </w:tcPr>
          <w:p w14:paraId="273CD6BB" w14:textId="77777777" w:rsidR="00A90B31" w:rsidRPr="003978B4" w:rsidRDefault="00324184" w:rsidP="00254919">
            <w:pPr>
              <w:pStyle w:val="TableText"/>
            </w:pPr>
            <w:r w:rsidRPr="003978B4">
              <w:t>21</w:t>
            </w:r>
          </w:p>
        </w:tc>
        <w:tc>
          <w:tcPr>
            <w:tcW w:w="430" w:type="pct"/>
            <w:shd w:val="clear" w:color="auto" w:fill="auto"/>
            <w:tcMar>
              <w:left w:w="85" w:type="dxa"/>
              <w:right w:w="57" w:type="dxa"/>
            </w:tcMar>
          </w:tcPr>
          <w:p w14:paraId="273CD6BC" w14:textId="77777777" w:rsidR="00A90B31" w:rsidRPr="003978B4" w:rsidRDefault="00324184" w:rsidP="00254919">
            <w:pPr>
              <w:pStyle w:val="TableText"/>
            </w:pPr>
            <w:r w:rsidRPr="003978B4">
              <w:t>1.1</w:t>
            </w:r>
          </w:p>
        </w:tc>
        <w:tc>
          <w:tcPr>
            <w:tcW w:w="621" w:type="pct"/>
            <w:shd w:val="clear" w:color="auto" w:fill="auto"/>
            <w:tcMar>
              <w:left w:w="85" w:type="dxa"/>
              <w:right w:w="57" w:type="dxa"/>
            </w:tcMar>
          </w:tcPr>
          <w:p w14:paraId="273CD6BD" w14:textId="77777777" w:rsidR="00A90B31" w:rsidRPr="003978B4" w:rsidRDefault="00324184" w:rsidP="00254919">
            <w:pPr>
              <w:pStyle w:val="TableText"/>
              <w:rPr>
                <w:noProof/>
              </w:rPr>
            </w:pPr>
            <w:r w:rsidRPr="003978B4">
              <w:rPr>
                <w:noProof/>
              </w:rPr>
              <w:t>Adams et al. (2018)</w:t>
            </w:r>
          </w:p>
        </w:tc>
      </w:tr>
      <w:tr w:rsidR="00091AEB" w14:paraId="273CD6C4" w14:textId="77777777" w:rsidTr="00375885">
        <w:trPr>
          <w:cantSplit/>
        </w:trPr>
        <w:tc>
          <w:tcPr>
            <w:tcW w:w="506" w:type="pct"/>
            <w:vMerge/>
            <w:shd w:val="clear" w:color="auto" w:fill="auto"/>
            <w:tcMar>
              <w:left w:w="85" w:type="dxa"/>
              <w:right w:w="57" w:type="dxa"/>
            </w:tcMar>
          </w:tcPr>
          <w:p w14:paraId="273CD6BF" w14:textId="77777777" w:rsidR="00A90B31" w:rsidRPr="003978B4" w:rsidRDefault="00A90B31" w:rsidP="00254919">
            <w:pPr>
              <w:pStyle w:val="TableText"/>
            </w:pPr>
          </w:p>
        </w:tc>
        <w:tc>
          <w:tcPr>
            <w:tcW w:w="3443" w:type="pct"/>
            <w:gridSpan w:val="7"/>
            <w:tcBorders>
              <w:top w:val="nil"/>
            </w:tcBorders>
            <w:shd w:val="clear" w:color="auto" w:fill="auto"/>
            <w:tcMar>
              <w:left w:w="85" w:type="dxa"/>
              <w:right w:w="57" w:type="dxa"/>
            </w:tcMar>
          </w:tcPr>
          <w:p w14:paraId="273CD6C0" w14:textId="77777777" w:rsidR="00A90B31" w:rsidRPr="003978B4" w:rsidRDefault="00324184" w:rsidP="00254919">
            <w:pPr>
              <w:pStyle w:val="TableText"/>
            </w:pPr>
            <w:r>
              <w:t>–</w:t>
            </w:r>
          </w:p>
        </w:tc>
        <w:tc>
          <w:tcPr>
            <w:tcW w:w="430" w:type="pct"/>
            <w:shd w:val="clear" w:color="auto" w:fill="auto"/>
            <w:tcMar>
              <w:left w:w="85" w:type="dxa"/>
              <w:right w:w="57" w:type="dxa"/>
            </w:tcMar>
          </w:tcPr>
          <w:p w14:paraId="273CD6C1" w14:textId="77777777" w:rsidR="00A90B31" w:rsidRPr="00275044" w:rsidRDefault="00324184" w:rsidP="00254919">
            <w:pPr>
              <w:pStyle w:val="TableText"/>
              <w:rPr>
                <w:b/>
                <w:bCs/>
              </w:rPr>
            </w:pPr>
            <w:r w:rsidRPr="00275044">
              <w:rPr>
                <w:b/>
                <w:bCs/>
              </w:rPr>
              <w:t>1.</w:t>
            </w:r>
            <w:r w:rsidR="00425F4D">
              <w:rPr>
                <w:b/>
                <w:bCs/>
              </w:rPr>
              <w:t>7</w:t>
            </w:r>
          </w:p>
        </w:tc>
        <w:tc>
          <w:tcPr>
            <w:tcW w:w="621" w:type="pct"/>
            <w:shd w:val="clear" w:color="auto" w:fill="auto"/>
            <w:tcMar>
              <w:left w:w="85" w:type="dxa"/>
              <w:right w:w="57" w:type="dxa"/>
            </w:tcMar>
          </w:tcPr>
          <w:p w14:paraId="273CD6C2" w14:textId="77777777" w:rsidR="00055385" w:rsidRDefault="00324184" w:rsidP="00254919">
            <w:pPr>
              <w:pStyle w:val="TableText"/>
              <w:rPr>
                <w:b/>
                <w:bCs/>
              </w:rPr>
            </w:pPr>
            <w:r>
              <w:rPr>
                <w:b/>
                <w:bCs/>
              </w:rPr>
              <w:t>V</w:t>
            </w:r>
            <w:r w:rsidRPr="00275044">
              <w:rPr>
                <w:b/>
                <w:bCs/>
              </w:rPr>
              <w:t>alue used in SSD</w:t>
            </w:r>
          </w:p>
          <w:p w14:paraId="273CD6C3" w14:textId="77777777" w:rsidR="00A90B31" w:rsidRPr="00275044" w:rsidRDefault="00324184" w:rsidP="00254919">
            <w:pPr>
              <w:pStyle w:val="TableText"/>
              <w:rPr>
                <w:b/>
                <w:bCs/>
              </w:rPr>
            </w:pPr>
            <w:r>
              <w:rPr>
                <w:b/>
                <w:bCs/>
              </w:rPr>
              <w:t>(g</w:t>
            </w:r>
            <w:r w:rsidRPr="00275044">
              <w:rPr>
                <w:b/>
                <w:bCs/>
              </w:rPr>
              <w:t>eometric mean</w:t>
            </w:r>
            <w:r>
              <w:rPr>
                <w:b/>
                <w:bCs/>
              </w:rPr>
              <w:t>)</w:t>
            </w:r>
          </w:p>
        </w:tc>
      </w:tr>
      <w:tr w:rsidR="00091AEB" w14:paraId="273CD6CF" w14:textId="77777777" w:rsidTr="00375885">
        <w:trPr>
          <w:cantSplit/>
          <w:trHeight w:val="113"/>
        </w:trPr>
        <w:tc>
          <w:tcPr>
            <w:tcW w:w="506" w:type="pct"/>
            <w:vMerge/>
            <w:shd w:val="clear" w:color="auto" w:fill="auto"/>
            <w:tcMar>
              <w:left w:w="85" w:type="dxa"/>
              <w:right w:w="57" w:type="dxa"/>
            </w:tcMar>
          </w:tcPr>
          <w:p w14:paraId="273CD6C5" w14:textId="77777777" w:rsidR="00A11658" w:rsidRPr="003978B4" w:rsidRDefault="00A11658" w:rsidP="00A11658">
            <w:pPr>
              <w:pStyle w:val="TableText"/>
            </w:pPr>
          </w:p>
        </w:tc>
        <w:tc>
          <w:tcPr>
            <w:tcW w:w="709" w:type="pct"/>
            <w:tcBorders>
              <w:bottom w:val="nil"/>
            </w:tcBorders>
            <w:shd w:val="clear" w:color="auto" w:fill="auto"/>
            <w:tcMar>
              <w:left w:w="85" w:type="dxa"/>
              <w:right w:w="57" w:type="dxa"/>
            </w:tcMar>
          </w:tcPr>
          <w:p w14:paraId="273CD6C6" w14:textId="77777777" w:rsidR="00A11658" w:rsidRPr="00254919" w:rsidRDefault="00324184" w:rsidP="00A11658">
            <w:pPr>
              <w:pStyle w:val="TableText"/>
            </w:pPr>
            <w:r w:rsidRPr="00A616D8">
              <w:rPr>
                <w:rStyle w:val="Emphasis"/>
              </w:rPr>
              <w:t>Phaeodactylum tricornutum</w:t>
            </w:r>
          </w:p>
        </w:tc>
        <w:tc>
          <w:tcPr>
            <w:tcW w:w="607" w:type="pct"/>
            <w:tcBorders>
              <w:bottom w:val="nil"/>
            </w:tcBorders>
            <w:shd w:val="clear" w:color="auto" w:fill="auto"/>
            <w:tcMar>
              <w:left w:w="85" w:type="dxa"/>
              <w:right w:w="57" w:type="dxa"/>
            </w:tcMar>
          </w:tcPr>
          <w:p w14:paraId="273CD6C7" w14:textId="77777777" w:rsidR="00A11658" w:rsidRPr="003978B4" w:rsidRDefault="00324184" w:rsidP="00A11658">
            <w:pPr>
              <w:pStyle w:val="TableText"/>
            </w:pPr>
            <w:r w:rsidRPr="003978B4">
              <w:t>Exp</w:t>
            </w:r>
            <w:r>
              <w:t>onential</w:t>
            </w:r>
            <w:r w:rsidRPr="003978B4">
              <w:t xml:space="preserve"> growth</w:t>
            </w:r>
          </w:p>
        </w:tc>
        <w:tc>
          <w:tcPr>
            <w:tcW w:w="405" w:type="pct"/>
            <w:tcBorders>
              <w:bottom w:val="nil"/>
            </w:tcBorders>
            <w:shd w:val="clear" w:color="auto" w:fill="auto"/>
            <w:tcMar>
              <w:left w:w="85" w:type="dxa"/>
              <w:right w:w="57" w:type="dxa"/>
            </w:tcMar>
          </w:tcPr>
          <w:p w14:paraId="273CD6C8" w14:textId="77777777" w:rsidR="00A11658" w:rsidRPr="003978B4" w:rsidRDefault="00324184" w:rsidP="00A11658">
            <w:pPr>
              <w:pStyle w:val="TableText"/>
            </w:pPr>
            <w:r w:rsidRPr="003978B4">
              <w:t>3</w:t>
            </w:r>
          </w:p>
        </w:tc>
        <w:tc>
          <w:tcPr>
            <w:tcW w:w="709" w:type="pct"/>
            <w:tcBorders>
              <w:bottom w:val="nil"/>
            </w:tcBorders>
            <w:shd w:val="clear" w:color="auto" w:fill="auto"/>
            <w:tcMar>
              <w:left w:w="85" w:type="dxa"/>
              <w:right w:w="57" w:type="dxa"/>
            </w:tcMar>
          </w:tcPr>
          <w:p w14:paraId="273CD6C9" w14:textId="77777777" w:rsidR="00A11658" w:rsidRPr="003978B4" w:rsidRDefault="00324184" w:rsidP="006C4BAD">
            <w:pPr>
              <w:pStyle w:val="TableText"/>
            </w:pPr>
            <w:r w:rsidRPr="003978B4">
              <w:t>IC20</w:t>
            </w:r>
            <w:r>
              <w:t xml:space="preserve"> </w:t>
            </w:r>
            <w:r w:rsidR="006C4BAD">
              <w:br/>
            </w:r>
            <w:r w:rsidRPr="003978B4">
              <w:t>(Population growth rate)</w:t>
            </w:r>
          </w:p>
        </w:tc>
        <w:tc>
          <w:tcPr>
            <w:tcW w:w="304" w:type="pct"/>
            <w:tcBorders>
              <w:bottom w:val="nil"/>
            </w:tcBorders>
            <w:shd w:val="clear" w:color="auto" w:fill="auto"/>
            <w:tcMar>
              <w:left w:w="85" w:type="dxa"/>
              <w:right w:w="57" w:type="dxa"/>
            </w:tcMar>
          </w:tcPr>
          <w:p w14:paraId="273CD6CA" w14:textId="77777777" w:rsidR="00A11658" w:rsidRPr="003978B4" w:rsidRDefault="00324184" w:rsidP="00A11658">
            <w:pPr>
              <w:pStyle w:val="TableText"/>
            </w:pPr>
            <w:r>
              <w:t>–</w:t>
            </w:r>
          </w:p>
        </w:tc>
        <w:tc>
          <w:tcPr>
            <w:tcW w:w="304" w:type="pct"/>
            <w:tcBorders>
              <w:bottom w:val="nil"/>
            </w:tcBorders>
            <w:shd w:val="clear" w:color="auto" w:fill="auto"/>
            <w:tcMar>
              <w:left w:w="85" w:type="dxa"/>
              <w:right w:w="57" w:type="dxa"/>
            </w:tcMar>
          </w:tcPr>
          <w:p w14:paraId="273CD6CB" w14:textId="77777777" w:rsidR="00A11658" w:rsidRPr="003978B4" w:rsidRDefault="00324184" w:rsidP="00A11658">
            <w:pPr>
              <w:pStyle w:val="TableText"/>
            </w:pPr>
            <w:r>
              <w:t>–</w:t>
            </w:r>
          </w:p>
        </w:tc>
        <w:tc>
          <w:tcPr>
            <w:tcW w:w="405" w:type="pct"/>
            <w:tcBorders>
              <w:bottom w:val="nil"/>
            </w:tcBorders>
            <w:shd w:val="clear" w:color="auto" w:fill="auto"/>
            <w:tcMar>
              <w:left w:w="85" w:type="dxa"/>
              <w:right w:w="57" w:type="dxa"/>
            </w:tcMar>
          </w:tcPr>
          <w:p w14:paraId="273CD6CC" w14:textId="77777777" w:rsidR="00A11658" w:rsidRPr="003978B4" w:rsidRDefault="00324184" w:rsidP="00A11658">
            <w:pPr>
              <w:pStyle w:val="TableText"/>
            </w:pPr>
            <w:r w:rsidRPr="003978B4">
              <w:t>21</w:t>
            </w:r>
          </w:p>
        </w:tc>
        <w:tc>
          <w:tcPr>
            <w:tcW w:w="430" w:type="pct"/>
            <w:shd w:val="clear" w:color="auto" w:fill="auto"/>
            <w:tcMar>
              <w:left w:w="85" w:type="dxa"/>
              <w:right w:w="57" w:type="dxa"/>
            </w:tcMar>
          </w:tcPr>
          <w:p w14:paraId="273CD6CD" w14:textId="77777777" w:rsidR="00A11658" w:rsidRPr="003978B4" w:rsidRDefault="00324184" w:rsidP="00A11658">
            <w:pPr>
              <w:pStyle w:val="TableText"/>
            </w:pPr>
            <w:r w:rsidRPr="003978B4">
              <w:t>0.7</w:t>
            </w:r>
          </w:p>
        </w:tc>
        <w:tc>
          <w:tcPr>
            <w:tcW w:w="621" w:type="pct"/>
            <w:shd w:val="clear" w:color="auto" w:fill="auto"/>
            <w:tcMar>
              <w:left w:w="85" w:type="dxa"/>
              <w:right w:w="57" w:type="dxa"/>
            </w:tcMar>
          </w:tcPr>
          <w:p w14:paraId="273CD6CE" w14:textId="77777777" w:rsidR="00A11658" w:rsidRPr="003978B4" w:rsidRDefault="00324184" w:rsidP="00A11658">
            <w:pPr>
              <w:pStyle w:val="TableText"/>
            </w:pPr>
            <w:r w:rsidRPr="003978B4">
              <w:rPr>
                <w:noProof/>
              </w:rPr>
              <w:t>Angel et al. (2015)</w:t>
            </w:r>
          </w:p>
        </w:tc>
      </w:tr>
      <w:tr w:rsidR="00091AEB" w14:paraId="273CD6D4" w14:textId="77777777" w:rsidTr="00375885">
        <w:trPr>
          <w:cantSplit/>
        </w:trPr>
        <w:tc>
          <w:tcPr>
            <w:tcW w:w="506" w:type="pct"/>
            <w:vMerge/>
            <w:shd w:val="clear" w:color="auto" w:fill="auto"/>
            <w:tcMar>
              <w:left w:w="85" w:type="dxa"/>
              <w:right w:w="57" w:type="dxa"/>
            </w:tcMar>
          </w:tcPr>
          <w:p w14:paraId="273CD6D0" w14:textId="77777777" w:rsidR="00A11658" w:rsidRPr="003978B4" w:rsidRDefault="00A11658" w:rsidP="00A11658">
            <w:pPr>
              <w:pStyle w:val="TableText"/>
            </w:pPr>
          </w:p>
        </w:tc>
        <w:tc>
          <w:tcPr>
            <w:tcW w:w="3443" w:type="pct"/>
            <w:gridSpan w:val="7"/>
            <w:tcBorders>
              <w:top w:val="nil"/>
            </w:tcBorders>
            <w:shd w:val="clear" w:color="auto" w:fill="auto"/>
            <w:tcMar>
              <w:left w:w="85" w:type="dxa"/>
              <w:right w:w="57" w:type="dxa"/>
            </w:tcMar>
          </w:tcPr>
          <w:p w14:paraId="273CD6D1" w14:textId="77777777" w:rsidR="00A11658" w:rsidRPr="003978B4" w:rsidRDefault="00324184" w:rsidP="00A11658">
            <w:pPr>
              <w:pStyle w:val="TableText"/>
            </w:pPr>
            <w:r>
              <w:t>–</w:t>
            </w:r>
          </w:p>
        </w:tc>
        <w:tc>
          <w:tcPr>
            <w:tcW w:w="430" w:type="pct"/>
            <w:shd w:val="clear" w:color="auto" w:fill="auto"/>
            <w:tcMar>
              <w:left w:w="85" w:type="dxa"/>
              <w:right w:w="57" w:type="dxa"/>
            </w:tcMar>
          </w:tcPr>
          <w:p w14:paraId="273CD6D2" w14:textId="77777777" w:rsidR="00A11658" w:rsidRPr="00275044" w:rsidRDefault="00324184" w:rsidP="00A11658">
            <w:pPr>
              <w:pStyle w:val="TableText"/>
              <w:rPr>
                <w:b/>
                <w:bCs/>
              </w:rPr>
            </w:pPr>
            <w:r>
              <w:rPr>
                <w:b/>
                <w:bCs/>
              </w:rPr>
              <w:t>0.7</w:t>
            </w:r>
          </w:p>
        </w:tc>
        <w:tc>
          <w:tcPr>
            <w:tcW w:w="621" w:type="pct"/>
            <w:shd w:val="clear" w:color="auto" w:fill="auto"/>
            <w:tcMar>
              <w:left w:w="85" w:type="dxa"/>
              <w:right w:w="57" w:type="dxa"/>
            </w:tcMar>
          </w:tcPr>
          <w:p w14:paraId="273CD6D3" w14:textId="77777777" w:rsidR="00A11658" w:rsidRPr="00275044" w:rsidRDefault="00324184" w:rsidP="00A11658">
            <w:pPr>
              <w:pStyle w:val="TableText"/>
              <w:rPr>
                <w:b/>
                <w:bCs/>
              </w:rPr>
            </w:pPr>
            <w:r>
              <w:rPr>
                <w:b/>
                <w:bCs/>
              </w:rPr>
              <w:t>V</w:t>
            </w:r>
            <w:r w:rsidRPr="00275044">
              <w:rPr>
                <w:b/>
                <w:bCs/>
              </w:rPr>
              <w:t xml:space="preserve">alue </w:t>
            </w:r>
            <w:r w:rsidRPr="00275044">
              <w:rPr>
                <w:b/>
                <w:bCs/>
              </w:rPr>
              <w:t>used in SSD</w:t>
            </w:r>
          </w:p>
        </w:tc>
      </w:tr>
      <w:tr w:rsidR="00091AEB" w14:paraId="273CD6DF" w14:textId="77777777" w:rsidTr="00375885">
        <w:trPr>
          <w:cantSplit/>
        </w:trPr>
        <w:tc>
          <w:tcPr>
            <w:tcW w:w="506" w:type="pct"/>
            <w:vMerge w:val="restart"/>
            <w:shd w:val="clear" w:color="auto" w:fill="auto"/>
            <w:tcMar>
              <w:left w:w="85" w:type="dxa"/>
              <w:right w:w="57" w:type="dxa"/>
            </w:tcMar>
          </w:tcPr>
          <w:p w14:paraId="273CD6D5" w14:textId="77777777" w:rsidR="00A11658" w:rsidRPr="003978B4" w:rsidRDefault="00324184" w:rsidP="00A11658">
            <w:pPr>
              <w:pStyle w:val="TableText"/>
            </w:pPr>
            <w:r>
              <w:t>Brown microalga</w:t>
            </w:r>
          </w:p>
        </w:tc>
        <w:tc>
          <w:tcPr>
            <w:tcW w:w="709" w:type="pct"/>
            <w:tcBorders>
              <w:bottom w:val="nil"/>
            </w:tcBorders>
            <w:shd w:val="clear" w:color="auto" w:fill="auto"/>
            <w:tcMar>
              <w:left w:w="85" w:type="dxa"/>
              <w:right w:w="57" w:type="dxa"/>
            </w:tcMar>
          </w:tcPr>
          <w:p w14:paraId="273CD6D6" w14:textId="77777777" w:rsidR="00A11658" w:rsidRPr="00A616D8" w:rsidRDefault="00324184" w:rsidP="00A11658">
            <w:pPr>
              <w:pStyle w:val="TableText"/>
              <w:rPr>
                <w:rStyle w:val="Emphasis"/>
              </w:rPr>
            </w:pPr>
            <w:r w:rsidRPr="00A616D8">
              <w:rPr>
                <w:rStyle w:val="Emphasis"/>
              </w:rPr>
              <w:t>Coccolithus huxleyi</w:t>
            </w:r>
          </w:p>
        </w:tc>
        <w:tc>
          <w:tcPr>
            <w:tcW w:w="607" w:type="pct"/>
            <w:tcBorders>
              <w:bottom w:val="nil"/>
            </w:tcBorders>
            <w:shd w:val="clear" w:color="auto" w:fill="auto"/>
            <w:tcMar>
              <w:left w:w="85" w:type="dxa"/>
              <w:right w:w="57" w:type="dxa"/>
            </w:tcMar>
          </w:tcPr>
          <w:p w14:paraId="273CD6D7" w14:textId="77777777" w:rsidR="00A11658" w:rsidRPr="003978B4" w:rsidRDefault="00324184" w:rsidP="00A11658">
            <w:pPr>
              <w:pStyle w:val="TableText"/>
            </w:pPr>
            <w:r w:rsidRPr="003978B4">
              <w:t>Exp</w:t>
            </w:r>
            <w:r>
              <w:t>onential</w:t>
            </w:r>
            <w:r w:rsidRPr="003978B4">
              <w:t xml:space="preserve"> growth</w:t>
            </w:r>
          </w:p>
        </w:tc>
        <w:tc>
          <w:tcPr>
            <w:tcW w:w="405" w:type="pct"/>
            <w:tcBorders>
              <w:bottom w:val="nil"/>
            </w:tcBorders>
            <w:shd w:val="clear" w:color="auto" w:fill="auto"/>
            <w:tcMar>
              <w:left w:w="85" w:type="dxa"/>
              <w:right w:w="57" w:type="dxa"/>
            </w:tcMar>
          </w:tcPr>
          <w:p w14:paraId="273CD6D8" w14:textId="77777777" w:rsidR="00A11658" w:rsidRPr="003978B4" w:rsidRDefault="00324184" w:rsidP="00A11658">
            <w:pPr>
              <w:pStyle w:val="TableText"/>
            </w:pPr>
            <w:r w:rsidRPr="003978B4">
              <w:t>3</w:t>
            </w:r>
          </w:p>
        </w:tc>
        <w:tc>
          <w:tcPr>
            <w:tcW w:w="709" w:type="pct"/>
            <w:tcBorders>
              <w:bottom w:val="nil"/>
            </w:tcBorders>
            <w:shd w:val="clear" w:color="auto" w:fill="auto"/>
            <w:tcMar>
              <w:left w:w="85" w:type="dxa"/>
              <w:right w:w="57" w:type="dxa"/>
            </w:tcMar>
          </w:tcPr>
          <w:p w14:paraId="273CD6D9" w14:textId="77777777" w:rsidR="00A11658" w:rsidRPr="003978B4" w:rsidRDefault="00324184" w:rsidP="006C4BAD">
            <w:pPr>
              <w:pStyle w:val="TableText"/>
            </w:pPr>
            <w:r w:rsidRPr="003978B4">
              <w:t>NOEC</w:t>
            </w:r>
            <w:r>
              <w:t xml:space="preserve"> </w:t>
            </w:r>
            <w:r w:rsidR="006C4BAD">
              <w:br/>
            </w:r>
            <w:r w:rsidRPr="003978B4">
              <w:t>(Population growth rate)</w:t>
            </w:r>
          </w:p>
        </w:tc>
        <w:tc>
          <w:tcPr>
            <w:tcW w:w="304" w:type="pct"/>
            <w:tcBorders>
              <w:bottom w:val="nil"/>
            </w:tcBorders>
            <w:shd w:val="clear" w:color="auto" w:fill="auto"/>
            <w:tcMar>
              <w:left w:w="85" w:type="dxa"/>
              <w:right w:w="57" w:type="dxa"/>
            </w:tcMar>
          </w:tcPr>
          <w:p w14:paraId="273CD6DA" w14:textId="77777777" w:rsidR="00A11658" w:rsidRPr="003978B4" w:rsidRDefault="00324184" w:rsidP="00A11658">
            <w:pPr>
              <w:pStyle w:val="TableText"/>
            </w:pPr>
            <w:r>
              <w:t>–</w:t>
            </w:r>
          </w:p>
        </w:tc>
        <w:tc>
          <w:tcPr>
            <w:tcW w:w="304" w:type="pct"/>
            <w:tcBorders>
              <w:bottom w:val="nil"/>
            </w:tcBorders>
            <w:shd w:val="clear" w:color="auto" w:fill="auto"/>
            <w:tcMar>
              <w:left w:w="85" w:type="dxa"/>
              <w:right w:w="57" w:type="dxa"/>
            </w:tcMar>
          </w:tcPr>
          <w:p w14:paraId="273CD6DB" w14:textId="77777777" w:rsidR="00A11658" w:rsidRPr="003978B4" w:rsidRDefault="00324184" w:rsidP="00A11658">
            <w:pPr>
              <w:pStyle w:val="TableText"/>
            </w:pPr>
            <w:r>
              <w:t>–</w:t>
            </w:r>
          </w:p>
        </w:tc>
        <w:tc>
          <w:tcPr>
            <w:tcW w:w="405" w:type="pct"/>
            <w:tcBorders>
              <w:bottom w:val="nil"/>
            </w:tcBorders>
            <w:shd w:val="clear" w:color="auto" w:fill="auto"/>
            <w:tcMar>
              <w:left w:w="85" w:type="dxa"/>
              <w:right w:w="57" w:type="dxa"/>
            </w:tcMar>
          </w:tcPr>
          <w:p w14:paraId="273CD6DC" w14:textId="77777777" w:rsidR="00A11658" w:rsidRPr="003978B4" w:rsidRDefault="00324184" w:rsidP="00A11658">
            <w:pPr>
              <w:pStyle w:val="TableText"/>
            </w:pPr>
            <w:r w:rsidRPr="003978B4">
              <w:t>21</w:t>
            </w:r>
          </w:p>
        </w:tc>
        <w:tc>
          <w:tcPr>
            <w:tcW w:w="430" w:type="pct"/>
            <w:shd w:val="clear" w:color="auto" w:fill="auto"/>
            <w:tcMar>
              <w:left w:w="85" w:type="dxa"/>
              <w:right w:w="57" w:type="dxa"/>
            </w:tcMar>
          </w:tcPr>
          <w:p w14:paraId="273CD6DD" w14:textId="77777777" w:rsidR="00A11658" w:rsidRPr="003978B4" w:rsidRDefault="00324184" w:rsidP="00A11658">
            <w:pPr>
              <w:pStyle w:val="TableText"/>
            </w:pPr>
            <w:r w:rsidRPr="003978B4">
              <w:t>8</w:t>
            </w:r>
          </w:p>
        </w:tc>
        <w:tc>
          <w:tcPr>
            <w:tcW w:w="621" w:type="pct"/>
            <w:shd w:val="clear" w:color="auto" w:fill="auto"/>
            <w:tcMar>
              <w:left w:w="85" w:type="dxa"/>
              <w:right w:w="57" w:type="dxa"/>
            </w:tcMar>
          </w:tcPr>
          <w:p w14:paraId="273CD6DE" w14:textId="77777777" w:rsidR="00A11658" w:rsidRPr="003978B4" w:rsidRDefault="00324184" w:rsidP="00A11658">
            <w:pPr>
              <w:pStyle w:val="TableText"/>
            </w:pPr>
            <w:r w:rsidRPr="003978B4">
              <w:rPr>
                <w:noProof/>
              </w:rPr>
              <w:t>Levy et al. (2007)</w:t>
            </w:r>
          </w:p>
        </w:tc>
      </w:tr>
      <w:tr w:rsidR="00091AEB" w14:paraId="273CD6E4" w14:textId="77777777" w:rsidTr="00375885">
        <w:trPr>
          <w:cantSplit/>
        </w:trPr>
        <w:tc>
          <w:tcPr>
            <w:tcW w:w="506" w:type="pct"/>
            <w:vMerge/>
            <w:shd w:val="clear" w:color="auto" w:fill="auto"/>
            <w:tcMar>
              <w:left w:w="85" w:type="dxa"/>
              <w:right w:w="57" w:type="dxa"/>
            </w:tcMar>
          </w:tcPr>
          <w:p w14:paraId="273CD6E0" w14:textId="77777777" w:rsidR="00A11658" w:rsidRPr="003978B4" w:rsidRDefault="00A11658" w:rsidP="00A11658">
            <w:pPr>
              <w:pStyle w:val="TableText"/>
            </w:pPr>
          </w:p>
        </w:tc>
        <w:tc>
          <w:tcPr>
            <w:tcW w:w="3443" w:type="pct"/>
            <w:gridSpan w:val="7"/>
            <w:tcBorders>
              <w:top w:val="nil"/>
            </w:tcBorders>
            <w:shd w:val="clear" w:color="auto" w:fill="auto"/>
            <w:tcMar>
              <w:left w:w="85" w:type="dxa"/>
              <w:right w:w="57" w:type="dxa"/>
            </w:tcMar>
          </w:tcPr>
          <w:p w14:paraId="273CD6E1" w14:textId="77777777" w:rsidR="00A11658" w:rsidRPr="003978B4" w:rsidRDefault="00324184" w:rsidP="00A11658">
            <w:pPr>
              <w:pStyle w:val="TableText"/>
            </w:pPr>
            <w:r>
              <w:t>–</w:t>
            </w:r>
          </w:p>
        </w:tc>
        <w:tc>
          <w:tcPr>
            <w:tcW w:w="430" w:type="pct"/>
            <w:shd w:val="clear" w:color="auto" w:fill="auto"/>
            <w:tcMar>
              <w:left w:w="85" w:type="dxa"/>
              <w:right w:w="57" w:type="dxa"/>
            </w:tcMar>
          </w:tcPr>
          <w:p w14:paraId="273CD6E2" w14:textId="77777777" w:rsidR="00A11658" w:rsidRPr="00275044" w:rsidRDefault="00324184" w:rsidP="00A11658">
            <w:pPr>
              <w:pStyle w:val="TableText"/>
              <w:rPr>
                <w:b/>
                <w:bCs/>
              </w:rPr>
            </w:pPr>
            <w:r w:rsidRPr="00275044">
              <w:rPr>
                <w:b/>
                <w:bCs/>
              </w:rPr>
              <w:t>8</w:t>
            </w:r>
          </w:p>
        </w:tc>
        <w:tc>
          <w:tcPr>
            <w:tcW w:w="621" w:type="pct"/>
            <w:shd w:val="clear" w:color="auto" w:fill="auto"/>
            <w:tcMar>
              <w:left w:w="85" w:type="dxa"/>
              <w:right w:w="57" w:type="dxa"/>
            </w:tcMar>
          </w:tcPr>
          <w:p w14:paraId="273CD6E3" w14:textId="77777777" w:rsidR="00A11658" w:rsidRPr="00275044" w:rsidRDefault="00324184" w:rsidP="00A11658">
            <w:pPr>
              <w:pStyle w:val="TableText"/>
              <w:rPr>
                <w:b/>
                <w:bCs/>
              </w:rPr>
            </w:pPr>
            <w:r w:rsidRPr="00275044">
              <w:rPr>
                <w:b/>
                <w:bCs/>
              </w:rPr>
              <w:t>Value used in SSD</w:t>
            </w:r>
          </w:p>
        </w:tc>
      </w:tr>
      <w:tr w:rsidR="00091AEB" w14:paraId="273CD6EF" w14:textId="77777777" w:rsidTr="00375885">
        <w:trPr>
          <w:cantSplit/>
        </w:trPr>
        <w:tc>
          <w:tcPr>
            <w:tcW w:w="506" w:type="pct"/>
            <w:vMerge/>
            <w:shd w:val="clear" w:color="auto" w:fill="auto"/>
            <w:tcMar>
              <w:left w:w="85" w:type="dxa"/>
              <w:right w:w="57" w:type="dxa"/>
            </w:tcMar>
          </w:tcPr>
          <w:p w14:paraId="273CD6E5" w14:textId="77777777" w:rsidR="00A11658" w:rsidRPr="003978B4" w:rsidRDefault="00A11658" w:rsidP="00A11658">
            <w:pPr>
              <w:pStyle w:val="TableText"/>
            </w:pPr>
          </w:p>
        </w:tc>
        <w:tc>
          <w:tcPr>
            <w:tcW w:w="709" w:type="pct"/>
            <w:tcBorders>
              <w:bottom w:val="nil"/>
            </w:tcBorders>
            <w:shd w:val="clear" w:color="auto" w:fill="auto"/>
            <w:tcMar>
              <w:left w:w="85" w:type="dxa"/>
              <w:right w:w="57" w:type="dxa"/>
            </w:tcMar>
          </w:tcPr>
          <w:p w14:paraId="273CD6E6" w14:textId="77777777" w:rsidR="00A11658" w:rsidRPr="00A616D8" w:rsidRDefault="00324184" w:rsidP="00A11658">
            <w:pPr>
              <w:pStyle w:val="TableText"/>
              <w:rPr>
                <w:rStyle w:val="Emphasis"/>
              </w:rPr>
            </w:pPr>
            <w:r w:rsidRPr="00A616D8">
              <w:rPr>
                <w:rStyle w:val="Emphasis"/>
              </w:rPr>
              <w:t>Gephyrocapsa oceanica</w:t>
            </w:r>
          </w:p>
        </w:tc>
        <w:tc>
          <w:tcPr>
            <w:tcW w:w="607" w:type="pct"/>
            <w:tcBorders>
              <w:bottom w:val="nil"/>
            </w:tcBorders>
            <w:shd w:val="clear" w:color="auto" w:fill="auto"/>
            <w:tcMar>
              <w:left w:w="85" w:type="dxa"/>
              <w:right w:w="57" w:type="dxa"/>
            </w:tcMar>
          </w:tcPr>
          <w:p w14:paraId="273CD6E7" w14:textId="77777777" w:rsidR="00A11658" w:rsidRPr="003978B4" w:rsidRDefault="00324184" w:rsidP="00A11658">
            <w:pPr>
              <w:pStyle w:val="TableText"/>
            </w:pPr>
            <w:r w:rsidRPr="003978B4">
              <w:t>Exp</w:t>
            </w:r>
            <w:r>
              <w:t>onential</w:t>
            </w:r>
            <w:r w:rsidRPr="003978B4">
              <w:t xml:space="preserve"> growth</w:t>
            </w:r>
          </w:p>
        </w:tc>
        <w:tc>
          <w:tcPr>
            <w:tcW w:w="405" w:type="pct"/>
            <w:tcBorders>
              <w:bottom w:val="nil"/>
            </w:tcBorders>
            <w:shd w:val="clear" w:color="auto" w:fill="auto"/>
            <w:tcMar>
              <w:left w:w="85" w:type="dxa"/>
              <w:right w:w="57" w:type="dxa"/>
            </w:tcMar>
          </w:tcPr>
          <w:p w14:paraId="273CD6E8" w14:textId="77777777" w:rsidR="00A11658" w:rsidRPr="003978B4" w:rsidRDefault="00324184" w:rsidP="00A11658">
            <w:pPr>
              <w:pStyle w:val="TableText"/>
            </w:pPr>
            <w:r w:rsidRPr="003978B4">
              <w:t>3</w:t>
            </w:r>
          </w:p>
        </w:tc>
        <w:tc>
          <w:tcPr>
            <w:tcW w:w="709" w:type="pct"/>
            <w:tcBorders>
              <w:bottom w:val="nil"/>
            </w:tcBorders>
            <w:shd w:val="clear" w:color="auto" w:fill="auto"/>
            <w:tcMar>
              <w:left w:w="85" w:type="dxa"/>
              <w:right w:w="57" w:type="dxa"/>
            </w:tcMar>
          </w:tcPr>
          <w:p w14:paraId="273CD6E9" w14:textId="77777777" w:rsidR="00A11658" w:rsidRPr="003978B4" w:rsidRDefault="00324184" w:rsidP="006C4BAD">
            <w:pPr>
              <w:pStyle w:val="TableText"/>
            </w:pPr>
            <w:r w:rsidRPr="003978B4">
              <w:t>NOEC</w:t>
            </w:r>
            <w:r>
              <w:t xml:space="preserve"> </w:t>
            </w:r>
            <w:r w:rsidR="006C4BAD">
              <w:br/>
            </w:r>
            <w:r w:rsidRPr="003978B4">
              <w:t>(Population growth rate)</w:t>
            </w:r>
          </w:p>
        </w:tc>
        <w:tc>
          <w:tcPr>
            <w:tcW w:w="304" w:type="pct"/>
            <w:tcBorders>
              <w:bottom w:val="nil"/>
            </w:tcBorders>
            <w:shd w:val="clear" w:color="auto" w:fill="auto"/>
            <w:tcMar>
              <w:left w:w="85" w:type="dxa"/>
              <w:right w:w="57" w:type="dxa"/>
            </w:tcMar>
          </w:tcPr>
          <w:p w14:paraId="273CD6EA" w14:textId="77777777" w:rsidR="00A11658" w:rsidRPr="003978B4" w:rsidRDefault="00324184" w:rsidP="00A11658">
            <w:pPr>
              <w:pStyle w:val="TableText"/>
            </w:pPr>
            <w:r>
              <w:t>–</w:t>
            </w:r>
          </w:p>
        </w:tc>
        <w:tc>
          <w:tcPr>
            <w:tcW w:w="304" w:type="pct"/>
            <w:tcBorders>
              <w:bottom w:val="nil"/>
            </w:tcBorders>
            <w:shd w:val="clear" w:color="auto" w:fill="auto"/>
            <w:tcMar>
              <w:left w:w="85" w:type="dxa"/>
              <w:right w:w="57" w:type="dxa"/>
            </w:tcMar>
          </w:tcPr>
          <w:p w14:paraId="273CD6EB" w14:textId="77777777" w:rsidR="00A11658" w:rsidRPr="003978B4" w:rsidRDefault="00324184" w:rsidP="00A11658">
            <w:pPr>
              <w:pStyle w:val="TableText"/>
            </w:pPr>
            <w:r>
              <w:t>–</w:t>
            </w:r>
          </w:p>
        </w:tc>
        <w:tc>
          <w:tcPr>
            <w:tcW w:w="405" w:type="pct"/>
            <w:tcBorders>
              <w:bottom w:val="nil"/>
            </w:tcBorders>
            <w:shd w:val="clear" w:color="auto" w:fill="auto"/>
            <w:tcMar>
              <w:left w:w="85" w:type="dxa"/>
              <w:right w:w="57" w:type="dxa"/>
            </w:tcMar>
          </w:tcPr>
          <w:p w14:paraId="273CD6EC" w14:textId="77777777" w:rsidR="00A11658" w:rsidRPr="003978B4" w:rsidRDefault="00324184" w:rsidP="00A11658">
            <w:pPr>
              <w:pStyle w:val="TableText"/>
            </w:pPr>
            <w:r w:rsidRPr="003978B4">
              <w:t>21</w:t>
            </w:r>
          </w:p>
        </w:tc>
        <w:tc>
          <w:tcPr>
            <w:tcW w:w="430" w:type="pct"/>
            <w:shd w:val="clear" w:color="auto" w:fill="auto"/>
            <w:tcMar>
              <w:left w:w="85" w:type="dxa"/>
              <w:right w:w="57" w:type="dxa"/>
            </w:tcMar>
          </w:tcPr>
          <w:p w14:paraId="273CD6ED" w14:textId="77777777" w:rsidR="00A11658" w:rsidRPr="003978B4" w:rsidRDefault="00324184" w:rsidP="00A11658">
            <w:pPr>
              <w:pStyle w:val="TableText"/>
            </w:pPr>
            <w:r w:rsidRPr="003978B4">
              <w:t>1.3</w:t>
            </w:r>
          </w:p>
        </w:tc>
        <w:tc>
          <w:tcPr>
            <w:tcW w:w="621" w:type="pct"/>
            <w:shd w:val="clear" w:color="auto" w:fill="auto"/>
            <w:tcMar>
              <w:left w:w="85" w:type="dxa"/>
              <w:right w:w="57" w:type="dxa"/>
            </w:tcMar>
          </w:tcPr>
          <w:p w14:paraId="273CD6EE" w14:textId="77777777" w:rsidR="00A11658" w:rsidRPr="003978B4" w:rsidRDefault="00324184" w:rsidP="00A11658">
            <w:pPr>
              <w:pStyle w:val="TableText"/>
            </w:pPr>
            <w:r w:rsidRPr="003978B4">
              <w:rPr>
                <w:noProof/>
              </w:rPr>
              <w:t xml:space="preserve">Levy et al. </w:t>
            </w:r>
            <w:r w:rsidRPr="003978B4">
              <w:rPr>
                <w:noProof/>
              </w:rPr>
              <w:t>(2007)</w:t>
            </w:r>
          </w:p>
        </w:tc>
      </w:tr>
      <w:tr w:rsidR="00091AEB" w14:paraId="273CD6F4" w14:textId="77777777" w:rsidTr="00375885">
        <w:trPr>
          <w:cantSplit/>
        </w:trPr>
        <w:tc>
          <w:tcPr>
            <w:tcW w:w="506" w:type="pct"/>
            <w:vMerge/>
            <w:shd w:val="clear" w:color="auto" w:fill="auto"/>
            <w:tcMar>
              <w:left w:w="85" w:type="dxa"/>
              <w:right w:w="57" w:type="dxa"/>
            </w:tcMar>
          </w:tcPr>
          <w:p w14:paraId="273CD6F0" w14:textId="77777777" w:rsidR="00A11658" w:rsidRPr="003978B4" w:rsidRDefault="00A11658" w:rsidP="00A11658">
            <w:pPr>
              <w:pStyle w:val="TableText"/>
            </w:pPr>
          </w:p>
        </w:tc>
        <w:tc>
          <w:tcPr>
            <w:tcW w:w="3443" w:type="pct"/>
            <w:gridSpan w:val="7"/>
            <w:tcBorders>
              <w:top w:val="nil"/>
            </w:tcBorders>
            <w:shd w:val="clear" w:color="auto" w:fill="auto"/>
            <w:tcMar>
              <w:left w:w="85" w:type="dxa"/>
              <w:right w:w="57" w:type="dxa"/>
            </w:tcMar>
          </w:tcPr>
          <w:p w14:paraId="273CD6F1" w14:textId="77777777" w:rsidR="00A11658" w:rsidRPr="003978B4" w:rsidRDefault="00324184" w:rsidP="00A11658">
            <w:pPr>
              <w:pStyle w:val="TableText"/>
            </w:pPr>
            <w:r>
              <w:t>–</w:t>
            </w:r>
          </w:p>
        </w:tc>
        <w:tc>
          <w:tcPr>
            <w:tcW w:w="430" w:type="pct"/>
            <w:shd w:val="clear" w:color="auto" w:fill="auto"/>
            <w:tcMar>
              <w:left w:w="85" w:type="dxa"/>
              <w:right w:w="57" w:type="dxa"/>
            </w:tcMar>
          </w:tcPr>
          <w:p w14:paraId="273CD6F2" w14:textId="77777777" w:rsidR="00A11658" w:rsidRPr="00275044" w:rsidRDefault="00324184" w:rsidP="00A11658">
            <w:pPr>
              <w:pStyle w:val="TableText"/>
              <w:rPr>
                <w:b/>
                <w:bCs/>
              </w:rPr>
            </w:pPr>
            <w:r w:rsidRPr="00275044">
              <w:rPr>
                <w:b/>
                <w:bCs/>
              </w:rPr>
              <w:t>1.3</w:t>
            </w:r>
          </w:p>
        </w:tc>
        <w:tc>
          <w:tcPr>
            <w:tcW w:w="621" w:type="pct"/>
            <w:shd w:val="clear" w:color="auto" w:fill="auto"/>
            <w:tcMar>
              <w:left w:w="85" w:type="dxa"/>
              <w:right w:w="57" w:type="dxa"/>
            </w:tcMar>
          </w:tcPr>
          <w:p w14:paraId="273CD6F3" w14:textId="77777777" w:rsidR="00A11658" w:rsidRPr="00275044" w:rsidRDefault="00324184" w:rsidP="00A11658">
            <w:pPr>
              <w:pStyle w:val="TableText"/>
              <w:rPr>
                <w:b/>
                <w:bCs/>
              </w:rPr>
            </w:pPr>
            <w:r w:rsidRPr="00275044">
              <w:rPr>
                <w:b/>
                <w:bCs/>
              </w:rPr>
              <w:t>Value used in SSD</w:t>
            </w:r>
          </w:p>
        </w:tc>
      </w:tr>
      <w:tr w:rsidR="00091AEB" w14:paraId="273CD6FF" w14:textId="77777777" w:rsidTr="00375885">
        <w:trPr>
          <w:cantSplit/>
        </w:trPr>
        <w:tc>
          <w:tcPr>
            <w:tcW w:w="506" w:type="pct"/>
            <w:vMerge/>
            <w:shd w:val="clear" w:color="auto" w:fill="auto"/>
            <w:tcMar>
              <w:left w:w="85" w:type="dxa"/>
              <w:right w:w="57" w:type="dxa"/>
            </w:tcMar>
          </w:tcPr>
          <w:p w14:paraId="273CD6F5" w14:textId="77777777" w:rsidR="00A11658" w:rsidRPr="003978B4" w:rsidRDefault="00A11658" w:rsidP="00A11658">
            <w:pPr>
              <w:pStyle w:val="TableText"/>
            </w:pPr>
          </w:p>
        </w:tc>
        <w:tc>
          <w:tcPr>
            <w:tcW w:w="709" w:type="pct"/>
            <w:vMerge w:val="restart"/>
            <w:shd w:val="clear" w:color="auto" w:fill="auto"/>
            <w:tcMar>
              <w:left w:w="85" w:type="dxa"/>
              <w:right w:w="57" w:type="dxa"/>
            </w:tcMar>
          </w:tcPr>
          <w:p w14:paraId="273CD6F6" w14:textId="77777777" w:rsidR="00A11658" w:rsidRPr="00A616D8" w:rsidRDefault="00324184" w:rsidP="00A11658">
            <w:pPr>
              <w:pStyle w:val="TableText"/>
              <w:rPr>
                <w:rStyle w:val="Emphasis"/>
              </w:rPr>
            </w:pPr>
            <w:r w:rsidRPr="00A616D8">
              <w:rPr>
                <w:rStyle w:val="Emphasis"/>
              </w:rPr>
              <w:t>Isochrysis galbana</w:t>
            </w:r>
          </w:p>
        </w:tc>
        <w:tc>
          <w:tcPr>
            <w:tcW w:w="607" w:type="pct"/>
            <w:shd w:val="clear" w:color="auto" w:fill="auto"/>
            <w:tcMar>
              <w:left w:w="85" w:type="dxa"/>
              <w:right w:w="57" w:type="dxa"/>
            </w:tcMar>
          </w:tcPr>
          <w:p w14:paraId="273CD6F7" w14:textId="77777777" w:rsidR="00A11658" w:rsidRPr="003978B4" w:rsidRDefault="00324184" w:rsidP="00A11658">
            <w:pPr>
              <w:pStyle w:val="TableText"/>
            </w:pPr>
            <w:r w:rsidRPr="003978B4">
              <w:t>Exp</w:t>
            </w:r>
            <w:r>
              <w:t>onential</w:t>
            </w:r>
            <w:r w:rsidRPr="003978B4">
              <w:t xml:space="preserve"> growth</w:t>
            </w:r>
          </w:p>
        </w:tc>
        <w:tc>
          <w:tcPr>
            <w:tcW w:w="405" w:type="pct"/>
            <w:shd w:val="clear" w:color="auto" w:fill="auto"/>
            <w:tcMar>
              <w:left w:w="85" w:type="dxa"/>
              <w:right w:w="57" w:type="dxa"/>
            </w:tcMar>
          </w:tcPr>
          <w:p w14:paraId="273CD6F8" w14:textId="77777777" w:rsidR="00A11658" w:rsidRPr="003978B4" w:rsidRDefault="00324184" w:rsidP="00A11658">
            <w:pPr>
              <w:pStyle w:val="TableText"/>
            </w:pPr>
            <w:r w:rsidRPr="003978B4">
              <w:t>3</w:t>
            </w:r>
          </w:p>
        </w:tc>
        <w:tc>
          <w:tcPr>
            <w:tcW w:w="709" w:type="pct"/>
            <w:shd w:val="clear" w:color="auto" w:fill="auto"/>
            <w:tcMar>
              <w:left w:w="85" w:type="dxa"/>
              <w:right w:w="57" w:type="dxa"/>
            </w:tcMar>
          </w:tcPr>
          <w:p w14:paraId="273CD6F9" w14:textId="77777777" w:rsidR="00A11658" w:rsidRPr="003978B4" w:rsidRDefault="00324184" w:rsidP="006C4BAD">
            <w:pPr>
              <w:pStyle w:val="TableText"/>
            </w:pPr>
            <w:r w:rsidRPr="003978B4">
              <w:t>EC10</w:t>
            </w:r>
            <w:r>
              <w:t xml:space="preserve"> </w:t>
            </w:r>
            <w:r w:rsidR="006C4BAD">
              <w:br/>
            </w:r>
            <w:r w:rsidRPr="003978B4">
              <w:t>(Population growth rate)</w:t>
            </w:r>
          </w:p>
        </w:tc>
        <w:tc>
          <w:tcPr>
            <w:tcW w:w="304" w:type="pct"/>
            <w:shd w:val="clear" w:color="auto" w:fill="auto"/>
            <w:tcMar>
              <w:left w:w="85" w:type="dxa"/>
              <w:right w:w="57" w:type="dxa"/>
            </w:tcMar>
          </w:tcPr>
          <w:p w14:paraId="273CD6FA" w14:textId="77777777" w:rsidR="00A11658" w:rsidRPr="003978B4" w:rsidRDefault="00324184" w:rsidP="00A11658">
            <w:pPr>
              <w:pStyle w:val="TableText"/>
            </w:pPr>
            <w:r w:rsidRPr="003978B4">
              <w:t>35</w:t>
            </w:r>
          </w:p>
        </w:tc>
        <w:tc>
          <w:tcPr>
            <w:tcW w:w="304" w:type="pct"/>
            <w:shd w:val="clear" w:color="auto" w:fill="auto"/>
            <w:tcMar>
              <w:left w:w="85" w:type="dxa"/>
              <w:right w:w="57" w:type="dxa"/>
            </w:tcMar>
          </w:tcPr>
          <w:p w14:paraId="273CD6FB" w14:textId="77777777" w:rsidR="00A11658" w:rsidRPr="003978B4" w:rsidRDefault="00324184" w:rsidP="00A11658">
            <w:pPr>
              <w:pStyle w:val="TableText"/>
            </w:pPr>
            <w:r>
              <w:t>–</w:t>
            </w:r>
          </w:p>
        </w:tc>
        <w:tc>
          <w:tcPr>
            <w:tcW w:w="405" w:type="pct"/>
            <w:shd w:val="clear" w:color="auto" w:fill="auto"/>
            <w:tcMar>
              <w:left w:w="85" w:type="dxa"/>
              <w:right w:w="57" w:type="dxa"/>
            </w:tcMar>
          </w:tcPr>
          <w:p w14:paraId="273CD6FC" w14:textId="77777777" w:rsidR="00A11658" w:rsidRPr="003978B4" w:rsidRDefault="00324184" w:rsidP="00A11658">
            <w:pPr>
              <w:pStyle w:val="TableText"/>
            </w:pPr>
            <w:r w:rsidRPr="003978B4">
              <w:t>28</w:t>
            </w:r>
          </w:p>
        </w:tc>
        <w:tc>
          <w:tcPr>
            <w:tcW w:w="430" w:type="pct"/>
            <w:shd w:val="clear" w:color="auto" w:fill="auto"/>
            <w:tcMar>
              <w:left w:w="85" w:type="dxa"/>
              <w:right w:w="57" w:type="dxa"/>
            </w:tcMar>
          </w:tcPr>
          <w:p w14:paraId="273CD6FD" w14:textId="77777777" w:rsidR="00A11658" w:rsidRPr="003978B4" w:rsidRDefault="00324184" w:rsidP="00A11658">
            <w:pPr>
              <w:pStyle w:val="TableText"/>
            </w:pPr>
            <w:r w:rsidRPr="003978B4">
              <w:t>3.1</w:t>
            </w:r>
          </w:p>
        </w:tc>
        <w:tc>
          <w:tcPr>
            <w:tcW w:w="621" w:type="pct"/>
            <w:shd w:val="clear" w:color="auto" w:fill="auto"/>
            <w:tcMar>
              <w:left w:w="85" w:type="dxa"/>
              <w:right w:w="57" w:type="dxa"/>
            </w:tcMar>
          </w:tcPr>
          <w:p w14:paraId="273CD6FE" w14:textId="77777777" w:rsidR="00A11658" w:rsidRPr="003978B4" w:rsidRDefault="00324184" w:rsidP="00A11658">
            <w:pPr>
              <w:pStyle w:val="TableText"/>
            </w:pPr>
            <w:r w:rsidRPr="003978B4">
              <w:rPr>
                <w:noProof/>
              </w:rPr>
              <w:t>Trenfield et al. (2015)</w:t>
            </w:r>
          </w:p>
        </w:tc>
      </w:tr>
      <w:tr w:rsidR="00091AEB" w14:paraId="273CD70A" w14:textId="77777777" w:rsidTr="00375885">
        <w:trPr>
          <w:cantSplit/>
        </w:trPr>
        <w:tc>
          <w:tcPr>
            <w:tcW w:w="506" w:type="pct"/>
            <w:vMerge/>
            <w:shd w:val="clear" w:color="auto" w:fill="auto"/>
            <w:tcMar>
              <w:left w:w="85" w:type="dxa"/>
              <w:right w:w="57" w:type="dxa"/>
            </w:tcMar>
          </w:tcPr>
          <w:p w14:paraId="273CD700" w14:textId="77777777" w:rsidR="00A11658" w:rsidRPr="003978B4" w:rsidRDefault="00A11658" w:rsidP="00A11658">
            <w:pPr>
              <w:pStyle w:val="TableText"/>
            </w:pPr>
          </w:p>
        </w:tc>
        <w:tc>
          <w:tcPr>
            <w:tcW w:w="709" w:type="pct"/>
            <w:vMerge/>
            <w:tcBorders>
              <w:bottom w:val="nil"/>
            </w:tcBorders>
            <w:shd w:val="clear" w:color="auto" w:fill="auto"/>
            <w:tcMar>
              <w:left w:w="85" w:type="dxa"/>
              <w:right w:w="57" w:type="dxa"/>
            </w:tcMar>
          </w:tcPr>
          <w:p w14:paraId="273CD701" w14:textId="77777777" w:rsidR="00A11658" w:rsidRPr="00254919" w:rsidRDefault="00A11658" w:rsidP="00A11658">
            <w:pPr>
              <w:pStyle w:val="TableText"/>
            </w:pPr>
          </w:p>
        </w:tc>
        <w:tc>
          <w:tcPr>
            <w:tcW w:w="607" w:type="pct"/>
            <w:tcBorders>
              <w:bottom w:val="nil"/>
            </w:tcBorders>
            <w:shd w:val="clear" w:color="auto" w:fill="auto"/>
            <w:tcMar>
              <w:left w:w="85" w:type="dxa"/>
              <w:right w:w="57" w:type="dxa"/>
            </w:tcMar>
          </w:tcPr>
          <w:p w14:paraId="273CD702" w14:textId="77777777" w:rsidR="00A11658" w:rsidRPr="003978B4" w:rsidRDefault="00324184" w:rsidP="00A11658">
            <w:pPr>
              <w:pStyle w:val="TableText"/>
            </w:pPr>
            <w:r w:rsidRPr="003978B4">
              <w:t>Exp</w:t>
            </w:r>
            <w:r>
              <w:t>onential</w:t>
            </w:r>
            <w:r w:rsidRPr="003978B4">
              <w:t xml:space="preserve"> growth</w:t>
            </w:r>
          </w:p>
        </w:tc>
        <w:tc>
          <w:tcPr>
            <w:tcW w:w="405" w:type="pct"/>
            <w:tcBorders>
              <w:bottom w:val="nil"/>
            </w:tcBorders>
            <w:shd w:val="clear" w:color="auto" w:fill="auto"/>
            <w:tcMar>
              <w:left w:w="85" w:type="dxa"/>
              <w:right w:w="57" w:type="dxa"/>
            </w:tcMar>
          </w:tcPr>
          <w:p w14:paraId="273CD703" w14:textId="77777777" w:rsidR="00A11658" w:rsidRPr="003978B4" w:rsidRDefault="00324184" w:rsidP="00A11658">
            <w:pPr>
              <w:pStyle w:val="TableText"/>
            </w:pPr>
            <w:r w:rsidRPr="003978B4">
              <w:t>3</w:t>
            </w:r>
          </w:p>
        </w:tc>
        <w:tc>
          <w:tcPr>
            <w:tcW w:w="709" w:type="pct"/>
            <w:tcBorders>
              <w:bottom w:val="nil"/>
            </w:tcBorders>
            <w:shd w:val="clear" w:color="auto" w:fill="auto"/>
            <w:tcMar>
              <w:left w:w="85" w:type="dxa"/>
              <w:right w:w="57" w:type="dxa"/>
            </w:tcMar>
          </w:tcPr>
          <w:p w14:paraId="273CD704" w14:textId="77777777" w:rsidR="00A11658" w:rsidRPr="003978B4" w:rsidRDefault="00324184" w:rsidP="006C4BAD">
            <w:pPr>
              <w:pStyle w:val="TableText"/>
            </w:pPr>
            <w:r w:rsidRPr="003978B4">
              <w:t>EC10</w:t>
            </w:r>
            <w:r>
              <w:t xml:space="preserve"> </w:t>
            </w:r>
            <w:r w:rsidR="006C4BAD">
              <w:br/>
            </w:r>
            <w:r w:rsidRPr="003978B4">
              <w:t>(Population growth rate)</w:t>
            </w:r>
          </w:p>
        </w:tc>
        <w:tc>
          <w:tcPr>
            <w:tcW w:w="304" w:type="pct"/>
            <w:tcBorders>
              <w:bottom w:val="nil"/>
            </w:tcBorders>
            <w:shd w:val="clear" w:color="auto" w:fill="auto"/>
            <w:tcMar>
              <w:left w:w="85" w:type="dxa"/>
              <w:right w:w="57" w:type="dxa"/>
            </w:tcMar>
          </w:tcPr>
          <w:p w14:paraId="273CD705" w14:textId="77777777" w:rsidR="00A11658" w:rsidRPr="003978B4" w:rsidRDefault="00324184" w:rsidP="00A11658">
            <w:pPr>
              <w:pStyle w:val="TableText"/>
            </w:pPr>
            <w:r w:rsidRPr="003978B4">
              <w:t>36</w:t>
            </w:r>
          </w:p>
        </w:tc>
        <w:tc>
          <w:tcPr>
            <w:tcW w:w="304" w:type="pct"/>
            <w:tcBorders>
              <w:bottom w:val="nil"/>
            </w:tcBorders>
            <w:shd w:val="clear" w:color="auto" w:fill="auto"/>
            <w:tcMar>
              <w:left w:w="85" w:type="dxa"/>
              <w:right w:w="57" w:type="dxa"/>
            </w:tcMar>
          </w:tcPr>
          <w:p w14:paraId="273CD706" w14:textId="77777777" w:rsidR="00A11658" w:rsidRPr="003978B4" w:rsidRDefault="00324184" w:rsidP="00A11658">
            <w:pPr>
              <w:pStyle w:val="TableText"/>
            </w:pPr>
            <w:r>
              <w:t>–</w:t>
            </w:r>
          </w:p>
        </w:tc>
        <w:tc>
          <w:tcPr>
            <w:tcW w:w="405" w:type="pct"/>
            <w:tcBorders>
              <w:bottom w:val="nil"/>
            </w:tcBorders>
            <w:shd w:val="clear" w:color="auto" w:fill="auto"/>
            <w:tcMar>
              <w:left w:w="85" w:type="dxa"/>
              <w:right w:w="57" w:type="dxa"/>
            </w:tcMar>
          </w:tcPr>
          <w:p w14:paraId="273CD707" w14:textId="77777777" w:rsidR="00A11658" w:rsidRPr="003978B4" w:rsidRDefault="00324184" w:rsidP="00A11658">
            <w:pPr>
              <w:pStyle w:val="TableText"/>
            </w:pPr>
            <w:r w:rsidRPr="003978B4">
              <w:t>28</w:t>
            </w:r>
          </w:p>
        </w:tc>
        <w:tc>
          <w:tcPr>
            <w:tcW w:w="430" w:type="pct"/>
            <w:shd w:val="clear" w:color="auto" w:fill="auto"/>
            <w:tcMar>
              <w:left w:w="85" w:type="dxa"/>
              <w:right w:w="57" w:type="dxa"/>
            </w:tcMar>
          </w:tcPr>
          <w:p w14:paraId="273CD708" w14:textId="77777777" w:rsidR="00A11658" w:rsidRPr="003978B4" w:rsidRDefault="00324184" w:rsidP="00A11658">
            <w:pPr>
              <w:pStyle w:val="TableText"/>
            </w:pPr>
            <w:r w:rsidRPr="003978B4">
              <w:t>2.2</w:t>
            </w:r>
          </w:p>
        </w:tc>
        <w:tc>
          <w:tcPr>
            <w:tcW w:w="621" w:type="pct"/>
            <w:shd w:val="clear" w:color="auto" w:fill="auto"/>
            <w:tcMar>
              <w:left w:w="85" w:type="dxa"/>
              <w:right w:w="57" w:type="dxa"/>
            </w:tcMar>
          </w:tcPr>
          <w:p w14:paraId="273CD709" w14:textId="77777777" w:rsidR="00A11658" w:rsidRPr="003978B4" w:rsidRDefault="00324184" w:rsidP="00A11658">
            <w:pPr>
              <w:pStyle w:val="TableText"/>
              <w:rPr>
                <w:noProof/>
              </w:rPr>
            </w:pPr>
            <w:r w:rsidRPr="003978B4">
              <w:rPr>
                <w:noProof/>
              </w:rPr>
              <w:t>Adams et al. (2018)</w:t>
            </w:r>
          </w:p>
        </w:tc>
      </w:tr>
      <w:tr w:rsidR="00091AEB" w14:paraId="273CD710" w14:textId="77777777" w:rsidTr="00375885">
        <w:trPr>
          <w:cantSplit/>
        </w:trPr>
        <w:tc>
          <w:tcPr>
            <w:tcW w:w="506" w:type="pct"/>
            <w:vMerge/>
            <w:shd w:val="clear" w:color="auto" w:fill="auto"/>
            <w:tcMar>
              <w:left w:w="85" w:type="dxa"/>
              <w:right w:w="57" w:type="dxa"/>
            </w:tcMar>
          </w:tcPr>
          <w:p w14:paraId="273CD70B" w14:textId="77777777" w:rsidR="00A11658" w:rsidRPr="003978B4" w:rsidRDefault="00A11658" w:rsidP="00A11658">
            <w:pPr>
              <w:pStyle w:val="TableText"/>
            </w:pPr>
          </w:p>
        </w:tc>
        <w:tc>
          <w:tcPr>
            <w:tcW w:w="3443" w:type="pct"/>
            <w:gridSpan w:val="7"/>
            <w:tcBorders>
              <w:top w:val="nil"/>
            </w:tcBorders>
            <w:shd w:val="clear" w:color="auto" w:fill="auto"/>
            <w:tcMar>
              <w:left w:w="85" w:type="dxa"/>
              <w:right w:w="57" w:type="dxa"/>
            </w:tcMar>
          </w:tcPr>
          <w:p w14:paraId="273CD70C" w14:textId="77777777" w:rsidR="00A11658" w:rsidRPr="003978B4" w:rsidRDefault="00324184" w:rsidP="00A11658">
            <w:pPr>
              <w:pStyle w:val="TableText"/>
            </w:pPr>
            <w:r>
              <w:t>–</w:t>
            </w:r>
          </w:p>
        </w:tc>
        <w:tc>
          <w:tcPr>
            <w:tcW w:w="430" w:type="pct"/>
            <w:shd w:val="clear" w:color="auto" w:fill="auto"/>
            <w:tcMar>
              <w:left w:w="85" w:type="dxa"/>
              <w:right w:w="57" w:type="dxa"/>
            </w:tcMar>
          </w:tcPr>
          <w:p w14:paraId="273CD70D" w14:textId="77777777" w:rsidR="00A11658" w:rsidRPr="00275044" w:rsidRDefault="00324184" w:rsidP="00A11658">
            <w:pPr>
              <w:pStyle w:val="TableText"/>
              <w:rPr>
                <w:b/>
                <w:bCs/>
              </w:rPr>
            </w:pPr>
            <w:r w:rsidRPr="00275044">
              <w:rPr>
                <w:b/>
                <w:bCs/>
              </w:rPr>
              <w:t>2.6</w:t>
            </w:r>
          </w:p>
        </w:tc>
        <w:tc>
          <w:tcPr>
            <w:tcW w:w="621" w:type="pct"/>
            <w:shd w:val="clear" w:color="auto" w:fill="auto"/>
            <w:tcMar>
              <w:left w:w="85" w:type="dxa"/>
              <w:right w:w="57" w:type="dxa"/>
            </w:tcMar>
          </w:tcPr>
          <w:p w14:paraId="273CD70E" w14:textId="77777777" w:rsidR="00A11658" w:rsidRDefault="00324184" w:rsidP="00A11658">
            <w:pPr>
              <w:pStyle w:val="TableText"/>
              <w:rPr>
                <w:b/>
                <w:bCs/>
              </w:rPr>
            </w:pPr>
            <w:r>
              <w:rPr>
                <w:b/>
                <w:bCs/>
              </w:rPr>
              <w:t>V</w:t>
            </w:r>
            <w:r w:rsidRPr="00275044">
              <w:rPr>
                <w:b/>
                <w:bCs/>
              </w:rPr>
              <w:t xml:space="preserve">alue used in </w:t>
            </w:r>
            <w:r w:rsidRPr="00275044">
              <w:rPr>
                <w:b/>
                <w:bCs/>
              </w:rPr>
              <w:t>SSD</w:t>
            </w:r>
          </w:p>
          <w:p w14:paraId="273CD70F" w14:textId="77777777" w:rsidR="00A11658" w:rsidRPr="00275044" w:rsidRDefault="00324184" w:rsidP="00A11658">
            <w:pPr>
              <w:pStyle w:val="TableText"/>
              <w:rPr>
                <w:b/>
                <w:bCs/>
              </w:rPr>
            </w:pPr>
            <w:r>
              <w:rPr>
                <w:b/>
                <w:bCs/>
              </w:rPr>
              <w:t>(g</w:t>
            </w:r>
            <w:r w:rsidRPr="00275044">
              <w:rPr>
                <w:b/>
                <w:bCs/>
              </w:rPr>
              <w:t>eometric mean</w:t>
            </w:r>
            <w:r>
              <w:rPr>
                <w:b/>
                <w:bCs/>
              </w:rPr>
              <w:t>)</w:t>
            </w:r>
            <w:r w:rsidRPr="00275044">
              <w:rPr>
                <w:b/>
                <w:bCs/>
              </w:rPr>
              <w:t xml:space="preserve"> </w:t>
            </w:r>
          </w:p>
        </w:tc>
      </w:tr>
      <w:tr w:rsidR="00091AEB" w14:paraId="273CD71B" w14:textId="77777777" w:rsidTr="00375885">
        <w:trPr>
          <w:cantSplit/>
        </w:trPr>
        <w:tc>
          <w:tcPr>
            <w:tcW w:w="506" w:type="pct"/>
            <w:vMerge/>
            <w:shd w:val="clear" w:color="auto" w:fill="auto"/>
            <w:tcMar>
              <w:left w:w="85" w:type="dxa"/>
              <w:right w:w="57" w:type="dxa"/>
            </w:tcMar>
          </w:tcPr>
          <w:p w14:paraId="273CD711" w14:textId="77777777" w:rsidR="00A11658" w:rsidRPr="003978B4" w:rsidRDefault="00A11658" w:rsidP="00A11658">
            <w:pPr>
              <w:pStyle w:val="TableText"/>
            </w:pPr>
          </w:p>
        </w:tc>
        <w:tc>
          <w:tcPr>
            <w:tcW w:w="709" w:type="pct"/>
            <w:tcBorders>
              <w:bottom w:val="nil"/>
            </w:tcBorders>
            <w:shd w:val="clear" w:color="auto" w:fill="auto"/>
            <w:tcMar>
              <w:left w:w="85" w:type="dxa"/>
              <w:right w:w="57" w:type="dxa"/>
            </w:tcMar>
          </w:tcPr>
          <w:p w14:paraId="273CD712" w14:textId="77777777" w:rsidR="00A11658" w:rsidRPr="00A616D8" w:rsidRDefault="00324184" w:rsidP="00A11658">
            <w:pPr>
              <w:pStyle w:val="TableText"/>
              <w:rPr>
                <w:rStyle w:val="Emphasis"/>
              </w:rPr>
            </w:pPr>
            <w:r w:rsidRPr="00A616D8">
              <w:rPr>
                <w:rStyle w:val="Emphasis"/>
              </w:rPr>
              <w:t>Proteomonas sulcata</w:t>
            </w:r>
          </w:p>
        </w:tc>
        <w:tc>
          <w:tcPr>
            <w:tcW w:w="607" w:type="pct"/>
            <w:tcBorders>
              <w:bottom w:val="nil"/>
            </w:tcBorders>
            <w:shd w:val="clear" w:color="auto" w:fill="auto"/>
            <w:tcMar>
              <w:left w:w="85" w:type="dxa"/>
              <w:right w:w="57" w:type="dxa"/>
            </w:tcMar>
          </w:tcPr>
          <w:p w14:paraId="273CD713" w14:textId="77777777" w:rsidR="00A11658" w:rsidRPr="003978B4" w:rsidRDefault="00324184" w:rsidP="00A11658">
            <w:pPr>
              <w:pStyle w:val="TableText"/>
            </w:pPr>
            <w:r w:rsidRPr="003978B4">
              <w:t>Exp</w:t>
            </w:r>
            <w:r>
              <w:t>onential</w:t>
            </w:r>
            <w:r w:rsidRPr="003978B4">
              <w:t xml:space="preserve"> growth</w:t>
            </w:r>
          </w:p>
        </w:tc>
        <w:tc>
          <w:tcPr>
            <w:tcW w:w="405" w:type="pct"/>
            <w:tcBorders>
              <w:bottom w:val="nil"/>
            </w:tcBorders>
            <w:shd w:val="clear" w:color="auto" w:fill="auto"/>
            <w:tcMar>
              <w:left w:w="85" w:type="dxa"/>
              <w:right w:w="57" w:type="dxa"/>
            </w:tcMar>
          </w:tcPr>
          <w:p w14:paraId="273CD714" w14:textId="77777777" w:rsidR="00A11658" w:rsidRPr="003978B4" w:rsidRDefault="00324184" w:rsidP="00A11658">
            <w:pPr>
              <w:pStyle w:val="TableText"/>
            </w:pPr>
            <w:r w:rsidRPr="003978B4">
              <w:t>3</w:t>
            </w:r>
          </w:p>
        </w:tc>
        <w:tc>
          <w:tcPr>
            <w:tcW w:w="709" w:type="pct"/>
            <w:tcBorders>
              <w:bottom w:val="nil"/>
            </w:tcBorders>
            <w:shd w:val="clear" w:color="auto" w:fill="auto"/>
            <w:tcMar>
              <w:left w:w="85" w:type="dxa"/>
              <w:right w:w="57" w:type="dxa"/>
            </w:tcMar>
          </w:tcPr>
          <w:p w14:paraId="273CD715" w14:textId="77777777" w:rsidR="00A11658" w:rsidRPr="003978B4" w:rsidRDefault="00324184" w:rsidP="006C4BAD">
            <w:pPr>
              <w:pStyle w:val="TableText"/>
            </w:pPr>
            <w:r w:rsidRPr="003978B4">
              <w:t>IC50</w:t>
            </w:r>
            <w:r>
              <w:t xml:space="preserve"> </w:t>
            </w:r>
            <w:r w:rsidR="006C4BAD">
              <w:br/>
            </w:r>
            <w:r w:rsidRPr="003978B4">
              <w:t>(Population growth rate)</w:t>
            </w:r>
          </w:p>
        </w:tc>
        <w:tc>
          <w:tcPr>
            <w:tcW w:w="304" w:type="pct"/>
            <w:tcBorders>
              <w:bottom w:val="nil"/>
            </w:tcBorders>
            <w:shd w:val="clear" w:color="auto" w:fill="auto"/>
            <w:tcMar>
              <w:left w:w="85" w:type="dxa"/>
              <w:right w:w="57" w:type="dxa"/>
            </w:tcMar>
          </w:tcPr>
          <w:p w14:paraId="273CD716" w14:textId="77777777" w:rsidR="00A11658" w:rsidRPr="003978B4" w:rsidRDefault="00324184" w:rsidP="00A11658">
            <w:pPr>
              <w:pStyle w:val="TableText"/>
            </w:pPr>
            <w:r>
              <w:t>–</w:t>
            </w:r>
          </w:p>
        </w:tc>
        <w:tc>
          <w:tcPr>
            <w:tcW w:w="304" w:type="pct"/>
            <w:tcBorders>
              <w:bottom w:val="nil"/>
            </w:tcBorders>
            <w:shd w:val="clear" w:color="auto" w:fill="auto"/>
            <w:tcMar>
              <w:left w:w="85" w:type="dxa"/>
              <w:right w:w="57" w:type="dxa"/>
            </w:tcMar>
          </w:tcPr>
          <w:p w14:paraId="273CD717" w14:textId="77777777" w:rsidR="00A11658" w:rsidRPr="003978B4" w:rsidRDefault="00324184" w:rsidP="00A11658">
            <w:pPr>
              <w:pStyle w:val="TableText"/>
            </w:pPr>
            <w:r>
              <w:t>–</w:t>
            </w:r>
          </w:p>
        </w:tc>
        <w:tc>
          <w:tcPr>
            <w:tcW w:w="405" w:type="pct"/>
            <w:tcBorders>
              <w:bottom w:val="nil"/>
            </w:tcBorders>
            <w:shd w:val="clear" w:color="auto" w:fill="auto"/>
            <w:tcMar>
              <w:left w:w="85" w:type="dxa"/>
              <w:right w:w="57" w:type="dxa"/>
            </w:tcMar>
          </w:tcPr>
          <w:p w14:paraId="273CD718" w14:textId="77777777" w:rsidR="00A11658" w:rsidRPr="003978B4" w:rsidRDefault="00324184" w:rsidP="00A11658">
            <w:pPr>
              <w:pStyle w:val="TableText"/>
            </w:pPr>
            <w:r w:rsidRPr="003978B4">
              <w:t>27</w:t>
            </w:r>
          </w:p>
        </w:tc>
        <w:tc>
          <w:tcPr>
            <w:tcW w:w="430" w:type="pct"/>
            <w:shd w:val="clear" w:color="auto" w:fill="auto"/>
            <w:tcMar>
              <w:left w:w="85" w:type="dxa"/>
              <w:right w:w="57" w:type="dxa"/>
            </w:tcMar>
          </w:tcPr>
          <w:p w14:paraId="273CD719" w14:textId="77777777" w:rsidR="00A11658" w:rsidRPr="003978B4" w:rsidRDefault="00324184" w:rsidP="00A11658">
            <w:pPr>
              <w:pStyle w:val="TableText"/>
            </w:pPr>
            <w:r w:rsidRPr="003978B4">
              <w:t>4.2</w:t>
            </w:r>
          </w:p>
        </w:tc>
        <w:tc>
          <w:tcPr>
            <w:tcW w:w="621" w:type="pct"/>
            <w:shd w:val="clear" w:color="auto" w:fill="auto"/>
            <w:tcMar>
              <w:left w:w="85" w:type="dxa"/>
              <w:right w:w="57" w:type="dxa"/>
            </w:tcMar>
          </w:tcPr>
          <w:p w14:paraId="273CD71A" w14:textId="77777777" w:rsidR="00A11658" w:rsidRPr="003978B4" w:rsidRDefault="00324184" w:rsidP="00A11658">
            <w:pPr>
              <w:pStyle w:val="TableText"/>
            </w:pPr>
            <w:r w:rsidRPr="003978B4">
              <w:rPr>
                <w:noProof/>
              </w:rPr>
              <w:t>Levy et al. (2007)</w:t>
            </w:r>
          </w:p>
        </w:tc>
      </w:tr>
      <w:tr w:rsidR="00091AEB" w14:paraId="273CD720" w14:textId="77777777" w:rsidTr="00375885">
        <w:trPr>
          <w:cantSplit/>
        </w:trPr>
        <w:tc>
          <w:tcPr>
            <w:tcW w:w="506" w:type="pct"/>
            <w:vMerge/>
            <w:shd w:val="clear" w:color="auto" w:fill="auto"/>
            <w:tcMar>
              <w:left w:w="85" w:type="dxa"/>
              <w:right w:w="57" w:type="dxa"/>
            </w:tcMar>
          </w:tcPr>
          <w:p w14:paraId="273CD71C" w14:textId="77777777" w:rsidR="00A11658" w:rsidRPr="003978B4" w:rsidRDefault="00A11658" w:rsidP="00A11658">
            <w:pPr>
              <w:pStyle w:val="TableText"/>
            </w:pPr>
          </w:p>
        </w:tc>
        <w:tc>
          <w:tcPr>
            <w:tcW w:w="3443" w:type="pct"/>
            <w:gridSpan w:val="7"/>
            <w:tcBorders>
              <w:top w:val="nil"/>
            </w:tcBorders>
            <w:shd w:val="clear" w:color="auto" w:fill="auto"/>
            <w:tcMar>
              <w:left w:w="85" w:type="dxa"/>
              <w:right w:w="57" w:type="dxa"/>
            </w:tcMar>
          </w:tcPr>
          <w:p w14:paraId="273CD71D" w14:textId="77777777" w:rsidR="00A11658" w:rsidRPr="003978B4" w:rsidRDefault="00324184" w:rsidP="00A11658">
            <w:pPr>
              <w:pStyle w:val="TableText"/>
            </w:pPr>
            <w:r>
              <w:t>–</w:t>
            </w:r>
          </w:p>
        </w:tc>
        <w:tc>
          <w:tcPr>
            <w:tcW w:w="430" w:type="pct"/>
            <w:shd w:val="clear" w:color="auto" w:fill="auto"/>
            <w:tcMar>
              <w:left w:w="85" w:type="dxa"/>
              <w:right w:w="57" w:type="dxa"/>
            </w:tcMar>
          </w:tcPr>
          <w:p w14:paraId="273CD71E" w14:textId="77777777" w:rsidR="00A11658" w:rsidRPr="00275044" w:rsidRDefault="00324184" w:rsidP="00A11658">
            <w:pPr>
              <w:pStyle w:val="TableText"/>
              <w:rPr>
                <w:b/>
                <w:bCs/>
              </w:rPr>
            </w:pPr>
            <w:r w:rsidRPr="00275044">
              <w:rPr>
                <w:b/>
                <w:bCs/>
              </w:rPr>
              <w:t>0.8</w:t>
            </w:r>
            <w:r>
              <w:rPr>
                <w:b/>
                <w:bCs/>
              </w:rPr>
              <w:t>4</w:t>
            </w:r>
            <w:r w:rsidRPr="00275044">
              <w:rPr>
                <w:b/>
                <w:bCs/>
              </w:rPr>
              <w:t xml:space="preserve"> </w:t>
            </w:r>
            <w:r w:rsidRPr="0090363F">
              <w:rPr>
                <w:rStyle w:val="Strong"/>
                <w:vertAlign w:val="superscript"/>
              </w:rPr>
              <w:t>b</w:t>
            </w:r>
          </w:p>
        </w:tc>
        <w:tc>
          <w:tcPr>
            <w:tcW w:w="621" w:type="pct"/>
            <w:shd w:val="clear" w:color="auto" w:fill="auto"/>
            <w:tcMar>
              <w:left w:w="85" w:type="dxa"/>
              <w:right w:w="57" w:type="dxa"/>
            </w:tcMar>
          </w:tcPr>
          <w:p w14:paraId="273CD71F" w14:textId="77777777" w:rsidR="00A11658" w:rsidRPr="00275044" w:rsidRDefault="00324184" w:rsidP="00A11658">
            <w:pPr>
              <w:pStyle w:val="TableText"/>
              <w:rPr>
                <w:b/>
                <w:bCs/>
              </w:rPr>
            </w:pPr>
            <w:r w:rsidRPr="00275044">
              <w:rPr>
                <w:b/>
                <w:bCs/>
              </w:rPr>
              <w:t>Value used in SSD</w:t>
            </w:r>
          </w:p>
        </w:tc>
      </w:tr>
      <w:tr w:rsidR="00091AEB" w14:paraId="273CD72B" w14:textId="77777777" w:rsidTr="00375885">
        <w:trPr>
          <w:cantSplit/>
        </w:trPr>
        <w:tc>
          <w:tcPr>
            <w:tcW w:w="506" w:type="pct"/>
            <w:vMerge w:val="restart"/>
            <w:shd w:val="clear" w:color="auto" w:fill="auto"/>
            <w:tcMar>
              <w:left w:w="85" w:type="dxa"/>
              <w:right w:w="57" w:type="dxa"/>
            </w:tcMar>
          </w:tcPr>
          <w:p w14:paraId="273CD721" w14:textId="77777777" w:rsidR="00A11658" w:rsidRPr="003978B4" w:rsidRDefault="00324184" w:rsidP="00A11658">
            <w:pPr>
              <w:pStyle w:val="TableText"/>
            </w:pPr>
            <w:r w:rsidRPr="003978B4">
              <w:t xml:space="preserve">Blue-green alga </w:t>
            </w:r>
          </w:p>
        </w:tc>
        <w:tc>
          <w:tcPr>
            <w:tcW w:w="709" w:type="pct"/>
            <w:tcBorders>
              <w:bottom w:val="nil"/>
            </w:tcBorders>
            <w:shd w:val="clear" w:color="auto" w:fill="auto"/>
            <w:tcMar>
              <w:left w:w="85" w:type="dxa"/>
              <w:right w:w="57" w:type="dxa"/>
            </w:tcMar>
          </w:tcPr>
          <w:p w14:paraId="273CD722" w14:textId="77777777" w:rsidR="00A11658" w:rsidRPr="00254919" w:rsidRDefault="00324184" w:rsidP="00A11658">
            <w:pPr>
              <w:pStyle w:val="TableText"/>
            </w:pPr>
            <w:r w:rsidRPr="00A616D8">
              <w:rPr>
                <w:rStyle w:val="Emphasis"/>
              </w:rPr>
              <w:t>Cyanobium</w:t>
            </w:r>
            <w:r w:rsidRPr="00254919">
              <w:t xml:space="preserve"> sp.</w:t>
            </w:r>
          </w:p>
        </w:tc>
        <w:tc>
          <w:tcPr>
            <w:tcW w:w="607" w:type="pct"/>
            <w:tcBorders>
              <w:bottom w:val="nil"/>
            </w:tcBorders>
            <w:shd w:val="clear" w:color="auto" w:fill="auto"/>
            <w:tcMar>
              <w:left w:w="85" w:type="dxa"/>
              <w:right w:w="57" w:type="dxa"/>
            </w:tcMar>
          </w:tcPr>
          <w:p w14:paraId="273CD723" w14:textId="77777777" w:rsidR="00A11658" w:rsidRPr="003978B4" w:rsidRDefault="00324184" w:rsidP="00A11658">
            <w:pPr>
              <w:pStyle w:val="TableText"/>
            </w:pPr>
            <w:r w:rsidRPr="003978B4">
              <w:t>Exp</w:t>
            </w:r>
            <w:r>
              <w:t>onential</w:t>
            </w:r>
            <w:r w:rsidRPr="003978B4">
              <w:t xml:space="preserve"> growth</w:t>
            </w:r>
          </w:p>
        </w:tc>
        <w:tc>
          <w:tcPr>
            <w:tcW w:w="405" w:type="pct"/>
            <w:tcBorders>
              <w:bottom w:val="nil"/>
            </w:tcBorders>
            <w:shd w:val="clear" w:color="auto" w:fill="auto"/>
            <w:tcMar>
              <w:left w:w="85" w:type="dxa"/>
              <w:right w:w="57" w:type="dxa"/>
            </w:tcMar>
          </w:tcPr>
          <w:p w14:paraId="273CD724" w14:textId="77777777" w:rsidR="00A11658" w:rsidRPr="003978B4" w:rsidRDefault="00324184" w:rsidP="00A11658">
            <w:pPr>
              <w:pStyle w:val="TableText"/>
            </w:pPr>
            <w:r w:rsidRPr="003978B4">
              <w:t>3</w:t>
            </w:r>
          </w:p>
        </w:tc>
        <w:tc>
          <w:tcPr>
            <w:tcW w:w="709" w:type="pct"/>
            <w:tcBorders>
              <w:bottom w:val="nil"/>
            </w:tcBorders>
            <w:shd w:val="clear" w:color="auto" w:fill="auto"/>
            <w:tcMar>
              <w:left w:w="85" w:type="dxa"/>
              <w:right w:w="57" w:type="dxa"/>
            </w:tcMar>
          </w:tcPr>
          <w:p w14:paraId="273CD725" w14:textId="77777777" w:rsidR="00A11658" w:rsidRPr="003978B4" w:rsidRDefault="00324184" w:rsidP="006C4BAD">
            <w:pPr>
              <w:pStyle w:val="TableText"/>
            </w:pPr>
            <w:r>
              <w:t xml:space="preserve">EC10 </w:t>
            </w:r>
            <w:r w:rsidR="006C4BAD">
              <w:br/>
            </w:r>
            <w:r w:rsidRPr="003978B4">
              <w:t>(Population abundance)</w:t>
            </w:r>
          </w:p>
        </w:tc>
        <w:tc>
          <w:tcPr>
            <w:tcW w:w="304" w:type="pct"/>
            <w:tcBorders>
              <w:bottom w:val="nil"/>
            </w:tcBorders>
            <w:shd w:val="clear" w:color="auto" w:fill="auto"/>
            <w:tcMar>
              <w:left w:w="85" w:type="dxa"/>
              <w:right w:w="57" w:type="dxa"/>
            </w:tcMar>
          </w:tcPr>
          <w:p w14:paraId="273CD726" w14:textId="77777777" w:rsidR="00A11658" w:rsidRPr="003978B4" w:rsidRDefault="00324184" w:rsidP="00A11658">
            <w:pPr>
              <w:pStyle w:val="TableText"/>
            </w:pPr>
            <w:r>
              <w:t>–</w:t>
            </w:r>
          </w:p>
        </w:tc>
        <w:tc>
          <w:tcPr>
            <w:tcW w:w="304" w:type="pct"/>
            <w:tcBorders>
              <w:bottom w:val="nil"/>
            </w:tcBorders>
            <w:shd w:val="clear" w:color="auto" w:fill="auto"/>
            <w:tcMar>
              <w:left w:w="85" w:type="dxa"/>
              <w:right w:w="57" w:type="dxa"/>
            </w:tcMar>
          </w:tcPr>
          <w:p w14:paraId="273CD727" w14:textId="77777777" w:rsidR="00A11658" w:rsidRPr="003978B4" w:rsidRDefault="00324184" w:rsidP="00A11658">
            <w:pPr>
              <w:pStyle w:val="TableText"/>
            </w:pPr>
            <w:r>
              <w:t>–</w:t>
            </w:r>
          </w:p>
        </w:tc>
        <w:tc>
          <w:tcPr>
            <w:tcW w:w="405" w:type="pct"/>
            <w:tcBorders>
              <w:bottom w:val="nil"/>
            </w:tcBorders>
            <w:shd w:val="clear" w:color="auto" w:fill="auto"/>
            <w:tcMar>
              <w:left w:w="85" w:type="dxa"/>
              <w:right w:w="57" w:type="dxa"/>
            </w:tcMar>
          </w:tcPr>
          <w:p w14:paraId="273CD728" w14:textId="77777777" w:rsidR="00A11658" w:rsidRPr="003978B4" w:rsidRDefault="00324184" w:rsidP="00A11658">
            <w:pPr>
              <w:pStyle w:val="TableText"/>
            </w:pPr>
            <w:r w:rsidRPr="003978B4">
              <w:t>25</w:t>
            </w:r>
          </w:p>
        </w:tc>
        <w:tc>
          <w:tcPr>
            <w:tcW w:w="430" w:type="pct"/>
            <w:shd w:val="clear" w:color="auto" w:fill="auto"/>
            <w:tcMar>
              <w:left w:w="85" w:type="dxa"/>
              <w:right w:w="57" w:type="dxa"/>
            </w:tcMar>
          </w:tcPr>
          <w:p w14:paraId="273CD729" w14:textId="77777777" w:rsidR="00A11658" w:rsidRPr="003978B4" w:rsidRDefault="00324184" w:rsidP="00A11658">
            <w:pPr>
              <w:pStyle w:val="TableText"/>
            </w:pPr>
            <w:r w:rsidRPr="003978B4">
              <w:t>300</w:t>
            </w:r>
          </w:p>
        </w:tc>
        <w:tc>
          <w:tcPr>
            <w:tcW w:w="621" w:type="pct"/>
            <w:shd w:val="clear" w:color="auto" w:fill="auto"/>
            <w:tcMar>
              <w:left w:w="85" w:type="dxa"/>
              <w:right w:w="57" w:type="dxa"/>
            </w:tcMar>
          </w:tcPr>
          <w:p w14:paraId="273CD72A" w14:textId="77777777" w:rsidR="00A11658" w:rsidRPr="003978B4" w:rsidRDefault="00324184" w:rsidP="00A11658">
            <w:pPr>
              <w:pStyle w:val="TableText"/>
            </w:pPr>
            <w:r w:rsidRPr="003978B4">
              <w:rPr>
                <w:noProof/>
              </w:rPr>
              <w:t>Alquezar &amp; Anastasi (2013)</w:t>
            </w:r>
          </w:p>
        </w:tc>
      </w:tr>
      <w:tr w:rsidR="00091AEB" w14:paraId="273CD730" w14:textId="77777777" w:rsidTr="00375885">
        <w:trPr>
          <w:cantSplit/>
        </w:trPr>
        <w:tc>
          <w:tcPr>
            <w:tcW w:w="506" w:type="pct"/>
            <w:vMerge/>
            <w:shd w:val="clear" w:color="auto" w:fill="auto"/>
            <w:tcMar>
              <w:left w:w="85" w:type="dxa"/>
              <w:right w:w="57" w:type="dxa"/>
            </w:tcMar>
          </w:tcPr>
          <w:p w14:paraId="273CD72C" w14:textId="77777777" w:rsidR="00A11658" w:rsidRPr="003978B4" w:rsidRDefault="00A11658" w:rsidP="00A11658">
            <w:pPr>
              <w:pStyle w:val="TableText"/>
            </w:pPr>
          </w:p>
        </w:tc>
        <w:tc>
          <w:tcPr>
            <w:tcW w:w="3443" w:type="pct"/>
            <w:gridSpan w:val="7"/>
            <w:tcBorders>
              <w:top w:val="nil"/>
            </w:tcBorders>
            <w:shd w:val="clear" w:color="auto" w:fill="auto"/>
            <w:tcMar>
              <w:left w:w="85" w:type="dxa"/>
              <w:right w:w="57" w:type="dxa"/>
            </w:tcMar>
          </w:tcPr>
          <w:p w14:paraId="273CD72D" w14:textId="77777777" w:rsidR="00A11658" w:rsidRPr="003978B4" w:rsidRDefault="00324184" w:rsidP="00A11658">
            <w:pPr>
              <w:pStyle w:val="TableText"/>
            </w:pPr>
            <w:r>
              <w:t>–</w:t>
            </w:r>
          </w:p>
        </w:tc>
        <w:tc>
          <w:tcPr>
            <w:tcW w:w="430" w:type="pct"/>
            <w:shd w:val="clear" w:color="auto" w:fill="auto"/>
            <w:tcMar>
              <w:left w:w="85" w:type="dxa"/>
              <w:right w:w="57" w:type="dxa"/>
            </w:tcMar>
          </w:tcPr>
          <w:p w14:paraId="273CD72E" w14:textId="77777777" w:rsidR="00A11658" w:rsidRPr="00275044" w:rsidRDefault="00324184" w:rsidP="00A11658">
            <w:pPr>
              <w:pStyle w:val="TableText"/>
              <w:rPr>
                <w:b/>
                <w:bCs/>
              </w:rPr>
            </w:pPr>
            <w:r w:rsidRPr="00275044">
              <w:rPr>
                <w:b/>
                <w:bCs/>
              </w:rPr>
              <w:t>300</w:t>
            </w:r>
          </w:p>
        </w:tc>
        <w:tc>
          <w:tcPr>
            <w:tcW w:w="621" w:type="pct"/>
            <w:shd w:val="clear" w:color="auto" w:fill="auto"/>
            <w:tcMar>
              <w:left w:w="85" w:type="dxa"/>
              <w:right w:w="57" w:type="dxa"/>
            </w:tcMar>
          </w:tcPr>
          <w:p w14:paraId="273CD72F" w14:textId="77777777" w:rsidR="00A11658" w:rsidRPr="00275044" w:rsidRDefault="00324184" w:rsidP="00A11658">
            <w:pPr>
              <w:pStyle w:val="TableText"/>
              <w:rPr>
                <w:b/>
                <w:bCs/>
              </w:rPr>
            </w:pPr>
            <w:r w:rsidRPr="00275044">
              <w:rPr>
                <w:b/>
                <w:bCs/>
              </w:rPr>
              <w:t>Value used in SSD</w:t>
            </w:r>
          </w:p>
        </w:tc>
      </w:tr>
      <w:tr w:rsidR="00091AEB" w14:paraId="273CD73B" w14:textId="77777777" w:rsidTr="00375885">
        <w:trPr>
          <w:cantSplit/>
        </w:trPr>
        <w:tc>
          <w:tcPr>
            <w:tcW w:w="506" w:type="pct"/>
            <w:vMerge w:val="restart"/>
            <w:shd w:val="clear" w:color="auto" w:fill="auto"/>
            <w:tcMar>
              <w:left w:w="85" w:type="dxa"/>
              <w:right w:w="57" w:type="dxa"/>
            </w:tcMar>
          </w:tcPr>
          <w:p w14:paraId="273CD731" w14:textId="77777777" w:rsidR="00A11658" w:rsidRPr="003978B4" w:rsidRDefault="00324184" w:rsidP="00A11658">
            <w:pPr>
              <w:pStyle w:val="TableText"/>
            </w:pPr>
            <w:r w:rsidRPr="003978B4">
              <w:t xml:space="preserve">Green </w:t>
            </w:r>
            <w:r>
              <w:t>micro</w:t>
            </w:r>
            <w:r w:rsidRPr="003978B4">
              <w:t>alga</w:t>
            </w:r>
          </w:p>
        </w:tc>
        <w:tc>
          <w:tcPr>
            <w:tcW w:w="709" w:type="pct"/>
            <w:vMerge w:val="restart"/>
            <w:shd w:val="clear" w:color="auto" w:fill="auto"/>
            <w:tcMar>
              <w:left w:w="85" w:type="dxa"/>
              <w:right w:w="57" w:type="dxa"/>
            </w:tcMar>
          </w:tcPr>
          <w:p w14:paraId="273CD732" w14:textId="77777777" w:rsidR="00A11658" w:rsidRPr="00A616D8" w:rsidRDefault="00324184" w:rsidP="00A11658">
            <w:pPr>
              <w:pStyle w:val="TableText"/>
              <w:rPr>
                <w:rStyle w:val="Emphasis"/>
              </w:rPr>
            </w:pPr>
            <w:r w:rsidRPr="00A616D8">
              <w:rPr>
                <w:rStyle w:val="Emphasis"/>
              </w:rPr>
              <w:t>Dunaliella tertiolecta</w:t>
            </w:r>
          </w:p>
        </w:tc>
        <w:tc>
          <w:tcPr>
            <w:tcW w:w="607" w:type="pct"/>
            <w:shd w:val="clear" w:color="auto" w:fill="auto"/>
            <w:tcMar>
              <w:left w:w="85" w:type="dxa"/>
              <w:right w:w="57" w:type="dxa"/>
            </w:tcMar>
          </w:tcPr>
          <w:p w14:paraId="273CD733" w14:textId="77777777" w:rsidR="00A11658" w:rsidRPr="003978B4" w:rsidRDefault="00324184" w:rsidP="00A11658">
            <w:pPr>
              <w:pStyle w:val="TableText"/>
            </w:pPr>
            <w:r w:rsidRPr="003978B4">
              <w:t>Exp</w:t>
            </w:r>
            <w:r>
              <w:t>onential</w:t>
            </w:r>
            <w:r w:rsidRPr="003978B4">
              <w:t xml:space="preserve"> growth</w:t>
            </w:r>
          </w:p>
        </w:tc>
        <w:tc>
          <w:tcPr>
            <w:tcW w:w="405" w:type="pct"/>
            <w:shd w:val="clear" w:color="auto" w:fill="auto"/>
            <w:tcMar>
              <w:left w:w="85" w:type="dxa"/>
              <w:right w:w="57" w:type="dxa"/>
            </w:tcMar>
          </w:tcPr>
          <w:p w14:paraId="273CD734" w14:textId="77777777" w:rsidR="00A11658" w:rsidRPr="003978B4" w:rsidRDefault="00324184" w:rsidP="00A11658">
            <w:pPr>
              <w:pStyle w:val="TableText"/>
            </w:pPr>
            <w:r w:rsidRPr="003978B4">
              <w:t>3</w:t>
            </w:r>
          </w:p>
        </w:tc>
        <w:tc>
          <w:tcPr>
            <w:tcW w:w="709" w:type="pct"/>
            <w:shd w:val="clear" w:color="auto" w:fill="auto"/>
            <w:tcMar>
              <w:left w:w="85" w:type="dxa"/>
              <w:right w:w="57" w:type="dxa"/>
            </w:tcMar>
          </w:tcPr>
          <w:p w14:paraId="273CD735" w14:textId="77777777" w:rsidR="00A11658" w:rsidRPr="003978B4" w:rsidRDefault="00324184" w:rsidP="006C4BAD">
            <w:pPr>
              <w:pStyle w:val="TableText"/>
            </w:pPr>
            <w:r w:rsidRPr="003978B4">
              <w:t>NOEC</w:t>
            </w:r>
            <w:r>
              <w:t xml:space="preserve"> </w:t>
            </w:r>
            <w:r w:rsidR="006C4BAD">
              <w:br/>
            </w:r>
            <w:r w:rsidRPr="003978B4">
              <w:t>(Population growth rate)</w:t>
            </w:r>
          </w:p>
        </w:tc>
        <w:tc>
          <w:tcPr>
            <w:tcW w:w="304" w:type="pct"/>
            <w:shd w:val="clear" w:color="auto" w:fill="auto"/>
            <w:tcMar>
              <w:left w:w="85" w:type="dxa"/>
              <w:right w:w="57" w:type="dxa"/>
            </w:tcMar>
          </w:tcPr>
          <w:p w14:paraId="273CD736" w14:textId="77777777" w:rsidR="00A11658" w:rsidRPr="003978B4" w:rsidRDefault="00324184" w:rsidP="00A11658">
            <w:pPr>
              <w:pStyle w:val="TableText"/>
            </w:pPr>
            <w:r>
              <w:t>–</w:t>
            </w:r>
          </w:p>
        </w:tc>
        <w:tc>
          <w:tcPr>
            <w:tcW w:w="304" w:type="pct"/>
            <w:shd w:val="clear" w:color="auto" w:fill="auto"/>
            <w:tcMar>
              <w:left w:w="85" w:type="dxa"/>
              <w:right w:w="57" w:type="dxa"/>
            </w:tcMar>
          </w:tcPr>
          <w:p w14:paraId="273CD737" w14:textId="77777777" w:rsidR="00A11658" w:rsidRPr="003978B4" w:rsidRDefault="00324184" w:rsidP="00A11658">
            <w:pPr>
              <w:pStyle w:val="TableText"/>
            </w:pPr>
            <w:r>
              <w:t>–</w:t>
            </w:r>
          </w:p>
        </w:tc>
        <w:tc>
          <w:tcPr>
            <w:tcW w:w="405" w:type="pct"/>
            <w:shd w:val="clear" w:color="auto" w:fill="auto"/>
            <w:tcMar>
              <w:left w:w="85" w:type="dxa"/>
              <w:right w:w="57" w:type="dxa"/>
            </w:tcMar>
          </w:tcPr>
          <w:p w14:paraId="273CD738" w14:textId="77777777" w:rsidR="00A11658" w:rsidRPr="003978B4" w:rsidRDefault="00324184" w:rsidP="00A11658">
            <w:pPr>
              <w:pStyle w:val="TableText"/>
            </w:pPr>
            <w:r w:rsidRPr="003978B4">
              <w:t>21</w:t>
            </w:r>
          </w:p>
        </w:tc>
        <w:tc>
          <w:tcPr>
            <w:tcW w:w="430" w:type="pct"/>
            <w:shd w:val="clear" w:color="auto" w:fill="auto"/>
            <w:tcMar>
              <w:left w:w="85" w:type="dxa"/>
              <w:right w:w="57" w:type="dxa"/>
            </w:tcMar>
          </w:tcPr>
          <w:p w14:paraId="273CD739" w14:textId="77777777" w:rsidR="00A11658" w:rsidRPr="003978B4" w:rsidRDefault="00324184" w:rsidP="00A11658">
            <w:pPr>
              <w:pStyle w:val="TableText"/>
            </w:pPr>
            <w:r w:rsidRPr="003978B4">
              <w:t>8</w:t>
            </w:r>
          </w:p>
        </w:tc>
        <w:tc>
          <w:tcPr>
            <w:tcW w:w="621" w:type="pct"/>
            <w:shd w:val="clear" w:color="auto" w:fill="auto"/>
            <w:tcMar>
              <w:left w:w="85" w:type="dxa"/>
              <w:right w:w="57" w:type="dxa"/>
            </w:tcMar>
          </w:tcPr>
          <w:p w14:paraId="273CD73A" w14:textId="77777777" w:rsidR="00A11658" w:rsidRPr="003978B4" w:rsidRDefault="00324184" w:rsidP="00A11658">
            <w:pPr>
              <w:pStyle w:val="TableText"/>
            </w:pPr>
            <w:r w:rsidRPr="003978B4">
              <w:rPr>
                <w:noProof/>
              </w:rPr>
              <w:t>Levy et al. (2008)</w:t>
            </w:r>
          </w:p>
        </w:tc>
      </w:tr>
      <w:tr w:rsidR="00091AEB" w14:paraId="273CD746" w14:textId="77777777" w:rsidTr="00375885">
        <w:trPr>
          <w:cantSplit/>
          <w:trHeight w:val="83"/>
        </w:trPr>
        <w:tc>
          <w:tcPr>
            <w:tcW w:w="506" w:type="pct"/>
            <w:vMerge/>
            <w:shd w:val="clear" w:color="auto" w:fill="auto"/>
            <w:tcMar>
              <w:left w:w="85" w:type="dxa"/>
              <w:right w:w="57" w:type="dxa"/>
            </w:tcMar>
          </w:tcPr>
          <w:p w14:paraId="273CD73C" w14:textId="77777777" w:rsidR="00A11658" w:rsidRPr="003978B4" w:rsidRDefault="00A11658" w:rsidP="00A11658">
            <w:pPr>
              <w:pStyle w:val="TableText"/>
            </w:pPr>
          </w:p>
        </w:tc>
        <w:tc>
          <w:tcPr>
            <w:tcW w:w="709" w:type="pct"/>
            <w:vMerge/>
            <w:tcBorders>
              <w:bottom w:val="nil"/>
            </w:tcBorders>
            <w:shd w:val="clear" w:color="auto" w:fill="auto"/>
            <w:tcMar>
              <w:left w:w="85" w:type="dxa"/>
              <w:right w:w="57" w:type="dxa"/>
            </w:tcMar>
          </w:tcPr>
          <w:p w14:paraId="273CD73D" w14:textId="77777777" w:rsidR="00A11658" w:rsidRPr="00254919" w:rsidRDefault="00A11658" w:rsidP="00A11658">
            <w:pPr>
              <w:pStyle w:val="TableText"/>
            </w:pPr>
          </w:p>
        </w:tc>
        <w:tc>
          <w:tcPr>
            <w:tcW w:w="607" w:type="pct"/>
            <w:tcBorders>
              <w:bottom w:val="nil"/>
            </w:tcBorders>
            <w:shd w:val="clear" w:color="auto" w:fill="auto"/>
            <w:tcMar>
              <w:left w:w="85" w:type="dxa"/>
              <w:right w:w="57" w:type="dxa"/>
            </w:tcMar>
          </w:tcPr>
          <w:p w14:paraId="273CD73E" w14:textId="77777777" w:rsidR="00A11658" w:rsidRPr="003978B4" w:rsidRDefault="00324184" w:rsidP="00A11658">
            <w:pPr>
              <w:pStyle w:val="TableText"/>
            </w:pPr>
            <w:r w:rsidRPr="003978B4">
              <w:t>Exp</w:t>
            </w:r>
            <w:r>
              <w:t>onential</w:t>
            </w:r>
            <w:r w:rsidRPr="003978B4">
              <w:t xml:space="preserve"> growth</w:t>
            </w:r>
          </w:p>
        </w:tc>
        <w:tc>
          <w:tcPr>
            <w:tcW w:w="405" w:type="pct"/>
            <w:tcBorders>
              <w:bottom w:val="nil"/>
            </w:tcBorders>
            <w:shd w:val="clear" w:color="auto" w:fill="auto"/>
            <w:tcMar>
              <w:left w:w="85" w:type="dxa"/>
              <w:right w:w="57" w:type="dxa"/>
            </w:tcMar>
          </w:tcPr>
          <w:p w14:paraId="273CD73F" w14:textId="77777777" w:rsidR="00A11658" w:rsidRPr="003978B4" w:rsidRDefault="00324184" w:rsidP="00A11658">
            <w:pPr>
              <w:pStyle w:val="TableText"/>
            </w:pPr>
            <w:r w:rsidRPr="003978B4">
              <w:t>3</w:t>
            </w:r>
          </w:p>
        </w:tc>
        <w:tc>
          <w:tcPr>
            <w:tcW w:w="709" w:type="pct"/>
            <w:tcBorders>
              <w:bottom w:val="nil"/>
            </w:tcBorders>
            <w:shd w:val="clear" w:color="auto" w:fill="auto"/>
            <w:tcMar>
              <w:left w:w="85" w:type="dxa"/>
              <w:right w:w="57" w:type="dxa"/>
            </w:tcMar>
          </w:tcPr>
          <w:p w14:paraId="273CD740" w14:textId="77777777" w:rsidR="00A11658" w:rsidRPr="003978B4" w:rsidRDefault="00324184" w:rsidP="006C4BAD">
            <w:pPr>
              <w:pStyle w:val="TableText"/>
            </w:pPr>
            <w:r w:rsidRPr="003978B4">
              <w:t>NOEC</w:t>
            </w:r>
            <w:r>
              <w:t xml:space="preserve"> </w:t>
            </w:r>
            <w:r w:rsidR="006C4BAD">
              <w:br/>
            </w:r>
            <w:r w:rsidRPr="003978B4">
              <w:t>(Population growth rate)</w:t>
            </w:r>
          </w:p>
        </w:tc>
        <w:tc>
          <w:tcPr>
            <w:tcW w:w="304" w:type="pct"/>
            <w:tcBorders>
              <w:bottom w:val="nil"/>
            </w:tcBorders>
            <w:shd w:val="clear" w:color="auto" w:fill="auto"/>
            <w:tcMar>
              <w:left w:w="85" w:type="dxa"/>
              <w:right w:w="57" w:type="dxa"/>
            </w:tcMar>
          </w:tcPr>
          <w:p w14:paraId="273CD741" w14:textId="77777777" w:rsidR="00A11658" w:rsidRPr="003978B4" w:rsidRDefault="00324184" w:rsidP="00A11658">
            <w:pPr>
              <w:pStyle w:val="TableText"/>
            </w:pPr>
            <w:r>
              <w:t>–</w:t>
            </w:r>
          </w:p>
        </w:tc>
        <w:tc>
          <w:tcPr>
            <w:tcW w:w="304" w:type="pct"/>
            <w:tcBorders>
              <w:bottom w:val="nil"/>
            </w:tcBorders>
            <w:shd w:val="clear" w:color="auto" w:fill="auto"/>
            <w:tcMar>
              <w:left w:w="85" w:type="dxa"/>
              <w:right w:w="57" w:type="dxa"/>
            </w:tcMar>
          </w:tcPr>
          <w:p w14:paraId="273CD742" w14:textId="77777777" w:rsidR="00A11658" w:rsidRPr="003978B4" w:rsidRDefault="00324184" w:rsidP="00A11658">
            <w:pPr>
              <w:pStyle w:val="TableText"/>
            </w:pPr>
            <w:r>
              <w:t>–</w:t>
            </w:r>
          </w:p>
        </w:tc>
        <w:tc>
          <w:tcPr>
            <w:tcW w:w="405" w:type="pct"/>
            <w:tcBorders>
              <w:bottom w:val="nil"/>
            </w:tcBorders>
            <w:shd w:val="clear" w:color="auto" w:fill="auto"/>
            <w:tcMar>
              <w:left w:w="85" w:type="dxa"/>
              <w:right w:w="57" w:type="dxa"/>
            </w:tcMar>
          </w:tcPr>
          <w:p w14:paraId="273CD743" w14:textId="77777777" w:rsidR="00A11658" w:rsidRPr="003978B4" w:rsidRDefault="00324184" w:rsidP="00A11658">
            <w:pPr>
              <w:pStyle w:val="TableText"/>
            </w:pPr>
            <w:r w:rsidRPr="003978B4">
              <w:t>21</w:t>
            </w:r>
          </w:p>
        </w:tc>
        <w:tc>
          <w:tcPr>
            <w:tcW w:w="430" w:type="pct"/>
            <w:shd w:val="clear" w:color="auto" w:fill="auto"/>
            <w:tcMar>
              <w:left w:w="85" w:type="dxa"/>
              <w:right w:w="57" w:type="dxa"/>
            </w:tcMar>
          </w:tcPr>
          <w:p w14:paraId="273CD744" w14:textId="77777777" w:rsidR="00A11658" w:rsidRPr="003978B4" w:rsidRDefault="00324184" w:rsidP="00A11658">
            <w:pPr>
              <w:pStyle w:val="TableText"/>
            </w:pPr>
            <w:r w:rsidRPr="003978B4">
              <w:t>8</w:t>
            </w:r>
          </w:p>
        </w:tc>
        <w:tc>
          <w:tcPr>
            <w:tcW w:w="621" w:type="pct"/>
            <w:shd w:val="clear" w:color="auto" w:fill="auto"/>
            <w:tcMar>
              <w:left w:w="85" w:type="dxa"/>
              <w:right w:w="57" w:type="dxa"/>
            </w:tcMar>
          </w:tcPr>
          <w:p w14:paraId="273CD745" w14:textId="77777777" w:rsidR="00A11658" w:rsidRPr="003978B4" w:rsidRDefault="00324184" w:rsidP="00A11658">
            <w:pPr>
              <w:pStyle w:val="TableText"/>
            </w:pPr>
            <w:r w:rsidRPr="003978B4">
              <w:rPr>
                <w:noProof/>
              </w:rPr>
              <w:t xml:space="preserve">Levy et al. </w:t>
            </w:r>
            <w:r w:rsidRPr="003978B4">
              <w:rPr>
                <w:noProof/>
              </w:rPr>
              <w:t>(2007)</w:t>
            </w:r>
          </w:p>
        </w:tc>
      </w:tr>
      <w:tr w:rsidR="00091AEB" w14:paraId="273CD74C" w14:textId="77777777" w:rsidTr="00375885">
        <w:trPr>
          <w:cantSplit/>
        </w:trPr>
        <w:tc>
          <w:tcPr>
            <w:tcW w:w="506" w:type="pct"/>
            <w:vMerge/>
            <w:shd w:val="clear" w:color="auto" w:fill="auto"/>
            <w:tcMar>
              <w:left w:w="85" w:type="dxa"/>
              <w:right w:w="57" w:type="dxa"/>
            </w:tcMar>
          </w:tcPr>
          <w:p w14:paraId="273CD747" w14:textId="77777777" w:rsidR="00A11658" w:rsidRPr="003978B4" w:rsidRDefault="00A11658" w:rsidP="00A11658">
            <w:pPr>
              <w:pStyle w:val="TableText"/>
            </w:pPr>
          </w:p>
        </w:tc>
        <w:tc>
          <w:tcPr>
            <w:tcW w:w="3443" w:type="pct"/>
            <w:gridSpan w:val="7"/>
            <w:tcBorders>
              <w:top w:val="nil"/>
            </w:tcBorders>
            <w:shd w:val="clear" w:color="auto" w:fill="auto"/>
            <w:tcMar>
              <w:left w:w="85" w:type="dxa"/>
              <w:right w:w="57" w:type="dxa"/>
            </w:tcMar>
          </w:tcPr>
          <w:p w14:paraId="273CD748" w14:textId="77777777" w:rsidR="00A11658" w:rsidRPr="003978B4" w:rsidRDefault="00324184" w:rsidP="00A11658">
            <w:pPr>
              <w:pStyle w:val="TableText"/>
            </w:pPr>
            <w:r>
              <w:t>–</w:t>
            </w:r>
          </w:p>
        </w:tc>
        <w:tc>
          <w:tcPr>
            <w:tcW w:w="430" w:type="pct"/>
            <w:shd w:val="clear" w:color="auto" w:fill="auto"/>
            <w:tcMar>
              <w:left w:w="85" w:type="dxa"/>
              <w:right w:w="57" w:type="dxa"/>
            </w:tcMar>
          </w:tcPr>
          <w:p w14:paraId="273CD749" w14:textId="77777777" w:rsidR="00A11658" w:rsidRPr="00275044" w:rsidRDefault="00324184" w:rsidP="00A11658">
            <w:pPr>
              <w:pStyle w:val="TableText"/>
              <w:rPr>
                <w:b/>
                <w:bCs/>
              </w:rPr>
            </w:pPr>
            <w:r w:rsidRPr="00275044">
              <w:rPr>
                <w:b/>
                <w:bCs/>
              </w:rPr>
              <w:t>8</w:t>
            </w:r>
          </w:p>
        </w:tc>
        <w:tc>
          <w:tcPr>
            <w:tcW w:w="621" w:type="pct"/>
            <w:shd w:val="clear" w:color="auto" w:fill="auto"/>
            <w:tcMar>
              <w:left w:w="85" w:type="dxa"/>
              <w:right w:w="57" w:type="dxa"/>
            </w:tcMar>
          </w:tcPr>
          <w:p w14:paraId="273CD74A" w14:textId="77777777" w:rsidR="00A11658" w:rsidRDefault="00324184" w:rsidP="00A11658">
            <w:pPr>
              <w:pStyle w:val="TableText"/>
              <w:rPr>
                <w:b/>
                <w:bCs/>
              </w:rPr>
            </w:pPr>
            <w:r>
              <w:rPr>
                <w:b/>
                <w:bCs/>
              </w:rPr>
              <w:t>V</w:t>
            </w:r>
            <w:r w:rsidRPr="00275044">
              <w:rPr>
                <w:b/>
                <w:bCs/>
              </w:rPr>
              <w:t>alue used in SSD</w:t>
            </w:r>
          </w:p>
          <w:p w14:paraId="273CD74B" w14:textId="77777777" w:rsidR="00A11658" w:rsidRPr="00275044" w:rsidRDefault="00324184" w:rsidP="00A11658">
            <w:pPr>
              <w:pStyle w:val="TableText"/>
              <w:rPr>
                <w:b/>
                <w:bCs/>
              </w:rPr>
            </w:pPr>
            <w:r>
              <w:rPr>
                <w:b/>
                <w:bCs/>
              </w:rPr>
              <w:t>(g</w:t>
            </w:r>
            <w:r w:rsidRPr="00275044">
              <w:rPr>
                <w:b/>
                <w:bCs/>
              </w:rPr>
              <w:t>eometric mean</w:t>
            </w:r>
            <w:r>
              <w:rPr>
                <w:b/>
                <w:bCs/>
              </w:rPr>
              <w:t>)</w:t>
            </w:r>
          </w:p>
        </w:tc>
      </w:tr>
      <w:tr w:rsidR="00091AEB" w14:paraId="273CD757" w14:textId="77777777" w:rsidTr="00375885">
        <w:trPr>
          <w:cantSplit/>
        </w:trPr>
        <w:tc>
          <w:tcPr>
            <w:tcW w:w="506" w:type="pct"/>
            <w:vMerge/>
            <w:shd w:val="clear" w:color="auto" w:fill="auto"/>
            <w:tcMar>
              <w:left w:w="85" w:type="dxa"/>
              <w:right w:w="57" w:type="dxa"/>
            </w:tcMar>
          </w:tcPr>
          <w:p w14:paraId="273CD74D" w14:textId="77777777" w:rsidR="00A11658" w:rsidRPr="003978B4" w:rsidRDefault="00A11658" w:rsidP="00A11658">
            <w:pPr>
              <w:pStyle w:val="TableText"/>
            </w:pPr>
          </w:p>
        </w:tc>
        <w:tc>
          <w:tcPr>
            <w:tcW w:w="709" w:type="pct"/>
            <w:tcBorders>
              <w:bottom w:val="nil"/>
            </w:tcBorders>
            <w:shd w:val="clear" w:color="auto" w:fill="auto"/>
            <w:tcMar>
              <w:left w:w="85" w:type="dxa"/>
              <w:right w:w="57" w:type="dxa"/>
            </w:tcMar>
          </w:tcPr>
          <w:p w14:paraId="273CD74E" w14:textId="77777777" w:rsidR="00A11658" w:rsidRPr="00A616D8" w:rsidRDefault="00324184" w:rsidP="00A11658">
            <w:pPr>
              <w:pStyle w:val="TableText"/>
              <w:rPr>
                <w:rStyle w:val="Emphasis"/>
              </w:rPr>
            </w:pPr>
            <w:r w:rsidRPr="00A616D8">
              <w:rPr>
                <w:rStyle w:val="Emphasis"/>
              </w:rPr>
              <w:t>Micromonas pusilla</w:t>
            </w:r>
          </w:p>
        </w:tc>
        <w:tc>
          <w:tcPr>
            <w:tcW w:w="607" w:type="pct"/>
            <w:tcBorders>
              <w:bottom w:val="nil"/>
            </w:tcBorders>
            <w:shd w:val="clear" w:color="auto" w:fill="auto"/>
            <w:tcMar>
              <w:left w:w="85" w:type="dxa"/>
              <w:right w:w="57" w:type="dxa"/>
            </w:tcMar>
          </w:tcPr>
          <w:p w14:paraId="273CD74F" w14:textId="77777777" w:rsidR="00A11658" w:rsidRPr="003978B4" w:rsidRDefault="00324184" w:rsidP="00A11658">
            <w:pPr>
              <w:pStyle w:val="TableText"/>
            </w:pPr>
            <w:r w:rsidRPr="003978B4">
              <w:t>Exp</w:t>
            </w:r>
            <w:r>
              <w:t>onential</w:t>
            </w:r>
            <w:r w:rsidRPr="003978B4">
              <w:t xml:space="preserve"> growth</w:t>
            </w:r>
          </w:p>
        </w:tc>
        <w:tc>
          <w:tcPr>
            <w:tcW w:w="405" w:type="pct"/>
            <w:tcBorders>
              <w:bottom w:val="nil"/>
            </w:tcBorders>
            <w:shd w:val="clear" w:color="auto" w:fill="auto"/>
            <w:tcMar>
              <w:left w:w="85" w:type="dxa"/>
              <w:right w:w="57" w:type="dxa"/>
            </w:tcMar>
          </w:tcPr>
          <w:p w14:paraId="273CD750" w14:textId="77777777" w:rsidR="00A11658" w:rsidRPr="003978B4" w:rsidRDefault="00324184" w:rsidP="00A11658">
            <w:pPr>
              <w:pStyle w:val="TableText"/>
            </w:pPr>
            <w:r w:rsidRPr="003978B4">
              <w:t>3</w:t>
            </w:r>
          </w:p>
        </w:tc>
        <w:tc>
          <w:tcPr>
            <w:tcW w:w="709" w:type="pct"/>
            <w:tcBorders>
              <w:bottom w:val="nil"/>
            </w:tcBorders>
            <w:shd w:val="clear" w:color="auto" w:fill="auto"/>
            <w:tcMar>
              <w:left w:w="85" w:type="dxa"/>
              <w:right w:w="57" w:type="dxa"/>
            </w:tcMar>
          </w:tcPr>
          <w:p w14:paraId="273CD751" w14:textId="77777777" w:rsidR="00A11658" w:rsidRPr="003978B4" w:rsidRDefault="00324184" w:rsidP="006C4BAD">
            <w:pPr>
              <w:pStyle w:val="TableText"/>
            </w:pPr>
            <w:r w:rsidRPr="003978B4">
              <w:t>NOEC</w:t>
            </w:r>
            <w:r>
              <w:t xml:space="preserve"> </w:t>
            </w:r>
            <w:r w:rsidR="006C4BAD">
              <w:br/>
            </w:r>
            <w:r w:rsidRPr="003978B4">
              <w:t>(Population growth rate)</w:t>
            </w:r>
          </w:p>
        </w:tc>
        <w:tc>
          <w:tcPr>
            <w:tcW w:w="304" w:type="pct"/>
            <w:tcBorders>
              <w:bottom w:val="nil"/>
            </w:tcBorders>
            <w:shd w:val="clear" w:color="auto" w:fill="auto"/>
            <w:tcMar>
              <w:left w:w="85" w:type="dxa"/>
              <w:right w:w="57" w:type="dxa"/>
            </w:tcMar>
          </w:tcPr>
          <w:p w14:paraId="273CD752" w14:textId="77777777" w:rsidR="00A11658" w:rsidRPr="003978B4" w:rsidRDefault="00324184" w:rsidP="00A11658">
            <w:pPr>
              <w:pStyle w:val="TableText"/>
            </w:pPr>
            <w:r>
              <w:t>–</w:t>
            </w:r>
          </w:p>
        </w:tc>
        <w:tc>
          <w:tcPr>
            <w:tcW w:w="304" w:type="pct"/>
            <w:tcBorders>
              <w:bottom w:val="nil"/>
            </w:tcBorders>
            <w:shd w:val="clear" w:color="auto" w:fill="auto"/>
            <w:tcMar>
              <w:left w:w="85" w:type="dxa"/>
              <w:right w:w="57" w:type="dxa"/>
            </w:tcMar>
          </w:tcPr>
          <w:p w14:paraId="273CD753" w14:textId="77777777" w:rsidR="00A11658" w:rsidRPr="003978B4" w:rsidRDefault="00324184" w:rsidP="00A11658">
            <w:pPr>
              <w:pStyle w:val="TableText"/>
            </w:pPr>
            <w:r>
              <w:t>–</w:t>
            </w:r>
          </w:p>
        </w:tc>
        <w:tc>
          <w:tcPr>
            <w:tcW w:w="405" w:type="pct"/>
            <w:tcBorders>
              <w:bottom w:val="nil"/>
            </w:tcBorders>
            <w:shd w:val="clear" w:color="auto" w:fill="auto"/>
            <w:tcMar>
              <w:left w:w="85" w:type="dxa"/>
              <w:right w:w="57" w:type="dxa"/>
            </w:tcMar>
          </w:tcPr>
          <w:p w14:paraId="273CD754" w14:textId="77777777" w:rsidR="00A11658" w:rsidRPr="003978B4" w:rsidRDefault="00324184" w:rsidP="00A11658">
            <w:pPr>
              <w:pStyle w:val="TableText"/>
            </w:pPr>
            <w:r w:rsidRPr="003978B4">
              <w:t>21</w:t>
            </w:r>
          </w:p>
        </w:tc>
        <w:tc>
          <w:tcPr>
            <w:tcW w:w="430" w:type="pct"/>
            <w:shd w:val="clear" w:color="auto" w:fill="auto"/>
            <w:tcMar>
              <w:left w:w="85" w:type="dxa"/>
              <w:right w:w="57" w:type="dxa"/>
            </w:tcMar>
          </w:tcPr>
          <w:p w14:paraId="273CD755" w14:textId="77777777" w:rsidR="00A11658" w:rsidRPr="003978B4" w:rsidRDefault="00324184" w:rsidP="00A11658">
            <w:pPr>
              <w:pStyle w:val="TableText"/>
            </w:pPr>
            <w:r w:rsidRPr="003978B4">
              <w:t>0.3</w:t>
            </w:r>
          </w:p>
        </w:tc>
        <w:tc>
          <w:tcPr>
            <w:tcW w:w="621" w:type="pct"/>
            <w:shd w:val="clear" w:color="auto" w:fill="auto"/>
            <w:tcMar>
              <w:left w:w="85" w:type="dxa"/>
              <w:right w:w="57" w:type="dxa"/>
            </w:tcMar>
          </w:tcPr>
          <w:p w14:paraId="273CD756" w14:textId="77777777" w:rsidR="00A11658" w:rsidRPr="003978B4" w:rsidRDefault="00324184" w:rsidP="00A11658">
            <w:pPr>
              <w:pStyle w:val="TableText"/>
            </w:pPr>
            <w:r w:rsidRPr="003978B4">
              <w:rPr>
                <w:noProof/>
              </w:rPr>
              <w:t>Levy et al. (2007)</w:t>
            </w:r>
          </w:p>
        </w:tc>
      </w:tr>
      <w:tr w:rsidR="00091AEB" w14:paraId="273CD75C" w14:textId="77777777" w:rsidTr="00375885">
        <w:trPr>
          <w:cantSplit/>
        </w:trPr>
        <w:tc>
          <w:tcPr>
            <w:tcW w:w="506" w:type="pct"/>
            <w:vMerge/>
            <w:shd w:val="clear" w:color="auto" w:fill="auto"/>
            <w:tcMar>
              <w:left w:w="85" w:type="dxa"/>
              <w:right w:w="57" w:type="dxa"/>
            </w:tcMar>
          </w:tcPr>
          <w:p w14:paraId="273CD758" w14:textId="77777777" w:rsidR="00A11658" w:rsidRPr="003978B4" w:rsidRDefault="00A11658" w:rsidP="00A11658">
            <w:pPr>
              <w:pStyle w:val="TableText"/>
            </w:pPr>
          </w:p>
        </w:tc>
        <w:tc>
          <w:tcPr>
            <w:tcW w:w="3443" w:type="pct"/>
            <w:gridSpan w:val="7"/>
            <w:tcBorders>
              <w:top w:val="nil"/>
            </w:tcBorders>
            <w:shd w:val="clear" w:color="auto" w:fill="auto"/>
            <w:tcMar>
              <w:left w:w="85" w:type="dxa"/>
              <w:right w:w="57" w:type="dxa"/>
            </w:tcMar>
          </w:tcPr>
          <w:p w14:paraId="273CD759" w14:textId="77777777" w:rsidR="00A11658" w:rsidRPr="003978B4" w:rsidRDefault="00324184" w:rsidP="00A11658">
            <w:pPr>
              <w:pStyle w:val="TableText"/>
            </w:pPr>
            <w:r>
              <w:t>–</w:t>
            </w:r>
          </w:p>
        </w:tc>
        <w:tc>
          <w:tcPr>
            <w:tcW w:w="430" w:type="pct"/>
            <w:shd w:val="clear" w:color="auto" w:fill="auto"/>
            <w:tcMar>
              <w:left w:w="85" w:type="dxa"/>
              <w:right w:w="57" w:type="dxa"/>
            </w:tcMar>
          </w:tcPr>
          <w:p w14:paraId="273CD75A" w14:textId="77777777" w:rsidR="00A11658" w:rsidRPr="00275044" w:rsidRDefault="00324184" w:rsidP="00A11658">
            <w:pPr>
              <w:pStyle w:val="TableText"/>
              <w:rPr>
                <w:b/>
                <w:bCs/>
              </w:rPr>
            </w:pPr>
            <w:r w:rsidRPr="00275044">
              <w:rPr>
                <w:b/>
                <w:bCs/>
              </w:rPr>
              <w:t>0.3</w:t>
            </w:r>
          </w:p>
        </w:tc>
        <w:tc>
          <w:tcPr>
            <w:tcW w:w="621" w:type="pct"/>
            <w:shd w:val="clear" w:color="auto" w:fill="auto"/>
            <w:tcMar>
              <w:left w:w="85" w:type="dxa"/>
              <w:right w:w="57" w:type="dxa"/>
            </w:tcMar>
          </w:tcPr>
          <w:p w14:paraId="273CD75B" w14:textId="77777777" w:rsidR="00A11658" w:rsidRPr="00275044" w:rsidRDefault="00324184" w:rsidP="00A11658">
            <w:pPr>
              <w:pStyle w:val="TableText"/>
              <w:rPr>
                <w:b/>
                <w:bCs/>
              </w:rPr>
            </w:pPr>
            <w:r w:rsidRPr="00275044">
              <w:rPr>
                <w:b/>
                <w:bCs/>
              </w:rPr>
              <w:t>Value used in SSD</w:t>
            </w:r>
          </w:p>
        </w:tc>
      </w:tr>
      <w:tr w:rsidR="00091AEB" w14:paraId="273CD767" w14:textId="77777777" w:rsidTr="00375885">
        <w:trPr>
          <w:cantSplit/>
        </w:trPr>
        <w:tc>
          <w:tcPr>
            <w:tcW w:w="506" w:type="pct"/>
            <w:vMerge/>
            <w:shd w:val="clear" w:color="auto" w:fill="auto"/>
            <w:tcMar>
              <w:left w:w="85" w:type="dxa"/>
              <w:right w:w="57" w:type="dxa"/>
            </w:tcMar>
          </w:tcPr>
          <w:p w14:paraId="273CD75D" w14:textId="77777777" w:rsidR="00A11658" w:rsidRPr="003978B4" w:rsidRDefault="00A11658" w:rsidP="00A11658">
            <w:pPr>
              <w:pStyle w:val="TableText"/>
            </w:pPr>
          </w:p>
        </w:tc>
        <w:tc>
          <w:tcPr>
            <w:tcW w:w="709" w:type="pct"/>
            <w:vMerge w:val="restart"/>
            <w:shd w:val="clear" w:color="auto" w:fill="auto"/>
            <w:tcMar>
              <w:left w:w="85" w:type="dxa"/>
              <w:right w:w="57" w:type="dxa"/>
            </w:tcMar>
          </w:tcPr>
          <w:p w14:paraId="273CD75E" w14:textId="77777777" w:rsidR="00A11658" w:rsidRPr="00254919" w:rsidRDefault="00324184" w:rsidP="00A11658">
            <w:pPr>
              <w:pStyle w:val="TableText"/>
            </w:pPr>
            <w:r w:rsidRPr="00A616D8">
              <w:rPr>
                <w:rStyle w:val="Emphasis"/>
              </w:rPr>
              <w:t>Tetraselmis</w:t>
            </w:r>
            <w:r w:rsidRPr="00254919">
              <w:t xml:space="preserve"> sp.</w:t>
            </w:r>
          </w:p>
        </w:tc>
        <w:tc>
          <w:tcPr>
            <w:tcW w:w="607" w:type="pct"/>
            <w:shd w:val="clear" w:color="auto" w:fill="auto"/>
            <w:tcMar>
              <w:left w:w="85" w:type="dxa"/>
              <w:right w:w="57" w:type="dxa"/>
            </w:tcMar>
          </w:tcPr>
          <w:p w14:paraId="273CD75F" w14:textId="77777777" w:rsidR="00A11658" w:rsidRPr="003978B4" w:rsidRDefault="00324184" w:rsidP="00A11658">
            <w:pPr>
              <w:pStyle w:val="TableText"/>
            </w:pPr>
            <w:r w:rsidRPr="003978B4">
              <w:t>Exp</w:t>
            </w:r>
            <w:r>
              <w:t>onential</w:t>
            </w:r>
            <w:r w:rsidRPr="003978B4">
              <w:t xml:space="preserve"> growth</w:t>
            </w:r>
          </w:p>
        </w:tc>
        <w:tc>
          <w:tcPr>
            <w:tcW w:w="405" w:type="pct"/>
            <w:shd w:val="clear" w:color="auto" w:fill="auto"/>
            <w:tcMar>
              <w:left w:w="85" w:type="dxa"/>
              <w:right w:w="57" w:type="dxa"/>
            </w:tcMar>
          </w:tcPr>
          <w:p w14:paraId="273CD760" w14:textId="77777777" w:rsidR="00A11658" w:rsidRPr="003978B4" w:rsidRDefault="00324184" w:rsidP="00A11658">
            <w:pPr>
              <w:pStyle w:val="TableText"/>
            </w:pPr>
            <w:r w:rsidRPr="003978B4">
              <w:t>3</w:t>
            </w:r>
          </w:p>
        </w:tc>
        <w:tc>
          <w:tcPr>
            <w:tcW w:w="709" w:type="pct"/>
            <w:shd w:val="clear" w:color="auto" w:fill="auto"/>
            <w:tcMar>
              <w:left w:w="85" w:type="dxa"/>
              <w:right w:w="57" w:type="dxa"/>
            </w:tcMar>
          </w:tcPr>
          <w:p w14:paraId="273CD761" w14:textId="77777777" w:rsidR="00A11658" w:rsidRPr="003978B4" w:rsidRDefault="00324184" w:rsidP="006C4BAD">
            <w:pPr>
              <w:pStyle w:val="TableText"/>
            </w:pPr>
            <w:r w:rsidRPr="003978B4">
              <w:t>NOEC</w:t>
            </w:r>
            <w:r>
              <w:t xml:space="preserve"> </w:t>
            </w:r>
            <w:r w:rsidR="006C4BAD">
              <w:br/>
            </w:r>
            <w:r w:rsidRPr="003978B4">
              <w:t>(Population growth rate)</w:t>
            </w:r>
          </w:p>
        </w:tc>
        <w:tc>
          <w:tcPr>
            <w:tcW w:w="304" w:type="pct"/>
            <w:shd w:val="clear" w:color="auto" w:fill="auto"/>
            <w:tcMar>
              <w:left w:w="85" w:type="dxa"/>
              <w:right w:w="57" w:type="dxa"/>
            </w:tcMar>
          </w:tcPr>
          <w:p w14:paraId="273CD762" w14:textId="77777777" w:rsidR="00A11658" w:rsidRPr="003978B4" w:rsidRDefault="00324184" w:rsidP="00A11658">
            <w:pPr>
              <w:pStyle w:val="TableText"/>
            </w:pPr>
            <w:r>
              <w:t>–</w:t>
            </w:r>
          </w:p>
        </w:tc>
        <w:tc>
          <w:tcPr>
            <w:tcW w:w="304" w:type="pct"/>
            <w:shd w:val="clear" w:color="auto" w:fill="auto"/>
            <w:tcMar>
              <w:left w:w="85" w:type="dxa"/>
              <w:right w:w="57" w:type="dxa"/>
            </w:tcMar>
          </w:tcPr>
          <w:p w14:paraId="273CD763" w14:textId="77777777" w:rsidR="00A11658" w:rsidRPr="003978B4" w:rsidRDefault="00324184" w:rsidP="00A11658">
            <w:pPr>
              <w:pStyle w:val="TableText"/>
            </w:pPr>
            <w:r>
              <w:t>–</w:t>
            </w:r>
          </w:p>
        </w:tc>
        <w:tc>
          <w:tcPr>
            <w:tcW w:w="405" w:type="pct"/>
            <w:shd w:val="clear" w:color="auto" w:fill="auto"/>
            <w:tcMar>
              <w:left w:w="85" w:type="dxa"/>
              <w:right w:w="57" w:type="dxa"/>
            </w:tcMar>
          </w:tcPr>
          <w:p w14:paraId="273CD764" w14:textId="77777777" w:rsidR="00A11658" w:rsidRPr="003978B4" w:rsidRDefault="00324184" w:rsidP="00A11658">
            <w:pPr>
              <w:pStyle w:val="TableText"/>
            </w:pPr>
            <w:r w:rsidRPr="003978B4">
              <w:t>21</w:t>
            </w:r>
          </w:p>
        </w:tc>
        <w:tc>
          <w:tcPr>
            <w:tcW w:w="430" w:type="pct"/>
            <w:shd w:val="clear" w:color="auto" w:fill="auto"/>
            <w:tcMar>
              <w:left w:w="85" w:type="dxa"/>
              <w:right w:w="57" w:type="dxa"/>
            </w:tcMar>
          </w:tcPr>
          <w:p w14:paraId="273CD765" w14:textId="77777777" w:rsidR="00A11658" w:rsidRPr="003978B4" w:rsidRDefault="00324184" w:rsidP="00A11658">
            <w:pPr>
              <w:pStyle w:val="TableText"/>
            </w:pPr>
            <w:r w:rsidRPr="003978B4">
              <w:t>7</w:t>
            </w:r>
          </w:p>
        </w:tc>
        <w:tc>
          <w:tcPr>
            <w:tcW w:w="621" w:type="pct"/>
            <w:shd w:val="clear" w:color="auto" w:fill="auto"/>
            <w:tcMar>
              <w:left w:w="85" w:type="dxa"/>
              <w:right w:w="57" w:type="dxa"/>
            </w:tcMar>
          </w:tcPr>
          <w:p w14:paraId="273CD766" w14:textId="77777777" w:rsidR="00A11658" w:rsidRPr="003978B4" w:rsidRDefault="00324184" w:rsidP="00A11658">
            <w:pPr>
              <w:pStyle w:val="TableText"/>
            </w:pPr>
            <w:r w:rsidRPr="003978B4">
              <w:rPr>
                <w:noProof/>
              </w:rPr>
              <w:t>Levy et al. (2008)</w:t>
            </w:r>
          </w:p>
        </w:tc>
      </w:tr>
      <w:tr w:rsidR="00091AEB" w14:paraId="273CD772" w14:textId="77777777" w:rsidTr="00375885">
        <w:trPr>
          <w:cantSplit/>
        </w:trPr>
        <w:tc>
          <w:tcPr>
            <w:tcW w:w="506" w:type="pct"/>
            <w:vMerge/>
            <w:shd w:val="clear" w:color="auto" w:fill="auto"/>
            <w:tcMar>
              <w:left w:w="85" w:type="dxa"/>
              <w:right w:w="57" w:type="dxa"/>
            </w:tcMar>
          </w:tcPr>
          <w:p w14:paraId="273CD768" w14:textId="77777777" w:rsidR="00A11658" w:rsidRPr="003978B4" w:rsidRDefault="00A11658" w:rsidP="00A11658">
            <w:pPr>
              <w:pStyle w:val="TableText"/>
            </w:pPr>
          </w:p>
        </w:tc>
        <w:tc>
          <w:tcPr>
            <w:tcW w:w="709" w:type="pct"/>
            <w:vMerge/>
            <w:tcBorders>
              <w:bottom w:val="nil"/>
            </w:tcBorders>
            <w:shd w:val="clear" w:color="auto" w:fill="auto"/>
            <w:tcMar>
              <w:left w:w="85" w:type="dxa"/>
              <w:right w:w="57" w:type="dxa"/>
            </w:tcMar>
          </w:tcPr>
          <w:p w14:paraId="273CD769" w14:textId="77777777" w:rsidR="00A11658" w:rsidRPr="00254919" w:rsidRDefault="00A11658" w:rsidP="00A11658">
            <w:pPr>
              <w:pStyle w:val="TableText"/>
            </w:pPr>
          </w:p>
        </w:tc>
        <w:tc>
          <w:tcPr>
            <w:tcW w:w="607" w:type="pct"/>
            <w:tcBorders>
              <w:bottom w:val="nil"/>
            </w:tcBorders>
            <w:shd w:val="clear" w:color="auto" w:fill="auto"/>
            <w:tcMar>
              <w:left w:w="85" w:type="dxa"/>
              <w:right w:w="57" w:type="dxa"/>
            </w:tcMar>
          </w:tcPr>
          <w:p w14:paraId="273CD76A" w14:textId="77777777" w:rsidR="00A11658" w:rsidRPr="003978B4" w:rsidRDefault="00324184" w:rsidP="00A11658">
            <w:pPr>
              <w:pStyle w:val="TableText"/>
            </w:pPr>
            <w:r w:rsidRPr="003978B4">
              <w:t>Exp</w:t>
            </w:r>
            <w:r>
              <w:t>onential</w:t>
            </w:r>
            <w:r w:rsidRPr="003978B4">
              <w:t xml:space="preserve"> growth</w:t>
            </w:r>
          </w:p>
        </w:tc>
        <w:tc>
          <w:tcPr>
            <w:tcW w:w="405" w:type="pct"/>
            <w:tcBorders>
              <w:bottom w:val="nil"/>
            </w:tcBorders>
            <w:shd w:val="clear" w:color="auto" w:fill="auto"/>
            <w:tcMar>
              <w:left w:w="85" w:type="dxa"/>
              <w:right w:w="57" w:type="dxa"/>
            </w:tcMar>
          </w:tcPr>
          <w:p w14:paraId="273CD76B" w14:textId="77777777" w:rsidR="00A11658" w:rsidRPr="003978B4" w:rsidRDefault="00324184" w:rsidP="00A11658">
            <w:pPr>
              <w:pStyle w:val="TableText"/>
            </w:pPr>
            <w:r w:rsidRPr="003978B4">
              <w:t>3</w:t>
            </w:r>
          </w:p>
        </w:tc>
        <w:tc>
          <w:tcPr>
            <w:tcW w:w="709" w:type="pct"/>
            <w:tcBorders>
              <w:bottom w:val="nil"/>
            </w:tcBorders>
            <w:shd w:val="clear" w:color="auto" w:fill="auto"/>
            <w:tcMar>
              <w:left w:w="85" w:type="dxa"/>
              <w:right w:w="57" w:type="dxa"/>
            </w:tcMar>
          </w:tcPr>
          <w:p w14:paraId="273CD76C" w14:textId="77777777" w:rsidR="00A11658" w:rsidRPr="003978B4" w:rsidRDefault="00324184" w:rsidP="004457D8">
            <w:pPr>
              <w:pStyle w:val="TableText"/>
            </w:pPr>
            <w:r w:rsidRPr="003978B4">
              <w:t>NOEC</w:t>
            </w:r>
            <w:r>
              <w:t xml:space="preserve"> </w:t>
            </w:r>
            <w:r w:rsidR="006C4BAD">
              <w:br/>
            </w:r>
            <w:r w:rsidRPr="003978B4">
              <w:t>(Population growth rate)</w:t>
            </w:r>
          </w:p>
        </w:tc>
        <w:tc>
          <w:tcPr>
            <w:tcW w:w="304" w:type="pct"/>
            <w:tcBorders>
              <w:bottom w:val="nil"/>
            </w:tcBorders>
            <w:shd w:val="clear" w:color="auto" w:fill="auto"/>
            <w:tcMar>
              <w:left w:w="85" w:type="dxa"/>
              <w:right w:w="57" w:type="dxa"/>
            </w:tcMar>
          </w:tcPr>
          <w:p w14:paraId="273CD76D" w14:textId="77777777" w:rsidR="00A11658" w:rsidRPr="003978B4" w:rsidRDefault="00324184" w:rsidP="00A11658">
            <w:pPr>
              <w:pStyle w:val="TableText"/>
            </w:pPr>
            <w:r>
              <w:t>–</w:t>
            </w:r>
          </w:p>
        </w:tc>
        <w:tc>
          <w:tcPr>
            <w:tcW w:w="304" w:type="pct"/>
            <w:tcBorders>
              <w:bottom w:val="nil"/>
            </w:tcBorders>
            <w:shd w:val="clear" w:color="auto" w:fill="auto"/>
            <w:tcMar>
              <w:left w:w="85" w:type="dxa"/>
              <w:right w:w="57" w:type="dxa"/>
            </w:tcMar>
          </w:tcPr>
          <w:p w14:paraId="273CD76E" w14:textId="77777777" w:rsidR="00A11658" w:rsidRPr="003978B4" w:rsidRDefault="00324184" w:rsidP="00A11658">
            <w:pPr>
              <w:pStyle w:val="TableText"/>
            </w:pPr>
            <w:r>
              <w:t>–</w:t>
            </w:r>
          </w:p>
        </w:tc>
        <w:tc>
          <w:tcPr>
            <w:tcW w:w="405" w:type="pct"/>
            <w:tcBorders>
              <w:bottom w:val="nil"/>
            </w:tcBorders>
            <w:shd w:val="clear" w:color="auto" w:fill="auto"/>
            <w:tcMar>
              <w:left w:w="85" w:type="dxa"/>
              <w:right w:w="57" w:type="dxa"/>
            </w:tcMar>
          </w:tcPr>
          <w:p w14:paraId="273CD76F" w14:textId="77777777" w:rsidR="00A11658" w:rsidRPr="003978B4" w:rsidRDefault="00324184" w:rsidP="00A11658">
            <w:pPr>
              <w:pStyle w:val="TableText"/>
            </w:pPr>
            <w:r w:rsidRPr="003978B4">
              <w:t>21</w:t>
            </w:r>
          </w:p>
        </w:tc>
        <w:tc>
          <w:tcPr>
            <w:tcW w:w="430" w:type="pct"/>
            <w:shd w:val="clear" w:color="auto" w:fill="auto"/>
            <w:tcMar>
              <w:left w:w="85" w:type="dxa"/>
              <w:right w:w="57" w:type="dxa"/>
            </w:tcMar>
          </w:tcPr>
          <w:p w14:paraId="273CD770" w14:textId="77777777" w:rsidR="00A11658" w:rsidRPr="003978B4" w:rsidRDefault="00324184" w:rsidP="00A11658">
            <w:pPr>
              <w:pStyle w:val="TableText"/>
            </w:pPr>
            <w:r w:rsidRPr="003978B4">
              <w:t>7</w:t>
            </w:r>
          </w:p>
        </w:tc>
        <w:tc>
          <w:tcPr>
            <w:tcW w:w="621" w:type="pct"/>
            <w:shd w:val="clear" w:color="auto" w:fill="auto"/>
            <w:tcMar>
              <w:left w:w="85" w:type="dxa"/>
              <w:right w:w="57" w:type="dxa"/>
            </w:tcMar>
          </w:tcPr>
          <w:p w14:paraId="273CD771" w14:textId="77777777" w:rsidR="00A11658" w:rsidRPr="003978B4" w:rsidRDefault="00324184" w:rsidP="00A11658">
            <w:pPr>
              <w:pStyle w:val="TableText"/>
            </w:pPr>
            <w:r w:rsidRPr="003978B4">
              <w:rPr>
                <w:noProof/>
              </w:rPr>
              <w:t>Levy et al. (2007)</w:t>
            </w:r>
          </w:p>
        </w:tc>
      </w:tr>
      <w:tr w:rsidR="00091AEB" w14:paraId="273CD778" w14:textId="77777777" w:rsidTr="00375885">
        <w:trPr>
          <w:cantSplit/>
        </w:trPr>
        <w:tc>
          <w:tcPr>
            <w:tcW w:w="506" w:type="pct"/>
            <w:vMerge/>
            <w:tcBorders>
              <w:bottom w:val="single" w:sz="4" w:space="0" w:color="auto"/>
            </w:tcBorders>
            <w:shd w:val="clear" w:color="auto" w:fill="auto"/>
            <w:tcMar>
              <w:left w:w="85" w:type="dxa"/>
              <w:right w:w="57" w:type="dxa"/>
            </w:tcMar>
          </w:tcPr>
          <w:p w14:paraId="273CD773" w14:textId="77777777" w:rsidR="00A11658" w:rsidRPr="003978B4" w:rsidRDefault="00A11658" w:rsidP="00A11658">
            <w:pPr>
              <w:pStyle w:val="TableText"/>
            </w:pPr>
          </w:p>
        </w:tc>
        <w:tc>
          <w:tcPr>
            <w:tcW w:w="3443" w:type="pct"/>
            <w:gridSpan w:val="7"/>
            <w:tcBorders>
              <w:top w:val="nil"/>
            </w:tcBorders>
            <w:shd w:val="clear" w:color="auto" w:fill="auto"/>
            <w:tcMar>
              <w:left w:w="85" w:type="dxa"/>
              <w:right w:w="57" w:type="dxa"/>
            </w:tcMar>
          </w:tcPr>
          <w:p w14:paraId="273CD774" w14:textId="77777777" w:rsidR="00A11658" w:rsidRPr="003978B4" w:rsidRDefault="00324184" w:rsidP="00A11658">
            <w:pPr>
              <w:pStyle w:val="TableText"/>
            </w:pPr>
            <w:r>
              <w:t>–</w:t>
            </w:r>
          </w:p>
        </w:tc>
        <w:tc>
          <w:tcPr>
            <w:tcW w:w="430" w:type="pct"/>
            <w:shd w:val="clear" w:color="auto" w:fill="auto"/>
            <w:tcMar>
              <w:left w:w="85" w:type="dxa"/>
              <w:right w:w="57" w:type="dxa"/>
            </w:tcMar>
          </w:tcPr>
          <w:p w14:paraId="273CD775" w14:textId="77777777" w:rsidR="00A11658" w:rsidRPr="00275044" w:rsidRDefault="00324184" w:rsidP="00A11658">
            <w:pPr>
              <w:pStyle w:val="TableText"/>
              <w:rPr>
                <w:b/>
                <w:bCs/>
              </w:rPr>
            </w:pPr>
            <w:r w:rsidRPr="00275044">
              <w:rPr>
                <w:b/>
                <w:bCs/>
              </w:rPr>
              <w:t>7</w:t>
            </w:r>
          </w:p>
        </w:tc>
        <w:tc>
          <w:tcPr>
            <w:tcW w:w="621" w:type="pct"/>
            <w:shd w:val="clear" w:color="auto" w:fill="auto"/>
            <w:tcMar>
              <w:left w:w="85" w:type="dxa"/>
              <w:right w:w="57" w:type="dxa"/>
            </w:tcMar>
          </w:tcPr>
          <w:p w14:paraId="273CD776" w14:textId="77777777" w:rsidR="00A11658" w:rsidRDefault="00324184" w:rsidP="00A11658">
            <w:pPr>
              <w:pStyle w:val="TableText"/>
              <w:rPr>
                <w:b/>
                <w:bCs/>
              </w:rPr>
            </w:pPr>
            <w:r>
              <w:rPr>
                <w:b/>
                <w:bCs/>
              </w:rPr>
              <w:t>V</w:t>
            </w:r>
            <w:r w:rsidRPr="00275044">
              <w:rPr>
                <w:b/>
                <w:bCs/>
              </w:rPr>
              <w:t>alue used in SSD</w:t>
            </w:r>
          </w:p>
          <w:p w14:paraId="273CD777" w14:textId="77777777" w:rsidR="00A11658" w:rsidRPr="00275044" w:rsidRDefault="00324184" w:rsidP="00A11658">
            <w:pPr>
              <w:pStyle w:val="TableText"/>
              <w:rPr>
                <w:b/>
                <w:bCs/>
              </w:rPr>
            </w:pPr>
            <w:r>
              <w:rPr>
                <w:b/>
                <w:bCs/>
              </w:rPr>
              <w:t>(g</w:t>
            </w:r>
            <w:r w:rsidRPr="00275044">
              <w:rPr>
                <w:b/>
                <w:bCs/>
              </w:rPr>
              <w:t>eometric mean</w:t>
            </w:r>
            <w:r>
              <w:rPr>
                <w:b/>
                <w:bCs/>
              </w:rPr>
              <w:t>)</w:t>
            </w:r>
          </w:p>
        </w:tc>
      </w:tr>
      <w:tr w:rsidR="00091AEB" w14:paraId="273CD783" w14:textId="77777777" w:rsidTr="00375885">
        <w:trPr>
          <w:cantSplit/>
        </w:trPr>
        <w:tc>
          <w:tcPr>
            <w:tcW w:w="506" w:type="pct"/>
            <w:vMerge w:val="restart"/>
            <w:shd w:val="clear" w:color="auto" w:fill="auto"/>
            <w:tcMar>
              <w:left w:w="85" w:type="dxa"/>
              <w:right w:w="57" w:type="dxa"/>
            </w:tcMar>
          </w:tcPr>
          <w:p w14:paraId="273CD779" w14:textId="77777777" w:rsidR="00CC231A" w:rsidRPr="003978B4" w:rsidRDefault="00324184" w:rsidP="00A11658">
            <w:pPr>
              <w:pStyle w:val="TableText"/>
            </w:pPr>
            <w:r>
              <w:t>Green macroalga</w:t>
            </w:r>
          </w:p>
        </w:tc>
        <w:tc>
          <w:tcPr>
            <w:tcW w:w="709" w:type="pct"/>
            <w:tcBorders>
              <w:bottom w:val="nil"/>
            </w:tcBorders>
            <w:shd w:val="clear" w:color="auto" w:fill="auto"/>
            <w:tcMar>
              <w:left w:w="85" w:type="dxa"/>
              <w:right w:w="57" w:type="dxa"/>
            </w:tcMar>
          </w:tcPr>
          <w:p w14:paraId="273CD77A" w14:textId="77777777" w:rsidR="00CC231A" w:rsidRPr="00254919" w:rsidRDefault="00324184" w:rsidP="00A11658">
            <w:pPr>
              <w:pStyle w:val="TableText"/>
            </w:pPr>
            <w:r w:rsidRPr="00A616D8">
              <w:rPr>
                <w:rStyle w:val="Emphasis"/>
              </w:rPr>
              <w:t>Ulva fasciata</w:t>
            </w:r>
          </w:p>
        </w:tc>
        <w:tc>
          <w:tcPr>
            <w:tcW w:w="607" w:type="pct"/>
            <w:tcBorders>
              <w:bottom w:val="nil"/>
            </w:tcBorders>
            <w:shd w:val="clear" w:color="auto" w:fill="auto"/>
            <w:tcMar>
              <w:left w:w="85" w:type="dxa"/>
              <w:right w:w="57" w:type="dxa"/>
            </w:tcMar>
          </w:tcPr>
          <w:p w14:paraId="273CD77B" w14:textId="77777777" w:rsidR="00CC231A" w:rsidRPr="003978B4" w:rsidRDefault="00324184" w:rsidP="00A11658">
            <w:pPr>
              <w:pStyle w:val="TableText"/>
            </w:pPr>
            <w:r w:rsidRPr="003978B4">
              <w:t>Zoospore</w:t>
            </w:r>
          </w:p>
        </w:tc>
        <w:tc>
          <w:tcPr>
            <w:tcW w:w="405" w:type="pct"/>
            <w:tcBorders>
              <w:bottom w:val="nil"/>
            </w:tcBorders>
            <w:shd w:val="clear" w:color="auto" w:fill="auto"/>
            <w:tcMar>
              <w:left w:w="85" w:type="dxa"/>
              <w:right w:w="57" w:type="dxa"/>
            </w:tcMar>
          </w:tcPr>
          <w:p w14:paraId="273CD77C" w14:textId="77777777" w:rsidR="00CC231A" w:rsidRPr="003978B4" w:rsidRDefault="00324184" w:rsidP="00A11658">
            <w:pPr>
              <w:pStyle w:val="TableText"/>
            </w:pPr>
            <w:r w:rsidRPr="003978B4">
              <w:t>4</w:t>
            </w:r>
          </w:p>
        </w:tc>
        <w:tc>
          <w:tcPr>
            <w:tcW w:w="709" w:type="pct"/>
            <w:tcBorders>
              <w:bottom w:val="nil"/>
            </w:tcBorders>
            <w:shd w:val="clear" w:color="auto" w:fill="auto"/>
            <w:tcMar>
              <w:left w:w="85" w:type="dxa"/>
              <w:right w:w="57" w:type="dxa"/>
            </w:tcMar>
          </w:tcPr>
          <w:p w14:paraId="273CD77D" w14:textId="77777777" w:rsidR="00CC231A" w:rsidRPr="003978B4" w:rsidRDefault="00324184" w:rsidP="004457D8">
            <w:pPr>
              <w:pStyle w:val="TableText"/>
            </w:pPr>
            <w:r w:rsidRPr="003978B4">
              <w:t>NOEC</w:t>
            </w:r>
            <w:r>
              <w:t xml:space="preserve"> </w:t>
            </w:r>
            <w:r w:rsidR="006C4BAD">
              <w:br/>
            </w:r>
            <w:r w:rsidRPr="003978B4">
              <w:t>(Reproduction)</w:t>
            </w:r>
          </w:p>
        </w:tc>
        <w:tc>
          <w:tcPr>
            <w:tcW w:w="304" w:type="pct"/>
            <w:tcBorders>
              <w:bottom w:val="nil"/>
            </w:tcBorders>
            <w:shd w:val="clear" w:color="auto" w:fill="auto"/>
            <w:tcMar>
              <w:left w:w="85" w:type="dxa"/>
              <w:right w:w="57" w:type="dxa"/>
            </w:tcMar>
          </w:tcPr>
          <w:p w14:paraId="273CD77E" w14:textId="77777777" w:rsidR="00CC231A" w:rsidRPr="003978B4" w:rsidRDefault="00324184" w:rsidP="00A11658">
            <w:pPr>
              <w:pStyle w:val="TableText"/>
            </w:pPr>
            <w:r>
              <w:t>–</w:t>
            </w:r>
          </w:p>
        </w:tc>
        <w:tc>
          <w:tcPr>
            <w:tcW w:w="304" w:type="pct"/>
            <w:tcBorders>
              <w:bottom w:val="nil"/>
            </w:tcBorders>
            <w:shd w:val="clear" w:color="auto" w:fill="auto"/>
            <w:tcMar>
              <w:left w:w="85" w:type="dxa"/>
              <w:right w:w="57" w:type="dxa"/>
            </w:tcMar>
          </w:tcPr>
          <w:p w14:paraId="273CD77F" w14:textId="77777777" w:rsidR="00CC231A" w:rsidRPr="003978B4" w:rsidRDefault="00324184" w:rsidP="00A11658">
            <w:pPr>
              <w:pStyle w:val="TableText"/>
            </w:pPr>
            <w:r>
              <w:t>–</w:t>
            </w:r>
          </w:p>
        </w:tc>
        <w:tc>
          <w:tcPr>
            <w:tcW w:w="405" w:type="pct"/>
            <w:tcBorders>
              <w:bottom w:val="nil"/>
            </w:tcBorders>
            <w:shd w:val="clear" w:color="auto" w:fill="auto"/>
            <w:tcMar>
              <w:left w:w="85" w:type="dxa"/>
              <w:right w:w="57" w:type="dxa"/>
            </w:tcMar>
          </w:tcPr>
          <w:p w14:paraId="273CD780" w14:textId="77777777" w:rsidR="00CC231A" w:rsidRPr="003978B4" w:rsidRDefault="00324184" w:rsidP="00A11658">
            <w:pPr>
              <w:pStyle w:val="TableText"/>
            </w:pPr>
            <w:r w:rsidRPr="003978B4">
              <w:t>20</w:t>
            </w:r>
          </w:p>
        </w:tc>
        <w:tc>
          <w:tcPr>
            <w:tcW w:w="430" w:type="pct"/>
            <w:shd w:val="clear" w:color="auto" w:fill="auto"/>
            <w:tcMar>
              <w:left w:w="85" w:type="dxa"/>
              <w:right w:w="57" w:type="dxa"/>
            </w:tcMar>
          </w:tcPr>
          <w:p w14:paraId="273CD781" w14:textId="77777777" w:rsidR="00CC231A" w:rsidRPr="003978B4" w:rsidRDefault="00324184" w:rsidP="00A11658">
            <w:pPr>
              <w:pStyle w:val="TableText"/>
            </w:pPr>
            <w:r w:rsidRPr="003978B4">
              <w:t>27</w:t>
            </w:r>
          </w:p>
        </w:tc>
        <w:tc>
          <w:tcPr>
            <w:tcW w:w="621" w:type="pct"/>
            <w:shd w:val="clear" w:color="auto" w:fill="auto"/>
            <w:tcMar>
              <w:left w:w="85" w:type="dxa"/>
              <w:right w:w="57" w:type="dxa"/>
            </w:tcMar>
          </w:tcPr>
          <w:p w14:paraId="273CD782" w14:textId="77777777" w:rsidR="00CC231A" w:rsidRPr="003978B4" w:rsidRDefault="00324184" w:rsidP="00A11658">
            <w:pPr>
              <w:pStyle w:val="TableText"/>
            </w:pPr>
            <w:r w:rsidRPr="003978B4">
              <w:rPr>
                <w:noProof/>
              </w:rPr>
              <w:t>Hooten &amp; Carr (1998)</w:t>
            </w:r>
          </w:p>
        </w:tc>
      </w:tr>
      <w:tr w:rsidR="00091AEB" w14:paraId="273CD788" w14:textId="77777777" w:rsidTr="00375885">
        <w:trPr>
          <w:cantSplit/>
        </w:trPr>
        <w:tc>
          <w:tcPr>
            <w:tcW w:w="506" w:type="pct"/>
            <w:vMerge/>
            <w:shd w:val="clear" w:color="auto" w:fill="auto"/>
            <w:tcMar>
              <w:left w:w="85" w:type="dxa"/>
              <w:right w:w="57" w:type="dxa"/>
            </w:tcMar>
          </w:tcPr>
          <w:p w14:paraId="273CD784" w14:textId="77777777" w:rsidR="00CC231A" w:rsidRPr="003978B4" w:rsidRDefault="00CC231A" w:rsidP="00A11658">
            <w:pPr>
              <w:pStyle w:val="TableText"/>
            </w:pPr>
          </w:p>
        </w:tc>
        <w:tc>
          <w:tcPr>
            <w:tcW w:w="3443" w:type="pct"/>
            <w:gridSpan w:val="7"/>
            <w:tcBorders>
              <w:top w:val="nil"/>
            </w:tcBorders>
            <w:shd w:val="clear" w:color="auto" w:fill="auto"/>
            <w:tcMar>
              <w:left w:w="85" w:type="dxa"/>
              <w:right w:w="57" w:type="dxa"/>
            </w:tcMar>
          </w:tcPr>
          <w:p w14:paraId="273CD785" w14:textId="77777777" w:rsidR="00CC231A" w:rsidRPr="003978B4" w:rsidRDefault="00324184" w:rsidP="00A11658">
            <w:pPr>
              <w:pStyle w:val="TableText"/>
            </w:pPr>
            <w:r>
              <w:t>–</w:t>
            </w:r>
          </w:p>
        </w:tc>
        <w:tc>
          <w:tcPr>
            <w:tcW w:w="430" w:type="pct"/>
            <w:shd w:val="clear" w:color="auto" w:fill="auto"/>
            <w:tcMar>
              <w:left w:w="85" w:type="dxa"/>
              <w:right w:w="57" w:type="dxa"/>
            </w:tcMar>
          </w:tcPr>
          <w:p w14:paraId="273CD786" w14:textId="77777777" w:rsidR="00CC231A" w:rsidRPr="00275044" w:rsidRDefault="00324184" w:rsidP="00A11658">
            <w:pPr>
              <w:pStyle w:val="TableText"/>
              <w:rPr>
                <w:b/>
                <w:bCs/>
              </w:rPr>
            </w:pPr>
            <w:r w:rsidRPr="00275044">
              <w:rPr>
                <w:b/>
                <w:bCs/>
              </w:rPr>
              <w:t>27</w:t>
            </w:r>
          </w:p>
        </w:tc>
        <w:tc>
          <w:tcPr>
            <w:tcW w:w="621" w:type="pct"/>
            <w:shd w:val="clear" w:color="auto" w:fill="auto"/>
            <w:tcMar>
              <w:left w:w="85" w:type="dxa"/>
              <w:right w:w="57" w:type="dxa"/>
            </w:tcMar>
          </w:tcPr>
          <w:p w14:paraId="273CD787" w14:textId="77777777" w:rsidR="00CC231A" w:rsidRPr="00275044" w:rsidRDefault="00324184" w:rsidP="00A11658">
            <w:pPr>
              <w:pStyle w:val="TableText"/>
              <w:rPr>
                <w:b/>
                <w:bCs/>
              </w:rPr>
            </w:pPr>
            <w:r w:rsidRPr="00275044">
              <w:rPr>
                <w:b/>
                <w:bCs/>
              </w:rPr>
              <w:t xml:space="preserve">Value </w:t>
            </w:r>
            <w:r w:rsidRPr="00275044">
              <w:rPr>
                <w:b/>
                <w:bCs/>
              </w:rPr>
              <w:t>used in SSD</w:t>
            </w:r>
          </w:p>
        </w:tc>
      </w:tr>
      <w:tr w:rsidR="00091AEB" w14:paraId="273CD793" w14:textId="77777777" w:rsidTr="00375885">
        <w:trPr>
          <w:cantSplit/>
        </w:trPr>
        <w:tc>
          <w:tcPr>
            <w:tcW w:w="506" w:type="pct"/>
            <w:vMerge/>
            <w:shd w:val="clear" w:color="auto" w:fill="auto"/>
            <w:tcMar>
              <w:left w:w="85" w:type="dxa"/>
              <w:right w:w="57" w:type="dxa"/>
            </w:tcMar>
          </w:tcPr>
          <w:p w14:paraId="273CD789" w14:textId="77777777" w:rsidR="00CC231A" w:rsidRPr="003978B4" w:rsidRDefault="00CC231A" w:rsidP="00A11658">
            <w:pPr>
              <w:pStyle w:val="TableText"/>
            </w:pPr>
          </w:p>
        </w:tc>
        <w:tc>
          <w:tcPr>
            <w:tcW w:w="709" w:type="pct"/>
            <w:tcBorders>
              <w:bottom w:val="nil"/>
            </w:tcBorders>
            <w:shd w:val="clear" w:color="auto" w:fill="auto"/>
            <w:tcMar>
              <w:left w:w="85" w:type="dxa"/>
              <w:right w:w="57" w:type="dxa"/>
            </w:tcMar>
          </w:tcPr>
          <w:p w14:paraId="273CD78A" w14:textId="77777777" w:rsidR="00CC231A" w:rsidRPr="00254919" w:rsidRDefault="00324184" w:rsidP="00A11658">
            <w:pPr>
              <w:pStyle w:val="TableText"/>
            </w:pPr>
            <w:r w:rsidRPr="00A616D8">
              <w:rPr>
                <w:rStyle w:val="Emphasis"/>
              </w:rPr>
              <w:t>Ulva lactuca</w:t>
            </w:r>
          </w:p>
        </w:tc>
        <w:tc>
          <w:tcPr>
            <w:tcW w:w="607" w:type="pct"/>
            <w:tcBorders>
              <w:bottom w:val="nil"/>
            </w:tcBorders>
            <w:shd w:val="clear" w:color="auto" w:fill="auto"/>
            <w:tcMar>
              <w:left w:w="85" w:type="dxa"/>
              <w:right w:w="57" w:type="dxa"/>
            </w:tcMar>
          </w:tcPr>
          <w:p w14:paraId="273CD78B" w14:textId="77777777" w:rsidR="00CC231A" w:rsidRPr="003978B4" w:rsidRDefault="00324184" w:rsidP="00A11658">
            <w:pPr>
              <w:pStyle w:val="TableText"/>
            </w:pPr>
            <w:r w:rsidRPr="003978B4">
              <w:t>Zoospore</w:t>
            </w:r>
          </w:p>
        </w:tc>
        <w:tc>
          <w:tcPr>
            <w:tcW w:w="405" w:type="pct"/>
            <w:tcBorders>
              <w:bottom w:val="nil"/>
            </w:tcBorders>
            <w:shd w:val="clear" w:color="auto" w:fill="auto"/>
            <w:tcMar>
              <w:left w:w="85" w:type="dxa"/>
              <w:right w:w="57" w:type="dxa"/>
            </w:tcMar>
          </w:tcPr>
          <w:p w14:paraId="273CD78C" w14:textId="77777777" w:rsidR="00CC231A" w:rsidRPr="003978B4" w:rsidRDefault="00324184" w:rsidP="00A11658">
            <w:pPr>
              <w:pStyle w:val="TableText"/>
            </w:pPr>
            <w:r w:rsidRPr="003978B4">
              <w:t>3</w:t>
            </w:r>
          </w:p>
        </w:tc>
        <w:tc>
          <w:tcPr>
            <w:tcW w:w="709" w:type="pct"/>
            <w:tcBorders>
              <w:bottom w:val="nil"/>
            </w:tcBorders>
            <w:shd w:val="clear" w:color="auto" w:fill="auto"/>
            <w:tcMar>
              <w:left w:w="85" w:type="dxa"/>
              <w:right w:w="57" w:type="dxa"/>
            </w:tcMar>
          </w:tcPr>
          <w:p w14:paraId="273CD78D" w14:textId="77777777" w:rsidR="00CC231A" w:rsidRPr="003978B4" w:rsidRDefault="00324184" w:rsidP="004457D8">
            <w:pPr>
              <w:pStyle w:val="TableText"/>
            </w:pPr>
            <w:r w:rsidRPr="003978B4">
              <w:t xml:space="preserve">EC10 </w:t>
            </w:r>
            <w:r w:rsidR="006C4BAD">
              <w:br/>
            </w:r>
            <w:r w:rsidRPr="003978B4">
              <w:t>(Settlement and growth inhibition)</w:t>
            </w:r>
          </w:p>
        </w:tc>
        <w:tc>
          <w:tcPr>
            <w:tcW w:w="304" w:type="pct"/>
            <w:tcBorders>
              <w:bottom w:val="nil"/>
            </w:tcBorders>
            <w:shd w:val="clear" w:color="auto" w:fill="auto"/>
            <w:tcMar>
              <w:left w:w="85" w:type="dxa"/>
              <w:right w:w="57" w:type="dxa"/>
            </w:tcMar>
          </w:tcPr>
          <w:p w14:paraId="273CD78E" w14:textId="77777777" w:rsidR="00CC231A" w:rsidRPr="003978B4" w:rsidRDefault="00324184" w:rsidP="00A11658">
            <w:pPr>
              <w:pStyle w:val="TableText"/>
            </w:pPr>
            <w:r>
              <w:t>–</w:t>
            </w:r>
          </w:p>
        </w:tc>
        <w:tc>
          <w:tcPr>
            <w:tcW w:w="304" w:type="pct"/>
            <w:tcBorders>
              <w:bottom w:val="nil"/>
            </w:tcBorders>
            <w:shd w:val="clear" w:color="auto" w:fill="auto"/>
            <w:tcMar>
              <w:left w:w="85" w:type="dxa"/>
              <w:right w:w="57" w:type="dxa"/>
            </w:tcMar>
          </w:tcPr>
          <w:p w14:paraId="273CD78F" w14:textId="77777777" w:rsidR="00CC231A" w:rsidRPr="003978B4" w:rsidRDefault="00324184" w:rsidP="00A11658">
            <w:pPr>
              <w:pStyle w:val="TableText"/>
            </w:pPr>
            <w:r>
              <w:t>–</w:t>
            </w:r>
          </w:p>
        </w:tc>
        <w:tc>
          <w:tcPr>
            <w:tcW w:w="405" w:type="pct"/>
            <w:tcBorders>
              <w:bottom w:val="nil"/>
            </w:tcBorders>
            <w:shd w:val="clear" w:color="auto" w:fill="auto"/>
            <w:tcMar>
              <w:left w:w="85" w:type="dxa"/>
              <w:right w:w="57" w:type="dxa"/>
            </w:tcMar>
          </w:tcPr>
          <w:p w14:paraId="273CD790" w14:textId="77777777" w:rsidR="00CC231A" w:rsidRPr="003978B4" w:rsidRDefault="00324184" w:rsidP="00A11658">
            <w:pPr>
              <w:pStyle w:val="TableText"/>
            </w:pPr>
            <w:r w:rsidRPr="003978B4">
              <w:t>15</w:t>
            </w:r>
          </w:p>
        </w:tc>
        <w:tc>
          <w:tcPr>
            <w:tcW w:w="430" w:type="pct"/>
            <w:shd w:val="clear" w:color="auto" w:fill="auto"/>
            <w:tcMar>
              <w:left w:w="85" w:type="dxa"/>
              <w:right w:w="57" w:type="dxa"/>
            </w:tcMar>
          </w:tcPr>
          <w:p w14:paraId="273CD791" w14:textId="77777777" w:rsidR="00CC231A" w:rsidRPr="003978B4" w:rsidRDefault="00324184" w:rsidP="00A11658">
            <w:pPr>
              <w:pStyle w:val="TableText"/>
            </w:pPr>
            <w:r w:rsidRPr="003978B4">
              <w:t>56</w:t>
            </w:r>
          </w:p>
        </w:tc>
        <w:tc>
          <w:tcPr>
            <w:tcW w:w="621" w:type="pct"/>
            <w:shd w:val="clear" w:color="auto" w:fill="auto"/>
            <w:tcMar>
              <w:left w:w="85" w:type="dxa"/>
              <w:right w:w="57" w:type="dxa"/>
            </w:tcMar>
          </w:tcPr>
          <w:p w14:paraId="273CD792" w14:textId="77777777" w:rsidR="00CC231A" w:rsidRPr="003978B4" w:rsidRDefault="00324184" w:rsidP="00A11658">
            <w:pPr>
              <w:pStyle w:val="TableText"/>
            </w:pPr>
            <w:r w:rsidRPr="003978B4">
              <w:rPr>
                <w:noProof/>
              </w:rPr>
              <w:t>Wendt et al. (2013)</w:t>
            </w:r>
          </w:p>
        </w:tc>
      </w:tr>
      <w:tr w:rsidR="00091AEB" w14:paraId="273CD798" w14:textId="77777777" w:rsidTr="00375885">
        <w:trPr>
          <w:cantSplit/>
        </w:trPr>
        <w:tc>
          <w:tcPr>
            <w:tcW w:w="506" w:type="pct"/>
            <w:vMerge/>
            <w:shd w:val="clear" w:color="auto" w:fill="auto"/>
            <w:tcMar>
              <w:left w:w="85" w:type="dxa"/>
              <w:right w:w="57" w:type="dxa"/>
            </w:tcMar>
          </w:tcPr>
          <w:p w14:paraId="273CD794" w14:textId="77777777" w:rsidR="00CC231A" w:rsidRPr="003978B4" w:rsidRDefault="00CC231A" w:rsidP="00A11658">
            <w:pPr>
              <w:pStyle w:val="TableText"/>
            </w:pPr>
          </w:p>
        </w:tc>
        <w:tc>
          <w:tcPr>
            <w:tcW w:w="3443" w:type="pct"/>
            <w:gridSpan w:val="7"/>
            <w:tcBorders>
              <w:top w:val="nil"/>
              <w:bottom w:val="single" w:sz="4" w:space="0" w:color="auto"/>
            </w:tcBorders>
            <w:shd w:val="clear" w:color="auto" w:fill="auto"/>
            <w:tcMar>
              <w:left w:w="85" w:type="dxa"/>
              <w:right w:w="57" w:type="dxa"/>
            </w:tcMar>
          </w:tcPr>
          <w:p w14:paraId="273CD795" w14:textId="77777777" w:rsidR="00CC231A" w:rsidRPr="003978B4" w:rsidRDefault="00324184" w:rsidP="00A11658">
            <w:pPr>
              <w:pStyle w:val="TableText"/>
            </w:pPr>
            <w:r>
              <w:t>–</w:t>
            </w:r>
          </w:p>
        </w:tc>
        <w:tc>
          <w:tcPr>
            <w:tcW w:w="430" w:type="pct"/>
            <w:shd w:val="clear" w:color="auto" w:fill="auto"/>
            <w:tcMar>
              <w:left w:w="85" w:type="dxa"/>
              <w:right w:w="57" w:type="dxa"/>
            </w:tcMar>
          </w:tcPr>
          <w:p w14:paraId="273CD796" w14:textId="77777777" w:rsidR="00CC231A" w:rsidRPr="00275044" w:rsidRDefault="00324184" w:rsidP="00A11658">
            <w:pPr>
              <w:pStyle w:val="TableText"/>
              <w:rPr>
                <w:b/>
                <w:bCs/>
              </w:rPr>
            </w:pPr>
            <w:r w:rsidRPr="00275044">
              <w:rPr>
                <w:b/>
                <w:bCs/>
              </w:rPr>
              <w:t>56</w:t>
            </w:r>
          </w:p>
        </w:tc>
        <w:tc>
          <w:tcPr>
            <w:tcW w:w="621" w:type="pct"/>
            <w:shd w:val="clear" w:color="auto" w:fill="auto"/>
            <w:tcMar>
              <w:left w:w="85" w:type="dxa"/>
              <w:right w:w="57" w:type="dxa"/>
            </w:tcMar>
          </w:tcPr>
          <w:p w14:paraId="273CD797" w14:textId="77777777" w:rsidR="00CC231A" w:rsidRPr="00275044" w:rsidRDefault="00324184" w:rsidP="00A11658">
            <w:pPr>
              <w:pStyle w:val="TableText"/>
              <w:rPr>
                <w:b/>
                <w:bCs/>
              </w:rPr>
            </w:pPr>
            <w:r w:rsidRPr="00275044">
              <w:rPr>
                <w:b/>
                <w:bCs/>
              </w:rPr>
              <w:t>Value used in SSD</w:t>
            </w:r>
          </w:p>
        </w:tc>
      </w:tr>
      <w:tr w:rsidR="00091AEB" w14:paraId="273CD7A3" w14:textId="77777777" w:rsidTr="00375885">
        <w:trPr>
          <w:cantSplit/>
        </w:trPr>
        <w:tc>
          <w:tcPr>
            <w:tcW w:w="506" w:type="pct"/>
            <w:vMerge w:val="restart"/>
            <w:shd w:val="clear" w:color="auto" w:fill="auto"/>
            <w:tcMar>
              <w:left w:w="85" w:type="dxa"/>
              <w:right w:w="57" w:type="dxa"/>
            </w:tcMar>
          </w:tcPr>
          <w:p w14:paraId="273CD799" w14:textId="77777777" w:rsidR="00CC231A" w:rsidRPr="003978B4" w:rsidRDefault="00324184" w:rsidP="00F26568">
            <w:pPr>
              <w:pStyle w:val="TableText"/>
            </w:pPr>
            <w:r>
              <w:t>Brown macroalga</w:t>
            </w:r>
          </w:p>
        </w:tc>
        <w:tc>
          <w:tcPr>
            <w:tcW w:w="709" w:type="pct"/>
            <w:tcBorders>
              <w:bottom w:val="nil"/>
            </w:tcBorders>
            <w:shd w:val="clear" w:color="auto" w:fill="auto"/>
            <w:tcMar>
              <w:left w:w="85" w:type="dxa"/>
              <w:right w:w="57" w:type="dxa"/>
            </w:tcMar>
          </w:tcPr>
          <w:p w14:paraId="273CD79A" w14:textId="77777777" w:rsidR="00CC231A" w:rsidRPr="00254919" w:rsidRDefault="00324184" w:rsidP="00F26568">
            <w:pPr>
              <w:pStyle w:val="TableText"/>
            </w:pPr>
            <w:r w:rsidRPr="00A616D8">
              <w:rPr>
                <w:rStyle w:val="Emphasis"/>
              </w:rPr>
              <w:t>Macrocystis pyrifera</w:t>
            </w:r>
          </w:p>
        </w:tc>
        <w:tc>
          <w:tcPr>
            <w:tcW w:w="607" w:type="pct"/>
            <w:tcBorders>
              <w:bottom w:val="nil"/>
            </w:tcBorders>
            <w:shd w:val="clear" w:color="auto" w:fill="auto"/>
            <w:tcMar>
              <w:left w:w="85" w:type="dxa"/>
              <w:right w:w="57" w:type="dxa"/>
            </w:tcMar>
          </w:tcPr>
          <w:p w14:paraId="273CD79B" w14:textId="77777777" w:rsidR="00CC231A" w:rsidRPr="003978B4" w:rsidRDefault="00324184" w:rsidP="00F26568">
            <w:pPr>
              <w:pStyle w:val="TableText"/>
            </w:pPr>
            <w:r>
              <w:t>Zoospore</w:t>
            </w:r>
          </w:p>
        </w:tc>
        <w:tc>
          <w:tcPr>
            <w:tcW w:w="405" w:type="pct"/>
            <w:tcBorders>
              <w:bottom w:val="nil"/>
            </w:tcBorders>
            <w:shd w:val="clear" w:color="auto" w:fill="auto"/>
            <w:tcMar>
              <w:left w:w="85" w:type="dxa"/>
              <w:right w:w="57" w:type="dxa"/>
            </w:tcMar>
          </w:tcPr>
          <w:p w14:paraId="273CD79C" w14:textId="77777777" w:rsidR="00CC231A" w:rsidRPr="003978B4" w:rsidRDefault="00324184" w:rsidP="00F26568">
            <w:pPr>
              <w:pStyle w:val="TableText"/>
            </w:pPr>
            <w:r w:rsidRPr="003978B4">
              <w:t>2</w:t>
            </w:r>
            <w:r>
              <w:t>0</w:t>
            </w:r>
          </w:p>
        </w:tc>
        <w:tc>
          <w:tcPr>
            <w:tcW w:w="709" w:type="pct"/>
            <w:tcBorders>
              <w:bottom w:val="nil"/>
            </w:tcBorders>
            <w:shd w:val="clear" w:color="auto" w:fill="auto"/>
            <w:tcMar>
              <w:left w:w="85" w:type="dxa"/>
              <w:right w:w="57" w:type="dxa"/>
            </w:tcMar>
          </w:tcPr>
          <w:p w14:paraId="273CD79D" w14:textId="77777777" w:rsidR="00CC231A" w:rsidRPr="003978B4" w:rsidRDefault="00324184" w:rsidP="004457D8">
            <w:pPr>
              <w:pStyle w:val="TableText"/>
            </w:pPr>
            <w:r>
              <w:t>LOEC</w:t>
            </w:r>
            <w:r w:rsidR="006C4BAD">
              <w:br/>
            </w:r>
            <w:r w:rsidRPr="003978B4">
              <w:t>(</w:t>
            </w:r>
            <w:r>
              <w:t>Sporophyte production</w:t>
            </w:r>
            <w:r w:rsidRPr="003978B4">
              <w:t>)</w:t>
            </w:r>
          </w:p>
        </w:tc>
        <w:tc>
          <w:tcPr>
            <w:tcW w:w="304" w:type="pct"/>
            <w:tcBorders>
              <w:bottom w:val="nil"/>
            </w:tcBorders>
            <w:shd w:val="clear" w:color="auto" w:fill="auto"/>
            <w:tcMar>
              <w:left w:w="85" w:type="dxa"/>
              <w:right w:w="57" w:type="dxa"/>
            </w:tcMar>
          </w:tcPr>
          <w:p w14:paraId="273CD79E" w14:textId="77777777" w:rsidR="00CC231A" w:rsidRPr="003978B4" w:rsidRDefault="00324184" w:rsidP="00F26568">
            <w:pPr>
              <w:pStyle w:val="TableText"/>
            </w:pPr>
            <w:r w:rsidRPr="003978B4">
              <w:t>35</w:t>
            </w:r>
            <w:r>
              <w:t>–</w:t>
            </w:r>
            <w:r w:rsidRPr="003978B4">
              <w:t>37</w:t>
            </w:r>
          </w:p>
        </w:tc>
        <w:tc>
          <w:tcPr>
            <w:tcW w:w="304" w:type="pct"/>
            <w:tcBorders>
              <w:bottom w:val="nil"/>
            </w:tcBorders>
            <w:shd w:val="clear" w:color="auto" w:fill="auto"/>
            <w:tcMar>
              <w:left w:w="85" w:type="dxa"/>
              <w:right w:w="57" w:type="dxa"/>
            </w:tcMar>
          </w:tcPr>
          <w:p w14:paraId="273CD79F" w14:textId="77777777" w:rsidR="00CC231A"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7A0" w14:textId="77777777" w:rsidR="00CC231A" w:rsidRPr="003978B4" w:rsidRDefault="00324184" w:rsidP="00F26568">
            <w:pPr>
              <w:pStyle w:val="TableText"/>
            </w:pPr>
            <w:r w:rsidRPr="003978B4">
              <w:t>13</w:t>
            </w:r>
            <w:r>
              <w:t>–</w:t>
            </w:r>
            <w:r w:rsidRPr="003978B4">
              <w:t>15</w:t>
            </w:r>
          </w:p>
        </w:tc>
        <w:tc>
          <w:tcPr>
            <w:tcW w:w="430" w:type="pct"/>
            <w:shd w:val="clear" w:color="auto" w:fill="auto"/>
            <w:tcMar>
              <w:left w:w="85" w:type="dxa"/>
              <w:right w:w="57" w:type="dxa"/>
            </w:tcMar>
          </w:tcPr>
          <w:p w14:paraId="273CD7A1" w14:textId="77777777" w:rsidR="00CC231A" w:rsidRPr="003978B4" w:rsidRDefault="00324184" w:rsidP="00F26568">
            <w:pPr>
              <w:pStyle w:val="TableText"/>
            </w:pPr>
            <w:r>
              <w:t>10.2</w:t>
            </w:r>
          </w:p>
        </w:tc>
        <w:tc>
          <w:tcPr>
            <w:tcW w:w="621" w:type="pct"/>
            <w:shd w:val="clear" w:color="auto" w:fill="auto"/>
            <w:tcMar>
              <w:left w:w="85" w:type="dxa"/>
              <w:right w:w="57" w:type="dxa"/>
            </w:tcMar>
          </w:tcPr>
          <w:p w14:paraId="273CD7A2" w14:textId="77777777" w:rsidR="00CC231A" w:rsidRPr="003978B4" w:rsidRDefault="00324184" w:rsidP="00F26568">
            <w:pPr>
              <w:pStyle w:val="TableText"/>
              <w:rPr>
                <w:noProof/>
              </w:rPr>
            </w:pPr>
            <w:r w:rsidRPr="003978B4">
              <w:rPr>
                <w:noProof/>
              </w:rPr>
              <w:t xml:space="preserve">Anderson et al. </w:t>
            </w:r>
            <w:r w:rsidRPr="003978B4">
              <w:rPr>
                <w:noProof/>
              </w:rPr>
              <w:t>(1990)</w:t>
            </w:r>
          </w:p>
        </w:tc>
      </w:tr>
      <w:tr w:rsidR="00091AEB" w14:paraId="273CD7A8" w14:textId="77777777" w:rsidTr="00375885">
        <w:trPr>
          <w:cantSplit/>
        </w:trPr>
        <w:tc>
          <w:tcPr>
            <w:tcW w:w="506" w:type="pct"/>
            <w:vMerge/>
            <w:shd w:val="clear" w:color="auto" w:fill="auto"/>
            <w:tcMar>
              <w:left w:w="85" w:type="dxa"/>
              <w:right w:w="57" w:type="dxa"/>
            </w:tcMar>
          </w:tcPr>
          <w:p w14:paraId="273CD7A4" w14:textId="77777777" w:rsidR="00CC231A" w:rsidRPr="003978B4" w:rsidRDefault="00CC231A" w:rsidP="00F26568">
            <w:pPr>
              <w:pStyle w:val="TableText"/>
            </w:pPr>
          </w:p>
        </w:tc>
        <w:tc>
          <w:tcPr>
            <w:tcW w:w="3443" w:type="pct"/>
            <w:gridSpan w:val="7"/>
            <w:tcBorders>
              <w:top w:val="nil"/>
            </w:tcBorders>
            <w:shd w:val="clear" w:color="auto" w:fill="auto"/>
            <w:tcMar>
              <w:left w:w="85" w:type="dxa"/>
              <w:right w:w="57" w:type="dxa"/>
            </w:tcMar>
          </w:tcPr>
          <w:p w14:paraId="273CD7A5" w14:textId="77777777" w:rsidR="00CC231A" w:rsidRPr="003978B4" w:rsidRDefault="00324184" w:rsidP="00F26568">
            <w:pPr>
              <w:pStyle w:val="TableText"/>
            </w:pPr>
            <w:r>
              <w:t>–</w:t>
            </w:r>
          </w:p>
        </w:tc>
        <w:tc>
          <w:tcPr>
            <w:tcW w:w="430" w:type="pct"/>
            <w:shd w:val="clear" w:color="auto" w:fill="auto"/>
            <w:tcMar>
              <w:left w:w="85" w:type="dxa"/>
              <w:right w:w="57" w:type="dxa"/>
            </w:tcMar>
          </w:tcPr>
          <w:p w14:paraId="273CD7A6" w14:textId="77777777" w:rsidR="00CC231A" w:rsidRPr="00275044" w:rsidRDefault="00324184" w:rsidP="00F26568">
            <w:pPr>
              <w:pStyle w:val="TableText"/>
              <w:rPr>
                <w:b/>
                <w:bCs/>
              </w:rPr>
            </w:pPr>
            <w:r>
              <w:rPr>
                <w:b/>
                <w:bCs/>
              </w:rPr>
              <w:t>4.1</w:t>
            </w:r>
            <w:r w:rsidR="002C000C">
              <w:rPr>
                <w:b/>
                <w:bCs/>
              </w:rPr>
              <w:t xml:space="preserve"> </w:t>
            </w:r>
            <w:r w:rsidRPr="002C000C">
              <w:rPr>
                <w:rStyle w:val="Strong"/>
                <w:vertAlign w:val="superscript"/>
              </w:rPr>
              <w:t>c</w:t>
            </w:r>
          </w:p>
        </w:tc>
        <w:tc>
          <w:tcPr>
            <w:tcW w:w="621" w:type="pct"/>
            <w:shd w:val="clear" w:color="auto" w:fill="auto"/>
            <w:tcMar>
              <w:left w:w="85" w:type="dxa"/>
              <w:right w:w="57" w:type="dxa"/>
            </w:tcMar>
          </w:tcPr>
          <w:p w14:paraId="273CD7A7" w14:textId="77777777" w:rsidR="00CC231A" w:rsidRPr="00275044" w:rsidRDefault="00324184" w:rsidP="00F26568">
            <w:pPr>
              <w:pStyle w:val="TableText"/>
              <w:rPr>
                <w:b/>
                <w:bCs/>
              </w:rPr>
            </w:pPr>
            <w:r>
              <w:rPr>
                <w:b/>
                <w:bCs/>
              </w:rPr>
              <w:t xml:space="preserve">Value </w:t>
            </w:r>
            <w:r w:rsidRPr="00275044">
              <w:rPr>
                <w:b/>
                <w:bCs/>
              </w:rPr>
              <w:t>used in SSD</w:t>
            </w:r>
          </w:p>
        </w:tc>
      </w:tr>
      <w:tr w:rsidR="00091AEB" w14:paraId="273CD7B3" w14:textId="77777777" w:rsidTr="00375885">
        <w:trPr>
          <w:cantSplit/>
        </w:trPr>
        <w:tc>
          <w:tcPr>
            <w:tcW w:w="506" w:type="pct"/>
            <w:vMerge/>
            <w:shd w:val="clear" w:color="auto" w:fill="auto"/>
            <w:tcMar>
              <w:left w:w="85" w:type="dxa"/>
              <w:right w:w="57" w:type="dxa"/>
            </w:tcMar>
          </w:tcPr>
          <w:p w14:paraId="273CD7A9" w14:textId="77777777" w:rsidR="00CC231A" w:rsidRPr="003978B4" w:rsidRDefault="00CC231A" w:rsidP="00F26568">
            <w:pPr>
              <w:pStyle w:val="TableText"/>
            </w:pPr>
          </w:p>
        </w:tc>
        <w:tc>
          <w:tcPr>
            <w:tcW w:w="709" w:type="pct"/>
            <w:vMerge w:val="restart"/>
            <w:shd w:val="clear" w:color="auto" w:fill="auto"/>
            <w:tcMar>
              <w:left w:w="85" w:type="dxa"/>
              <w:right w:w="57" w:type="dxa"/>
            </w:tcMar>
          </w:tcPr>
          <w:p w14:paraId="273CD7AA" w14:textId="77777777" w:rsidR="00CC231A" w:rsidRPr="00254919" w:rsidRDefault="00324184" w:rsidP="00F26568">
            <w:pPr>
              <w:pStyle w:val="TableText"/>
            </w:pPr>
            <w:r w:rsidRPr="00A616D8">
              <w:rPr>
                <w:rStyle w:val="Emphasis"/>
              </w:rPr>
              <w:t>Fucus vesiculosus</w:t>
            </w:r>
          </w:p>
        </w:tc>
        <w:tc>
          <w:tcPr>
            <w:tcW w:w="607" w:type="pct"/>
            <w:shd w:val="clear" w:color="auto" w:fill="auto"/>
            <w:tcMar>
              <w:left w:w="85" w:type="dxa"/>
              <w:right w:w="57" w:type="dxa"/>
            </w:tcMar>
          </w:tcPr>
          <w:p w14:paraId="273CD7AB" w14:textId="77777777" w:rsidR="00CC231A" w:rsidRPr="003978B4" w:rsidRDefault="00324184" w:rsidP="00F26568">
            <w:pPr>
              <w:pStyle w:val="TableText"/>
            </w:pPr>
            <w:r w:rsidRPr="003978B4">
              <w:t>Germling</w:t>
            </w:r>
          </w:p>
        </w:tc>
        <w:tc>
          <w:tcPr>
            <w:tcW w:w="405" w:type="pct"/>
            <w:shd w:val="clear" w:color="auto" w:fill="auto"/>
            <w:tcMar>
              <w:left w:w="85" w:type="dxa"/>
              <w:right w:w="57" w:type="dxa"/>
            </w:tcMar>
          </w:tcPr>
          <w:p w14:paraId="273CD7AC" w14:textId="77777777" w:rsidR="00CC231A" w:rsidRPr="003978B4" w:rsidRDefault="00324184" w:rsidP="00F26568">
            <w:pPr>
              <w:pStyle w:val="TableText"/>
            </w:pPr>
            <w:r w:rsidRPr="003978B4">
              <w:t>14</w:t>
            </w:r>
          </w:p>
        </w:tc>
        <w:tc>
          <w:tcPr>
            <w:tcW w:w="709" w:type="pct"/>
            <w:shd w:val="clear" w:color="auto" w:fill="auto"/>
            <w:tcMar>
              <w:left w:w="85" w:type="dxa"/>
              <w:right w:w="57" w:type="dxa"/>
            </w:tcMar>
          </w:tcPr>
          <w:p w14:paraId="273CD7AD" w14:textId="77777777" w:rsidR="00CC231A" w:rsidRPr="003978B4" w:rsidRDefault="00324184" w:rsidP="004457D8">
            <w:pPr>
              <w:pStyle w:val="TableText"/>
            </w:pPr>
            <w:r w:rsidRPr="003978B4">
              <w:t>NEC</w:t>
            </w:r>
            <w:r>
              <w:t xml:space="preserve"> </w:t>
            </w:r>
            <w:r w:rsidR="006C4BAD">
              <w:br/>
            </w:r>
            <w:r w:rsidRPr="003978B4">
              <w:t>(Growth)</w:t>
            </w:r>
          </w:p>
        </w:tc>
        <w:tc>
          <w:tcPr>
            <w:tcW w:w="304" w:type="pct"/>
            <w:shd w:val="clear" w:color="auto" w:fill="auto"/>
            <w:tcMar>
              <w:left w:w="85" w:type="dxa"/>
              <w:right w:w="57" w:type="dxa"/>
            </w:tcMar>
          </w:tcPr>
          <w:p w14:paraId="273CD7AE" w14:textId="77777777" w:rsidR="00CC231A" w:rsidRPr="003978B4" w:rsidRDefault="00324184" w:rsidP="00F26568">
            <w:pPr>
              <w:pStyle w:val="TableText"/>
            </w:pPr>
            <w:r w:rsidRPr="003978B4">
              <w:t>31</w:t>
            </w:r>
          </w:p>
        </w:tc>
        <w:tc>
          <w:tcPr>
            <w:tcW w:w="304" w:type="pct"/>
            <w:shd w:val="clear" w:color="auto" w:fill="auto"/>
            <w:tcMar>
              <w:left w:w="85" w:type="dxa"/>
              <w:right w:w="57" w:type="dxa"/>
            </w:tcMar>
          </w:tcPr>
          <w:p w14:paraId="273CD7AF" w14:textId="77777777" w:rsidR="00CC231A" w:rsidRPr="003978B4" w:rsidRDefault="00324184" w:rsidP="00F26568">
            <w:pPr>
              <w:pStyle w:val="TableText"/>
            </w:pPr>
            <w:r w:rsidRPr="003978B4">
              <w:t>&lt;0.001</w:t>
            </w:r>
          </w:p>
        </w:tc>
        <w:tc>
          <w:tcPr>
            <w:tcW w:w="405" w:type="pct"/>
            <w:shd w:val="clear" w:color="auto" w:fill="auto"/>
            <w:tcMar>
              <w:left w:w="85" w:type="dxa"/>
              <w:right w:w="57" w:type="dxa"/>
            </w:tcMar>
          </w:tcPr>
          <w:p w14:paraId="273CD7B0" w14:textId="77777777" w:rsidR="00CC231A" w:rsidRPr="003978B4" w:rsidRDefault="00324184" w:rsidP="00F26568">
            <w:pPr>
              <w:pStyle w:val="TableText"/>
            </w:pPr>
            <w:r w:rsidRPr="003978B4">
              <w:t>22</w:t>
            </w:r>
          </w:p>
        </w:tc>
        <w:tc>
          <w:tcPr>
            <w:tcW w:w="430" w:type="pct"/>
            <w:shd w:val="clear" w:color="auto" w:fill="auto"/>
            <w:tcMar>
              <w:left w:w="85" w:type="dxa"/>
              <w:right w:w="57" w:type="dxa"/>
            </w:tcMar>
          </w:tcPr>
          <w:p w14:paraId="273CD7B1" w14:textId="77777777" w:rsidR="00CC231A" w:rsidRPr="003978B4" w:rsidRDefault="00324184" w:rsidP="00F26568">
            <w:pPr>
              <w:pStyle w:val="TableText"/>
            </w:pPr>
            <w:r w:rsidRPr="003978B4">
              <w:t>11</w:t>
            </w:r>
          </w:p>
        </w:tc>
        <w:tc>
          <w:tcPr>
            <w:tcW w:w="621" w:type="pct"/>
            <w:shd w:val="clear" w:color="auto" w:fill="auto"/>
            <w:tcMar>
              <w:left w:w="85" w:type="dxa"/>
              <w:right w:w="57" w:type="dxa"/>
            </w:tcMar>
          </w:tcPr>
          <w:p w14:paraId="273CD7B2" w14:textId="77777777" w:rsidR="00CC231A" w:rsidRPr="003978B4" w:rsidRDefault="00324184" w:rsidP="00F26568">
            <w:pPr>
              <w:pStyle w:val="TableText"/>
            </w:pPr>
            <w:r w:rsidRPr="003978B4">
              <w:rPr>
                <w:noProof/>
              </w:rPr>
              <w:t>Brooks et al. (2008)</w:t>
            </w:r>
          </w:p>
        </w:tc>
      </w:tr>
      <w:tr w:rsidR="00091AEB" w14:paraId="273CD7BE" w14:textId="77777777" w:rsidTr="00375885">
        <w:trPr>
          <w:cantSplit/>
        </w:trPr>
        <w:tc>
          <w:tcPr>
            <w:tcW w:w="506" w:type="pct"/>
            <w:vMerge/>
            <w:shd w:val="clear" w:color="auto" w:fill="auto"/>
            <w:tcMar>
              <w:left w:w="85" w:type="dxa"/>
              <w:right w:w="57" w:type="dxa"/>
            </w:tcMar>
          </w:tcPr>
          <w:p w14:paraId="273CD7B4" w14:textId="77777777" w:rsidR="00CC231A" w:rsidRPr="003978B4" w:rsidRDefault="00CC231A" w:rsidP="00F26568">
            <w:pPr>
              <w:pStyle w:val="TableText"/>
            </w:pPr>
          </w:p>
        </w:tc>
        <w:tc>
          <w:tcPr>
            <w:tcW w:w="709" w:type="pct"/>
            <w:vMerge/>
            <w:shd w:val="clear" w:color="auto" w:fill="auto"/>
            <w:tcMar>
              <w:left w:w="85" w:type="dxa"/>
              <w:right w:w="57" w:type="dxa"/>
            </w:tcMar>
          </w:tcPr>
          <w:p w14:paraId="273CD7B5" w14:textId="77777777" w:rsidR="00CC231A" w:rsidRPr="00254919" w:rsidRDefault="00CC231A" w:rsidP="00F26568">
            <w:pPr>
              <w:pStyle w:val="TableText"/>
            </w:pPr>
          </w:p>
        </w:tc>
        <w:tc>
          <w:tcPr>
            <w:tcW w:w="607" w:type="pct"/>
            <w:shd w:val="clear" w:color="auto" w:fill="auto"/>
            <w:tcMar>
              <w:left w:w="85" w:type="dxa"/>
              <w:right w:w="57" w:type="dxa"/>
            </w:tcMar>
          </w:tcPr>
          <w:p w14:paraId="273CD7B6" w14:textId="77777777" w:rsidR="00CC231A" w:rsidRPr="003978B4" w:rsidRDefault="00324184" w:rsidP="00F26568">
            <w:pPr>
              <w:pStyle w:val="TableText"/>
            </w:pPr>
            <w:r w:rsidRPr="003978B4">
              <w:t>Germling</w:t>
            </w:r>
          </w:p>
        </w:tc>
        <w:tc>
          <w:tcPr>
            <w:tcW w:w="405" w:type="pct"/>
            <w:shd w:val="clear" w:color="auto" w:fill="auto"/>
            <w:tcMar>
              <w:left w:w="85" w:type="dxa"/>
              <w:right w:w="57" w:type="dxa"/>
            </w:tcMar>
          </w:tcPr>
          <w:p w14:paraId="273CD7B7" w14:textId="77777777" w:rsidR="00CC231A" w:rsidRPr="003978B4" w:rsidRDefault="00324184" w:rsidP="00F26568">
            <w:pPr>
              <w:pStyle w:val="TableText"/>
            </w:pPr>
            <w:r w:rsidRPr="003978B4">
              <w:t>14</w:t>
            </w:r>
          </w:p>
        </w:tc>
        <w:tc>
          <w:tcPr>
            <w:tcW w:w="709" w:type="pct"/>
            <w:shd w:val="clear" w:color="auto" w:fill="auto"/>
            <w:tcMar>
              <w:left w:w="85" w:type="dxa"/>
              <w:right w:w="57" w:type="dxa"/>
            </w:tcMar>
          </w:tcPr>
          <w:p w14:paraId="273CD7B8" w14:textId="77777777" w:rsidR="00CC231A" w:rsidRPr="003978B4" w:rsidRDefault="00324184" w:rsidP="004457D8">
            <w:pPr>
              <w:pStyle w:val="TableText"/>
            </w:pPr>
            <w:r w:rsidRPr="003978B4">
              <w:t>NEC</w:t>
            </w:r>
            <w:r>
              <w:t xml:space="preserve"> </w:t>
            </w:r>
            <w:r w:rsidR="006C4BAD">
              <w:br/>
            </w:r>
            <w:r w:rsidRPr="003978B4">
              <w:t>(Growth)</w:t>
            </w:r>
          </w:p>
        </w:tc>
        <w:tc>
          <w:tcPr>
            <w:tcW w:w="304" w:type="pct"/>
            <w:shd w:val="clear" w:color="auto" w:fill="auto"/>
            <w:tcMar>
              <w:left w:w="85" w:type="dxa"/>
              <w:right w:w="57" w:type="dxa"/>
            </w:tcMar>
          </w:tcPr>
          <w:p w14:paraId="273CD7B9" w14:textId="77777777" w:rsidR="00CC231A" w:rsidRPr="003978B4" w:rsidRDefault="00324184" w:rsidP="00F26568">
            <w:pPr>
              <w:pStyle w:val="TableText"/>
            </w:pPr>
            <w:r w:rsidRPr="003978B4">
              <w:t>31</w:t>
            </w:r>
          </w:p>
        </w:tc>
        <w:tc>
          <w:tcPr>
            <w:tcW w:w="304" w:type="pct"/>
            <w:shd w:val="clear" w:color="auto" w:fill="auto"/>
            <w:tcMar>
              <w:left w:w="85" w:type="dxa"/>
              <w:right w:w="57" w:type="dxa"/>
            </w:tcMar>
          </w:tcPr>
          <w:p w14:paraId="273CD7BA" w14:textId="77777777" w:rsidR="00CC231A" w:rsidRPr="003978B4" w:rsidRDefault="00324184" w:rsidP="00F26568">
            <w:pPr>
              <w:pStyle w:val="TableText"/>
            </w:pPr>
            <w:r w:rsidRPr="003978B4">
              <w:t>0.009</w:t>
            </w:r>
          </w:p>
        </w:tc>
        <w:tc>
          <w:tcPr>
            <w:tcW w:w="405" w:type="pct"/>
            <w:shd w:val="clear" w:color="auto" w:fill="auto"/>
            <w:tcMar>
              <w:left w:w="85" w:type="dxa"/>
              <w:right w:w="57" w:type="dxa"/>
            </w:tcMar>
          </w:tcPr>
          <w:p w14:paraId="273CD7BB" w14:textId="77777777" w:rsidR="00CC231A" w:rsidRPr="003978B4" w:rsidRDefault="00324184" w:rsidP="00F26568">
            <w:pPr>
              <w:pStyle w:val="TableText"/>
            </w:pPr>
            <w:r w:rsidRPr="003978B4">
              <w:t>22</w:t>
            </w:r>
          </w:p>
        </w:tc>
        <w:tc>
          <w:tcPr>
            <w:tcW w:w="430" w:type="pct"/>
            <w:shd w:val="clear" w:color="auto" w:fill="auto"/>
            <w:tcMar>
              <w:left w:w="85" w:type="dxa"/>
              <w:right w:w="57" w:type="dxa"/>
            </w:tcMar>
          </w:tcPr>
          <w:p w14:paraId="273CD7BC" w14:textId="77777777" w:rsidR="00CC231A" w:rsidRPr="003978B4" w:rsidRDefault="00324184" w:rsidP="00F26568">
            <w:pPr>
              <w:pStyle w:val="TableText"/>
            </w:pPr>
            <w:r w:rsidRPr="003978B4">
              <w:t>14</w:t>
            </w:r>
          </w:p>
        </w:tc>
        <w:tc>
          <w:tcPr>
            <w:tcW w:w="621" w:type="pct"/>
            <w:shd w:val="clear" w:color="auto" w:fill="auto"/>
            <w:tcMar>
              <w:left w:w="85" w:type="dxa"/>
              <w:right w:w="57" w:type="dxa"/>
            </w:tcMar>
          </w:tcPr>
          <w:p w14:paraId="273CD7BD" w14:textId="77777777" w:rsidR="00CC231A" w:rsidRPr="003978B4" w:rsidRDefault="00324184" w:rsidP="00F26568">
            <w:pPr>
              <w:pStyle w:val="TableText"/>
            </w:pPr>
            <w:r w:rsidRPr="003978B4">
              <w:rPr>
                <w:noProof/>
              </w:rPr>
              <w:t>Brooks et al. (2008)</w:t>
            </w:r>
          </w:p>
        </w:tc>
      </w:tr>
      <w:tr w:rsidR="00091AEB" w14:paraId="273CD7C9" w14:textId="77777777" w:rsidTr="00375885">
        <w:trPr>
          <w:cantSplit/>
        </w:trPr>
        <w:tc>
          <w:tcPr>
            <w:tcW w:w="506" w:type="pct"/>
            <w:vMerge/>
            <w:shd w:val="clear" w:color="auto" w:fill="auto"/>
            <w:tcMar>
              <w:left w:w="85" w:type="dxa"/>
              <w:right w:w="57" w:type="dxa"/>
            </w:tcMar>
          </w:tcPr>
          <w:p w14:paraId="273CD7BF" w14:textId="77777777" w:rsidR="00CC231A" w:rsidRPr="003978B4" w:rsidRDefault="00CC231A" w:rsidP="00F26568">
            <w:pPr>
              <w:pStyle w:val="TableText"/>
            </w:pPr>
          </w:p>
        </w:tc>
        <w:tc>
          <w:tcPr>
            <w:tcW w:w="709" w:type="pct"/>
            <w:vMerge/>
            <w:shd w:val="clear" w:color="auto" w:fill="auto"/>
            <w:tcMar>
              <w:left w:w="85" w:type="dxa"/>
              <w:right w:w="57" w:type="dxa"/>
            </w:tcMar>
          </w:tcPr>
          <w:p w14:paraId="273CD7C0" w14:textId="77777777" w:rsidR="00CC231A" w:rsidRPr="00254919" w:rsidRDefault="00CC231A" w:rsidP="00F26568">
            <w:pPr>
              <w:pStyle w:val="TableText"/>
            </w:pPr>
          </w:p>
        </w:tc>
        <w:tc>
          <w:tcPr>
            <w:tcW w:w="607" w:type="pct"/>
            <w:shd w:val="clear" w:color="auto" w:fill="auto"/>
            <w:tcMar>
              <w:left w:w="85" w:type="dxa"/>
              <w:right w:w="57" w:type="dxa"/>
            </w:tcMar>
          </w:tcPr>
          <w:p w14:paraId="273CD7C1" w14:textId="77777777" w:rsidR="00CC231A" w:rsidRPr="003978B4" w:rsidRDefault="00324184" w:rsidP="00F26568">
            <w:pPr>
              <w:pStyle w:val="TableText"/>
            </w:pPr>
            <w:r w:rsidRPr="003978B4">
              <w:t>Germling</w:t>
            </w:r>
          </w:p>
        </w:tc>
        <w:tc>
          <w:tcPr>
            <w:tcW w:w="405" w:type="pct"/>
            <w:shd w:val="clear" w:color="auto" w:fill="auto"/>
            <w:tcMar>
              <w:left w:w="85" w:type="dxa"/>
              <w:right w:w="57" w:type="dxa"/>
            </w:tcMar>
          </w:tcPr>
          <w:p w14:paraId="273CD7C2" w14:textId="77777777" w:rsidR="00CC231A" w:rsidRPr="003978B4" w:rsidRDefault="00324184" w:rsidP="00F26568">
            <w:pPr>
              <w:pStyle w:val="TableText"/>
            </w:pPr>
            <w:r w:rsidRPr="003978B4">
              <w:t>14</w:t>
            </w:r>
          </w:p>
        </w:tc>
        <w:tc>
          <w:tcPr>
            <w:tcW w:w="709" w:type="pct"/>
            <w:shd w:val="clear" w:color="auto" w:fill="auto"/>
            <w:tcMar>
              <w:left w:w="85" w:type="dxa"/>
              <w:right w:w="57" w:type="dxa"/>
            </w:tcMar>
          </w:tcPr>
          <w:p w14:paraId="273CD7C3" w14:textId="77777777" w:rsidR="00CC231A" w:rsidRPr="003978B4" w:rsidRDefault="00324184" w:rsidP="004457D8">
            <w:pPr>
              <w:pStyle w:val="TableText"/>
            </w:pPr>
            <w:r w:rsidRPr="003978B4">
              <w:t>NEC</w:t>
            </w:r>
            <w:r>
              <w:t xml:space="preserve"> </w:t>
            </w:r>
            <w:r w:rsidR="006C4BAD">
              <w:br/>
            </w:r>
            <w:r w:rsidRPr="003978B4">
              <w:t>(Growth)</w:t>
            </w:r>
          </w:p>
        </w:tc>
        <w:tc>
          <w:tcPr>
            <w:tcW w:w="304" w:type="pct"/>
            <w:shd w:val="clear" w:color="auto" w:fill="auto"/>
            <w:tcMar>
              <w:left w:w="85" w:type="dxa"/>
              <w:right w:w="57" w:type="dxa"/>
            </w:tcMar>
          </w:tcPr>
          <w:p w14:paraId="273CD7C4" w14:textId="77777777" w:rsidR="00CC231A" w:rsidRPr="003978B4" w:rsidRDefault="00324184" w:rsidP="00F26568">
            <w:pPr>
              <w:pStyle w:val="TableText"/>
            </w:pPr>
            <w:r w:rsidRPr="003978B4">
              <w:t>31</w:t>
            </w:r>
          </w:p>
        </w:tc>
        <w:tc>
          <w:tcPr>
            <w:tcW w:w="304" w:type="pct"/>
            <w:shd w:val="clear" w:color="auto" w:fill="auto"/>
            <w:tcMar>
              <w:left w:w="85" w:type="dxa"/>
              <w:right w:w="57" w:type="dxa"/>
            </w:tcMar>
          </w:tcPr>
          <w:p w14:paraId="273CD7C5" w14:textId="77777777" w:rsidR="00CC231A" w:rsidRPr="003978B4" w:rsidRDefault="00324184" w:rsidP="00F26568">
            <w:pPr>
              <w:pStyle w:val="TableText"/>
            </w:pPr>
            <w:r w:rsidRPr="003978B4">
              <w:t>0.55</w:t>
            </w:r>
          </w:p>
        </w:tc>
        <w:tc>
          <w:tcPr>
            <w:tcW w:w="405" w:type="pct"/>
            <w:shd w:val="clear" w:color="auto" w:fill="auto"/>
            <w:tcMar>
              <w:left w:w="85" w:type="dxa"/>
              <w:right w:w="57" w:type="dxa"/>
            </w:tcMar>
          </w:tcPr>
          <w:p w14:paraId="273CD7C6" w14:textId="77777777" w:rsidR="00CC231A" w:rsidRPr="003978B4" w:rsidRDefault="00324184" w:rsidP="00F26568">
            <w:pPr>
              <w:pStyle w:val="TableText"/>
            </w:pPr>
            <w:r w:rsidRPr="003978B4">
              <w:t>22</w:t>
            </w:r>
          </w:p>
        </w:tc>
        <w:tc>
          <w:tcPr>
            <w:tcW w:w="430" w:type="pct"/>
            <w:shd w:val="clear" w:color="auto" w:fill="auto"/>
            <w:tcMar>
              <w:left w:w="85" w:type="dxa"/>
              <w:right w:w="57" w:type="dxa"/>
            </w:tcMar>
          </w:tcPr>
          <w:p w14:paraId="273CD7C7" w14:textId="77777777" w:rsidR="00CC231A" w:rsidRPr="003978B4" w:rsidRDefault="00324184" w:rsidP="00F26568">
            <w:pPr>
              <w:pStyle w:val="TableText"/>
            </w:pPr>
            <w:r w:rsidRPr="003978B4">
              <w:t>19</w:t>
            </w:r>
          </w:p>
        </w:tc>
        <w:tc>
          <w:tcPr>
            <w:tcW w:w="621" w:type="pct"/>
            <w:shd w:val="clear" w:color="auto" w:fill="auto"/>
            <w:tcMar>
              <w:left w:w="85" w:type="dxa"/>
              <w:right w:w="57" w:type="dxa"/>
            </w:tcMar>
          </w:tcPr>
          <w:p w14:paraId="273CD7C8" w14:textId="77777777" w:rsidR="00CC231A" w:rsidRPr="003978B4" w:rsidRDefault="00324184" w:rsidP="00F26568">
            <w:pPr>
              <w:pStyle w:val="TableText"/>
            </w:pPr>
            <w:r w:rsidRPr="003978B4">
              <w:rPr>
                <w:noProof/>
              </w:rPr>
              <w:t>Brooks et al. (2008)</w:t>
            </w:r>
          </w:p>
        </w:tc>
      </w:tr>
      <w:tr w:rsidR="00091AEB" w14:paraId="273CD7D4" w14:textId="77777777" w:rsidTr="00375885">
        <w:trPr>
          <w:cantSplit/>
        </w:trPr>
        <w:tc>
          <w:tcPr>
            <w:tcW w:w="506" w:type="pct"/>
            <w:vMerge/>
            <w:shd w:val="clear" w:color="auto" w:fill="auto"/>
            <w:tcMar>
              <w:left w:w="85" w:type="dxa"/>
              <w:right w:w="57" w:type="dxa"/>
            </w:tcMar>
          </w:tcPr>
          <w:p w14:paraId="273CD7CA" w14:textId="77777777" w:rsidR="00CC231A" w:rsidRPr="003978B4" w:rsidRDefault="00CC231A" w:rsidP="00F26568">
            <w:pPr>
              <w:pStyle w:val="TableText"/>
            </w:pPr>
          </w:p>
        </w:tc>
        <w:tc>
          <w:tcPr>
            <w:tcW w:w="709" w:type="pct"/>
            <w:vMerge/>
            <w:tcBorders>
              <w:bottom w:val="nil"/>
            </w:tcBorders>
            <w:shd w:val="clear" w:color="auto" w:fill="auto"/>
            <w:tcMar>
              <w:left w:w="85" w:type="dxa"/>
              <w:right w:w="57" w:type="dxa"/>
            </w:tcMar>
          </w:tcPr>
          <w:p w14:paraId="273CD7CB" w14:textId="77777777" w:rsidR="00CC231A" w:rsidRPr="00254919" w:rsidRDefault="00CC231A" w:rsidP="00F26568">
            <w:pPr>
              <w:pStyle w:val="TableText"/>
            </w:pPr>
          </w:p>
        </w:tc>
        <w:tc>
          <w:tcPr>
            <w:tcW w:w="607" w:type="pct"/>
            <w:tcBorders>
              <w:bottom w:val="nil"/>
            </w:tcBorders>
            <w:shd w:val="clear" w:color="auto" w:fill="auto"/>
            <w:tcMar>
              <w:left w:w="85" w:type="dxa"/>
              <w:right w:w="57" w:type="dxa"/>
            </w:tcMar>
          </w:tcPr>
          <w:p w14:paraId="273CD7CC" w14:textId="77777777" w:rsidR="00CC231A" w:rsidRPr="003978B4" w:rsidRDefault="00324184" w:rsidP="00F26568">
            <w:pPr>
              <w:pStyle w:val="TableText"/>
            </w:pPr>
            <w:r w:rsidRPr="003978B4">
              <w:t>Germling</w:t>
            </w:r>
          </w:p>
        </w:tc>
        <w:tc>
          <w:tcPr>
            <w:tcW w:w="405" w:type="pct"/>
            <w:tcBorders>
              <w:bottom w:val="nil"/>
            </w:tcBorders>
            <w:shd w:val="clear" w:color="auto" w:fill="auto"/>
            <w:tcMar>
              <w:left w:w="85" w:type="dxa"/>
              <w:right w:w="57" w:type="dxa"/>
            </w:tcMar>
          </w:tcPr>
          <w:p w14:paraId="273CD7CD" w14:textId="77777777" w:rsidR="00CC231A" w:rsidRPr="003978B4" w:rsidRDefault="00324184" w:rsidP="00F26568">
            <w:pPr>
              <w:pStyle w:val="TableText"/>
            </w:pPr>
            <w:r w:rsidRPr="003978B4">
              <w:t>14</w:t>
            </w:r>
          </w:p>
        </w:tc>
        <w:tc>
          <w:tcPr>
            <w:tcW w:w="709" w:type="pct"/>
            <w:tcBorders>
              <w:bottom w:val="nil"/>
            </w:tcBorders>
            <w:shd w:val="clear" w:color="auto" w:fill="auto"/>
            <w:tcMar>
              <w:left w:w="85" w:type="dxa"/>
              <w:right w:w="57" w:type="dxa"/>
            </w:tcMar>
          </w:tcPr>
          <w:p w14:paraId="273CD7CE" w14:textId="77777777" w:rsidR="00CC231A" w:rsidRPr="003978B4" w:rsidRDefault="00324184" w:rsidP="004457D8">
            <w:pPr>
              <w:pStyle w:val="TableText"/>
            </w:pPr>
            <w:r w:rsidRPr="003978B4">
              <w:t>NEC</w:t>
            </w:r>
            <w:r>
              <w:t xml:space="preserve"> </w:t>
            </w:r>
            <w:r w:rsidR="006C4BAD">
              <w:br/>
            </w:r>
            <w:r w:rsidRPr="003978B4">
              <w:t>(Growth)</w:t>
            </w:r>
          </w:p>
        </w:tc>
        <w:tc>
          <w:tcPr>
            <w:tcW w:w="304" w:type="pct"/>
            <w:tcBorders>
              <w:bottom w:val="nil"/>
            </w:tcBorders>
            <w:shd w:val="clear" w:color="auto" w:fill="auto"/>
            <w:tcMar>
              <w:left w:w="85" w:type="dxa"/>
              <w:right w:w="57" w:type="dxa"/>
            </w:tcMar>
          </w:tcPr>
          <w:p w14:paraId="273CD7CF" w14:textId="77777777" w:rsidR="00CC231A" w:rsidRPr="003978B4" w:rsidRDefault="00324184" w:rsidP="00F26568">
            <w:pPr>
              <w:pStyle w:val="TableText"/>
            </w:pPr>
            <w:r w:rsidRPr="003978B4">
              <w:t>31</w:t>
            </w:r>
          </w:p>
        </w:tc>
        <w:tc>
          <w:tcPr>
            <w:tcW w:w="304" w:type="pct"/>
            <w:tcBorders>
              <w:bottom w:val="nil"/>
            </w:tcBorders>
            <w:shd w:val="clear" w:color="auto" w:fill="auto"/>
            <w:tcMar>
              <w:left w:w="85" w:type="dxa"/>
              <w:right w:w="57" w:type="dxa"/>
            </w:tcMar>
          </w:tcPr>
          <w:p w14:paraId="273CD7D0" w14:textId="77777777" w:rsidR="00CC231A" w:rsidRPr="003978B4" w:rsidRDefault="00324184" w:rsidP="00F26568">
            <w:pPr>
              <w:pStyle w:val="TableText"/>
            </w:pPr>
            <w:r w:rsidRPr="003978B4">
              <w:t>1.65</w:t>
            </w:r>
          </w:p>
        </w:tc>
        <w:tc>
          <w:tcPr>
            <w:tcW w:w="405" w:type="pct"/>
            <w:tcBorders>
              <w:bottom w:val="nil"/>
            </w:tcBorders>
            <w:shd w:val="clear" w:color="auto" w:fill="auto"/>
            <w:tcMar>
              <w:left w:w="85" w:type="dxa"/>
              <w:right w:w="57" w:type="dxa"/>
            </w:tcMar>
          </w:tcPr>
          <w:p w14:paraId="273CD7D1" w14:textId="77777777" w:rsidR="00CC231A" w:rsidRPr="003978B4" w:rsidRDefault="00324184" w:rsidP="00F26568">
            <w:pPr>
              <w:pStyle w:val="TableText"/>
            </w:pPr>
            <w:r w:rsidRPr="003978B4">
              <w:t>22</w:t>
            </w:r>
          </w:p>
        </w:tc>
        <w:tc>
          <w:tcPr>
            <w:tcW w:w="430" w:type="pct"/>
            <w:shd w:val="clear" w:color="auto" w:fill="auto"/>
            <w:tcMar>
              <w:left w:w="85" w:type="dxa"/>
              <w:right w:w="57" w:type="dxa"/>
            </w:tcMar>
          </w:tcPr>
          <w:p w14:paraId="273CD7D2" w14:textId="77777777" w:rsidR="00CC231A" w:rsidRPr="003978B4" w:rsidRDefault="00324184" w:rsidP="00F26568">
            <w:pPr>
              <w:pStyle w:val="TableText"/>
            </w:pPr>
            <w:r w:rsidRPr="003978B4">
              <w:t>32</w:t>
            </w:r>
          </w:p>
        </w:tc>
        <w:tc>
          <w:tcPr>
            <w:tcW w:w="621" w:type="pct"/>
            <w:shd w:val="clear" w:color="auto" w:fill="auto"/>
            <w:tcMar>
              <w:left w:w="85" w:type="dxa"/>
              <w:right w:w="57" w:type="dxa"/>
            </w:tcMar>
          </w:tcPr>
          <w:p w14:paraId="273CD7D3" w14:textId="77777777" w:rsidR="00CC231A" w:rsidRPr="003978B4" w:rsidRDefault="00324184" w:rsidP="00F26568">
            <w:pPr>
              <w:pStyle w:val="TableText"/>
            </w:pPr>
            <w:r w:rsidRPr="003978B4">
              <w:rPr>
                <w:noProof/>
              </w:rPr>
              <w:t>Brooks et al. (2008)</w:t>
            </w:r>
          </w:p>
        </w:tc>
      </w:tr>
      <w:tr w:rsidR="00091AEB" w14:paraId="273CD7DA" w14:textId="77777777" w:rsidTr="00375885">
        <w:trPr>
          <w:cantSplit/>
        </w:trPr>
        <w:tc>
          <w:tcPr>
            <w:tcW w:w="506" w:type="pct"/>
            <w:vMerge/>
            <w:shd w:val="clear" w:color="auto" w:fill="auto"/>
            <w:tcMar>
              <w:left w:w="85" w:type="dxa"/>
              <w:right w:w="57" w:type="dxa"/>
            </w:tcMar>
          </w:tcPr>
          <w:p w14:paraId="273CD7D5" w14:textId="77777777" w:rsidR="00CC231A" w:rsidRPr="003978B4" w:rsidRDefault="00CC231A" w:rsidP="00F26568">
            <w:pPr>
              <w:pStyle w:val="TableText"/>
            </w:pPr>
          </w:p>
        </w:tc>
        <w:tc>
          <w:tcPr>
            <w:tcW w:w="3443" w:type="pct"/>
            <w:gridSpan w:val="7"/>
            <w:tcBorders>
              <w:top w:val="nil"/>
            </w:tcBorders>
            <w:shd w:val="clear" w:color="auto" w:fill="auto"/>
            <w:tcMar>
              <w:left w:w="85" w:type="dxa"/>
              <w:right w:w="57" w:type="dxa"/>
            </w:tcMar>
          </w:tcPr>
          <w:p w14:paraId="273CD7D6" w14:textId="77777777" w:rsidR="00CC231A" w:rsidRPr="003978B4" w:rsidRDefault="00324184" w:rsidP="00F26568">
            <w:pPr>
              <w:pStyle w:val="TableText"/>
            </w:pPr>
            <w:r>
              <w:t>–</w:t>
            </w:r>
          </w:p>
        </w:tc>
        <w:tc>
          <w:tcPr>
            <w:tcW w:w="430" w:type="pct"/>
            <w:shd w:val="clear" w:color="auto" w:fill="auto"/>
            <w:tcMar>
              <w:left w:w="85" w:type="dxa"/>
              <w:right w:w="57" w:type="dxa"/>
            </w:tcMar>
          </w:tcPr>
          <w:p w14:paraId="273CD7D7" w14:textId="77777777" w:rsidR="00CC231A" w:rsidRPr="00275044" w:rsidRDefault="00324184" w:rsidP="00F26568">
            <w:pPr>
              <w:pStyle w:val="TableText"/>
              <w:rPr>
                <w:b/>
                <w:bCs/>
              </w:rPr>
            </w:pPr>
            <w:r w:rsidRPr="00275044">
              <w:rPr>
                <w:b/>
                <w:bCs/>
              </w:rPr>
              <w:t>17</w:t>
            </w:r>
          </w:p>
        </w:tc>
        <w:tc>
          <w:tcPr>
            <w:tcW w:w="621" w:type="pct"/>
            <w:shd w:val="clear" w:color="auto" w:fill="auto"/>
            <w:tcMar>
              <w:left w:w="85" w:type="dxa"/>
              <w:right w:w="57" w:type="dxa"/>
            </w:tcMar>
          </w:tcPr>
          <w:p w14:paraId="273CD7D8" w14:textId="77777777" w:rsidR="00CC231A" w:rsidRDefault="00324184" w:rsidP="00F26568">
            <w:pPr>
              <w:pStyle w:val="TableText"/>
              <w:rPr>
                <w:b/>
                <w:bCs/>
              </w:rPr>
            </w:pPr>
            <w:r>
              <w:rPr>
                <w:b/>
                <w:bCs/>
              </w:rPr>
              <w:t>V</w:t>
            </w:r>
            <w:r w:rsidRPr="00275044">
              <w:rPr>
                <w:b/>
                <w:bCs/>
              </w:rPr>
              <w:t>alue used in SSD</w:t>
            </w:r>
          </w:p>
          <w:p w14:paraId="273CD7D9" w14:textId="77777777" w:rsidR="00CC231A" w:rsidRPr="00275044" w:rsidRDefault="00324184" w:rsidP="00F26568">
            <w:pPr>
              <w:pStyle w:val="TableText"/>
              <w:rPr>
                <w:b/>
                <w:bCs/>
              </w:rPr>
            </w:pPr>
            <w:r>
              <w:rPr>
                <w:b/>
                <w:bCs/>
              </w:rPr>
              <w:t>(g</w:t>
            </w:r>
            <w:r w:rsidRPr="00275044">
              <w:rPr>
                <w:b/>
                <w:bCs/>
              </w:rPr>
              <w:t>eometric mean</w:t>
            </w:r>
            <w:r>
              <w:rPr>
                <w:b/>
                <w:bCs/>
              </w:rPr>
              <w:t>)</w:t>
            </w:r>
          </w:p>
        </w:tc>
      </w:tr>
      <w:tr w:rsidR="00091AEB" w14:paraId="273CD7E5" w14:textId="77777777" w:rsidTr="00375885">
        <w:trPr>
          <w:cantSplit/>
        </w:trPr>
        <w:tc>
          <w:tcPr>
            <w:tcW w:w="506" w:type="pct"/>
            <w:vMerge w:val="restart"/>
            <w:shd w:val="clear" w:color="auto" w:fill="auto"/>
            <w:tcMar>
              <w:left w:w="85" w:type="dxa"/>
              <w:right w:w="57" w:type="dxa"/>
            </w:tcMar>
          </w:tcPr>
          <w:p w14:paraId="273CD7DB" w14:textId="77777777" w:rsidR="00F26568" w:rsidRPr="003978B4" w:rsidRDefault="00324184" w:rsidP="00A77E19">
            <w:pPr>
              <w:pStyle w:val="TableText"/>
              <w:keepNext/>
              <w:keepLines/>
            </w:pPr>
            <w:r w:rsidRPr="003978B4">
              <w:t>Cnidaria</w:t>
            </w:r>
            <w:r>
              <w:t>n</w:t>
            </w:r>
          </w:p>
        </w:tc>
        <w:tc>
          <w:tcPr>
            <w:tcW w:w="709" w:type="pct"/>
            <w:tcBorders>
              <w:bottom w:val="nil"/>
            </w:tcBorders>
            <w:shd w:val="clear" w:color="auto" w:fill="auto"/>
            <w:tcMar>
              <w:left w:w="85" w:type="dxa"/>
              <w:right w:w="57" w:type="dxa"/>
            </w:tcMar>
          </w:tcPr>
          <w:p w14:paraId="273CD7DC" w14:textId="77777777" w:rsidR="00F26568" w:rsidRPr="00254919" w:rsidRDefault="00324184" w:rsidP="00A77E19">
            <w:pPr>
              <w:pStyle w:val="TableText"/>
              <w:keepNext/>
              <w:keepLines/>
            </w:pPr>
            <w:r w:rsidRPr="00A616D8">
              <w:rPr>
                <w:rStyle w:val="Emphasis"/>
              </w:rPr>
              <w:t>Acropora tenuis</w:t>
            </w:r>
          </w:p>
        </w:tc>
        <w:tc>
          <w:tcPr>
            <w:tcW w:w="607" w:type="pct"/>
            <w:tcBorders>
              <w:bottom w:val="nil"/>
            </w:tcBorders>
            <w:shd w:val="clear" w:color="auto" w:fill="auto"/>
            <w:tcMar>
              <w:left w:w="85" w:type="dxa"/>
              <w:right w:w="57" w:type="dxa"/>
            </w:tcMar>
          </w:tcPr>
          <w:p w14:paraId="273CD7DD" w14:textId="77777777" w:rsidR="00F26568" w:rsidRPr="003978B4" w:rsidRDefault="00324184" w:rsidP="00A77E19">
            <w:pPr>
              <w:pStyle w:val="TableText"/>
              <w:keepNext/>
              <w:keepLines/>
            </w:pPr>
            <w:r w:rsidRPr="003978B4">
              <w:t>Gamete</w:t>
            </w:r>
          </w:p>
        </w:tc>
        <w:tc>
          <w:tcPr>
            <w:tcW w:w="405" w:type="pct"/>
            <w:tcBorders>
              <w:bottom w:val="nil"/>
            </w:tcBorders>
            <w:shd w:val="clear" w:color="auto" w:fill="auto"/>
            <w:tcMar>
              <w:left w:w="85" w:type="dxa"/>
              <w:right w:w="57" w:type="dxa"/>
            </w:tcMar>
          </w:tcPr>
          <w:p w14:paraId="273CD7DE" w14:textId="77777777" w:rsidR="00F26568" w:rsidRPr="003978B4" w:rsidRDefault="00324184" w:rsidP="00A77E19">
            <w:pPr>
              <w:pStyle w:val="TableText"/>
              <w:keepNext/>
              <w:keepLines/>
            </w:pPr>
            <w:r w:rsidRPr="003978B4">
              <w:t>0.2</w:t>
            </w:r>
          </w:p>
        </w:tc>
        <w:tc>
          <w:tcPr>
            <w:tcW w:w="709" w:type="pct"/>
            <w:tcBorders>
              <w:bottom w:val="nil"/>
            </w:tcBorders>
            <w:shd w:val="clear" w:color="auto" w:fill="auto"/>
            <w:tcMar>
              <w:left w:w="85" w:type="dxa"/>
              <w:right w:w="57" w:type="dxa"/>
            </w:tcMar>
          </w:tcPr>
          <w:p w14:paraId="273CD7DF" w14:textId="77777777" w:rsidR="00F26568" w:rsidRPr="003978B4" w:rsidRDefault="00324184" w:rsidP="00A77E19">
            <w:pPr>
              <w:pStyle w:val="TableText"/>
              <w:keepNext/>
              <w:keepLines/>
            </w:pPr>
            <w:r w:rsidRPr="003978B4">
              <w:t xml:space="preserve">NOEC </w:t>
            </w:r>
            <w:r w:rsidR="004457D8">
              <w:br/>
            </w:r>
            <w:r w:rsidRPr="003978B4">
              <w:t>(Fertilisation)</w:t>
            </w:r>
          </w:p>
        </w:tc>
        <w:tc>
          <w:tcPr>
            <w:tcW w:w="304" w:type="pct"/>
            <w:tcBorders>
              <w:bottom w:val="nil"/>
            </w:tcBorders>
            <w:shd w:val="clear" w:color="auto" w:fill="auto"/>
            <w:tcMar>
              <w:left w:w="85" w:type="dxa"/>
              <w:right w:w="57" w:type="dxa"/>
            </w:tcMar>
          </w:tcPr>
          <w:p w14:paraId="273CD7E0" w14:textId="77777777" w:rsidR="00F26568" w:rsidRPr="003978B4" w:rsidRDefault="00324184" w:rsidP="00A77E19">
            <w:pPr>
              <w:pStyle w:val="TableText"/>
              <w:keepNext/>
              <w:keepLines/>
            </w:pPr>
            <w:r>
              <w:t>–</w:t>
            </w:r>
          </w:p>
        </w:tc>
        <w:tc>
          <w:tcPr>
            <w:tcW w:w="304" w:type="pct"/>
            <w:tcBorders>
              <w:bottom w:val="nil"/>
            </w:tcBorders>
            <w:shd w:val="clear" w:color="auto" w:fill="auto"/>
            <w:tcMar>
              <w:left w:w="85" w:type="dxa"/>
              <w:right w:w="57" w:type="dxa"/>
            </w:tcMar>
          </w:tcPr>
          <w:p w14:paraId="273CD7E1" w14:textId="77777777" w:rsidR="00F26568" w:rsidRPr="003978B4" w:rsidRDefault="00324184" w:rsidP="00A77E19">
            <w:pPr>
              <w:pStyle w:val="TableText"/>
              <w:keepNext/>
              <w:keepLines/>
            </w:pPr>
            <w:r>
              <w:t>–</w:t>
            </w:r>
          </w:p>
        </w:tc>
        <w:tc>
          <w:tcPr>
            <w:tcW w:w="405" w:type="pct"/>
            <w:tcBorders>
              <w:bottom w:val="nil"/>
            </w:tcBorders>
            <w:shd w:val="clear" w:color="auto" w:fill="auto"/>
            <w:tcMar>
              <w:left w:w="85" w:type="dxa"/>
              <w:right w:w="57" w:type="dxa"/>
            </w:tcMar>
          </w:tcPr>
          <w:p w14:paraId="273CD7E2" w14:textId="77777777" w:rsidR="00F26568" w:rsidRPr="003978B4" w:rsidRDefault="00324184" w:rsidP="00A77E19">
            <w:pPr>
              <w:pStyle w:val="TableText"/>
              <w:keepNext/>
              <w:keepLines/>
            </w:pPr>
            <w:r w:rsidRPr="003978B4">
              <w:t>28</w:t>
            </w:r>
          </w:p>
        </w:tc>
        <w:tc>
          <w:tcPr>
            <w:tcW w:w="430" w:type="pct"/>
            <w:shd w:val="clear" w:color="auto" w:fill="auto"/>
            <w:tcMar>
              <w:left w:w="85" w:type="dxa"/>
              <w:right w:w="57" w:type="dxa"/>
            </w:tcMar>
          </w:tcPr>
          <w:p w14:paraId="273CD7E3" w14:textId="77777777" w:rsidR="00F26568" w:rsidRPr="003978B4" w:rsidRDefault="00324184" w:rsidP="00A77E19">
            <w:pPr>
              <w:pStyle w:val="TableText"/>
              <w:keepNext/>
              <w:keepLines/>
            </w:pPr>
            <w:r w:rsidRPr="003978B4">
              <w:t>34</w:t>
            </w:r>
          </w:p>
        </w:tc>
        <w:tc>
          <w:tcPr>
            <w:tcW w:w="621" w:type="pct"/>
            <w:shd w:val="clear" w:color="auto" w:fill="auto"/>
            <w:tcMar>
              <w:left w:w="85" w:type="dxa"/>
              <w:right w:w="57" w:type="dxa"/>
            </w:tcMar>
          </w:tcPr>
          <w:p w14:paraId="273CD7E4" w14:textId="77777777" w:rsidR="00F26568" w:rsidRPr="003978B4" w:rsidRDefault="00324184" w:rsidP="00A77E19">
            <w:pPr>
              <w:pStyle w:val="TableText"/>
              <w:keepNext/>
              <w:keepLines/>
            </w:pPr>
            <w:r w:rsidRPr="003978B4">
              <w:rPr>
                <w:noProof/>
              </w:rPr>
              <w:t>Reichelt-Brushett &amp; Harrison (2005)</w:t>
            </w:r>
          </w:p>
        </w:tc>
      </w:tr>
      <w:tr w:rsidR="00091AEB" w14:paraId="273CD7EA" w14:textId="77777777" w:rsidTr="00375885">
        <w:trPr>
          <w:cantSplit/>
        </w:trPr>
        <w:tc>
          <w:tcPr>
            <w:tcW w:w="506" w:type="pct"/>
            <w:vMerge/>
            <w:shd w:val="clear" w:color="auto" w:fill="auto"/>
            <w:tcMar>
              <w:left w:w="85" w:type="dxa"/>
              <w:right w:w="57" w:type="dxa"/>
            </w:tcMar>
          </w:tcPr>
          <w:p w14:paraId="273CD7E6" w14:textId="77777777" w:rsidR="00F26568" w:rsidRPr="003978B4" w:rsidRDefault="00F26568" w:rsidP="00A77E19">
            <w:pPr>
              <w:pStyle w:val="TableText"/>
              <w:keepNext/>
              <w:keepLines/>
            </w:pPr>
          </w:p>
        </w:tc>
        <w:tc>
          <w:tcPr>
            <w:tcW w:w="3443" w:type="pct"/>
            <w:gridSpan w:val="7"/>
            <w:tcBorders>
              <w:top w:val="nil"/>
            </w:tcBorders>
            <w:shd w:val="clear" w:color="auto" w:fill="auto"/>
            <w:tcMar>
              <w:left w:w="85" w:type="dxa"/>
              <w:right w:w="57" w:type="dxa"/>
            </w:tcMar>
          </w:tcPr>
          <w:p w14:paraId="273CD7E7" w14:textId="77777777" w:rsidR="00F26568" w:rsidRPr="003978B4" w:rsidRDefault="00324184" w:rsidP="00A77E19">
            <w:pPr>
              <w:pStyle w:val="TableText"/>
              <w:keepNext/>
              <w:keepLines/>
            </w:pPr>
            <w:r>
              <w:t>–</w:t>
            </w:r>
          </w:p>
        </w:tc>
        <w:tc>
          <w:tcPr>
            <w:tcW w:w="430" w:type="pct"/>
            <w:shd w:val="clear" w:color="auto" w:fill="auto"/>
            <w:tcMar>
              <w:left w:w="85" w:type="dxa"/>
              <w:right w:w="57" w:type="dxa"/>
            </w:tcMar>
          </w:tcPr>
          <w:p w14:paraId="273CD7E8" w14:textId="77777777" w:rsidR="00F26568" w:rsidRPr="00275044" w:rsidRDefault="00324184" w:rsidP="00A77E19">
            <w:pPr>
              <w:pStyle w:val="TableText"/>
              <w:keepNext/>
              <w:keepLines/>
              <w:rPr>
                <w:b/>
                <w:bCs/>
              </w:rPr>
            </w:pPr>
            <w:r w:rsidRPr="00275044">
              <w:rPr>
                <w:b/>
                <w:bCs/>
              </w:rPr>
              <w:t>34</w:t>
            </w:r>
          </w:p>
        </w:tc>
        <w:tc>
          <w:tcPr>
            <w:tcW w:w="621" w:type="pct"/>
            <w:shd w:val="clear" w:color="auto" w:fill="auto"/>
            <w:tcMar>
              <w:left w:w="85" w:type="dxa"/>
              <w:right w:w="57" w:type="dxa"/>
            </w:tcMar>
          </w:tcPr>
          <w:p w14:paraId="273CD7E9" w14:textId="77777777" w:rsidR="00F26568" w:rsidRPr="00275044" w:rsidRDefault="00324184" w:rsidP="00A77E19">
            <w:pPr>
              <w:pStyle w:val="TableText"/>
              <w:keepNext/>
              <w:keepLines/>
              <w:rPr>
                <w:b/>
                <w:bCs/>
              </w:rPr>
            </w:pPr>
            <w:r w:rsidRPr="00275044">
              <w:rPr>
                <w:b/>
                <w:bCs/>
              </w:rPr>
              <w:t>Value used in SSD</w:t>
            </w:r>
          </w:p>
        </w:tc>
      </w:tr>
      <w:tr w:rsidR="00091AEB" w14:paraId="273CD7F5" w14:textId="77777777" w:rsidTr="00375885">
        <w:trPr>
          <w:cantSplit/>
        </w:trPr>
        <w:tc>
          <w:tcPr>
            <w:tcW w:w="506" w:type="pct"/>
            <w:vMerge/>
            <w:shd w:val="clear" w:color="auto" w:fill="auto"/>
            <w:tcMar>
              <w:left w:w="85" w:type="dxa"/>
              <w:right w:w="57" w:type="dxa"/>
            </w:tcMar>
          </w:tcPr>
          <w:p w14:paraId="273CD7EB" w14:textId="77777777" w:rsidR="00F26568" w:rsidRPr="003978B4" w:rsidRDefault="00F26568" w:rsidP="00F26568">
            <w:pPr>
              <w:pStyle w:val="TableText"/>
            </w:pPr>
          </w:p>
        </w:tc>
        <w:tc>
          <w:tcPr>
            <w:tcW w:w="709" w:type="pct"/>
            <w:tcBorders>
              <w:bottom w:val="nil"/>
            </w:tcBorders>
            <w:shd w:val="clear" w:color="auto" w:fill="auto"/>
            <w:tcMar>
              <w:left w:w="85" w:type="dxa"/>
              <w:right w:w="57" w:type="dxa"/>
            </w:tcMar>
          </w:tcPr>
          <w:p w14:paraId="273CD7EC" w14:textId="77777777" w:rsidR="00F26568" w:rsidRPr="00254919" w:rsidRDefault="00324184" w:rsidP="00F26568">
            <w:pPr>
              <w:pStyle w:val="TableText"/>
            </w:pPr>
            <w:r w:rsidRPr="00A616D8">
              <w:rPr>
                <w:rStyle w:val="Emphasis"/>
              </w:rPr>
              <w:t xml:space="preserve">Coelastrea </w:t>
            </w:r>
            <w:r w:rsidRPr="00A616D8">
              <w:rPr>
                <w:rStyle w:val="Emphasis"/>
              </w:rPr>
              <w:t>aspera</w:t>
            </w:r>
          </w:p>
        </w:tc>
        <w:tc>
          <w:tcPr>
            <w:tcW w:w="607" w:type="pct"/>
            <w:tcBorders>
              <w:bottom w:val="nil"/>
            </w:tcBorders>
            <w:shd w:val="clear" w:color="auto" w:fill="auto"/>
            <w:tcMar>
              <w:left w:w="85" w:type="dxa"/>
              <w:right w:w="57" w:type="dxa"/>
            </w:tcMar>
          </w:tcPr>
          <w:p w14:paraId="273CD7ED" w14:textId="77777777" w:rsidR="00F26568" w:rsidRPr="003978B4" w:rsidRDefault="00324184" w:rsidP="00F26568">
            <w:pPr>
              <w:pStyle w:val="TableText"/>
            </w:pPr>
            <w:r w:rsidRPr="003978B4">
              <w:t>Gamete</w:t>
            </w:r>
          </w:p>
        </w:tc>
        <w:tc>
          <w:tcPr>
            <w:tcW w:w="405" w:type="pct"/>
            <w:tcBorders>
              <w:bottom w:val="nil"/>
            </w:tcBorders>
            <w:shd w:val="clear" w:color="auto" w:fill="auto"/>
            <w:tcMar>
              <w:left w:w="85" w:type="dxa"/>
              <w:right w:w="57" w:type="dxa"/>
            </w:tcMar>
          </w:tcPr>
          <w:p w14:paraId="273CD7EE" w14:textId="77777777" w:rsidR="00F26568" w:rsidRPr="003978B4" w:rsidRDefault="00324184" w:rsidP="00F26568">
            <w:pPr>
              <w:pStyle w:val="TableText"/>
            </w:pPr>
            <w:r w:rsidRPr="003978B4">
              <w:t>0.2</w:t>
            </w:r>
          </w:p>
        </w:tc>
        <w:tc>
          <w:tcPr>
            <w:tcW w:w="709" w:type="pct"/>
            <w:tcBorders>
              <w:bottom w:val="nil"/>
            </w:tcBorders>
            <w:shd w:val="clear" w:color="auto" w:fill="auto"/>
            <w:tcMar>
              <w:left w:w="85" w:type="dxa"/>
              <w:right w:w="57" w:type="dxa"/>
            </w:tcMar>
          </w:tcPr>
          <w:p w14:paraId="273CD7EF" w14:textId="77777777" w:rsidR="00F26568" w:rsidRPr="003978B4" w:rsidRDefault="00324184" w:rsidP="004457D8">
            <w:pPr>
              <w:pStyle w:val="TableText"/>
            </w:pPr>
            <w:r w:rsidRPr="003978B4">
              <w:t xml:space="preserve">NOEC </w:t>
            </w:r>
            <w:r w:rsidR="006C4BAD">
              <w:br/>
            </w:r>
            <w:r w:rsidRPr="003978B4">
              <w:t>(Fertilisation)</w:t>
            </w:r>
          </w:p>
        </w:tc>
        <w:tc>
          <w:tcPr>
            <w:tcW w:w="304" w:type="pct"/>
            <w:tcBorders>
              <w:bottom w:val="nil"/>
            </w:tcBorders>
            <w:shd w:val="clear" w:color="auto" w:fill="auto"/>
            <w:tcMar>
              <w:left w:w="85" w:type="dxa"/>
              <w:right w:w="57" w:type="dxa"/>
            </w:tcMar>
          </w:tcPr>
          <w:p w14:paraId="273CD7F0" w14:textId="77777777" w:rsidR="00F26568" w:rsidRPr="003978B4" w:rsidRDefault="00324184" w:rsidP="00F26568">
            <w:pPr>
              <w:pStyle w:val="TableText"/>
            </w:pPr>
            <w:r>
              <w:t>–</w:t>
            </w:r>
          </w:p>
        </w:tc>
        <w:tc>
          <w:tcPr>
            <w:tcW w:w="304" w:type="pct"/>
            <w:tcBorders>
              <w:bottom w:val="nil"/>
            </w:tcBorders>
            <w:shd w:val="clear" w:color="auto" w:fill="auto"/>
            <w:tcMar>
              <w:left w:w="85" w:type="dxa"/>
              <w:right w:w="57" w:type="dxa"/>
            </w:tcMar>
          </w:tcPr>
          <w:p w14:paraId="273CD7F1" w14:textId="77777777" w:rsidR="00F26568"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7F2" w14:textId="77777777" w:rsidR="00F26568" w:rsidRPr="003978B4" w:rsidRDefault="00324184" w:rsidP="00F26568">
            <w:pPr>
              <w:pStyle w:val="TableText"/>
            </w:pPr>
            <w:r w:rsidRPr="003978B4">
              <w:t>28</w:t>
            </w:r>
          </w:p>
        </w:tc>
        <w:tc>
          <w:tcPr>
            <w:tcW w:w="430" w:type="pct"/>
            <w:shd w:val="clear" w:color="auto" w:fill="auto"/>
            <w:tcMar>
              <w:left w:w="85" w:type="dxa"/>
              <w:right w:w="57" w:type="dxa"/>
            </w:tcMar>
          </w:tcPr>
          <w:p w14:paraId="273CD7F3" w14:textId="77777777" w:rsidR="00F26568" w:rsidRPr="003978B4" w:rsidRDefault="00324184" w:rsidP="00F26568">
            <w:pPr>
              <w:pStyle w:val="TableText"/>
            </w:pPr>
            <w:r w:rsidRPr="003978B4">
              <w:t>13</w:t>
            </w:r>
          </w:p>
        </w:tc>
        <w:tc>
          <w:tcPr>
            <w:tcW w:w="621" w:type="pct"/>
            <w:shd w:val="clear" w:color="auto" w:fill="auto"/>
            <w:tcMar>
              <w:left w:w="85" w:type="dxa"/>
              <w:right w:w="57" w:type="dxa"/>
            </w:tcMar>
          </w:tcPr>
          <w:p w14:paraId="273CD7F4" w14:textId="77777777" w:rsidR="00F26568" w:rsidRPr="003978B4" w:rsidRDefault="00324184" w:rsidP="00F26568">
            <w:pPr>
              <w:pStyle w:val="TableText"/>
            </w:pPr>
            <w:r w:rsidRPr="003978B4">
              <w:rPr>
                <w:noProof/>
              </w:rPr>
              <w:t>Reichelt-Brushett &amp; Harrison (2005)</w:t>
            </w:r>
          </w:p>
        </w:tc>
      </w:tr>
      <w:tr w:rsidR="00091AEB" w14:paraId="273CD7FA" w14:textId="77777777" w:rsidTr="00375885">
        <w:trPr>
          <w:cantSplit/>
        </w:trPr>
        <w:tc>
          <w:tcPr>
            <w:tcW w:w="506" w:type="pct"/>
            <w:vMerge/>
            <w:shd w:val="clear" w:color="auto" w:fill="auto"/>
            <w:tcMar>
              <w:left w:w="85" w:type="dxa"/>
              <w:right w:w="57" w:type="dxa"/>
            </w:tcMar>
          </w:tcPr>
          <w:p w14:paraId="273CD7F6"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7F7" w14:textId="77777777" w:rsidR="00F26568" w:rsidRPr="003978B4" w:rsidRDefault="00F26568" w:rsidP="00F26568">
            <w:pPr>
              <w:pStyle w:val="TableText"/>
            </w:pPr>
          </w:p>
        </w:tc>
        <w:tc>
          <w:tcPr>
            <w:tcW w:w="430" w:type="pct"/>
            <w:shd w:val="clear" w:color="auto" w:fill="auto"/>
            <w:tcMar>
              <w:left w:w="85" w:type="dxa"/>
              <w:right w:w="57" w:type="dxa"/>
            </w:tcMar>
          </w:tcPr>
          <w:p w14:paraId="273CD7F8" w14:textId="77777777" w:rsidR="00F26568" w:rsidRPr="00275044" w:rsidRDefault="00324184" w:rsidP="00F26568">
            <w:pPr>
              <w:pStyle w:val="TableText"/>
              <w:rPr>
                <w:b/>
                <w:bCs/>
              </w:rPr>
            </w:pPr>
            <w:r w:rsidRPr="00275044">
              <w:rPr>
                <w:b/>
                <w:bCs/>
              </w:rPr>
              <w:t>13</w:t>
            </w:r>
          </w:p>
        </w:tc>
        <w:tc>
          <w:tcPr>
            <w:tcW w:w="621" w:type="pct"/>
            <w:shd w:val="clear" w:color="auto" w:fill="auto"/>
            <w:tcMar>
              <w:left w:w="85" w:type="dxa"/>
              <w:right w:w="57" w:type="dxa"/>
            </w:tcMar>
          </w:tcPr>
          <w:p w14:paraId="273CD7F9" w14:textId="77777777" w:rsidR="00F26568" w:rsidRPr="00275044" w:rsidRDefault="00324184" w:rsidP="00F26568">
            <w:pPr>
              <w:pStyle w:val="TableText"/>
              <w:rPr>
                <w:b/>
                <w:bCs/>
              </w:rPr>
            </w:pPr>
            <w:r w:rsidRPr="00275044">
              <w:rPr>
                <w:b/>
                <w:bCs/>
              </w:rPr>
              <w:t>Value used in SSD</w:t>
            </w:r>
          </w:p>
        </w:tc>
      </w:tr>
      <w:tr w:rsidR="00091AEB" w14:paraId="273CD805" w14:textId="77777777" w:rsidTr="00375885">
        <w:trPr>
          <w:cantSplit/>
        </w:trPr>
        <w:tc>
          <w:tcPr>
            <w:tcW w:w="506" w:type="pct"/>
            <w:vMerge/>
            <w:shd w:val="clear" w:color="auto" w:fill="auto"/>
            <w:tcMar>
              <w:left w:w="85" w:type="dxa"/>
              <w:right w:w="57" w:type="dxa"/>
            </w:tcMar>
          </w:tcPr>
          <w:p w14:paraId="273CD7FB" w14:textId="77777777" w:rsidR="00F26568" w:rsidRPr="003978B4" w:rsidRDefault="00F26568" w:rsidP="00F26568">
            <w:pPr>
              <w:pStyle w:val="TableText"/>
            </w:pPr>
          </w:p>
        </w:tc>
        <w:tc>
          <w:tcPr>
            <w:tcW w:w="709" w:type="pct"/>
            <w:tcBorders>
              <w:bottom w:val="nil"/>
            </w:tcBorders>
            <w:shd w:val="clear" w:color="auto" w:fill="auto"/>
            <w:tcMar>
              <w:left w:w="85" w:type="dxa"/>
              <w:right w:w="57" w:type="dxa"/>
            </w:tcMar>
          </w:tcPr>
          <w:p w14:paraId="273CD7FC" w14:textId="77777777" w:rsidR="00F26568" w:rsidRPr="00A616D8" w:rsidRDefault="00324184" w:rsidP="00F26568">
            <w:pPr>
              <w:pStyle w:val="TableText"/>
              <w:rPr>
                <w:rStyle w:val="Emphasis"/>
              </w:rPr>
            </w:pPr>
            <w:r w:rsidRPr="00A616D8">
              <w:rPr>
                <w:rStyle w:val="Emphasis"/>
              </w:rPr>
              <w:t>Platygyra daedalea</w:t>
            </w:r>
          </w:p>
        </w:tc>
        <w:tc>
          <w:tcPr>
            <w:tcW w:w="607" w:type="pct"/>
            <w:tcBorders>
              <w:bottom w:val="nil"/>
            </w:tcBorders>
            <w:shd w:val="clear" w:color="auto" w:fill="auto"/>
            <w:tcMar>
              <w:left w:w="85" w:type="dxa"/>
              <w:right w:w="57" w:type="dxa"/>
            </w:tcMar>
          </w:tcPr>
          <w:p w14:paraId="273CD7FD" w14:textId="77777777" w:rsidR="00F26568" w:rsidRPr="003978B4" w:rsidRDefault="00324184" w:rsidP="00F26568">
            <w:pPr>
              <w:pStyle w:val="TableText"/>
            </w:pPr>
            <w:r w:rsidRPr="003978B4">
              <w:t>Gamete</w:t>
            </w:r>
          </w:p>
        </w:tc>
        <w:tc>
          <w:tcPr>
            <w:tcW w:w="405" w:type="pct"/>
            <w:tcBorders>
              <w:bottom w:val="nil"/>
            </w:tcBorders>
            <w:shd w:val="clear" w:color="auto" w:fill="auto"/>
            <w:tcMar>
              <w:left w:w="85" w:type="dxa"/>
              <w:right w:w="57" w:type="dxa"/>
            </w:tcMar>
          </w:tcPr>
          <w:p w14:paraId="273CD7FE" w14:textId="77777777" w:rsidR="00F26568" w:rsidRPr="003978B4" w:rsidRDefault="00324184" w:rsidP="00F26568">
            <w:pPr>
              <w:pStyle w:val="TableText"/>
            </w:pPr>
            <w:r w:rsidRPr="003978B4">
              <w:t>0.2</w:t>
            </w:r>
          </w:p>
        </w:tc>
        <w:tc>
          <w:tcPr>
            <w:tcW w:w="709" w:type="pct"/>
            <w:tcBorders>
              <w:bottom w:val="nil"/>
            </w:tcBorders>
            <w:shd w:val="clear" w:color="auto" w:fill="auto"/>
            <w:tcMar>
              <w:left w:w="85" w:type="dxa"/>
              <w:right w:w="57" w:type="dxa"/>
            </w:tcMar>
          </w:tcPr>
          <w:p w14:paraId="273CD7FF" w14:textId="77777777" w:rsidR="00F26568" w:rsidRPr="003978B4" w:rsidRDefault="00324184" w:rsidP="004457D8">
            <w:pPr>
              <w:pStyle w:val="TableText"/>
            </w:pPr>
            <w:r w:rsidRPr="003978B4">
              <w:t xml:space="preserve">EC10 </w:t>
            </w:r>
            <w:r w:rsidR="006C4BAD">
              <w:br/>
            </w:r>
            <w:r w:rsidRPr="003978B4">
              <w:t>(Fertilisation)</w:t>
            </w:r>
          </w:p>
        </w:tc>
        <w:tc>
          <w:tcPr>
            <w:tcW w:w="304" w:type="pct"/>
            <w:tcBorders>
              <w:bottom w:val="nil"/>
            </w:tcBorders>
            <w:shd w:val="clear" w:color="auto" w:fill="auto"/>
            <w:tcMar>
              <w:left w:w="85" w:type="dxa"/>
              <w:right w:w="57" w:type="dxa"/>
            </w:tcMar>
          </w:tcPr>
          <w:p w14:paraId="273CD800" w14:textId="77777777" w:rsidR="00F26568" w:rsidRPr="003978B4" w:rsidRDefault="00324184" w:rsidP="00F26568">
            <w:pPr>
              <w:pStyle w:val="TableText"/>
            </w:pPr>
            <w:r>
              <w:t>–</w:t>
            </w:r>
          </w:p>
        </w:tc>
        <w:tc>
          <w:tcPr>
            <w:tcW w:w="304" w:type="pct"/>
            <w:tcBorders>
              <w:bottom w:val="nil"/>
            </w:tcBorders>
            <w:shd w:val="clear" w:color="auto" w:fill="auto"/>
            <w:tcMar>
              <w:left w:w="85" w:type="dxa"/>
              <w:right w:w="57" w:type="dxa"/>
            </w:tcMar>
          </w:tcPr>
          <w:p w14:paraId="273CD801" w14:textId="77777777" w:rsidR="00F26568"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802"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803" w14:textId="77777777" w:rsidR="00F26568" w:rsidRPr="003978B4" w:rsidRDefault="00324184" w:rsidP="00F26568">
            <w:pPr>
              <w:pStyle w:val="TableText"/>
            </w:pPr>
            <w:r w:rsidRPr="003978B4">
              <w:t>1.4</w:t>
            </w:r>
          </w:p>
        </w:tc>
        <w:tc>
          <w:tcPr>
            <w:tcW w:w="621" w:type="pct"/>
            <w:shd w:val="clear" w:color="auto" w:fill="auto"/>
            <w:tcMar>
              <w:left w:w="85" w:type="dxa"/>
              <w:right w:w="57" w:type="dxa"/>
            </w:tcMar>
          </w:tcPr>
          <w:p w14:paraId="273CD804" w14:textId="77777777" w:rsidR="00F26568" w:rsidRPr="003978B4" w:rsidRDefault="00324184" w:rsidP="00F26568">
            <w:pPr>
              <w:pStyle w:val="TableText"/>
              <w:rPr>
                <w:noProof/>
              </w:rPr>
            </w:pPr>
            <w:r w:rsidRPr="003978B4">
              <w:rPr>
                <w:noProof/>
              </w:rPr>
              <w:t>Reichelt-Brushett &amp; Hudspith (2016)</w:t>
            </w:r>
          </w:p>
        </w:tc>
      </w:tr>
      <w:tr w:rsidR="00091AEB" w14:paraId="273CD80A" w14:textId="77777777" w:rsidTr="00375885">
        <w:trPr>
          <w:cantSplit/>
        </w:trPr>
        <w:tc>
          <w:tcPr>
            <w:tcW w:w="506" w:type="pct"/>
            <w:vMerge/>
            <w:shd w:val="clear" w:color="auto" w:fill="auto"/>
            <w:tcMar>
              <w:left w:w="85" w:type="dxa"/>
              <w:right w:w="57" w:type="dxa"/>
            </w:tcMar>
          </w:tcPr>
          <w:p w14:paraId="273CD806"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807"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808" w14:textId="77777777" w:rsidR="00F26568" w:rsidRPr="00275044" w:rsidRDefault="00324184" w:rsidP="00F26568">
            <w:pPr>
              <w:pStyle w:val="TableText"/>
              <w:rPr>
                <w:b/>
                <w:bCs/>
              </w:rPr>
            </w:pPr>
            <w:r w:rsidRPr="00275044">
              <w:rPr>
                <w:b/>
                <w:bCs/>
              </w:rPr>
              <w:t>1.4</w:t>
            </w:r>
          </w:p>
        </w:tc>
        <w:tc>
          <w:tcPr>
            <w:tcW w:w="621" w:type="pct"/>
            <w:shd w:val="clear" w:color="auto" w:fill="auto"/>
            <w:tcMar>
              <w:left w:w="85" w:type="dxa"/>
              <w:right w:w="57" w:type="dxa"/>
            </w:tcMar>
          </w:tcPr>
          <w:p w14:paraId="273CD809" w14:textId="77777777" w:rsidR="00F26568" w:rsidRPr="00275044" w:rsidRDefault="00324184" w:rsidP="00F26568">
            <w:pPr>
              <w:pStyle w:val="TableText"/>
              <w:rPr>
                <w:b/>
                <w:bCs/>
                <w:noProof/>
              </w:rPr>
            </w:pPr>
            <w:r w:rsidRPr="00275044">
              <w:rPr>
                <w:b/>
                <w:bCs/>
                <w:noProof/>
              </w:rPr>
              <w:t>Value used in SSD</w:t>
            </w:r>
          </w:p>
        </w:tc>
      </w:tr>
      <w:tr w:rsidR="00091AEB" w14:paraId="273CD815" w14:textId="77777777" w:rsidTr="00375885">
        <w:trPr>
          <w:cantSplit/>
        </w:trPr>
        <w:tc>
          <w:tcPr>
            <w:tcW w:w="506" w:type="pct"/>
            <w:vMerge/>
            <w:shd w:val="clear" w:color="auto" w:fill="auto"/>
            <w:tcMar>
              <w:left w:w="85" w:type="dxa"/>
              <w:right w:w="57" w:type="dxa"/>
            </w:tcMar>
          </w:tcPr>
          <w:p w14:paraId="273CD80B" w14:textId="77777777" w:rsidR="00F26568" w:rsidRPr="003978B4" w:rsidRDefault="00F26568" w:rsidP="00F26568">
            <w:pPr>
              <w:pStyle w:val="TableText"/>
            </w:pPr>
          </w:p>
        </w:tc>
        <w:tc>
          <w:tcPr>
            <w:tcW w:w="709" w:type="pct"/>
            <w:vMerge w:val="restart"/>
            <w:shd w:val="clear" w:color="auto" w:fill="auto"/>
            <w:tcMar>
              <w:left w:w="85" w:type="dxa"/>
              <w:right w:w="57" w:type="dxa"/>
            </w:tcMar>
          </w:tcPr>
          <w:p w14:paraId="273CD80C" w14:textId="77777777" w:rsidR="00F26568" w:rsidRPr="00254919" w:rsidRDefault="00324184" w:rsidP="00F26568">
            <w:pPr>
              <w:pStyle w:val="TableText"/>
            </w:pPr>
            <w:r w:rsidRPr="00A616D8">
              <w:rPr>
                <w:rStyle w:val="Emphasis"/>
              </w:rPr>
              <w:t>Exaiptasia diaphana</w:t>
            </w:r>
            <w:r w:rsidRPr="00254919">
              <w:t xml:space="preserve"> </w:t>
            </w:r>
            <w:r w:rsidRPr="00817DD5">
              <w:rPr>
                <w:rStyle w:val="Strong"/>
                <w:vertAlign w:val="superscript"/>
              </w:rPr>
              <w:t>e</w:t>
            </w:r>
          </w:p>
        </w:tc>
        <w:tc>
          <w:tcPr>
            <w:tcW w:w="607" w:type="pct"/>
            <w:shd w:val="clear" w:color="auto" w:fill="auto"/>
            <w:tcMar>
              <w:left w:w="85" w:type="dxa"/>
              <w:right w:w="57" w:type="dxa"/>
            </w:tcMar>
          </w:tcPr>
          <w:p w14:paraId="273CD80D" w14:textId="77777777" w:rsidR="00F26568" w:rsidRPr="003978B4" w:rsidRDefault="00324184" w:rsidP="00F26568">
            <w:pPr>
              <w:pStyle w:val="TableText"/>
            </w:pPr>
            <w:r w:rsidRPr="003978B4">
              <w:t>Adult</w:t>
            </w:r>
          </w:p>
        </w:tc>
        <w:tc>
          <w:tcPr>
            <w:tcW w:w="405" w:type="pct"/>
            <w:shd w:val="clear" w:color="auto" w:fill="auto"/>
            <w:tcMar>
              <w:left w:w="85" w:type="dxa"/>
              <w:right w:w="57" w:type="dxa"/>
            </w:tcMar>
          </w:tcPr>
          <w:p w14:paraId="273CD80E" w14:textId="77777777" w:rsidR="00F26568" w:rsidRPr="003978B4" w:rsidRDefault="00324184" w:rsidP="00F26568">
            <w:pPr>
              <w:pStyle w:val="TableText"/>
            </w:pPr>
            <w:r w:rsidRPr="003978B4">
              <w:t>28</w:t>
            </w:r>
          </w:p>
        </w:tc>
        <w:tc>
          <w:tcPr>
            <w:tcW w:w="709" w:type="pct"/>
            <w:shd w:val="clear" w:color="auto" w:fill="auto"/>
            <w:tcMar>
              <w:left w:w="85" w:type="dxa"/>
              <w:right w:w="57" w:type="dxa"/>
            </w:tcMar>
          </w:tcPr>
          <w:p w14:paraId="273CD80F" w14:textId="77777777" w:rsidR="00F26568" w:rsidRPr="003978B4" w:rsidRDefault="00324184" w:rsidP="004457D8">
            <w:pPr>
              <w:pStyle w:val="TableText"/>
            </w:pPr>
            <w:r w:rsidRPr="003978B4">
              <w:t>EC10</w:t>
            </w:r>
            <w:r>
              <w:t xml:space="preserve"> </w:t>
            </w:r>
            <w:r w:rsidR="006C4BAD">
              <w:br/>
            </w:r>
            <w:r w:rsidRPr="003978B4">
              <w:t>(Progeny: offspring)</w:t>
            </w:r>
          </w:p>
        </w:tc>
        <w:tc>
          <w:tcPr>
            <w:tcW w:w="304" w:type="pct"/>
            <w:shd w:val="clear" w:color="auto" w:fill="auto"/>
            <w:tcMar>
              <w:left w:w="85" w:type="dxa"/>
              <w:right w:w="57" w:type="dxa"/>
            </w:tcMar>
          </w:tcPr>
          <w:p w14:paraId="273CD810" w14:textId="77777777" w:rsidR="00F26568" w:rsidRPr="003978B4" w:rsidRDefault="00324184" w:rsidP="00F26568">
            <w:pPr>
              <w:pStyle w:val="TableText"/>
            </w:pPr>
            <w:r>
              <w:t>–</w:t>
            </w:r>
          </w:p>
        </w:tc>
        <w:tc>
          <w:tcPr>
            <w:tcW w:w="304" w:type="pct"/>
            <w:shd w:val="clear" w:color="auto" w:fill="auto"/>
            <w:tcMar>
              <w:left w:w="85" w:type="dxa"/>
              <w:right w:w="57" w:type="dxa"/>
            </w:tcMar>
          </w:tcPr>
          <w:p w14:paraId="273CD811" w14:textId="77777777" w:rsidR="00F26568" w:rsidRPr="003978B4" w:rsidRDefault="00324184" w:rsidP="00F26568">
            <w:pPr>
              <w:pStyle w:val="TableText"/>
            </w:pPr>
            <w:r>
              <w:t>–</w:t>
            </w:r>
          </w:p>
        </w:tc>
        <w:tc>
          <w:tcPr>
            <w:tcW w:w="405" w:type="pct"/>
            <w:shd w:val="clear" w:color="auto" w:fill="auto"/>
            <w:tcMar>
              <w:left w:w="85" w:type="dxa"/>
              <w:right w:w="57" w:type="dxa"/>
            </w:tcMar>
          </w:tcPr>
          <w:p w14:paraId="273CD812" w14:textId="77777777" w:rsidR="00F26568" w:rsidRPr="003978B4" w:rsidRDefault="00324184" w:rsidP="00F26568">
            <w:pPr>
              <w:pStyle w:val="TableText"/>
            </w:pPr>
            <w:r w:rsidRPr="003978B4">
              <w:t>25</w:t>
            </w:r>
          </w:p>
        </w:tc>
        <w:tc>
          <w:tcPr>
            <w:tcW w:w="430" w:type="pct"/>
            <w:shd w:val="clear" w:color="auto" w:fill="auto"/>
            <w:tcMar>
              <w:left w:w="85" w:type="dxa"/>
              <w:right w:w="57" w:type="dxa"/>
            </w:tcMar>
          </w:tcPr>
          <w:p w14:paraId="273CD813" w14:textId="77777777" w:rsidR="00F26568" w:rsidRPr="003978B4" w:rsidRDefault="00324184" w:rsidP="00F26568">
            <w:pPr>
              <w:pStyle w:val="TableText"/>
            </w:pPr>
            <w:r w:rsidRPr="003978B4">
              <w:t>12</w:t>
            </w:r>
          </w:p>
        </w:tc>
        <w:tc>
          <w:tcPr>
            <w:tcW w:w="621" w:type="pct"/>
            <w:shd w:val="clear" w:color="auto" w:fill="auto"/>
            <w:tcMar>
              <w:left w:w="85" w:type="dxa"/>
              <w:right w:w="57" w:type="dxa"/>
            </w:tcMar>
          </w:tcPr>
          <w:p w14:paraId="273CD814" w14:textId="77777777" w:rsidR="00F26568" w:rsidRPr="003978B4" w:rsidRDefault="00324184" w:rsidP="00F26568">
            <w:pPr>
              <w:pStyle w:val="TableText"/>
            </w:pPr>
            <w:r w:rsidRPr="003978B4">
              <w:rPr>
                <w:noProof/>
              </w:rPr>
              <w:t>Howe et al. (2014)</w:t>
            </w:r>
          </w:p>
        </w:tc>
      </w:tr>
      <w:tr w:rsidR="00091AEB" w14:paraId="273CD820" w14:textId="77777777" w:rsidTr="00375885">
        <w:trPr>
          <w:cantSplit/>
        </w:trPr>
        <w:tc>
          <w:tcPr>
            <w:tcW w:w="506" w:type="pct"/>
            <w:vMerge/>
            <w:shd w:val="clear" w:color="auto" w:fill="auto"/>
            <w:tcMar>
              <w:left w:w="85" w:type="dxa"/>
              <w:right w:w="57" w:type="dxa"/>
            </w:tcMar>
          </w:tcPr>
          <w:p w14:paraId="273CD816" w14:textId="77777777" w:rsidR="00F26568" w:rsidRPr="003978B4" w:rsidRDefault="00F26568" w:rsidP="00F26568">
            <w:pPr>
              <w:pStyle w:val="TableText"/>
            </w:pPr>
          </w:p>
        </w:tc>
        <w:tc>
          <w:tcPr>
            <w:tcW w:w="709" w:type="pct"/>
            <w:vMerge/>
            <w:shd w:val="clear" w:color="auto" w:fill="auto"/>
            <w:tcMar>
              <w:left w:w="85" w:type="dxa"/>
              <w:right w:w="57" w:type="dxa"/>
            </w:tcMar>
          </w:tcPr>
          <w:p w14:paraId="273CD817" w14:textId="77777777" w:rsidR="00F26568" w:rsidRPr="00254919" w:rsidRDefault="00F26568" w:rsidP="00F26568">
            <w:pPr>
              <w:pStyle w:val="TableText"/>
            </w:pPr>
          </w:p>
        </w:tc>
        <w:tc>
          <w:tcPr>
            <w:tcW w:w="607" w:type="pct"/>
            <w:shd w:val="clear" w:color="auto" w:fill="auto"/>
            <w:tcMar>
              <w:left w:w="85" w:type="dxa"/>
              <w:right w:w="57" w:type="dxa"/>
            </w:tcMar>
          </w:tcPr>
          <w:p w14:paraId="273CD818" w14:textId="77777777" w:rsidR="00F26568" w:rsidRPr="003978B4" w:rsidRDefault="00324184" w:rsidP="00F26568">
            <w:pPr>
              <w:pStyle w:val="TableText"/>
            </w:pPr>
            <w:r w:rsidRPr="003978B4">
              <w:t>Adult</w:t>
            </w:r>
          </w:p>
        </w:tc>
        <w:tc>
          <w:tcPr>
            <w:tcW w:w="405" w:type="pct"/>
            <w:shd w:val="clear" w:color="auto" w:fill="auto"/>
            <w:tcMar>
              <w:left w:w="85" w:type="dxa"/>
              <w:right w:w="57" w:type="dxa"/>
            </w:tcMar>
          </w:tcPr>
          <w:p w14:paraId="273CD819" w14:textId="77777777" w:rsidR="00F26568" w:rsidRPr="003978B4" w:rsidRDefault="00324184" w:rsidP="00F26568">
            <w:pPr>
              <w:pStyle w:val="TableText"/>
            </w:pPr>
            <w:r w:rsidRPr="003978B4">
              <w:t>28</w:t>
            </w:r>
          </w:p>
        </w:tc>
        <w:tc>
          <w:tcPr>
            <w:tcW w:w="709" w:type="pct"/>
            <w:shd w:val="clear" w:color="auto" w:fill="auto"/>
            <w:tcMar>
              <w:left w:w="85" w:type="dxa"/>
              <w:right w:w="57" w:type="dxa"/>
            </w:tcMar>
          </w:tcPr>
          <w:p w14:paraId="273CD81A" w14:textId="77777777" w:rsidR="00F26568" w:rsidRPr="003978B4" w:rsidRDefault="00324184" w:rsidP="004457D8">
            <w:pPr>
              <w:pStyle w:val="TableText"/>
            </w:pPr>
            <w:r w:rsidRPr="003978B4">
              <w:t>EC10</w:t>
            </w:r>
            <w:r>
              <w:t xml:space="preserve"> </w:t>
            </w:r>
            <w:r w:rsidR="006C4BAD">
              <w:br/>
            </w:r>
            <w:r w:rsidRPr="003978B4">
              <w:t>(Progeny: juveniles)</w:t>
            </w:r>
          </w:p>
        </w:tc>
        <w:tc>
          <w:tcPr>
            <w:tcW w:w="304" w:type="pct"/>
            <w:shd w:val="clear" w:color="auto" w:fill="auto"/>
            <w:tcMar>
              <w:left w:w="85" w:type="dxa"/>
              <w:right w:w="57" w:type="dxa"/>
            </w:tcMar>
          </w:tcPr>
          <w:p w14:paraId="273CD81B" w14:textId="77777777" w:rsidR="00F26568" w:rsidRPr="003978B4" w:rsidRDefault="00324184" w:rsidP="00F26568">
            <w:pPr>
              <w:pStyle w:val="TableText"/>
            </w:pPr>
            <w:r>
              <w:t>–</w:t>
            </w:r>
          </w:p>
        </w:tc>
        <w:tc>
          <w:tcPr>
            <w:tcW w:w="304" w:type="pct"/>
            <w:shd w:val="clear" w:color="auto" w:fill="auto"/>
            <w:tcMar>
              <w:left w:w="85" w:type="dxa"/>
              <w:right w:w="57" w:type="dxa"/>
            </w:tcMar>
          </w:tcPr>
          <w:p w14:paraId="273CD81C" w14:textId="77777777" w:rsidR="00F26568" w:rsidRPr="003978B4" w:rsidRDefault="00324184" w:rsidP="00F26568">
            <w:pPr>
              <w:pStyle w:val="TableText"/>
            </w:pPr>
            <w:r>
              <w:t>–</w:t>
            </w:r>
          </w:p>
        </w:tc>
        <w:tc>
          <w:tcPr>
            <w:tcW w:w="405" w:type="pct"/>
            <w:shd w:val="clear" w:color="auto" w:fill="auto"/>
            <w:tcMar>
              <w:left w:w="85" w:type="dxa"/>
              <w:right w:w="57" w:type="dxa"/>
            </w:tcMar>
          </w:tcPr>
          <w:p w14:paraId="273CD81D" w14:textId="77777777" w:rsidR="00F26568" w:rsidRPr="003978B4" w:rsidRDefault="00324184" w:rsidP="00F26568">
            <w:pPr>
              <w:pStyle w:val="TableText"/>
            </w:pPr>
            <w:r w:rsidRPr="003978B4">
              <w:t>25</w:t>
            </w:r>
          </w:p>
        </w:tc>
        <w:tc>
          <w:tcPr>
            <w:tcW w:w="430" w:type="pct"/>
            <w:shd w:val="clear" w:color="auto" w:fill="auto"/>
            <w:tcMar>
              <w:left w:w="85" w:type="dxa"/>
              <w:right w:w="57" w:type="dxa"/>
            </w:tcMar>
          </w:tcPr>
          <w:p w14:paraId="273CD81E" w14:textId="77777777" w:rsidR="00F26568" w:rsidRPr="003978B4" w:rsidRDefault="00324184" w:rsidP="00F26568">
            <w:pPr>
              <w:pStyle w:val="TableText"/>
            </w:pPr>
            <w:r w:rsidRPr="003978B4">
              <w:t>8</w:t>
            </w:r>
          </w:p>
        </w:tc>
        <w:tc>
          <w:tcPr>
            <w:tcW w:w="621" w:type="pct"/>
            <w:shd w:val="clear" w:color="auto" w:fill="auto"/>
            <w:tcMar>
              <w:left w:w="85" w:type="dxa"/>
              <w:right w:w="57" w:type="dxa"/>
            </w:tcMar>
          </w:tcPr>
          <w:p w14:paraId="273CD81F" w14:textId="77777777" w:rsidR="00F26568" w:rsidRPr="003978B4" w:rsidRDefault="00324184" w:rsidP="00F26568">
            <w:pPr>
              <w:pStyle w:val="TableText"/>
            </w:pPr>
            <w:r w:rsidRPr="003978B4">
              <w:rPr>
                <w:noProof/>
              </w:rPr>
              <w:t>Howe et al. (2014)</w:t>
            </w:r>
          </w:p>
        </w:tc>
      </w:tr>
      <w:tr w:rsidR="00091AEB" w14:paraId="273CD82B" w14:textId="77777777" w:rsidTr="00375885">
        <w:trPr>
          <w:cantSplit/>
        </w:trPr>
        <w:tc>
          <w:tcPr>
            <w:tcW w:w="506" w:type="pct"/>
            <w:vMerge/>
            <w:shd w:val="clear" w:color="auto" w:fill="auto"/>
            <w:tcMar>
              <w:left w:w="85" w:type="dxa"/>
              <w:right w:w="57" w:type="dxa"/>
            </w:tcMar>
          </w:tcPr>
          <w:p w14:paraId="273CD821" w14:textId="77777777" w:rsidR="00F26568" w:rsidRPr="003978B4" w:rsidRDefault="00F26568" w:rsidP="00F26568">
            <w:pPr>
              <w:pStyle w:val="TableText"/>
            </w:pPr>
          </w:p>
        </w:tc>
        <w:tc>
          <w:tcPr>
            <w:tcW w:w="709" w:type="pct"/>
            <w:vMerge/>
            <w:shd w:val="clear" w:color="auto" w:fill="auto"/>
            <w:tcMar>
              <w:left w:w="85" w:type="dxa"/>
              <w:right w:w="57" w:type="dxa"/>
            </w:tcMar>
          </w:tcPr>
          <w:p w14:paraId="273CD822" w14:textId="77777777" w:rsidR="00F26568" w:rsidRPr="00254919" w:rsidRDefault="00F26568" w:rsidP="00F26568">
            <w:pPr>
              <w:pStyle w:val="TableText"/>
            </w:pPr>
          </w:p>
        </w:tc>
        <w:tc>
          <w:tcPr>
            <w:tcW w:w="607" w:type="pct"/>
            <w:shd w:val="clear" w:color="auto" w:fill="auto"/>
            <w:tcMar>
              <w:left w:w="85" w:type="dxa"/>
              <w:right w:w="57" w:type="dxa"/>
            </w:tcMar>
          </w:tcPr>
          <w:p w14:paraId="273CD823" w14:textId="77777777" w:rsidR="00F26568" w:rsidRPr="003978B4" w:rsidRDefault="00324184" w:rsidP="00F26568">
            <w:pPr>
              <w:pStyle w:val="TableText"/>
            </w:pPr>
            <w:r w:rsidRPr="003978B4">
              <w:t>Adult</w:t>
            </w:r>
          </w:p>
        </w:tc>
        <w:tc>
          <w:tcPr>
            <w:tcW w:w="405" w:type="pct"/>
            <w:shd w:val="clear" w:color="auto" w:fill="auto"/>
            <w:tcMar>
              <w:left w:w="85" w:type="dxa"/>
              <w:right w:w="57" w:type="dxa"/>
            </w:tcMar>
          </w:tcPr>
          <w:p w14:paraId="273CD824" w14:textId="77777777" w:rsidR="00F26568" w:rsidRPr="003978B4" w:rsidRDefault="00324184" w:rsidP="00F26568">
            <w:pPr>
              <w:pStyle w:val="TableText"/>
            </w:pPr>
            <w:r w:rsidRPr="003978B4">
              <w:t>14</w:t>
            </w:r>
          </w:p>
        </w:tc>
        <w:tc>
          <w:tcPr>
            <w:tcW w:w="709" w:type="pct"/>
            <w:shd w:val="clear" w:color="auto" w:fill="auto"/>
            <w:tcMar>
              <w:left w:w="85" w:type="dxa"/>
              <w:right w:w="57" w:type="dxa"/>
            </w:tcMar>
          </w:tcPr>
          <w:p w14:paraId="273CD825" w14:textId="77777777" w:rsidR="00F26568" w:rsidRPr="003978B4" w:rsidRDefault="00324184" w:rsidP="004457D8">
            <w:pPr>
              <w:pStyle w:val="TableText"/>
            </w:pPr>
            <w:r w:rsidRPr="003978B4">
              <w:t>EC10</w:t>
            </w:r>
            <w:r>
              <w:t xml:space="preserve"> </w:t>
            </w:r>
            <w:r w:rsidR="006C4BAD">
              <w:br/>
            </w:r>
            <w:r w:rsidRPr="003978B4">
              <w:t>(Reproduction rate)</w:t>
            </w:r>
          </w:p>
        </w:tc>
        <w:tc>
          <w:tcPr>
            <w:tcW w:w="304" w:type="pct"/>
            <w:shd w:val="clear" w:color="auto" w:fill="auto"/>
            <w:tcMar>
              <w:left w:w="85" w:type="dxa"/>
              <w:right w:w="57" w:type="dxa"/>
            </w:tcMar>
          </w:tcPr>
          <w:p w14:paraId="273CD826" w14:textId="77777777" w:rsidR="00F26568" w:rsidRPr="003978B4" w:rsidRDefault="00324184" w:rsidP="00F26568">
            <w:pPr>
              <w:pStyle w:val="TableText"/>
            </w:pPr>
            <w:r w:rsidRPr="003978B4">
              <w:t>36</w:t>
            </w:r>
          </w:p>
        </w:tc>
        <w:tc>
          <w:tcPr>
            <w:tcW w:w="304" w:type="pct"/>
            <w:shd w:val="clear" w:color="auto" w:fill="auto"/>
            <w:tcMar>
              <w:left w:w="85" w:type="dxa"/>
              <w:right w:w="57" w:type="dxa"/>
            </w:tcMar>
          </w:tcPr>
          <w:p w14:paraId="273CD827" w14:textId="77777777" w:rsidR="00F26568" w:rsidRPr="003978B4" w:rsidRDefault="00324184" w:rsidP="00F26568">
            <w:pPr>
              <w:pStyle w:val="TableText"/>
            </w:pPr>
            <w:r w:rsidRPr="003978B4">
              <w:t>1.1</w:t>
            </w:r>
          </w:p>
        </w:tc>
        <w:tc>
          <w:tcPr>
            <w:tcW w:w="405" w:type="pct"/>
            <w:shd w:val="clear" w:color="auto" w:fill="auto"/>
            <w:tcMar>
              <w:left w:w="85" w:type="dxa"/>
              <w:right w:w="57" w:type="dxa"/>
            </w:tcMar>
          </w:tcPr>
          <w:p w14:paraId="273CD828" w14:textId="77777777" w:rsidR="00F26568" w:rsidRPr="003978B4" w:rsidRDefault="00324184" w:rsidP="00F26568">
            <w:pPr>
              <w:pStyle w:val="TableText"/>
            </w:pPr>
            <w:r w:rsidRPr="003978B4">
              <w:t>24</w:t>
            </w:r>
          </w:p>
        </w:tc>
        <w:tc>
          <w:tcPr>
            <w:tcW w:w="430" w:type="pct"/>
            <w:shd w:val="clear" w:color="auto" w:fill="auto"/>
            <w:tcMar>
              <w:left w:w="85" w:type="dxa"/>
              <w:right w:w="57" w:type="dxa"/>
            </w:tcMar>
          </w:tcPr>
          <w:p w14:paraId="273CD829" w14:textId="77777777" w:rsidR="00F26568" w:rsidRPr="003978B4" w:rsidRDefault="00324184" w:rsidP="00F26568">
            <w:pPr>
              <w:pStyle w:val="TableText"/>
            </w:pPr>
            <w:r w:rsidRPr="003978B4">
              <w:t>12</w:t>
            </w:r>
          </w:p>
        </w:tc>
        <w:tc>
          <w:tcPr>
            <w:tcW w:w="621" w:type="pct"/>
            <w:shd w:val="clear" w:color="auto" w:fill="auto"/>
            <w:tcMar>
              <w:left w:w="85" w:type="dxa"/>
              <w:right w:w="57" w:type="dxa"/>
            </w:tcMar>
          </w:tcPr>
          <w:p w14:paraId="273CD82A" w14:textId="77777777" w:rsidR="00F26568" w:rsidRPr="003978B4" w:rsidRDefault="00324184" w:rsidP="00F26568">
            <w:pPr>
              <w:pStyle w:val="TableText"/>
            </w:pPr>
            <w:r w:rsidRPr="003978B4">
              <w:rPr>
                <w:noProof/>
              </w:rPr>
              <w:t>Trenfield et al. (2017)</w:t>
            </w:r>
          </w:p>
        </w:tc>
      </w:tr>
      <w:tr w:rsidR="00091AEB" w14:paraId="273CD836" w14:textId="77777777" w:rsidTr="00375885">
        <w:trPr>
          <w:cantSplit/>
        </w:trPr>
        <w:tc>
          <w:tcPr>
            <w:tcW w:w="506" w:type="pct"/>
            <w:vMerge/>
            <w:shd w:val="clear" w:color="auto" w:fill="auto"/>
            <w:tcMar>
              <w:left w:w="85" w:type="dxa"/>
              <w:right w:w="57" w:type="dxa"/>
            </w:tcMar>
          </w:tcPr>
          <w:p w14:paraId="273CD82C" w14:textId="77777777" w:rsidR="00F26568" w:rsidRPr="003978B4" w:rsidRDefault="00F26568" w:rsidP="00F26568">
            <w:pPr>
              <w:pStyle w:val="TableText"/>
            </w:pPr>
          </w:p>
        </w:tc>
        <w:tc>
          <w:tcPr>
            <w:tcW w:w="709" w:type="pct"/>
            <w:vMerge/>
            <w:shd w:val="clear" w:color="auto" w:fill="auto"/>
            <w:tcMar>
              <w:left w:w="85" w:type="dxa"/>
              <w:right w:w="57" w:type="dxa"/>
            </w:tcMar>
          </w:tcPr>
          <w:p w14:paraId="273CD82D" w14:textId="77777777" w:rsidR="00F26568" w:rsidRPr="00254919" w:rsidRDefault="00F26568" w:rsidP="00F26568">
            <w:pPr>
              <w:pStyle w:val="TableText"/>
            </w:pPr>
          </w:p>
        </w:tc>
        <w:tc>
          <w:tcPr>
            <w:tcW w:w="607" w:type="pct"/>
            <w:shd w:val="clear" w:color="auto" w:fill="auto"/>
            <w:tcMar>
              <w:left w:w="85" w:type="dxa"/>
              <w:right w:w="57" w:type="dxa"/>
            </w:tcMar>
          </w:tcPr>
          <w:p w14:paraId="273CD82E" w14:textId="77777777" w:rsidR="00F26568" w:rsidRPr="003978B4" w:rsidRDefault="00324184" w:rsidP="00F26568">
            <w:pPr>
              <w:pStyle w:val="TableText"/>
            </w:pPr>
            <w:r w:rsidRPr="003978B4">
              <w:t>Adult</w:t>
            </w:r>
          </w:p>
        </w:tc>
        <w:tc>
          <w:tcPr>
            <w:tcW w:w="405" w:type="pct"/>
            <w:shd w:val="clear" w:color="auto" w:fill="auto"/>
            <w:tcMar>
              <w:left w:w="85" w:type="dxa"/>
              <w:right w:w="57" w:type="dxa"/>
            </w:tcMar>
          </w:tcPr>
          <w:p w14:paraId="273CD82F" w14:textId="77777777" w:rsidR="00F26568" w:rsidRPr="003978B4" w:rsidRDefault="00324184" w:rsidP="00F26568">
            <w:pPr>
              <w:pStyle w:val="TableText"/>
            </w:pPr>
            <w:r w:rsidRPr="003978B4">
              <w:t>14</w:t>
            </w:r>
          </w:p>
        </w:tc>
        <w:tc>
          <w:tcPr>
            <w:tcW w:w="709" w:type="pct"/>
            <w:shd w:val="clear" w:color="auto" w:fill="auto"/>
            <w:tcMar>
              <w:left w:w="85" w:type="dxa"/>
              <w:right w:w="57" w:type="dxa"/>
            </w:tcMar>
          </w:tcPr>
          <w:p w14:paraId="273CD830" w14:textId="77777777" w:rsidR="00F26568" w:rsidRPr="003978B4" w:rsidRDefault="00324184" w:rsidP="004457D8">
            <w:pPr>
              <w:pStyle w:val="TableText"/>
            </w:pPr>
            <w:r w:rsidRPr="003978B4">
              <w:t>EC10</w:t>
            </w:r>
            <w:r>
              <w:t xml:space="preserve"> </w:t>
            </w:r>
            <w:r w:rsidR="006C4BAD">
              <w:br/>
            </w:r>
            <w:r w:rsidRPr="003978B4">
              <w:t>(Reproduction rate)</w:t>
            </w:r>
          </w:p>
        </w:tc>
        <w:tc>
          <w:tcPr>
            <w:tcW w:w="304" w:type="pct"/>
            <w:shd w:val="clear" w:color="auto" w:fill="auto"/>
            <w:tcMar>
              <w:left w:w="85" w:type="dxa"/>
              <w:right w:w="57" w:type="dxa"/>
            </w:tcMar>
          </w:tcPr>
          <w:p w14:paraId="273CD831" w14:textId="77777777" w:rsidR="00F26568" w:rsidRPr="003978B4" w:rsidRDefault="00324184" w:rsidP="00F26568">
            <w:pPr>
              <w:pStyle w:val="TableText"/>
            </w:pPr>
            <w:r w:rsidRPr="003978B4">
              <w:t>36</w:t>
            </w:r>
          </w:p>
        </w:tc>
        <w:tc>
          <w:tcPr>
            <w:tcW w:w="304" w:type="pct"/>
            <w:shd w:val="clear" w:color="auto" w:fill="auto"/>
            <w:tcMar>
              <w:left w:w="85" w:type="dxa"/>
              <w:right w:w="57" w:type="dxa"/>
            </w:tcMar>
          </w:tcPr>
          <w:p w14:paraId="273CD832" w14:textId="77777777" w:rsidR="00F26568" w:rsidRPr="003978B4" w:rsidRDefault="00324184" w:rsidP="00F26568">
            <w:pPr>
              <w:pStyle w:val="TableText"/>
            </w:pPr>
            <w:r w:rsidRPr="003978B4">
              <w:t>1.1</w:t>
            </w:r>
          </w:p>
        </w:tc>
        <w:tc>
          <w:tcPr>
            <w:tcW w:w="405" w:type="pct"/>
            <w:shd w:val="clear" w:color="auto" w:fill="auto"/>
            <w:tcMar>
              <w:left w:w="85" w:type="dxa"/>
              <w:right w:w="57" w:type="dxa"/>
            </w:tcMar>
          </w:tcPr>
          <w:p w14:paraId="273CD833" w14:textId="77777777" w:rsidR="00F26568" w:rsidRPr="003978B4" w:rsidRDefault="00324184" w:rsidP="00F26568">
            <w:pPr>
              <w:pStyle w:val="TableText"/>
            </w:pPr>
            <w:r w:rsidRPr="003978B4">
              <w:t>28</w:t>
            </w:r>
          </w:p>
        </w:tc>
        <w:tc>
          <w:tcPr>
            <w:tcW w:w="430" w:type="pct"/>
            <w:shd w:val="clear" w:color="auto" w:fill="auto"/>
            <w:tcMar>
              <w:left w:w="85" w:type="dxa"/>
              <w:right w:w="57" w:type="dxa"/>
            </w:tcMar>
          </w:tcPr>
          <w:p w14:paraId="273CD834" w14:textId="77777777" w:rsidR="00F26568" w:rsidRPr="003978B4" w:rsidRDefault="00324184" w:rsidP="00F26568">
            <w:pPr>
              <w:pStyle w:val="TableText"/>
            </w:pPr>
            <w:r w:rsidRPr="003978B4">
              <w:t>8.8</w:t>
            </w:r>
          </w:p>
        </w:tc>
        <w:tc>
          <w:tcPr>
            <w:tcW w:w="621" w:type="pct"/>
            <w:shd w:val="clear" w:color="auto" w:fill="auto"/>
            <w:tcMar>
              <w:left w:w="85" w:type="dxa"/>
              <w:right w:w="57" w:type="dxa"/>
            </w:tcMar>
          </w:tcPr>
          <w:p w14:paraId="273CD835" w14:textId="77777777" w:rsidR="00F26568" w:rsidRPr="003978B4" w:rsidRDefault="00324184" w:rsidP="00F26568">
            <w:pPr>
              <w:pStyle w:val="TableText"/>
            </w:pPr>
            <w:r w:rsidRPr="003978B4">
              <w:rPr>
                <w:noProof/>
              </w:rPr>
              <w:t>Trenfield et al. (2017)</w:t>
            </w:r>
          </w:p>
        </w:tc>
      </w:tr>
      <w:tr w:rsidR="00091AEB" w14:paraId="273CD841" w14:textId="77777777" w:rsidTr="00375885">
        <w:trPr>
          <w:cantSplit/>
        </w:trPr>
        <w:tc>
          <w:tcPr>
            <w:tcW w:w="506" w:type="pct"/>
            <w:vMerge/>
            <w:shd w:val="clear" w:color="auto" w:fill="auto"/>
            <w:tcMar>
              <w:left w:w="85" w:type="dxa"/>
              <w:right w:w="57" w:type="dxa"/>
            </w:tcMar>
          </w:tcPr>
          <w:p w14:paraId="273CD837" w14:textId="77777777" w:rsidR="00F26568" w:rsidRPr="003978B4" w:rsidRDefault="00F26568" w:rsidP="00F26568">
            <w:pPr>
              <w:pStyle w:val="TableText"/>
            </w:pPr>
          </w:p>
        </w:tc>
        <w:tc>
          <w:tcPr>
            <w:tcW w:w="709" w:type="pct"/>
            <w:vMerge/>
            <w:tcBorders>
              <w:bottom w:val="nil"/>
            </w:tcBorders>
            <w:shd w:val="clear" w:color="auto" w:fill="auto"/>
            <w:tcMar>
              <w:left w:w="85" w:type="dxa"/>
              <w:right w:w="57" w:type="dxa"/>
            </w:tcMar>
          </w:tcPr>
          <w:p w14:paraId="273CD838" w14:textId="77777777" w:rsidR="00F26568" w:rsidRPr="00254919" w:rsidRDefault="00F26568" w:rsidP="00F26568">
            <w:pPr>
              <w:pStyle w:val="TableText"/>
            </w:pPr>
          </w:p>
        </w:tc>
        <w:tc>
          <w:tcPr>
            <w:tcW w:w="607" w:type="pct"/>
            <w:tcBorders>
              <w:bottom w:val="nil"/>
            </w:tcBorders>
            <w:shd w:val="clear" w:color="auto" w:fill="auto"/>
            <w:tcMar>
              <w:left w:w="85" w:type="dxa"/>
              <w:right w:w="57" w:type="dxa"/>
            </w:tcMar>
          </w:tcPr>
          <w:p w14:paraId="273CD839" w14:textId="77777777" w:rsidR="00F26568" w:rsidRPr="003978B4" w:rsidRDefault="00324184" w:rsidP="00F26568">
            <w:pPr>
              <w:pStyle w:val="TableText"/>
            </w:pPr>
            <w:r w:rsidRPr="003978B4">
              <w:t>Adult</w:t>
            </w:r>
          </w:p>
        </w:tc>
        <w:tc>
          <w:tcPr>
            <w:tcW w:w="405" w:type="pct"/>
            <w:tcBorders>
              <w:bottom w:val="nil"/>
            </w:tcBorders>
            <w:shd w:val="clear" w:color="auto" w:fill="auto"/>
            <w:tcMar>
              <w:left w:w="85" w:type="dxa"/>
              <w:right w:w="57" w:type="dxa"/>
            </w:tcMar>
          </w:tcPr>
          <w:p w14:paraId="273CD83A" w14:textId="77777777" w:rsidR="00F26568" w:rsidRPr="003978B4" w:rsidRDefault="00324184" w:rsidP="00F26568">
            <w:pPr>
              <w:pStyle w:val="TableText"/>
            </w:pPr>
            <w:r w:rsidRPr="003978B4">
              <w:t>14</w:t>
            </w:r>
          </w:p>
        </w:tc>
        <w:tc>
          <w:tcPr>
            <w:tcW w:w="709" w:type="pct"/>
            <w:tcBorders>
              <w:bottom w:val="nil"/>
            </w:tcBorders>
            <w:shd w:val="clear" w:color="auto" w:fill="auto"/>
            <w:tcMar>
              <w:left w:w="85" w:type="dxa"/>
              <w:right w:w="57" w:type="dxa"/>
            </w:tcMar>
          </w:tcPr>
          <w:p w14:paraId="273CD83B" w14:textId="77777777" w:rsidR="00F26568" w:rsidRPr="003978B4" w:rsidRDefault="00324184" w:rsidP="004457D8">
            <w:pPr>
              <w:pStyle w:val="TableText"/>
            </w:pPr>
            <w:r w:rsidRPr="003978B4">
              <w:t>EC10</w:t>
            </w:r>
            <w:r>
              <w:t xml:space="preserve"> </w:t>
            </w:r>
            <w:r w:rsidR="006C4BAD">
              <w:br/>
            </w:r>
            <w:r w:rsidRPr="003978B4">
              <w:t>(Reproduction rate)</w:t>
            </w:r>
          </w:p>
        </w:tc>
        <w:tc>
          <w:tcPr>
            <w:tcW w:w="304" w:type="pct"/>
            <w:tcBorders>
              <w:bottom w:val="nil"/>
            </w:tcBorders>
            <w:shd w:val="clear" w:color="auto" w:fill="auto"/>
            <w:tcMar>
              <w:left w:w="85" w:type="dxa"/>
              <w:right w:w="57" w:type="dxa"/>
            </w:tcMar>
          </w:tcPr>
          <w:p w14:paraId="273CD83C" w14:textId="77777777" w:rsidR="00F26568" w:rsidRPr="003978B4" w:rsidRDefault="00324184" w:rsidP="00F26568">
            <w:pPr>
              <w:pStyle w:val="TableText"/>
            </w:pPr>
            <w:r w:rsidRPr="003978B4">
              <w:t>36</w:t>
            </w:r>
          </w:p>
        </w:tc>
        <w:tc>
          <w:tcPr>
            <w:tcW w:w="304" w:type="pct"/>
            <w:tcBorders>
              <w:bottom w:val="nil"/>
            </w:tcBorders>
            <w:shd w:val="clear" w:color="auto" w:fill="auto"/>
            <w:tcMar>
              <w:left w:w="85" w:type="dxa"/>
              <w:right w:w="57" w:type="dxa"/>
            </w:tcMar>
          </w:tcPr>
          <w:p w14:paraId="273CD83D" w14:textId="77777777" w:rsidR="00F26568" w:rsidRPr="003978B4" w:rsidRDefault="00324184" w:rsidP="00F26568">
            <w:pPr>
              <w:pStyle w:val="TableText"/>
            </w:pPr>
            <w:r w:rsidRPr="003978B4">
              <w:t>1.1</w:t>
            </w:r>
          </w:p>
        </w:tc>
        <w:tc>
          <w:tcPr>
            <w:tcW w:w="405" w:type="pct"/>
            <w:tcBorders>
              <w:bottom w:val="nil"/>
            </w:tcBorders>
            <w:shd w:val="clear" w:color="auto" w:fill="auto"/>
            <w:tcMar>
              <w:left w:w="85" w:type="dxa"/>
              <w:right w:w="57" w:type="dxa"/>
            </w:tcMar>
          </w:tcPr>
          <w:p w14:paraId="273CD83E" w14:textId="77777777" w:rsidR="00F26568" w:rsidRPr="003978B4" w:rsidRDefault="00324184" w:rsidP="00F26568">
            <w:pPr>
              <w:pStyle w:val="TableText"/>
            </w:pPr>
            <w:r w:rsidRPr="003978B4">
              <w:t>31</w:t>
            </w:r>
          </w:p>
        </w:tc>
        <w:tc>
          <w:tcPr>
            <w:tcW w:w="430" w:type="pct"/>
            <w:shd w:val="clear" w:color="auto" w:fill="auto"/>
            <w:tcMar>
              <w:left w:w="85" w:type="dxa"/>
              <w:right w:w="57" w:type="dxa"/>
            </w:tcMar>
          </w:tcPr>
          <w:p w14:paraId="273CD83F" w14:textId="77777777" w:rsidR="00F26568" w:rsidRPr="003978B4" w:rsidRDefault="00324184" w:rsidP="00F26568">
            <w:pPr>
              <w:pStyle w:val="TableText"/>
            </w:pPr>
            <w:r w:rsidRPr="003978B4">
              <w:t>11</w:t>
            </w:r>
          </w:p>
        </w:tc>
        <w:tc>
          <w:tcPr>
            <w:tcW w:w="621" w:type="pct"/>
            <w:shd w:val="clear" w:color="auto" w:fill="auto"/>
            <w:tcMar>
              <w:left w:w="85" w:type="dxa"/>
              <w:right w:w="57" w:type="dxa"/>
            </w:tcMar>
          </w:tcPr>
          <w:p w14:paraId="273CD840" w14:textId="77777777" w:rsidR="00F26568" w:rsidRPr="003978B4" w:rsidRDefault="00324184" w:rsidP="00F26568">
            <w:pPr>
              <w:pStyle w:val="TableText"/>
              <w:rPr>
                <w:noProof/>
              </w:rPr>
            </w:pPr>
            <w:r w:rsidRPr="003978B4">
              <w:rPr>
                <w:noProof/>
              </w:rPr>
              <w:t>Trenfield et al. (2017)</w:t>
            </w:r>
          </w:p>
        </w:tc>
      </w:tr>
      <w:tr w:rsidR="00091AEB" w14:paraId="273CD847" w14:textId="77777777" w:rsidTr="00375885">
        <w:trPr>
          <w:cantSplit/>
        </w:trPr>
        <w:tc>
          <w:tcPr>
            <w:tcW w:w="506" w:type="pct"/>
            <w:vMerge/>
            <w:shd w:val="clear" w:color="auto" w:fill="auto"/>
            <w:tcMar>
              <w:left w:w="85" w:type="dxa"/>
              <w:right w:w="57" w:type="dxa"/>
            </w:tcMar>
          </w:tcPr>
          <w:p w14:paraId="273CD842"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843"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844" w14:textId="77777777" w:rsidR="00F26568" w:rsidRPr="00275044" w:rsidRDefault="00324184" w:rsidP="00F26568">
            <w:pPr>
              <w:pStyle w:val="TableText"/>
              <w:rPr>
                <w:b/>
                <w:bCs/>
              </w:rPr>
            </w:pPr>
            <w:r w:rsidRPr="00275044">
              <w:rPr>
                <w:b/>
                <w:bCs/>
              </w:rPr>
              <w:t>9.8</w:t>
            </w:r>
          </w:p>
        </w:tc>
        <w:tc>
          <w:tcPr>
            <w:tcW w:w="621" w:type="pct"/>
            <w:shd w:val="clear" w:color="auto" w:fill="auto"/>
            <w:tcMar>
              <w:left w:w="85" w:type="dxa"/>
              <w:right w:w="57" w:type="dxa"/>
            </w:tcMar>
          </w:tcPr>
          <w:p w14:paraId="273CD845" w14:textId="77777777" w:rsidR="00F26568" w:rsidRDefault="00324184" w:rsidP="00F26568">
            <w:pPr>
              <w:pStyle w:val="TableText"/>
              <w:rPr>
                <w:b/>
                <w:bCs/>
              </w:rPr>
            </w:pPr>
            <w:r>
              <w:rPr>
                <w:b/>
                <w:bCs/>
              </w:rPr>
              <w:t>V</w:t>
            </w:r>
            <w:r w:rsidRPr="00275044">
              <w:rPr>
                <w:b/>
                <w:bCs/>
              </w:rPr>
              <w:t>alue used in SSD</w:t>
            </w:r>
          </w:p>
          <w:p w14:paraId="273CD846" w14:textId="77777777" w:rsidR="00F26568" w:rsidRPr="00275044" w:rsidRDefault="00324184" w:rsidP="00F26568">
            <w:pPr>
              <w:pStyle w:val="TableText"/>
              <w:rPr>
                <w:b/>
                <w:bCs/>
              </w:rPr>
            </w:pPr>
            <w:r>
              <w:rPr>
                <w:b/>
                <w:bCs/>
              </w:rPr>
              <w:t>(g</w:t>
            </w:r>
            <w:r w:rsidRPr="00275044">
              <w:rPr>
                <w:b/>
                <w:bCs/>
              </w:rPr>
              <w:t>eometric mean 28</w:t>
            </w:r>
            <w:r>
              <w:rPr>
                <w:b/>
                <w:bCs/>
              </w:rPr>
              <w:t> </w:t>
            </w:r>
            <w:r w:rsidRPr="00275044">
              <w:rPr>
                <w:b/>
                <w:bCs/>
              </w:rPr>
              <w:t>d</w:t>
            </w:r>
            <w:r>
              <w:rPr>
                <w:b/>
                <w:bCs/>
              </w:rPr>
              <w:t>ay</w:t>
            </w:r>
            <w:r w:rsidRPr="00275044">
              <w:rPr>
                <w:b/>
                <w:bCs/>
              </w:rPr>
              <w:t xml:space="preserve"> test</w:t>
            </w:r>
            <w:r>
              <w:rPr>
                <w:b/>
                <w:bCs/>
              </w:rPr>
              <w:t>)</w:t>
            </w:r>
            <w:r w:rsidRPr="00275044">
              <w:rPr>
                <w:b/>
                <w:bCs/>
              </w:rPr>
              <w:t xml:space="preserve"> </w:t>
            </w:r>
          </w:p>
        </w:tc>
      </w:tr>
      <w:tr w:rsidR="00091AEB" w14:paraId="273CD852" w14:textId="77777777" w:rsidTr="00375885">
        <w:trPr>
          <w:cantSplit/>
        </w:trPr>
        <w:tc>
          <w:tcPr>
            <w:tcW w:w="506" w:type="pct"/>
            <w:vMerge w:val="restart"/>
            <w:shd w:val="clear" w:color="auto" w:fill="auto"/>
            <w:tcMar>
              <w:left w:w="85" w:type="dxa"/>
              <w:right w:w="57" w:type="dxa"/>
            </w:tcMar>
          </w:tcPr>
          <w:p w14:paraId="273CD848" w14:textId="77777777" w:rsidR="00F26568" w:rsidRPr="003978B4" w:rsidRDefault="00324184" w:rsidP="00F26568">
            <w:pPr>
              <w:pStyle w:val="TableText"/>
            </w:pPr>
            <w:r w:rsidRPr="003978B4">
              <w:t>Echinoderm</w:t>
            </w:r>
          </w:p>
        </w:tc>
        <w:tc>
          <w:tcPr>
            <w:tcW w:w="709" w:type="pct"/>
            <w:tcBorders>
              <w:bottom w:val="nil"/>
            </w:tcBorders>
            <w:shd w:val="clear" w:color="auto" w:fill="auto"/>
            <w:tcMar>
              <w:left w:w="85" w:type="dxa"/>
              <w:right w:w="57" w:type="dxa"/>
            </w:tcMar>
          </w:tcPr>
          <w:p w14:paraId="273CD849" w14:textId="77777777" w:rsidR="00F26568" w:rsidRPr="00254919" w:rsidRDefault="00324184" w:rsidP="00F26568">
            <w:pPr>
              <w:pStyle w:val="TableText"/>
            </w:pPr>
            <w:r w:rsidRPr="00A616D8">
              <w:rPr>
                <w:rStyle w:val="Emphasis"/>
              </w:rPr>
              <w:t>Diadema savignyi</w:t>
            </w:r>
          </w:p>
        </w:tc>
        <w:tc>
          <w:tcPr>
            <w:tcW w:w="607" w:type="pct"/>
            <w:tcBorders>
              <w:bottom w:val="nil"/>
            </w:tcBorders>
            <w:shd w:val="clear" w:color="auto" w:fill="auto"/>
            <w:tcMar>
              <w:left w:w="85" w:type="dxa"/>
              <w:right w:w="57" w:type="dxa"/>
            </w:tcMar>
          </w:tcPr>
          <w:p w14:paraId="273CD84A" w14:textId="77777777" w:rsidR="00F26568" w:rsidRPr="003978B4" w:rsidRDefault="00324184" w:rsidP="00F26568">
            <w:pPr>
              <w:pStyle w:val="TableText"/>
            </w:pPr>
            <w:r w:rsidRPr="003978B4">
              <w:t>Embryo</w:t>
            </w:r>
          </w:p>
        </w:tc>
        <w:tc>
          <w:tcPr>
            <w:tcW w:w="405" w:type="pct"/>
            <w:tcBorders>
              <w:bottom w:val="nil"/>
            </w:tcBorders>
            <w:shd w:val="clear" w:color="auto" w:fill="auto"/>
            <w:tcMar>
              <w:left w:w="85" w:type="dxa"/>
              <w:right w:w="57" w:type="dxa"/>
            </w:tcMar>
          </w:tcPr>
          <w:p w14:paraId="273CD84B" w14:textId="77777777" w:rsidR="00F26568" w:rsidRPr="003978B4" w:rsidRDefault="00324184" w:rsidP="00F26568">
            <w:pPr>
              <w:pStyle w:val="TableText"/>
            </w:pPr>
            <w:r w:rsidRPr="003978B4">
              <w:t>2</w:t>
            </w:r>
          </w:p>
        </w:tc>
        <w:tc>
          <w:tcPr>
            <w:tcW w:w="709" w:type="pct"/>
            <w:tcBorders>
              <w:bottom w:val="nil"/>
            </w:tcBorders>
            <w:shd w:val="clear" w:color="auto" w:fill="auto"/>
            <w:tcMar>
              <w:left w:w="85" w:type="dxa"/>
              <w:right w:w="57" w:type="dxa"/>
            </w:tcMar>
          </w:tcPr>
          <w:p w14:paraId="273CD84C" w14:textId="77777777" w:rsidR="00F26568" w:rsidRPr="003978B4" w:rsidRDefault="00324184" w:rsidP="004457D8">
            <w:pPr>
              <w:pStyle w:val="TableText"/>
            </w:pPr>
            <w:r w:rsidRPr="003978B4">
              <w:t>NOEC</w:t>
            </w:r>
            <w:r>
              <w:t xml:space="preserve"> </w:t>
            </w:r>
            <w:r w:rsidR="006C4BAD">
              <w:br/>
            </w:r>
            <w:r w:rsidRPr="003978B4">
              <w:t>(Development)</w:t>
            </w:r>
          </w:p>
        </w:tc>
        <w:tc>
          <w:tcPr>
            <w:tcW w:w="304" w:type="pct"/>
            <w:tcBorders>
              <w:bottom w:val="nil"/>
            </w:tcBorders>
            <w:shd w:val="clear" w:color="auto" w:fill="auto"/>
            <w:tcMar>
              <w:left w:w="85" w:type="dxa"/>
              <w:right w:w="57" w:type="dxa"/>
            </w:tcMar>
          </w:tcPr>
          <w:p w14:paraId="273CD84D" w14:textId="77777777" w:rsidR="00F26568" w:rsidRPr="003978B4" w:rsidRDefault="00324184" w:rsidP="00F26568">
            <w:pPr>
              <w:pStyle w:val="TableText"/>
            </w:pPr>
            <w:r w:rsidRPr="003978B4">
              <w:t>34</w:t>
            </w:r>
          </w:p>
        </w:tc>
        <w:tc>
          <w:tcPr>
            <w:tcW w:w="304" w:type="pct"/>
            <w:tcBorders>
              <w:bottom w:val="nil"/>
            </w:tcBorders>
            <w:shd w:val="clear" w:color="auto" w:fill="auto"/>
            <w:tcMar>
              <w:left w:w="85" w:type="dxa"/>
              <w:right w:w="57" w:type="dxa"/>
            </w:tcMar>
          </w:tcPr>
          <w:p w14:paraId="273CD84E" w14:textId="77777777" w:rsidR="00F26568"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84F" w14:textId="77777777" w:rsidR="00F26568" w:rsidRPr="003978B4" w:rsidRDefault="00324184" w:rsidP="00F26568">
            <w:pPr>
              <w:pStyle w:val="TableText"/>
            </w:pPr>
            <w:r w:rsidRPr="003978B4">
              <w:t>25</w:t>
            </w:r>
          </w:p>
        </w:tc>
        <w:tc>
          <w:tcPr>
            <w:tcW w:w="430" w:type="pct"/>
            <w:shd w:val="clear" w:color="auto" w:fill="auto"/>
            <w:tcMar>
              <w:left w:w="85" w:type="dxa"/>
              <w:right w:w="57" w:type="dxa"/>
            </w:tcMar>
          </w:tcPr>
          <w:p w14:paraId="273CD850" w14:textId="77777777" w:rsidR="00F26568" w:rsidRPr="003978B4" w:rsidRDefault="00324184" w:rsidP="00F26568">
            <w:pPr>
              <w:pStyle w:val="TableText"/>
            </w:pPr>
            <w:r w:rsidRPr="003978B4">
              <w:t>9.6</w:t>
            </w:r>
          </w:p>
        </w:tc>
        <w:tc>
          <w:tcPr>
            <w:tcW w:w="621" w:type="pct"/>
            <w:shd w:val="clear" w:color="auto" w:fill="auto"/>
            <w:tcMar>
              <w:left w:w="85" w:type="dxa"/>
              <w:right w:w="57" w:type="dxa"/>
            </w:tcMar>
          </w:tcPr>
          <w:p w14:paraId="273CD851" w14:textId="77777777" w:rsidR="00F26568" w:rsidRPr="003978B4" w:rsidRDefault="00324184" w:rsidP="00F26568">
            <w:pPr>
              <w:pStyle w:val="TableText"/>
            </w:pPr>
            <w:r w:rsidRPr="003978B4">
              <w:rPr>
                <w:noProof/>
              </w:rPr>
              <w:t>Rosen et al. (2015)</w:t>
            </w:r>
          </w:p>
        </w:tc>
      </w:tr>
      <w:tr w:rsidR="00091AEB" w14:paraId="273CD857" w14:textId="77777777" w:rsidTr="00375885">
        <w:trPr>
          <w:cantSplit/>
        </w:trPr>
        <w:tc>
          <w:tcPr>
            <w:tcW w:w="506" w:type="pct"/>
            <w:vMerge/>
            <w:shd w:val="clear" w:color="auto" w:fill="auto"/>
            <w:tcMar>
              <w:left w:w="85" w:type="dxa"/>
              <w:right w:w="57" w:type="dxa"/>
            </w:tcMar>
          </w:tcPr>
          <w:p w14:paraId="273CD853"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854"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855" w14:textId="77777777" w:rsidR="00F26568" w:rsidRPr="00275044" w:rsidRDefault="00324184" w:rsidP="00F26568">
            <w:pPr>
              <w:pStyle w:val="TableText"/>
              <w:rPr>
                <w:b/>
                <w:bCs/>
              </w:rPr>
            </w:pPr>
            <w:r w:rsidRPr="00275044">
              <w:rPr>
                <w:b/>
                <w:bCs/>
              </w:rPr>
              <w:t>9.6</w:t>
            </w:r>
          </w:p>
        </w:tc>
        <w:tc>
          <w:tcPr>
            <w:tcW w:w="621" w:type="pct"/>
            <w:shd w:val="clear" w:color="auto" w:fill="auto"/>
            <w:tcMar>
              <w:left w:w="85" w:type="dxa"/>
              <w:right w:w="57" w:type="dxa"/>
            </w:tcMar>
          </w:tcPr>
          <w:p w14:paraId="273CD856" w14:textId="77777777" w:rsidR="00F26568" w:rsidRPr="00275044" w:rsidRDefault="00324184" w:rsidP="00F26568">
            <w:pPr>
              <w:pStyle w:val="TableText"/>
              <w:rPr>
                <w:b/>
                <w:bCs/>
              </w:rPr>
            </w:pPr>
            <w:r w:rsidRPr="00275044">
              <w:rPr>
                <w:b/>
                <w:bCs/>
              </w:rPr>
              <w:t>Value used in SSD</w:t>
            </w:r>
          </w:p>
        </w:tc>
      </w:tr>
      <w:tr w:rsidR="00091AEB" w14:paraId="273CD862" w14:textId="77777777" w:rsidTr="00375885">
        <w:trPr>
          <w:cantSplit/>
        </w:trPr>
        <w:tc>
          <w:tcPr>
            <w:tcW w:w="506" w:type="pct"/>
            <w:vMerge/>
            <w:shd w:val="clear" w:color="auto" w:fill="auto"/>
            <w:tcMar>
              <w:left w:w="85" w:type="dxa"/>
              <w:right w:w="57" w:type="dxa"/>
            </w:tcMar>
          </w:tcPr>
          <w:p w14:paraId="273CD858" w14:textId="77777777" w:rsidR="00F26568" w:rsidRPr="003978B4" w:rsidRDefault="00F26568" w:rsidP="00F26568">
            <w:pPr>
              <w:pStyle w:val="TableText"/>
            </w:pPr>
          </w:p>
        </w:tc>
        <w:tc>
          <w:tcPr>
            <w:tcW w:w="709" w:type="pct"/>
            <w:tcBorders>
              <w:bottom w:val="nil"/>
            </w:tcBorders>
            <w:shd w:val="clear" w:color="auto" w:fill="auto"/>
            <w:tcMar>
              <w:left w:w="85" w:type="dxa"/>
              <w:right w:w="57" w:type="dxa"/>
            </w:tcMar>
          </w:tcPr>
          <w:p w14:paraId="273CD859" w14:textId="77777777" w:rsidR="00F26568" w:rsidRPr="00254919" w:rsidRDefault="00324184" w:rsidP="00F26568">
            <w:pPr>
              <w:pStyle w:val="TableText"/>
            </w:pPr>
            <w:r w:rsidRPr="00A616D8">
              <w:rPr>
                <w:rStyle w:val="Emphasis"/>
              </w:rPr>
              <w:t>Evechinus chloroticus</w:t>
            </w:r>
          </w:p>
        </w:tc>
        <w:tc>
          <w:tcPr>
            <w:tcW w:w="607" w:type="pct"/>
            <w:tcBorders>
              <w:bottom w:val="nil"/>
            </w:tcBorders>
            <w:shd w:val="clear" w:color="auto" w:fill="auto"/>
            <w:tcMar>
              <w:left w:w="85" w:type="dxa"/>
              <w:right w:w="57" w:type="dxa"/>
            </w:tcMar>
          </w:tcPr>
          <w:p w14:paraId="273CD85A" w14:textId="77777777" w:rsidR="00F26568" w:rsidRPr="003978B4" w:rsidRDefault="00324184" w:rsidP="00F26568">
            <w:pPr>
              <w:pStyle w:val="TableText"/>
            </w:pPr>
            <w:r w:rsidRPr="003978B4">
              <w:t>Larva</w:t>
            </w:r>
          </w:p>
        </w:tc>
        <w:tc>
          <w:tcPr>
            <w:tcW w:w="405" w:type="pct"/>
            <w:tcBorders>
              <w:bottom w:val="nil"/>
            </w:tcBorders>
            <w:shd w:val="clear" w:color="auto" w:fill="auto"/>
            <w:tcMar>
              <w:left w:w="85" w:type="dxa"/>
              <w:right w:w="57" w:type="dxa"/>
            </w:tcMar>
          </w:tcPr>
          <w:p w14:paraId="273CD85B" w14:textId="77777777" w:rsidR="00F26568" w:rsidRPr="003978B4" w:rsidRDefault="00324184" w:rsidP="00F26568">
            <w:pPr>
              <w:pStyle w:val="TableText"/>
            </w:pPr>
            <w:r w:rsidRPr="003978B4">
              <w:t>3</w:t>
            </w:r>
          </w:p>
        </w:tc>
        <w:tc>
          <w:tcPr>
            <w:tcW w:w="709" w:type="pct"/>
            <w:tcBorders>
              <w:bottom w:val="nil"/>
            </w:tcBorders>
            <w:shd w:val="clear" w:color="auto" w:fill="auto"/>
            <w:tcMar>
              <w:left w:w="85" w:type="dxa"/>
              <w:right w:w="57" w:type="dxa"/>
            </w:tcMar>
          </w:tcPr>
          <w:p w14:paraId="273CD85C" w14:textId="77777777" w:rsidR="00F26568" w:rsidRPr="003978B4" w:rsidRDefault="00324184" w:rsidP="004457D8">
            <w:pPr>
              <w:pStyle w:val="TableText"/>
            </w:pPr>
            <w:r w:rsidRPr="003978B4">
              <w:t>EC10</w:t>
            </w:r>
            <w:r>
              <w:t xml:space="preserve"> </w:t>
            </w:r>
            <w:r w:rsidR="006C4BAD">
              <w:br/>
            </w:r>
            <w:r w:rsidRPr="003978B4">
              <w:t>(Development)</w:t>
            </w:r>
          </w:p>
        </w:tc>
        <w:tc>
          <w:tcPr>
            <w:tcW w:w="304" w:type="pct"/>
            <w:tcBorders>
              <w:bottom w:val="nil"/>
            </w:tcBorders>
            <w:shd w:val="clear" w:color="auto" w:fill="auto"/>
            <w:tcMar>
              <w:left w:w="85" w:type="dxa"/>
              <w:right w:w="57" w:type="dxa"/>
            </w:tcMar>
          </w:tcPr>
          <w:p w14:paraId="273CD85D" w14:textId="77777777" w:rsidR="00F26568" w:rsidRPr="003978B4" w:rsidRDefault="00324184" w:rsidP="00F26568">
            <w:pPr>
              <w:pStyle w:val="TableText"/>
            </w:pPr>
            <w:r w:rsidRPr="003978B4">
              <w:t>34</w:t>
            </w:r>
          </w:p>
        </w:tc>
        <w:tc>
          <w:tcPr>
            <w:tcW w:w="304" w:type="pct"/>
            <w:tcBorders>
              <w:bottom w:val="nil"/>
            </w:tcBorders>
            <w:shd w:val="clear" w:color="auto" w:fill="auto"/>
            <w:tcMar>
              <w:left w:w="85" w:type="dxa"/>
              <w:right w:w="57" w:type="dxa"/>
            </w:tcMar>
          </w:tcPr>
          <w:p w14:paraId="273CD85E" w14:textId="77777777" w:rsidR="00F26568"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85F" w14:textId="77777777" w:rsidR="00F26568" w:rsidRPr="003978B4" w:rsidRDefault="00324184" w:rsidP="00F26568">
            <w:pPr>
              <w:pStyle w:val="TableText"/>
            </w:pPr>
            <w:r w:rsidRPr="003978B4">
              <w:t>16</w:t>
            </w:r>
          </w:p>
        </w:tc>
        <w:tc>
          <w:tcPr>
            <w:tcW w:w="430" w:type="pct"/>
            <w:shd w:val="clear" w:color="auto" w:fill="auto"/>
            <w:tcMar>
              <w:left w:w="85" w:type="dxa"/>
              <w:right w:w="57" w:type="dxa"/>
            </w:tcMar>
          </w:tcPr>
          <w:p w14:paraId="273CD860" w14:textId="77777777" w:rsidR="00F26568" w:rsidRPr="003978B4" w:rsidRDefault="00324184" w:rsidP="00F26568">
            <w:pPr>
              <w:pStyle w:val="TableText"/>
            </w:pPr>
            <w:r w:rsidRPr="003978B4">
              <w:t>2.1</w:t>
            </w:r>
          </w:p>
        </w:tc>
        <w:tc>
          <w:tcPr>
            <w:tcW w:w="621" w:type="pct"/>
            <w:shd w:val="clear" w:color="auto" w:fill="auto"/>
            <w:tcMar>
              <w:left w:w="85" w:type="dxa"/>
              <w:right w:w="57" w:type="dxa"/>
            </w:tcMar>
          </w:tcPr>
          <w:p w14:paraId="273CD861" w14:textId="77777777" w:rsidR="00F26568" w:rsidRPr="003978B4" w:rsidRDefault="00324184" w:rsidP="00F26568">
            <w:pPr>
              <w:pStyle w:val="TableText"/>
            </w:pPr>
            <w:r w:rsidRPr="003978B4">
              <w:rPr>
                <w:noProof/>
              </w:rPr>
              <w:t>Rouchon (2015)</w:t>
            </w:r>
          </w:p>
        </w:tc>
      </w:tr>
      <w:tr w:rsidR="00091AEB" w14:paraId="273CD867" w14:textId="77777777" w:rsidTr="00375885">
        <w:trPr>
          <w:cantSplit/>
        </w:trPr>
        <w:tc>
          <w:tcPr>
            <w:tcW w:w="506" w:type="pct"/>
            <w:vMerge/>
            <w:shd w:val="clear" w:color="auto" w:fill="auto"/>
            <w:tcMar>
              <w:left w:w="85" w:type="dxa"/>
              <w:right w:w="57" w:type="dxa"/>
            </w:tcMar>
          </w:tcPr>
          <w:p w14:paraId="273CD863"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864"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865" w14:textId="77777777" w:rsidR="00F26568" w:rsidRPr="00275044" w:rsidRDefault="00324184" w:rsidP="00F26568">
            <w:pPr>
              <w:pStyle w:val="TableText"/>
              <w:rPr>
                <w:b/>
                <w:bCs/>
              </w:rPr>
            </w:pPr>
            <w:r w:rsidRPr="00275044">
              <w:rPr>
                <w:b/>
                <w:bCs/>
              </w:rPr>
              <w:t>2.1</w:t>
            </w:r>
          </w:p>
        </w:tc>
        <w:tc>
          <w:tcPr>
            <w:tcW w:w="621" w:type="pct"/>
            <w:shd w:val="clear" w:color="auto" w:fill="auto"/>
            <w:tcMar>
              <w:left w:w="85" w:type="dxa"/>
              <w:right w:w="57" w:type="dxa"/>
            </w:tcMar>
          </w:tcPr>
          <w:p w14:paraId="273CD866" w14:textId="77777777" w:rsidR="00F26568" w:rsidRPr="00275044" w:rsidRDefault="00324184" w:rsidP="00F26568">
            <w:pPr>
              <w:pStyle w:val="TableText"/>
              <w:rPr>
                <w:b/>
                <w:bCs/>
              </w:rPr>
            </w:pPr>
            <w:r w:rsidRPr="00275044">
              <w:rPr>
                <w:b/>
                <w:bCs/>
              </w:rPr>
              <w:t>Value used in SSD</w:t>
            </w:r>
          </w:p>
        </w:tc>
      </w:tr>
      <w:tr w:rsidR="00091AEB" w14:paraId="273CD872" w14:textId="77777777" w:rsidTr="00375885">
        <w:trPr>
          <w:cantSplit/>
        </w:trPr>
        <w:tc>
          <w:tcPr>
            <w:tcW w:w="506" w:type="pct"/>
            <w:vMerge w:val="restart"/>
            <w:shd w:val="clear" w:color="auto" w:fill="auto"/>
            <w:tcMar>
              <w:left w:w="85" w:type="dxa"/>
              <w:right w:w="57" w:type="dxa"/>
            </w:tcMar>
          </w:tcPr>
          <w:p w14:paraId="273CD868" w14:textId="77777777" w:rsidR="00F26568" w:rsidRPr="003978B4" w:rsidRDefault="00324184" w:rsidP="00F26568">
            <w:pPr>
              <w:pStyle w:val="TableText"/>
            </w:pPr>
            <w:r w:rsidRPr="003978B4">
              <w:t>Annelid</w:t>
            </w:r>
          </w:p>
        </w:tc>
        <w:tc>
          <w:tcPr>
            <w:tcW w:w="709" w:type="pct"/>
            <w:tcBorders>
              <w:bottom w:val="nil"/>
            </w:tcBorders>
            <w:shd w:val="clear" w:color="auto" w:fill="auto"/>
            <w:tcMar>
              <w:left w:w="85" w:type="dxa"/>
              <w:right w:w="57" w:type="dxa"/>
            </w:tcMar>
          </w:tcPr>
          <w:p w14:paraId="273CD869" w14:textId="77777777" w:rsidR="00F26568" w:rsidRPr="00254919" w:rsidRDefault="00324184" w:rsidP="00F26568">
            <w:pPr>
              <w:pStyle w:val="TableText"/>
            </w:pPr>
            <w:r w:rsidRPr="00A616D8">
              <w:rPr>
                <w:rStyle w:val="Emphasis"/>
              </w:rPr>
              <w:t>Hydroides elegans</w:t>
            </w:r>
          </w:p>
        </w:tc>
        <w:tc>
          <w:tcPr>
            <w:tcW w:w="607" w:type="pct"/>
            <w:tcBorders>
              <w:bottom w:val="nil"/>
            </w:tcBorders>
            <w:shd w:val="clear" w:color="auto" w:fill="auto"/>
            <w:tcMar>
              <w:left w:w="85" w:type="dxa"/>
              <w:right w:w="57" w:type="dxa"/>
            </w:tcMar>
          </w:tcPr>
          <w:p w14:paraId="273CD86A" w14:textId="77777777" w:rsidR="00F26568" w:rsidRPr="003978B4" w:rsidRDefault="00324184" w:rsidP="00F26568">
            <w:pPr>
              <w:pStyle w:val="TableText"/>
            </w:pPr>
            <w:r w:rsidRPr="003978B4">
              <w:t>Gamete</w:t>
            </w:r>
          </w:p>
        </w:tc>
        <w:tc>
          <w:tcPr>
            <w:tcW w:w="405" w:type="pct"/>
            <w:tcBorders>
              <w:bottom w:val="nil"/>
            </w:tcBorders>
            <w:shd w:val="clear" w:color="auto" w:fill="auto"/>
            <w:tcMar>
              <w:left w:w="85" w:type="dxa"/>
              <w:right w:w="57" w:type="dxa"/>
            </w:tcMar>
          </w:tcPr>
          <w:p w14:paraId="273CD86B" w14:textId="77777777" w:rsidR="00F26568" w:rsidRPr="003978B4" w:rsidRDefault="00324184" w:rsidP="00F26568">
            <w:pPr>
              <w:pStyle w:val="TableText"/>
            </w:pPr>
            <w:r w:rsidRPr="003978B4">
              <w:t>8</w:t>
            </w:r>
          </w:p>
        </w:tc>
        <w:tc>
          <w:tcPr>
            <w:tcW w:w="709" w:type="pct"/>
            <w:tcBorders>
              <w:bottom w:val="nil"/>
            </w:tcBorders>
            <w:shd w:val="clear" w:color="auto" w:fill="auto"/>
            <w:tcMar>
              <w:left w:w="85" w:type="dxa"/>
              <w:right w:w="57" w:type="dxa"/>
            </w:tcMar>
          </w:tcPr>
          <w:p w14:paraId="273CD86C" w14:textId="77777777" w:rsidR="00F26568" w:rsidRPr="003978B4" w:rsidRDefault="00324184" w:rsidP="004457D8">
            <w:pPr>
              <w:pStyle w:val="TableText"/>
            </w:pPr>
            <w:r w:rsidRPr="003978B4">
              <w:t xml:space="preserve">LOEC </w:t>
            </w:r>
            <w:r w:rsidR="006C4BAD">
              <w:br/>
            </w:r>
            <w:r w:rsidRPr="003978B4">
              <w:t>(Metamorphosis)</w:t>
            </w:r>
          </w:p>
        </w:tc>
        <w:tc>
          <w:tcPr>
            <w:tcW w:w="304" w:type="pct"/>
            <w:tcBorders>
              <w:bottom w:val="nil"/>
            </w:tcBorders>
            <w:shd w:val="clear" w:color="auto" w:fill="auto"/>
            <w:tcMar>
              <w:left w:w="85" w:type="dxa"/>
              <w:right w:w="57" w:type="dxa"/>
            </w:tcMar>
          </w:tcPr>
          <w:p w14:paraId="273CD86D" w14:textId="77777777" w:rsidR="00F26568" w:rsidRPr="003978B4" w:rsidRDefault="00324184" w:rsidP="00F26568">
            <w:pPr>
              <w:pStyle w:val="TableText"/>
            </w:pPr>
            <w:r w:rsidRPr="003978B4">
              <w:t>34</w:t>
            </w:r>
          </w:p>
        </w:tc>
        <w:tc>
          <w:tcPr>
            <w:tcW w:w="304" w:type="pct"/>
            <w:tcBorders>
              <w:bottom w:val="nil"/>
            </w:tcBorders>
            <w:shd w:val="clear" w:color="auto" w:fill="auto"/>
            <w:tcMar>
              <w:left w:w="85" w:type="dxa"/>
              <w:right w:w="57" w:type="dxa"/>
            </w:tcMar>
          </w:tcPr>
          <w:p w14:paraId="273CD86E" w14:textId="77777777" w:rsidR="00F26568"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86F" w14:textId="77777777" w:rsidR="00F26568" w:rsidRPr="003978B4" w:rsidRDefault="00324184" w:rsidP="00F26568">
            <w:pPr>
              <w:pStyle w:val="TableText"/>
            </w:pPr>
            <w:r w:rsidRPr="003978B4">
              <w:t>24</w:t>
            </w:r>
          </w:p>
        </w:tc>
        <w:tc>
          <w:tcPr>
            <w:tcW w:w="430" w:type="pct"/>
            <w:shd w:val="clear" w:color="auto" w:fill="auto"/>
            <w:tcMar>
              <w:left w:w="85" w:type="dxa"/>
              <w:right w:w="57" w:type="dxa"/>
            </w:tcMar>
          </w:tcPr>
          <w:p w14:paraId="273CD870" w14:textId="77777777" w:rsidR="00F26568" w:rsidRPr="003978B4" w:rsidRDefault="00324184" w:rsidP="00F26568">
            <w:pPr>
              <w:pStyle w:val="TableText"/>
            </w:pPr>
            <w:r w:rsidRPr="003978B4">
              <w:t>6.2</w:t>
            </w:r>
          </w:p>
        </w:tc>
        <w:tc>
          <w:tcPr>
            <w:tcW w:w="621" w:type="pct"/>
            <w:shd w:val="clear" w:color="auto" w:fill="auto"/>
            <w:tcMar>
              <w:left w:w="85" w:type="dxa"/>
              <w:right w:w="57" w:type="dxa"/>
            </w:tcMar>
          </w:tcPr>
          <w:p w14:paraId="273CD871" w14:textId="77777777" w:rsidR="00F26568" w:rsidRPr="003978B4" w:rsidRDefault="00324184" w:rsidP="00F26568">
            <w:pPr>
              <w:pStyle w:val="TableText"/>
            </w:pPr>
            <w:r w:rsidRPr="003978B4">
              <w:rPr>
                <w:noProof/>
              </w:rPr>
              <w:t xml:space="preserve">Xie et </w:t>
            </w:r>
            <w:r w:rsidRPr="003978B4">
              <w:rPr>
                <w:noProof/>
              </w:rPr>
              <w:t>al. (2005)</w:t>
            </w:r>
          </w:p>
        </w:tc>
      </w:tr>
      <w:tr w:rsidR="00091AEB" w14:paraId="273CD877" w14:textId="77777777" w:rsidTr="00375885">
        <w:trPr>
          <w:cantSplit/>
        </w:trPr>
        <w:tc>
          <w:tcPr>
            <w:tcW w:w="506" w:type="pct"/>
            <w:vMerge/>
            <w:shd w:val="clear" w:color="auto" w:fill="auto"/>
            <w:tcMar>
              <w:left w:w="85" w:type="dxa"/>
              <w:right w:w="57" w:type="dxa"/>
            </w:tcMar>
          </w:tcPr>
          <w:p w14:paraId="273CD873"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874"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875" w14:textId="77777777" w:rsidR="00F26568" w:rsidRPr="00275044" w:rsidRDefault="00324184" w:rsidP="00F26568">
            <w:pPr>
              <w:pStyle w:val="TableText"/>
              <w:rPr>
                <w:b/>
                <w:bCs/>
              </w:rPr>
            </w:pPr>
            <w:r w:rsidRPr="00275044">
              <w:rPr>
                <w:b/>
                <w:bCs/>
              </w:rPr>
              <w:t xml:space="preserve">2.5 </w:t>
            </w:r>
            <w:r w:rsidRPr="0090363F">
              <w:rPr>
                <w:rStyle w:val="Strong"/>
                <w:vertAlign w:val="superscript"/>
              </w:rPr>
              <w:t>c</w:t>
            </w:r>
          </w:p>
        </w:tc>
        <w:tc>
          <w:tcPr>
            <w:tcW w:w="621" w:type="pct"/>
            <w:shd w:val="clear" w:color="auto" w:fill="auto"/>
            <w:tcMar>
              <w:left w:w="85" w:type="dxa"/>
              <w:right w:w="57" w:type="dxa"/>
            </w:tcMar>
          </w:tcPr>
          <w:p w14:paraId="273CD876" w14:textId="77777777" w:rsidR="00F26568" w:rsidRPr="00275044" w:rsidRDefault="00324184" w:rsidP="00F26568">
            <w:pPr>
              <w:pStyle w:val="TableText"/>
              <w:rPr>
                <w:b/>
                <w:bCs/>
              </w:rPr>
            </w:pPr>
            <w:r w:rsidRPr="00275044">
              <w:rPr>
                <w:b/>
                <w:bCs/>
              </w:rPr>
              <w:t>Value used in SSD</w:t>
            </w:r>
          </w:p>
        </w:tc>
      </w:tr>
      <w:tr w:rsidR="00091AEB" w14:paraId="273CD882" w14:textId="77777777" w:rsidTr="00375885">
        <w:trPr>
          <w:cantSplit/>
        </w:trPr>
        <w:tc>
          <w:tcPr>
            <w:tcW w:w="506" w:type="pct"/>
            <w:vMerge w:val="restart"/>
            <w:shd w:val="clear" w:color="auto" w:fill="auto"/>
            <w:tcMar>
              <w:left w:w="85" w:type="dxa"/>
              <w:right w:w="57" w:type="dxa"/>
            </w:tcMar>
          </w:tcPr>
          <w:p w14:paraId="273CD878" w14:textId="77777777" w:rsidR="00F26568" w:rsidRPr="003978B4" w:rsidRDefault="00324184" w:rsidP="00F26568">
            <w:pPr>
              <w:pStyle w:val="TableText"/>
            </w:pPr>
            <w:r w:rsidRPr="003978B4">
              <w:t>Crustacean</w:t>
            </w:r>
          </w:p>
        </w:tc>
        <w:tc>
          <w:tcPr>
            <w:tcW w:w="709" w:type="pct"/>
            <w:tcBorders>
              <w:bottom w:val="nil"/>
            </w:tcBorders>
            <w:shd w:val="clear" w:color="auto" w:fill="auto"/>
            <w:tcMar>
              <w:left w:w="85" w:type="dxa"/>
              <w:right w:w="57" w:type="dxa"/>
            </w:tcMar>
          </w:tcPr>
          <w:p w14:paraId="273CD879" w14:textId="77777777" w:rsidR="00F26568" w:rsidRPr="00A616D8" w:rsidRDefault="00324184" w:rsidP="00F26568">
            <w:pPr>
              <w:pStyle w:val="TableText"/>
              <w:rPr>
                <w:rStyle w:val="Emphasis"/>
              </w:rPr>
            </w:pPr>
            <w:r w:rsidRPr="00A616D8">
              <w:rPr>
                <w:rStyle w:val="Emphasis"/>
              </w:rPr>
              <w:t>Tisbe furcata</w:t>
            </w:r>
          </w:p>
        </w:tc>
        <w:tc>
          <w:tcPr>
            <w:tcW w:w="607" w:type="pct"/>
            <w:tcBorders>
              <w:bottom w:val="nil"/>
            </w:tcBorders>
            <w:shd w:val="clear" w:color="auto" w:fill="auto"/>
            <w:tcMar>
              <w:left w:w="85" w:type="dxa"/>
              <w:right w:w="57" w:type="dxa"/>
            </w:tcMar>
          </w:tcPr>
          <w:p w14:paraId="273CD87A" w14:textId="77777777" w:rsidR="00F26568" w:rsidRPr="003978B4" w:rsidRDefault="00324184" w:rsidP="00F26568">
            <w:pPr>
              <w:pStyle w:val="TableText"/>
            </w:pPr>
            <w:r w:rsidRPr="003978B4">
              <w:t>Life cycle</w:t>
            </w:r>
          </w:p>
        </w:tc>
        <w:tc>
          <w:tcPr>
            <w:tcW w:w="405" w:type="pct"/>
            <w:tcBorders>
              <w:bottom w:val="nil"/>
            </w:tcBorders>
            <w:shd w:val="clear" w:color="auto" w:fill="auto"/>
            <w:tcMar>
              <w:left w:w="85" w:type="dxa"/>
              <w:right w:w="57" w:type="dxa"/>
            </w:tcMar>
          </w:tcPr>
          <w:p w14:paraId="273CD87B" w14:textId="77777777" w:rsidR="00F26568" w:rsidRPr="003978B4" w:rsidRDefault="00324184" w:rsidP="00F26568">
            <w:pPr>
              <w:pStyle w:val="TableText"/>
            </w:pPr>
            <w:r w:rsidRPr="003978B4">
              <w:t>100</w:t>
            </w:r>
          </w:p>
        </w:tc>
        <w:tc>
          <w:tcPr>
            <w:tcW w:w="709" w:type="pct"/>
            <w:tcBorders>
              <w:bottom w:val="nil"/>
            </w:tcBorders>
            <w:shd w:val="clear" w:color="auto" w:fill="auto"/>
            <w:tcMar>
              <w:left w:w="85" w:type="dxa"/>
              <w:right w:w="57" w:type="dxa"/>
            </w:tcMar>
          </w:tcPr>
          <w:p w14:paraId="273CD87C" w14:textId="77777777" w:rsidR="00F26568" w:rsidRPr="003978B4" w:rsidRDefault="00324184" w:rsidP="004457D8">
            <w:pPr>
              <w:pStyle w:val="TableText"/>
            </w:pPr>
            <w:r w:rsidRPr="003978B4">
              <w:t>NOEC</w:t>
            </w:r>
            <w:r>
              <w:t xml:space="preserve"> </w:t>
            </w:r>
            <w:r w:rsidR="006C4BAD">
              <w:br/>
            </w:r>
            <w:r w:rsidRPr="003978B4">
              <w:t xml:space="preserve">(Survival </w:t>
            </w:r>
            <w:r>
              <w:t>and</w:t>
            </w:r>
            <w:r w:rsidRPr="003978B4">
              <w:t xml:space="preserve"> reproduction)</w:t>
            </w:r>
          </w:p>
        </w:tc>
        <w:tc>
          <w:tcPr>
            <w:tcW w:w="304" w:type="pct"/>
            <w:tcBorders>
              <w:bottom w:val="nil"/>
            </w:tcBorders>
            <w:shd w:val="clear" w:color="auto" w:fill="auto"/>
            <w:tcMar>
              <w:left w:w="85" w:type="dxa"/>
              <w:right w:w="57" w:type="dxa"/>
            </w:tcMar>
          </w:tcPr>
          <w:p w14:paraId="273CD87D" w14:textId="77777777" w:rsidR="00F26568" w:rsidRPr="003978B4" w:rsidRDefault="00324184" w:rsidP="00F26568">
            <w:pPr>
              <w:pStyle w:val="TableText"/>
            </w:pPr>
            <w:r w:rsidRPr="003978B4">
              <w:t>34</w:t>
            </w:r>
          </w:p>
        </w:tc>
        <w:tc>
          <w:tcPr>
            <w:tcW w:w="304" w:type="pct"/>
            <w:tcBorders>
              <w:bottom w:val="nil"/>
            </w:tcBorders>
            <w:shd w:val="clear" w:color="auto" w:fill="auto"/>
            <w:tcMar>
              <w:left w:w="85" w:type="dxa"/>
              <w:right w:w="57" w:type="dxa"/>
            </w:tcMar>
          </w:tcPr>
          <w:p w14:paraId="273CD87E" w14:textId="77777777" w:rsidR="00F26568" w:rsidRPr="003978B4" w:rsidRDefault="00324184" w:rsidP="00F26568">
            <w:pPr>
              <w:pStyle w:val="TableText"/>
            </w:pPr>
            <w:r w:rsidRPr="003978B4">
              <w:t>2</w:t>
            </w:r>
          </w:p>
        </w:tc>
        <w:tc>
          <w:tcPr>
            <w:tcW w:w="405" w:type="pct"/>
            <w:tcBorders>
              <w:bottom w:val="nil"/>
            </w:tcBorders>
            <w:shd w:val="clear" w:color="auto" w:fill="auto"/>
            <w:tcMar>
              <w:left w:w="85" w:type="dxa"/>
              <w:right w:w="57" w:type="dxa"/>
            </w:tcMar>
          </w:tcPr>
          <w:p w14:paraId="273CD87F" w14:textId="77777777" w:rsidR="00F26568" w:rsidRPr="003978B4" w:rsidRDefault="00324184" w:rsidP="00F26568">
            <w:pPr>
              <w:pStyle w:val="TableText"/>
            </w:pPr>
            <w:r w:rsidRPr="003978B4">
              <w:t>15</w:t>
            </w:r>
          </w:p>
        </w:tc>
        <w:tc>
          <w:tcPr>
            <w:tcW w:w="430" w:type="pct"/>
            <w:shd w:val="clear" w:color="auto" w:fill="auto"/>
            <w:tcMar>
              <w:left w:w="85" w:type="dxa"/>
              <w:right w:w="57" w:type="dxa"/>
            </w:tcMar>
          </w:tcPr>
          <w:p w14:paraId="273CD880" w14:textId="77777777" w:rsidR="00F26568" w:rsidRPr="003978B4" w:rsidRDefault="00324184" w:rsidP="00F26568">
            <w:pPr>
              <w:pStyle w:val="TableText"/>
            </w:pPr>
            <w:r w:rsidRPr="003978B4">
              <w:t>19</w:t>
            </w:r>
          </w:p>
        </w:tc>
        <w:tc>
          <w:tcPr>
            <w:tcW w:w="621" w:type="pct"/>
            <w:shd w:val="clear" w:color="auto" w:fill="auto"/>
            <w:tcMar>
              <w:left w:w="85" w:type="dxa"/>
              <w:right w:w="57" w:type="dxa"/>
            </w:tcMar>
          </w:tcPr>
          <w:p w14:paraId="273CD881" w14:textId="77777777" w:rsidR="00F26568" w:rsidRPr="003978B4" w:rsidRDefault="00324184" w:rsidP="00F26568">
            <w:pPr>
              <w:pStyle w:val="TableText"/>
              <w:rPr>
                <w:noProof/>
              </w:rPr>
            </w:pPr>
            <w:r w:rsidRPr="003978B4">
              <w:rPr>
                <w:noProof/>
              </w:rPr>
              <w:t>Diz et al. (2009)</w:t>
            </w:r>
          </w:p>
        </w:tc>
      </w:tr>
      <w:tr w:rsidR="00091AEB" w14:paraId="273CD887" w14:textId="77777777" w:rsidTr="00375885">
        <w:trPr>
          <w:cantSplit/>
        </w:trPr>
        <w:tc>
          <w:tcPr>
            <w:tcW w:w="506" w:type="pct"/>
            <w:vMerge/>
            <w:shd w:val="clear" w:color="auto" w:fill="auto"/>
            <w:tcMar>
              <w:left w:w="85" w:type="dxa"/>
              <w:right w:w="57" w:type="dxa"/>
            </w:tcMar>
          </w:tcPr>
          <w:p w14:paraId="273CD883"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884"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885" w14:textId="77777777" w:rsidR="00F26568" w:rsidRPr="00275044" w:rsidRDefault="00324184" w:rsidP="00F26568">
            <w:pPr>
              <w:pStyle w:val="TableText"/>
              <w:rPr>
                <w:b/>
                <w:bCs/>
              </w:rPr>
            </w:pPr>
            <w:r w:rsidRPr="00275044">
              <w:rPr>
                <w:b/>
                <w:bCs/>
              </w:rPr>
              <w:t>19</w:t>
            </w:r>
          </w:p>
        </w:tc>
        <w:tc>
          <w:tcPr>
            <w:tcW w:w="621" w:type="pct"/>
            <w:shd w:val="clear" w:color="auto" w:fill="auto"/>
            <w:tcMar>
              <w:left w:w="85" w:type="dxa"/>
              <w:right w:w="57" w:type="dxa"/>
            </w:tcMar>
          </w:tcPr>
          <w:p w14:paraId="273CD886" w14:textId="77777777" w:rsidR="00F26568" w:rsidRPr="00275044" w:rsidRDefault="00324184" w:rsidP="00F26568">
            <w:pPr>
              <w:pStyle w:val="TableText"/>
              <w:rPr>
                <w:b/>
                <w:bCs/>
                <w:noProof/>
              </w:rPr>
            </w:pPr>
            <w:r w:rsidRPr="00275044">
              <w:rPr>
                <w:b/>
                <w:bCs/>
                <w:noProof/>
              </w:rPr>
              <w:t>Value used in SSD</w:t>
            </w:r>
          </w:p>
        </w:tc>
      </w:tr>
      <w:tr w:rsidR="00091AEB" w14:paraId="273CD892" w14:textId="77777777" w:rsidTr="00375885">
        <w:trPr>
          <w:cantSplit/>
        </w:trPr>
        <w:tc>
          <w:tcPr>
            <w:tcW w:w="506" w:type="pct"/>
            <w:vMerge w:val="restart"/>
            <w:shd w:val="clear" w:color="auto" w:fill="auto"/>
            <w:tcMar>
              <w:left w:w="85" w:type="dxa"/>
              <w:right w:w="57" w:type="dxa"/>
            </w:tcMar>
          </w:tcPr>
          <w:p w14:paraId="273CD888" w14:textId="77777777" w:rsidR="00F26568" w:rsidRPr="003978B4" w:rsidRDefault="00324184" w:rsidP="00F26568">
            <w:pPr>
              <w:pStyle w:val="TableText"/>
            </w:pPr>
            <w:r w:rsidRPr="003978B4">
              <w:t>Mollusc</w:t>
            </w:r>
          </w:p>
        </w:tc>
        <w:tc>
          <w:tcPr>
            <w:tcW w:w="709" w:type="pct"/>
            <w:tcBorders>
              <w:bottom w:val="nil"/>
            </w:tcBorders>
            <w:shd w:val="clear" w:color="auto" w:fill="auto"/>
            <w:tcMar>
              <w:left w:w="85" w:type="dxa"/>
              <w:right w:w="57" w:type="dxa"/>
            </w:tcMar>
          </w:tcPr>
          <w:p w14:paraId="273CD889" w14:textId="77777777" w:rsidR="00F26568" w:rsidRPr="00254919" w:rsidRDefault="00324184" w:rsidP="00F26568">
            <w:pPr>
              <w:pStyle w:val="TableText"/>
            </w:pPr>
            <w:r w:rsidRPr="00A616D8">
              <w:rPr>
                <w:rStyle w:val="Emphasis"/>
              </w:rPr>
              <w:t>Amphibalanus</w:t>
            </w:r>
            <w:r w:rsidRPr="00254919">
              <w:t xml:space="preserve"> </w:t>
            </w:r>
            <w:r w:rsidRPr="00A616D8">
              <w:rPr>
                <w:rStyle w:val="Emphasis"/>
              </w:rPr>
              <w:t>amphitrite</w:t>
            </w:r>
          </w:p>
        </w:tc>
        <w:tc>
          <w:tcPr>
            <w:tcW w:w="607" w:type="pct"/>
            <w:tcBorders>
              <w:bottom w:val="nil"/>
            </w:tcBorders>
            <w:shd w:val="clear" w:color="auto" w:fill="auto"/>
            <w:tcMar>
              <w:left w:w="85" w:type="dxa"/>
              <w:right w:w="57" w:type="dxa"/>
            </w:tcMar>
          </w:tcPr>
          <w:p w14:paraId="273CD88A" w14:textId="77777777" w:rsidR="00F26568" w:rsidRPr="003978B4" w:rsidRDefault="00324184" w:rsidP="00F26568">
            <w:pPr>
              <w:pStyle w:val="TableText"/>
            </w:pPr>
            <w:r w:rsidRPr="003978B4">
              <w:t>Larva</w:t>
            </w:r>
          </w:p>
        </w:tc>
        <w:tc>
          <w:tcPr>
            <w:tcW w:w="405" w:type="pct"/>
            <w:tcBorders>
              <w:bottom w:val="nil"/>
            </w:tcBorders>
            <w:shd w:val="clear" w:color="auto" w:fill="auto"/>
            <w:tcMar>
              <w:left w:w="85" w:type="dxa"/>
              <w:right w:w="57" w:type="dxa"/>
            </w:tcMar>
          </w:tcPr>
          <w:p w14:paraId="273CD88B" w14:textId="77777777" w:rsidR="00F26568" w:rsidRPr="003978B4" w:rsidRDefault="00324184" w:rsidP="00F26568">
            <w:pPr>
              <w:pStyle w:val="TableText"/>
            </w:pPr>
            <w:r w:rsidRPr="003978B4">
              <w:t>4</w:t>
            </w:r>
          </w:p>
        </w:tc>
        <w:tc>
          <w:tcPr>
            <w:tcW w:w="709" w:type="pct"/>
            <w:tcBorders>
              <w:bottom w:val="nil"/>
            </w:tcBorders>
            <w:shd w:val="clear" w:color="auto" w:fill="auto"/>
            <w:tcMar>
              <w:left w:w="85" w:type="dxa"/>
              <w:right w:w="57" w:type="dxa"/>
            </w:tcMar>
          </w:tcPr>
          <w:p w14:paraId="273CD88C" w14:textId="77777777" w:rsidR="00F26568" w:rsidRPr="003978B4" w:rsidRDefault="00324184" w:rsidP="004457D8">
            <w:pPr>
              <w:pStyle w:val="TableText"/>
            </w:pPr>
            <w:r w:rsidRPr="003978B4">
              <w:t>EC10</w:t>
            </w:r>
            <w:r>
              <w:t xml:space="preserve"> </w:t>
            </w:r>
            <w:r w:rsidR="006C4BAD">
              <w:br/>
            </w:r>
            <w:r w:rsidRPr="003978B4">
              <w:t>(Metamorphosis)</w:t>
            </w:r>
          </w:p>
        </w:tc>
        <w:tc>
          <w:tcPr>
            <w:tcW w:w="304" w:type="pct"/>
            <w:tcBorders>
              <w:bottom w:val="nil"/>
            </w:tcBorders>
            <w:shd w:val="clear" w:color="auto" w:fill="auto"/>
            <w:tcMar>
              <w:left w:w="85" w:type="dxa"/>
              <w:right w:w="57" w:type="dxa"/>
            </w:tcMar>
          </w:tcPr>
          <w:p w14:paraId="273CD88D" w14:textId="77777777" w:rsidR="00F26568" w:rsidRPr="003978B4" w:rsidRDefault="00324184" w:rsidP="00F26568">
            <w:pPr>
              <w:pStyle w:val="TableText"/>
            </w:pPr>
            <w:r w:rsidRPr="003978B4">
              <w:t>32</w:t>
            </w:r>
          </w:p>
        </w:tc>
        <w:tc>
          <w:tcPr>
            <w:tcW w:w="304" w:type="pct"/>
            <w:tcBorders>
              <w:bottom w:val="nil"/>
            </w:tcBorders>
            <w:shd w:val="clear" w:color="auto" w:fill="auto"/>
            <w:tcMar>
              <w:left w:w="85" w:type="dxa"/>
              <w:right w:w="57" w:type="dxa"/>
            </w:tcMar>
          </w:tcPr>
          <w:p w14:paraId="273CD88E" w14:textId="77777777" w:rsidR="00F26568"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88F" w14:textId="77777777" w:rsidR="00F26568" w:rsidRPr="003978B4" w:rsidRDefault="00324184" w:rsidP="00F26568">
            <w:pPr>
              <w:pStyle w:val="TableText"/>
            </w:pPr>
            <w:r w:rsidRPr="003978B4">
              <w:t>30</w:t>
            </w:r>
          </w:p>
        </w:tc>
        <w:tc>
          <w:tcPr>
            <w:tcW w:w="430" w:type="pct"/>
            <w:shd w:val="clear" w:color="auto" w:fill="auto"/>
            <w:tcMar>
              <w:left w:w="85" w:type="dxa"/>
              <w:right w:w="57" w:type="dxa"/>
            </w:tcMar>
          </w:tcPr>
          <w:p w14:paraId="273CD890" w14:textId="77777777" w:rsidR="00F26568" w:rsidRPr="003978B4" w:rsidRDefault="00324184" w:rsidP="00F26568">
            <w:pPr>
              <w:pStyle w:val="TableText"/>
            </w:pPr>
            <w:r w:rsidRPr="003978B4">
              <w:t>28</w:t>
            </w:r>
          </w:p>
        </w:tc>
        <w:tc>
          <w:tcPr>
            <w:tcW w:w="621" w:type="pct"/>
            <w:shd w:val="clear" w:color="auto" w:fill="auto"/>
            <w:tcMar>
              <w:left w:w="85" w:type="dxa"/>
              <w:right w:w="57" w:type="dxa"/>
            </w:tcMar>
          </w:tcPr>
          <w:p w14:paraId="273CD891" w14:textId="77777777" w:rsidR="00F26568" w:rsidRPr="003978B4" w:rsidRDefault="00324184" w:rsidP="00F26568">
            <w:pPr>
              <w:pStyle w:val="TableText"/>
            </w:pPr>
            <w:r w:rsidRPr="003978B4">
              <w:rPr>
                <w:noProof/>
              </w:rPr>
              <w:t xml:space="preserve">van Dam et </w:t>
            </w:r>
            <w:r w:rsidRPr="003978B4">
              <w:rPr>
                <w:noProof/>
              </w:rPr>
              <w:t>al. (2016)</w:t>
            </w:r>
          </w:p>
        </w:tc>
      </w:tr>
      <w:tr w:rsidR="00091AEB" w14:paraId="273CD897" w14:textId="77777777" w:rsidTr="00375885">
        <w:trPr>
          <w:cantSplit/>
        </w:trPr>
        <w:tc>
          <w:tcPr>
            <w:tcW w:w="506" w:type="pct"/>
            <w:vMerge/>
            <w:shd w:val="clear" w:color="auto" w:fill="auto"/>
            <w:tcMar>
              <w:left w:w="85" w:type="dxa"/>
              <w:right w:w="57" w:type="dxa"/>
            </w:tcMar>
          </w:tcPr>
          <w:p w14:paraId="273CD893"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894"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895" w14:textId="77777777" w:rsidR="00F26568" w:rsidRPr="00275044" w:rsidRDefault="00324184" w:rsidP="00F26568">
            <w:pPr>
              <w:pStyle w:val="TableText"/>
              <w:rPr>
                <w:b/>
                <w:bCs/>
              </w:rPr>
            </w:pPr>
            <w:r w:rsidRPr="00275044">
              <w:rPr>
                <w:b/>
                <w:bCs/>
              </w:rPr>
              <w:t>28</w:t>
            </w:r>
          </w:p>
        </w:tc>
        <w:tc>
          <w:tcPr>
            <w:tcW w:w="621" w:type="pct"/>
            <w:shd w:val="clear" w:color="auto" w:fill="auto"/>
            <w:tcMar>
              <w:left w:w="85" w:type="dxa"/>
              <w:right w:w="57" w:type="dxa"/>
            </w:tcMar>
          </w:tcPr>
          <w:p w14:paraId="273CD896" w14:textId="77777777" w:rsidR="00F26568" w:rsidRPr="00275044" w:rsidRDefault="00324184" w:rsidP="00F26568">
            <w:pPr>
              <w:pStyle w:val="TableText"/>
              <w:rPr>
                <w:b/>
                <w:bCs/>
              </w:rPr>
            </w:pPr>
            <w:r w:rsidRPr="00275044">
              <w:rPr>
                <w:b/>
                <w:bCs/>
              </w:rPr>
              <w:t>Value used in SSD</w:t>
            </w:r>
          </w:p>
        </w:tc>
      </w:tr>
      <w:tr w:rsidR="00091AEB" w14:paraId="273CD8A2" w14:textId="77777777" w:rsidTr="00375885">
        <w:trPr>
          <w:cantSplit/>
        </w:trPr>
        <w:tc>
          <w:tcPr>
            <w:tcW w:w="506" w:type="pct"/>
            <w:vMerge/>
            <w:shd w:val="clear" w:color="auto" w:fill="auto"/>
            <w:tcMar>
              <w:left w:w="85" w:type="dxa"/>
              <w:right w:w="57" w:type="dxa"/>
            </w:tcMar>
          </w:tcPr>
          <w:p w14:paraId="273CD898" w14:textId="77777777" w:rsidR="00F26568" w:rsidRPr="003978B4" w:rsidRDefault="00F26568" w:rsidP="00F26568">
            <w:pPr>
              <w:pStyle w:val="TableText"/>
            </w:pPr>
          </w:p>
        </w:tc>
        <w:tc>
          <w:tcPr>
            <w:tcW w:w="709" w:type="pct"/>
            <w:tcBorders>
              <w:bottom w:val="nil"/>
            </w:tcBorders>
            <w:shd w:val="clear" w:color="auto" w:fill="auto"/>
            <w:tcMar>
              <w:left w:w="85" w:type="dxa"/>
              <w:right w:w="57" w:type="dxa"/>
            </w:tcMar>
          </w:tcPr>
          <w:p w14:paraId="273CD899" w14:textId="77777777" w:rsidR="00F26568" w:rsidRPr="00254919" w:rsidRDefault="00324184" w:rsidP="00F26568">
            <w:pPr>
              <w:pStyle w:val="TableText"/>
            </w:pPr>
            <w:r w:rsidRPr="00A616D8">
              <w:rPr>
                <w:rStyle w:val="Emphasis"/>
              </w:rPr>
              <w:t>Haliotis iris</w:t>
            </w:r>
          </w:p>
        </w:tc>
        <w:tc>
          <w:tcPr>
            <w:tcW w:w="607" w:type="pct"/>
            <w:tcBorders>
              <w:bottom w:val="nil"/>
            </w:tcBorders>
            <w:shd w:val="clear" w:color="auto" w:fill="auto"/>
            <w:tcMar>
              <w:left w:w="85" w:type="dxa"/>
              <w:right w:w="57" w:type="dxa"/>
            </w:tcMar>
          </w:tcPr>
          <w:p w14:paraId="273CD89A" w14:textId="77777777" w:rsidR="00F26568" w:rsidRPr="003978B4" w:rsidRDefault="00324184" w:rsidP="00F26568">
            <w:pPr>
              <w:pStyle w:val="TableText"/>
            </w:pPr>
            <w:r w:rsidRPr="003978B4">
              <w:t>Larva</w:t>
            </w:r>
          </w:p>
        </w:tc>
        <w:tc>
          <w:tcPr>
            <w:tcW w:w="405" w:type="pct"/>
            <w:tcBorders>
              <w:bottom w:val="nil"/>
            </w:tcBorders>
            <w:shd w:val="clear" w:color="auto" w:fill="auto"/>
            <w:tcMar>
              <w:left w:w="85" w:type="dxa"/>
              <w:right w:w="57" w:type="dxa"/>
            </w:tcMar>
          </w:tcPr>
          <w:p w14:paraId="273CD89B" w14:textId="77777777" w:rsidR="00F26568" w:rsidRPr="003978B4" w:rsidRDefault="00324184" w:rsidP="00F26568">
            <w:pPr>
              <w:pStyle w:val="TableText"/>
            </w:pPr>
            <w:r w:rsidRPr="003978B4">
              <w:t>3</w:t>
            </w:r>
          </w:p>
        </w:tc>
        <w:tc>
          <w:tcPr>
            <w:tcW w:w="709" w:type="pct"/>
            <w:tcBorders>
              <w:bottom w:val="nil"/>
            </w:tcBorders>
            <w:shd w:val="clear" w:color="auto" w:fill="auto"/>
            <w:tcMar>
              <w:left w:w="85" w:type="dxa"/>
              <w:right w:w="57" w:type="dxa"/>
            </w:tcMar>
          </w:tcPr>
          <w:p w14:paraId="273CD89C" w14:textId="77777777" w:rsidR="00F26568" w:rsidRPr="003978B4" w:rsidRDefault="00324184" w:rsidP="004457D8">
            <w:pPr>
              <w:pStyle w:val="TableText"/>
            </w:pPr>
            <w:r w:rsidRPr="003978B4">
              <w:t>EC10</w:t>
            </w:r>
            <w:r>
              <w:t xml:space="preserve"> </w:t>
            </w:r>
            <w:r w:rsidR="006C4BAD">
              <w:br/>
            </w:r>
            <w:r w:rsidRPr="003978B4">
              <w:t>(Development)</w:t>
            </w:r>
          </w:p>
        </w:tc>
        <w:tc>
          <w:tcPr>
            <w:tcW w:w="304" w:type="pct"/>
            <w:tcBorders>
              <w:bottom w:val="nil"/>
            </w:tcBorders>
            <w:shd w:val="clear" w:color="auto" w:fill="auto"/>
            <w:tcMar>
              <w:left w:w="85" w:type="dxa"/>
              <w:right w:w="57" w:type="dxa"/>
            </w:tcMar>
          </w:tcPr>
          <w:p w14:paraId="273CD89D" w14:textId="77777777" w:rsidR="00F26568" w:rsidRPr="003978B4" w:rsidRDefault="00324184" w:rsidP="00F26568">
            <w:pPr>
              <w:pStyle w:val="TableText"/>
            </w:pPr>
            <w:r w:rsidRPr="003978B4">
              <w:t>34</w:t>
            </w:r>
          </w:p>
        </w:tc>
        <w:tc>
          <w:tcPr>
            <w:tcW w:w="304" w:type="pct"/>
            <w:tcBorders>
              <w:bottom w:val="nil"/>
            </w:tcBorders>
            <w:shd w:val="clear" w:color="auto" w:fill="auto"/>
            <w:tcMar>
              <w:left w:w="85" w:type="dxa"/>
              <w:right w:w="57" w:type="dxa"/>
            </w:tcMar>
          </w:tcPr>
          <w:p w14:paraId="273CD89E" w14:textId="77777777" w:rsidR="00F26568"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89F" w14:textId="77777777" w:rsidR="00F26568" w:rsidRPr="003978B4" w:rsidRDefault="00324184" w:rsidP="00F26568">
            <w:pPr>
              <w:pStyle w:val="TableText"/>
            </w:pPr>
            <w:r w:rsidRPr="003978B4">
              <w:t>14</w:t>
            </w:r>
          </w:p>
        </w:tc>
        <w:tc>
          <w:tcPr>
            <w:tcW w:w="430" w:type="pct"/>
            <w:shd w:val="clear" w:color="auto" w:fill="auto"/>
            <w:tcMar>
              <w:left w:w="85" w:type="dxa"/>
              <w:right w:w="57" w:type="dxa"/>
            </w:tcMar>
          </w:tcPr>
          <w:p w14:paraId="273CD8A0" w14:textId="77777777" w:rsidR="00F26568" w:rsidRPr="003978B4" w:rsidRDefault="00324184" w:rsidP="00F26568">
            <w:pPr>
              <w:pStyle w:val="TableText"/>
            </w:pPr>
            <w:r w:rsidRPr="003978B4">
              <w:t>0.7</w:t>
            </w:r>
          </w:p>
        </w:tc>
        <w:tc>
          <w:tcPr>
            <w:tcW w:w="621" w:type="pct"/>
            <w:shd w:val="clear" w:color="auto" w:fill="auto"/>
            <w:tcMar>
              <w:left w:w="85" w:type="dxa"/>
              <w:right w:w="57" w:type="dxa"/>
            </w:tcMar>
          </w:tcPr>
          <w:p w14:paraId="273CD8A1" w14:textId="77777777" w:rsidR="00F26568" w:rsidRPr="003978B4" w:rsidRDefault="00324184" w:rsidP="00F26568">
            <w:pPr>
              <w:pStyle w:val="TableText"/>
            </w:pPr>
            <w:r w:rsidRPr="003978B4">
              <w:rPr>
                <w:noProof/>
              </w:rPr>
              <w:t>Rouchon (2015)</w:t>
            </w:r>
          </w:p>
        </w:tc>
      </w:tr>
      <w:tr w:rsidR="00091AEB" w14:paraId="273CD8A7" w14:textId="77777777" w:rsidTr="00375885">
        <w:trPr>
          <w:cantSplit/>
        </w:trPr>
        <w:tc>
          <w:tcPr>
            <w:tcW w:w="506" w:type="pct"/>
            <w:vMerge/>
            <w:shd w:val="clear" w:color="auto" w:fill="auto"/>
            <w:tcMar>
              <w:left w:w="85" w:type="dxa"/>
              <w:right w:w="57" w:type="dxa"/>
            </w:tcMar>
          </w:tcPr>
          <w:p w14:paraId="273CD8A3"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8A4"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8A5" w14:textId="77777777" w:rsidR="00F26568" w:rsidRPr="00275044" w:rsidRDefault="00324184" w:rsidP="00F26568">
            <w:pPr>
              <w:pStyle w:val="TableText"/>
              <w:rPr>
                <w:b/>
                <w:bCs/>
              </w:rPr>
            </w:pPr>
            <w:r w:rsidRPr="00275044">
              <w:rPr>
                <w:b/>
                <w:bCs/>
              </w:rPr>
              <w:t>0.7</w:t>
            </w:r>
          </w:p>
        </w:tc>
        <w:tc>
          <w:tcPr>
            <w:tcW w:w="621" w:type="pct"/>
            <w:shd w:val="clear" w:color="auto" w:fill="auto"/>
            <w:tcMar>
              <w:left w:w="85" w:type="dxa"/>
              <w:right w:w="57" w:type="dxa"/>
            </w:tcMar>
          </w:tcPr>
          <w:p w14:paraId="273CD8A6" w14:textId="77777777" w:rsidR="00F26568" w:rsidRPr="00275044" w:rsidRDefault="00324184" w:rsidP="00F26568">
            <w:pPr>
              <w:pStyle w:val="TableText"/>
              <w:rPr>
                <w:b/>
                <w:bCs/>
              </w:rPr>
            </w:pPr>
            <w:r w:rsidRPr="00275044">
              <w:rPr>
                <w:b/>
                <w:bCs/>
              </w:rPr>
              <w:t>Value used in SSD</w:t>
            </w:r>
          </w:p>
        </w:tc>
      </w:tr>
      <w:tr w:rsidR="00091AEB" w14:paraId="273CD8B2" w14:textId="77777777" w:rsidTr="00375885">
        <w:trPr>
          <w:cantSplit/>
        </w:trPr>
        <w:tc>
          <w:tcPr>
            <w:tcW w:w="506" w:type="pct"/>
            <w:vMerge/>
            <w:shd w:val="clear" w:color="auto" w:fill="auto"/>
            <w:tcMar>
              <w:left w:w="85" w:type="dxa"/>
              <w:right w:w="57" w:type="dxa"/>
            </w:tcMar>
          </w:tcPr>
          <w:p w14:paraId="273CD8A8" w14:textId="77777777" w:rsidR="00F26568" w:rsidRPr="003978B4" w:rsidRDefault="00F26568" w:rsidP="00F26568">
            <w:pPr>
              <w:pStyle w:val="TableText"/>
            </w:pPr>
          </w:p>
        </w:tc>
        <w:tc>
          <w:tcPr>
            <w:tcW w:w="709" w:type="pct"/>
            <w:tcBorders>
              <w:bottom w:val="nil"/>
            </w:tcBorders>
            <w:shd w:val="clear" w:color="auto" w:fill="auto"/>
            <w:tcMar>
              <w:left w:w="85" w:type="dxa"/>
              <w:right w:w="57" w:type="dxa"/>
            </w:tcMar>
          </w:tcPr>
          <w:p w14:paraId="273CD8A9" w14:textId="77777777" w:rsidR="00F26568" w:rsidRPr="00254919" w:rsidRDefault="00324184" w:rsidP="00F26568">
            <w:pPr>
              <w:pStyle w:val="TableText"/>
            </w:pPr>
            <w:r w:rsidRPr="00A616D8">
              <w:rPr>
                <w:rStyle w:val="Emphasis"/>
              </w:rPr>
              <w:t>Mimachlamys asperrima</w:t>
            </w:r>
          </w:p>
        </w:tc>
        <w:tc>
          <w:tcPr>
            <w:tcW w:w="607" w:type="pct"/>
            <w:tcBorders>
              <w:bottom w:val="nil"/>
            </w:tcBorders>
            <w:shd w:val="clear" w:color="auto" w:fill="auto"/>
            <w:tcMar>
              <w:left w:w="85" w:type="dxa"/>
              <w:right w:w="57" w:type="dxa"/>
            </w:tcMar>
          </w:tcPr>
          <w:p w14:paraId="273CD8AA" w14:textId="77777777" w:rsidR="00F26568" w:rsidRPr="003978B4" w:rsidRDefault="00324184" w:rsidP="00F26568">
            <w:pPr>
              <w:pStyle w:val="TableText"/>
            </w:pPr>
            <w:r w:rsidRPr="003978B4">
              <w:t>Larva</w:t>
            </w:r>
          </w:p>
        </w:tc>
        <w:tc>
          <w:tcPr>
            <w:tcW w:w="405" w:type="pct"/>
            <w:tcBorders>
              <w:bottom w:val="nil"/>
            </w:tcBorders>
            <w:shd w:val="clear" w:color="auto" w:fill="auto"/>
            <w:tcMar>
              <w:left w:w="85" w:type="dxa"/>
              <w:right w:w="57" w:type="dxa"/>
            </w:tcMar>
          </w:tcPr>
          <w:p w14:paraId="273CD8AB" w14:textId="77777777" w:rsidR="00F26568" w:rsidRPr="003978B4" w:rsidRDefault="00324184" w:rsidP="00F26568">
            <w:pPr>
              <w:pStyle w:val="TableText"/>
            </w:pPr>
            <w:r w:rsidRPr="003978B4">
              <w:t>2</w:t>
            </w:r>
          </w:p>
        </w:tc>
        <w:tc>
          <w:tcPr>
            <w:tcW w:w="709" w:type="pct"/>
            <w:tcBorders>
              <w:bottom w:val="nil"/>
            </w:tcBorders>
            <w:shd w:val="clear" w:color="auto" w:fill="auto"/>
            <w:tcMar>
              <w:left w:w="85" w:type="dxa"/>
              <w:right w:w="57" w:type="dxa"/>
            </w:tcMar>
          </w:tcPr>
          <w:p w14:paraId="273CD8AC" w14:textId="77777777" w:rsidR="00F26568" w:rsidRPr="003978B4" w:rsidRDefault="00324184" w:rsidP="004457D8">
            <w:pPr>
              <w:pStyle w:val="TableText"/>
            </w:pPr>
            <w:r w:rsidRPr="003978B4">
              <w:t>NOEC</w:t>
            </w:r>
            <w:r>
              <w:t xml:space="preserve"> </w:t>
            </w:r>
            <w:r w:rsidR="006C4BAD">
              <w:br/>
            </w:r>
            <w:r w:rsidRPr="003978B4">
              <w:t>(Development)</w:t>
            </w:r>
          </w:p>
        </w:tc>
        <w:tc>
          <w:tcPr>
            <w:tcW w:w="304" w:type="pct"/>
            <w:tcBorders>
              <w:bottom w:val="nil"/>
            </w:tcBorders>
            <w:shd w:val="clear" w:color="auto" w:fill="auto"/>
            <w:tcMar>
              <w:left w:w="85" w:type="dxa"/>
              <w:right w:w="57" w:type="dxa"/>
            </w:tcMar>
          </w:tcPr>
          <w:p w14:paraId="273CD8AD" w14:textId="77777777" w:rsidR="00F26568" w:rsidRPr="003978B4" w:rsidRDefault="00324184" w:rsidP="00F26568">
            <w:pPr>
              <w:pStyle w:val="TableText"/>
            </w:pPr>
            <w:r w:rsidRPr="003978B4">
              <w:t>33</w:t>
            </w:r>
          </w:p>
        </w:tc>
        <w:tc>
          <w:tcPr>
            <w:tcW w:w="304" w:type="pct"/>
            <w:tcBorders>
              <w:bottom w:val="nil"/>
            </w:tcBorders>
            <w:shd w:val="clear" w:color="auto" w:fill="auto"/>
            <w:tcMar>
              <w:left w:w="85" w:type="dxa"/>
              <w:right w:w="57" w:type="dxa"/>
            </w:tcMar>
          </w:tcPr>
          <w:p w14:paraId="273CD8AE" w14:textId="77777777" w:rsidR="00F26568"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8AF" w14:textId="77777777" w:rsidR="00F26568" w:rsidRPr="003978B4" w:rsidRDefault="00324184" w:rsidP="00F26568">
            <w:pPr>
              <w:pStyle w:val="TableText"/>
            </w:pPr>
            <w:r w:rsidRPr="003978B4">
              <w:t>18</w:t>
            </w:r>
          </w:p>
        </w:tc>
        <w:tc>
          <w:tcPr>
            <w:tcW w:w="430" w:type="pct"/>
            <w:shd w:val="clear" w:color="auto" w:fill="auto"/>
            <w:tcMar>
              <w:left w:w="85" w:type="dxa"/>
              <w:right w:w="57" w:type="dxa"/>
            </w:tcMar>
          </w:tcPr>
          <w:p w14:paraId="273CD8B0" w14:textId="77777777" w:rsidR="00F26568" w:rsidRPr="003978B4" w:rsidRDefault="00324184" w:rsidP="00F26568">
            <w:pPr>
              <w:pStyle w:val="TableText"/>
            </w:pPr>
            <w:r w:rsidRPr="003978B4">
              <w:t>2</w:t>
            </w:r>
          </w:p>
        </w:tc>
        <w:tc>
          <w:tcPr>
            <w:tcW w:w="621" w:type="pct"/>
            <w:shd w:val="clear" w:color="auto" w:fill="auto"/>
            <w:tcMar>
              <w:left w:w="85" w:type="dxa"/>
              <w:right w:w="57" w:type="dxa"/>
            </w:tcMar>
          </w:tcPr>
          <w:p w14:paraId="273CD8B1" w14:textId="77777777" w:rsidR="00F26568" w:rsidRPr="003978B4" w:rsidRDefault="00324184" w:rsidP="00F26568">
            <w:pPr>
              <w:pStyle w:val="TableText"/>
            </w:pPr>
            <w:r w:rsidRPr="003978B4">
              <w:rPr>
                <w:noProof/>
              </w:rPr>
              <w:t>Krassoi et al. (1997)</w:t>
            </w:r>
          </w:p>
        </w:tc>
      </w:tr>
      <w:tr w:rsidR="00091AEB" w14:paraId="273CD8B7" w14:textId="77777777" w:rsidTr="00375885">
        <w:trPr>
          <w:cantSplit/>
        </w:trPr>
        <w:tc>
          <w:tcPr>
            <w:tcW w:w="506" w:type="pct"/>
            <w:vMerge/>
            <w:shd w:val="clear" w:color="auto" w:fill="auto"/>
            <w:tcMar>
              <w:left w:w="85" w:type="dxa"/>
              <w:right w:w="57" w:type="dxa"/>
            </w:tcMar>
          </w:tcPr>
          <w:p w14:paraId="273CD8B3"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8B4"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8B5" w14:textId="77777777" w:rsidR="00F26568" w:rsidRPr="00275044" w:rsidRDefault="00324184" w:rsidP="00F26568">
            <w:pPr>
              <w:pStyle w:val="TableText"/>
              <w:rPr>
                <w:b/>
                <w:bCs/>
              </w:rPr>
            </w:pPr>
            <w:r w:rsidRPr="00275044">
              <w:rPr>
                <w:b/>
                <w:bCs/>
              </w:rPr>
              <w:t>2</w:t>
            </w:r>
          </w:p>
        </w:tc>
        <w:tc>
          <w:tcPr>
            <w:tcW w:w="621" w:type="pct"/>
            <w:shd w:val="clear" w:color="auto" w:fill="auto"/>
            <w:tcMar>
              <w:left w:w="85" w:type="dxa"/>
              <w:right w:w="57" w:type="dxa"/>
            </w:tcMar>
          </w:tcPr>
          <w:p w14:paraId="273CD8B6" w14:textId="77777777" w:rsidR="00F26568" w:rsidRPr="00275044" w:rsidRDefault="00324184" w:rsidP="00F26568">
            <w:pPr>
              <w:pStyle w:val="TableText"/>
              <w:rPr>
                <w:b/>
                <w:bCs/>
              </w:rPr>
            </w:pPr>
            <w:r w:rsidRPr="00275044">
              <w:rPr>
                <w:b/>
                <w:bCs/>
              </w:rPr>
              <w:t>Value used in SSD</w:t>
            </w:r>
          </w:p>
        </w:tc>
      </w:tr>
      <w:tr w:rsidR="00091AEB" w14:paraId="273CD8C2" w14:textId="77777777" w:rsidTr="00375885">
        <w:trPr>
          <w:cantSplit/>
        </w:trPr>
        <w:tc>
          <w:tcPr>
            <w:tcW w:w="506" w:type="pct"/>
            <w:vMerge/>
            <w:shd w:val="clear" w:color="auto" w:fill="auto"/>
            <w:tcMar>
              <w:left w:w="85" w:type="dxa"/>
              <w:right w:w="57" w:type="dxa"/>
            </w:tcMar>
          </w:tcPr>
          <w:p w14:paraId="273CD8B8" w14:textId="77777777" w:rsidR="00F26568" w:rsidRPr="003978B4" w:rsidRDefault="00F26568" w:rsidP="00F26568">
            <w:pPr>
              <w:pStyle w:val="TableText"/>
            </w:pPr>
          </w:p>
        </w:tc>
        <w:tc>
          <w:tcPr>
            <w:tcW w:w="709" w:type="pct"/>
            <w:vMerge w:val="restart"/>
            <w:shd w:val="clear" w:color="auto" w:fill="auto"/>
            <w:tcMar>
              <w:left w:w="85" w:type="dxa"/>
              <w:right w:w="57" w:type="dxa"/>
            </w:tcMar>
          </w:tcPr>
          <w:p w14:paraId="273CD8B9" w14:textId="77777777" w:rsidR="00F26568" w:rsidRPr="00254919" w:rsidRDefault="00324184" w:rsidP="00F26568">
            <w:pPr>
              <w:pStyle w:val="TableText"/>
            </w:pPr>
            <w:r w:rsidRPr="00A616D8">
              <w:rPr>
                <w:rStyle w:val="Emphasis"/>
              </w:rPr>
              <w:t>Mytilus galloprovincialis</w:t>
            </w:r>
          </w:p>
        </w:tc>
        <w:tc>
          <w:tcPr>
            <w:tcW w:w="607" w:type="pct"/>
            <w:shd w:val="clear" w:color="auto" w:fill="auto"/>
            <w:tcMar>
              <w:left w:w="85" w:type="dxa"/>
              <w:right w:w="57" w:type="dxa"/>
            </w:tcMar>
          </w:tcPr>
          <w:p w14:paraId="273CD8BA" w14:textId="77777777" w:rsidR="00F26568" w:rsidRPr="003978B4" w:rsidRDefault="00324184" w:rsidP="00F26568">
            <w:pPr>
              <w:pStyle w:val="TableText"/>
            </w:pPr>
            <w:r w:rsidRPr="003978B4">
              <w:t>Embryo</w:t>
            </w:r>
          </w:p>
        </w:tc>
        <w:tc>
          <w:tcPr>
            <w:tcW w:w="405" w:type="pct"/>
            <w:shd w:val="clear" w:color="auto" w:fill="auto"/>
            <w:tcMar>
              <w:left w:w="85" w:type="dxa"/>
              <w:right w:w="57" w:type="dxa"/>
            </w:tcMar>
          </w:tcPr>
          <w:p w14:paraId="273CD8BB" w14:textId="77777777" w:rsidR="00F26568" w:rsidRPr="003978B4" w:rsidRDefault="00324184" w:rsidP="00F26568">
            <w:pPr>
              <w:pStyle w:val="TableText"/>
            </w:pPr>
            <w:r w:rsidRPr="003978B4">
              <w:t>2</w:t>
            </w:r>
          </w:p>
        </w:tc>
        <w:tc>
          <w:tcPr>
            <w:tcW w:w="709" w:type="pct"/>
            <w:shd w:val="clear" w:color="auto" w:fill="auto"/>
            <w:tcMar>
              <w:left w:w="85" w:type="dxa"/>
              <w:right w:w="57" w:type="dxa"/>
            </w:tcMar>
          </w:tcPr>
          <w:p w14:paraId="273CD8BC" w14:textId="77777777" w:rsidR="00F26568" w:rsidRPr="003978B4" w:rsidRDefault="00324184" w:rsidP="004457D8">
            <w:pPr>
              <w:pStyle w:val="TableText"/>
            </w:pPr>
            <w:r w:rsidRPr="003978B4">
              <w:t>EC10</w:t>
            </w:r>
            <w:r>
              <w:t xml:space="preserve"> </w:t>
            </w:r>
            <w:r w:rsidR="006C4BAD">
              <w:br/>
            </w:r>
            <w:r w:rsidRPr="003978B4">
              <w:t>(Development)</w:t>
            </w:r>
          </w:p>
        </w:tc>
        <w:tc>
          <w:tcPr>
            <w:tcW w:w="304" w:type="pct"/>
            <w:shd w:val="clear" w:color="auto" w:fill="auto"/>
            <w:tcMar>
              <w:left w:w="85" w:type="dxa"/>
              <w:right w:w="57" w:type="dxa"/>
            </w:tcMar>
          </w:tcPr>
          <w:p w14:paraId="273CD8BD" w14:textId="77777777" w:rsidR="00F26568" w:rsidRPr="003978B4" w:rsidRDefault="00324184" w:rsidP="00F26568">
            <w:pPr>
              <w:pStyle w:val="TableText"/>
            </w:pPr>
            <w:r w:rsidRPr="003978B4">
              <w:t>30</w:t>
            </w:r>
          </w:p>
        </w:tc>
        <w:tc>
          <w:tcPr>
            <w:tcW w:w="304" w:type="pct"/>
            <w:shd w:val="clear" w:color="auto" w:fill="auto"/>
            <w:tcMar>
              <w:left w:w="85" w:type="dxa"/>
              <w:right w:w="57" w:type="dxa"/>
            </w:tcMar>
          </w:tcPr>
          <w:p w14:paraId="273CD8BE" w14:textId="77777777" w:rsidR="00F26568" w:rsidRPr="003978B4" w:rsidRDefault="00324184" w:rsidP="00F26568">
            <w:pPr>
              <w:pStyle w:val="TableText"/>
            </w:pPr>
            <w:r w:rsidRPr="003978B4">
              <w:t>1.0</w:t>
            </w:r>
          </w:p>
        </w:tc>
        <w:tc>
          <w:tcPr>
            <w:tcW w:w="405" w:type="pct"/>
            <w:shd w:val="clear" w:color="auto" w:fill="auto"/>
            <w:tcMar>
              <w:left w:w="85" w:type="dxa"/>
              <w:right w:w="57" w:type="dxa"/>
            </w:tcMar>
          </w:tcPr>
          <w:p w14:paraId="273CD8BF" w14:textId="77777777" w:rsidR="00F26568" w:rsidRPr="003978B4" w:rsidRDefault="00324184" w:rsidP="00F26568">
            <w:pPr>
              <w:pStyle w:val="TableText"/>
            </w:pPr>
            <w:r w:rsidRPr="003978B4">
              <w:t>22</w:t>
            </w:r>
          </w:p>
        </w:tc>
        <w:tc>
          <w:tcPr>
            <w:tcW w:w="430" w:type="pct"/>
            <w:shd w:val="clear" w:color="auto" w:fill="auto"/>
            <w:tcMar>
              <w:left w:w="85" w:type="dxa"/>
              <w:right w:w="57" w:type="dxa"/>
            </w:tcMar>
          </w:tcPr>
          <w:p w14:paraId="273CD8C0" w14:textId="77777777" w:rsidR="00F26568" w:rsidRPr="003978B4" w:rsidRDefault="00324184" w:rsidP="00F26568">
            <w:pPr>
              <w:pStyle w:val="TableText"/>
            </w:pPr>
            <w:r w:rsidRPr="003978B4">
              <w:t>7.2</w:t>
            </w:r>
          </w:p>
        </w:tc>
        <w:tc>
          <w:tcPr>
            <w:tcW w:w="621" w:type="pct"/>
            <w:shd w:val="clear" w:color="auto" w:fill="auto"/>
            <w:tcMar>
              <w:left w:w="85" w:type="dxa"/>
              <w:right w:w="57" w:type="dxa"/>
            </w:tcMar>
          </w:tcPr>
          <w:p w14:paraId="273CD8C1" w14:textId="77777777" w:rsidR="00F26568" w:rsidRPr="003978B4" w:rsidRDefault="00324184" w:rsidP="00F26568">
            <w:pPr>
              <w:pStyle w:val="TableText"/>
            </w:pPr>
            <w:r w:rsidRPr="003978B4">
              <w:rPr>
                <w:noProof/>
              </w:rPr>
              <w:t>Zitoun et al. (2019)</w:t>
            </w:r>
          </w:p>
        </w:tc>
      </w:tr>
      <w:tr w:rsidR="00091AEB" w14:paraId="273CD8CD" w14:textId="77777777" w:rsidTr="00375885">
        <w:trPr>
          <w:cantSplit/>
        </w:trPr>
        <w:tc>
          <w:tcPr>
            <w:tcW w:w="506" w:type="pct"/>
            <w:vMerge/>
            <w:shd w:val="clear" w:color="auto" w:fill="auto"/>
            <w:tcMar>
              <w:left w:w="85" w:type="dxa"/>
              <w:right w:w="57" w:type="dxa"/>
            </w:tcMar>
          </w:tcPr>
          <w:p w14:paraId="273CD8C3" w14:textId="77777777" w:rsidR="00F26568" w:rsidRPr="003978B4" w:rsidRDefault="00F26568" w:rsidP="00F26568">
            <w:pPr>
              <w:pStyle w:val="TableText"/>
            </w:pPr>
          </w:p>
        </w:tc>
        <w:tc>
          <w:tcPr>
            <w:tcW w:w="709" w:type="pct"/>
            <w:vMerge/>
            <w:shd w:val="clear" w:color="auto" w:fill="auto"/>
            <w:tcMar>
              <w:left w:w="85" w:type="dxa"/>
              <w:right w:w="57" w:type="dxa"/>
            </w:tcMar>
          </w:tcPr>
          <w:p w14:paraId="273CD8C4" w14:textId="77777777" w:rsidR="00F26568" w:rsidRPr="00254919" w:rsidRDefault="00F26568" w:rsidP="00F26568">
            <w:pPr>
              <w:pStyle w:val="TableText"/>
            </w:pPr>
          </w:p>
        </w:tc>
        <w:tc>
          <w:tcPr>
            <w:tcW w:w="607" w:type="pct"/>
            <w:shd w:val="clear" w:color="auto" w:fill="auto"/>
            <w:tcMar>
              <w:left w:w="85" w:type="dxa"/>
              <w:right w:w="57" w:type="dxa"/>
            </w:tcMar>
          </w:tcPr>
          <w:p w14:paraId="273CD8C5" w14:textId="77777777" w:rsidR="00F26568" w:rsidRPr="003978B4" w:rsidRDefault="00324184" w:rsidP="00F26568">
            <w:pPr>
              <w:pStyle w:val="TableText"/>
            </w:pPr>
            <w:r w:rsidRPr="003978B4">
              <w:t>Embryo</w:t>
            </w:r>
          </w:p>
        </w:tc>
        <w:tc>
          <w:tcPr>
            <w:tcW w:w="405" w:type="pct"/>
            <w:shd w:val="clear" w:color="auto" w:fill="auto"/>
            <w:tcMar>
              <w:left w:w="85" w:type="dxa"/>
              <w:right w:w="57" w:type="dxa"/>
            </w:tcMar>
          </w:tcPr>
          <w:p w14:paraId="273CD8C6" w14:textId="77777777" w:rsidR="00F26568" w:rsidRPr="003978B4" w:rsidRDefault="00324184" w:rsidP="00F26568">
            <w:pPr>
              <w:pStyle w:val="TableText"/>
            </w:pPr>
            <w:r w:rsidRPr="003978B4">
              <w:t>2</w:t>
            </w:r>
          </w:p>
        </w:tc>
        <w:tc>
          <w:tcPr>
            <w:tcW w:w="709" w:type="pct"/>
            <w:shd w:val="clear" w:color="auto" w:fill="auto"/>
            <w:tcMar>
              <w:left w:w="85" w:type="dxa"/>
              <w:right w:w="57" w:type="dxa"/>
            </w:tcMar>
          </w:tcPr>
          <w:p w14:paraId="273CD8C7" w14:textId="77777777" w:rsidR="00F26568" w:rsidRPr="003978B4" w:rsidRDefault="00324184" w:rsidP="004457D8">
            <w:pPr>
              <w:pStyle w:val="TableText"/>
            </w:pPr>
            <w:r w:rsidRPr="003978B4">
              <w:t>EC10</w:t>
            </w:r>
            <w:r>
              <w:t xml:space="preserve"> </w:t>
            </w:r>
            <w:r w:rsidR="006C4BAD">
              <w:br/>
            </w:r>
            <w:r w:rsidRPr="003978B4">
              <w:t>(Development)</w:t>
            </w:r>
          </w:p>
        </w:tc>
        <w:tc>
          <w:tcPr>
            <w:tcW w:w="304" w:type="pct"/>
            <w:shd w:val="clear" w:color="auto" w:fill="auto"/>
            <w:tcMar>
              <w:left w:w="85" w:type="dxa"/>
              <w:right w:w="57" w:type="dxa"/>
            </w:tcMar>
          </w:tcPr>
          <w:p w14:paraId="273CD8C8" w14:textId="77777777" w:rsidR="00F26568" w:rsidRPr="003978B4" w:rsidRDefault="00324184" w:rsidP="00F26568">
            <w:pPr>
              <w:pStyle w:val="TableText"/>
            </w:pPr>
            <w:r w:rsidRPr="003978B4">
              <w:t>30</w:t>
            </w:r>
          </w:p>
        </w:tc>
        <w:tc>
          <w:tcPr>
            <w:tcW w:w="304" w:type="pct"/>
            <w:shd w:val="clear" w:color="auto" w:fill="auto"/>
            <w:tcMar>
              <w:left w:w="85" w:type="dxa"/>
              <w:right w:w="57" w:type="dxa"/>
            </w:tcMar>
          </w:tcPr>
          <w:p w14:paraId="273CD8C9" w14:textId="77777777" w:rsidR="00F26568" w:rsidRPr="003978B4" w:rsidRDefault="00324184" w:rsidP="00F26568">
            <w:pPr>
              <w:pStyle w:val="TableText"/>
            </w:pPr>
            <w:r w:rsidRPr="003978B4">
              <w:t>1.9</w:t>
            </w:r>
          </w:p>
        </w:tc>
        <w:tc>
          <w:tcPr>
            <w:tcW w:w="405" w:type="pct"/>
            <w:shd w:val="clear" w:color="auto" w:fill="auto"/>
            <w:tcMar>
              <w:left w:w="85" w:type="dxa"/>
              <w:right w:w="57" w:type="dxa"/>
            </w:tcMar>
          </w:tcPr>
          <w:p w14:paraId="273CD8CA" w14:textId="77777777" w:rsidR="00F26568" w:rsidRPr="003978B4" w:rsidRDefault="00324184" w:rsidP="00F26568">
            <w:pPr>
              <w:pStyle w:val="TableText"/>
            </w:pPr>
            <w:r w:rsidRPr="003978B4">
              <w:t>22</w:t>
            </w:r>
          </w:p>
        </w:tc>
        <w:tc>
          <w:tcPr>
            <w:tcW w:w="430" w:type="pct"/>
            <w:shd w:val="clear" w:color="auto" w:fill="auto"/>
            <w:tcMar>
              <w:left w:w="85" w:type="dxa"/>
              <w:right w:w="57" w:type="dxa"/>
            </w:tcMar>
          </w:tcPr>
          <w:p w14:paraId="273CD8CB" w14:textId="77777777" w:rsidR="00F26568" w:rsidRPr="003978B4" w:rsidRDefault="00324184" w:rsidP="00F26568">
            <w:pPr>
              <w:pStyle w:val="TableText"/>
            </w:pPr>
            <w:r w:rsidRPr="003978B4">
              <w:t>8.8</w:t>
            </w:r>
          </w:p>
        </w:tc>
        <w:tc>
          <w:tcPr>
            <w:tcW w:w="621" w:type="pct"/>
            <w:shd w:val="clear" w:color="auto" w:fill="auto"/>
            <w:tcMar>
              <w:left w:w="85" w:type="dxa"/>
              <w:right w:w="57" w:type="dxa"/>
            </w:tcMar>
          </w:tcPr>
          <w:p w14:paraId="273CD8CC" w14:textId="77777777" w:rsidR="00F26568" w:rsidRPr="003978B4" w:rsidRDefault="00324184" w:rsidP="00F26568">
            <w:pPr>
              <w:pStyle w:val="TableText"/>
            </w:pPr>
            <w:r w:rsidRPr="003978B4">
              <w:rPr>
                <w:noProof/>
              </w:rPr>
              <w:t>Zitoun et al. (2019)</w:t>
            </w:r>
          </w:p>
        </w:tc>
      </w:tr>
      <w:tr w:rsidR="00091AEB" w14:paraId="273CD8D8" w14:textId="77777777" w:rsidTr="00375885">
        <w:trPr>
          <w:cantSplit/>
        </w:trPr>
        <w:tc>
          <w:tcPr>
            <w:tcW w:w="506" w:type="pct"/>
            <w:vMerge/>
            <w:shd w:val="clear" w:color="auto" w:fill="auto"/>
            <w:tcMar>
              <w:left w:w="85" w:type="dxa"/>
              <w:right w:w="57" w:type="dxa"/>
            </w:tcMar>
          </w:tcPr>
          <w:p w14:paraId="273CD8CE" w14:textId="77777777" w:rsidR="00F26568" w:rsidRPr="003978B4" w:rsidRDefault="00F26568" w:rsidP="00F26568">
            <w:pPr>
              <w:pStyle w:val="TableText"/>
            </w:pPr>
          </w:p>
        </w:tc>
        <w:tc>
          <w:tcPr>
            <w:tcW w:w="709" w:type="pct"/>
            <w:vMerge/>
            <w:shd w:val="clear" w:color="auto" w:fill="auto"/>
            <w:tcMar>
              <w:left w:w="85" w:type="dxa"/>
              <w:right w:w="57" w:type="dxa"/>
            </w:tcMar>
          </w:tcPr>
          <w:p w14:paraId="273CD8CF" w14:textId="77777777" w:rsidR="00F26568" w:rsidRPr="00254919" w:rsidRDefault="00F26568" w:rsidP="00F26568">
            <w:pPr>
              <w:pStyle w:val="TableText"/>
            </w:pPr>
          </w:p>
        </w:tc>
        <w:tc>
          <w:tcPr>
            <w:tcW w:w="607" w:type="pct"/>
            <w:shd w:val="clear" w:color="auto" w:fill="auto"/>
            <w:tcMar>
              <w:left w:w="85" w:type="dxa"/>
              <w:right w:w="57" w:type="dxa"/>
            </w:tcMar>
          </w:tcPr>
          <w:p w14:paraId="273CD8D0" w14:textId="77777777" w:rsidR="00F26568" w:rsidRPr="003978B4" w:rsidRDefault="00324184" w:rsidP="00F26568">
            <w:pPr>
              <w:pStyle w:val="TableText"/>
            </w:pPr>
            <w:r w:rsidRPr="003978B4">
              <w:t>Embryo</w:t>
            </w:r>
          </w:p>
        </w:tc>
        <w:tc>
          <w:tcPr>
            <w:tcW w:w="405" w:type="pct"/>
            <w:shd w:val="clear" w:color="auto" w:fill="auto"/>
            <w:tcMar>
              <w:left w:w="85" w:type="dxa"/>
              <w:right w:w="57" w:type="dxa"/>
            </w:tcMar>
          </w:tcPr>
          <w:p w14:paraId="273CD8D1" w14:textId="77777777" w:rsidR="00F26568" w:rsidRPr="003978B4" w:rsidRDefault="00324184" w:rsidP="00F26568">
            <w:pPr>
              <w:pStyle w:val="TableText"/>
            </w:pPr>
            <w:r w:rsidRPr="003978B4">
              <w:t>2</w:t>
            </w:r>
          </w:p>
        </w:tc>
        <w:tc>
          <w:tcPr>
            <w:tcW w:w="709" w:type="pct"/>
            <w:shd w:val="clear" w:color="auto" w:fill="auto"/>
            <w:tcMar>
              <w:left w:w="85" w:type="dxa"/>
              <w:right w:w="57" w:type="dxa"/>
            </w:tcMar>
          </w:tcPr>
          <w:p w14:paraId="273CD8D2" w14:textId="77777777" w:rsidR="00F26568" w:rsidRPr="003978B4" w:rsidRDefault="00324184" w:rsidP="004457D8">
            <w:pPr>
              <w:pStyle w:val="TableText"/>
            </w:pPr>
            <w:r w:rsidRPr="003978B4">
              <w:t>EC10</w:t>
            </w:r>
            <w:r>
              <w:t xml:space="preserve"> </w:t>
            </w:r>
            <w:r w:rsidR="006C4BAD">
              <w:br/>
            </w:r>
            <w:r w:rsidRPr="003978B4">
              <w:t>(Development)</w:t>
            </w:r>
          </w:p>
        </w:tc>
        <w:tc>
          <w:tcPr>
            <w:tcW w:w="304" w:type="pct"/>
            <w:shd w:val="clear" w:color="auto" w:fill="auto"/>
            <w:tcMar>
              <w:left w:w="85" w:type="dxa"/>
              <w:right w:w="57" w:type="dxa"/>
            </w:tcMar>
          </w:tcPr>
          <w:p w14:paraId="273CD8D3" w14:textId="77777777" w:rsidR="00F26568" w:rsidRPr="003978B4" w:rsidRDefault="00324184" w:rsidP="00F26568">
            <w:pPr>
              <w:pStyle w:val="TableText"/>
            </w:pPr>
            <w:r w:rsidRPr="003978B4">
              <w:t>36</w:t>
            </w:r>
          </w:p>
        </w:tc>
        <w:tc>
          <w:tcPr>
            <w:tcW w:w="304" w:type="pct"/>
            <w:shd w:val="clear" w:color="auto" w:fill="auto"/>
            <w:tcMar>
              <w:left w:w="85" w:type="dxa"/>
              <w:right w:w="57" w:type="dxa"/>
            </w:tcMar>
          </w:tcPr>
          <w:p w14:paraId="273CD8D4" w14:textId="77777777" w:rsidR="00F26568" w:rsidRPr="003978B4" w:rsidRDefault="00324184" w:rsidP="00F26568">
            <w:pPr>
              <w:pStyle w:val="TableText"/>
            </w:pPr>
            <w:r w:rsidRPr="003978B4">
              <w:t>0.7</w:t>
            </w:r>
          </w:p>
        </w:tc>
        <w:tc>
          <w:tcPr>
            <w:tcW w:w="405" w:type="pct"/>
            <w:shd w:val="clear" w:color="auto" w:fill="auto"/>
            <w:tcMar>
              <w:left w:w="85" w:type="dxa"/>
              <w:right w:w="57" w:type="dxa"/>
            </w:tcMar>
          </w:tcPr>
          <w:p w14:paraId="273CD8D5" w14:textId="77777777" w:rsidR="00F26568" w:rsidRPr="003978B4" w:rsidRDefault="00324184" w:rsidP="00F26568">
            <w:pPr>
              <w:pStyle w:val="TableText"/>
            </w:pPr>
            <w:r w:rsidRPr="003978B4">
              <w:t>22</w:t>
            </w:r>
          </w:p>
        </w:tc>
        <w:tc>
          <w:tcPr>
            <w:tcW w:w="430" w:type="pct"/>
            <w:shd w:val="clear" w:color="auto" w:fill="auto"/>
            <w:tcMar>
              <w:left w:w="85" w:type="dxa"/>
              <w:right w:w="57" w:type="dxa"/>
            </w:tcMar>
          </w:tcPr>
          <w:p w14:paraId="273CD8D6" w14:textId="77777777" w:rsidR="00F26568" w:rsidRPr="003978B4" w:rsidRDefault="00324184" w:rsidP="00F26568">
            <w:pPr>
              <w:pStyle w:val="TableText"/>
            </w:pPr>
            <w:r w:rsidRPr="003978B4">
              <w:t>4.1</w:t>
            </w:r>
          </w:p>
        </w:tc>
        <w:tc>
          <w:tcPr>
            <w:tcW w:w="621" w:type="pct"/>
            <w:shd w:val="clear" w:color="auto" w:fill="auto"/>
            <w:tcMar>
              <w:left w:w="85" w:type="dxa"/>
              <w:right w:w="57" w:type="dxa"/>
            </w:tcMar>
          </w:tcPr>
          <w:p w14:paraId="273CD8D7" w14:textId="77777777" w:rsidR="00F26568" w:rsidRPr="003978B4" w:rsidRDefault="00324184" w:rsidP="00F26568">
            <w:pPr>
              <w:pStyle w:val="TableText"/>
              <w:rPr>
                <w:noProof/>
              </w:rPr>
            </w:pPr>
            <w:r w:rsidRPr="003978B4">
              <w:rPr>
                <w:noProof/>
              </w:rPr>
              <w:t>Zitoun et al. (2019)</w:t>
            </w:r>
          </w:p>
        </w:tc>
      </w:tr>
      <w:tr w:rsidR="00091AEB" w14:paraId="273CD8E3" w14:textId="77777777" w:rsidTr="00375885">
        <w:trPr>
          <w:cantSplit/>
        </w:trPr>
        <w:tc>
          <w:tcPr>
            <w:tcW w:w="506" w:type="pct"/>
            <w:vMerge/>
            <w:shd w:val="clear" w:color="auto" w:fill="auto"/>
            <w:tcMar>
              <w:left w:w="85" w:type="dxa"/>
              <w:right w:w="57" w:type="dxa"/>
            </w:tcMar>
          </w:tcPr>
          <w:p w14:paraId="273CD8D9" w14:textId="77777777" w:rsidR="00F26568" w:rsidRPr="003978B4" w:rsidRDefault="00F26568" w:rsidP="00F26568">
            <w:pPr>
              <w:pStyle w:val="TableText"/>
            </w:pPr>
          </w:p>
        </w:tc>
        <w:tc>
          <w:tcPr>
            <w:tcW w:w="709" w:type="pct"/>
            <w:vMerge/>
            <w:shd w:val="clear" w:color="auto" w:fill="auto"/>
            <w:tcMar>
              <w:left w:w="85" w:type="dxa"/>
              <w:right w:w="57" w:type="dxa"/>
            </w:tcMar>
          </w:tcPr>
          <w:p w14:paraId="273CD8DA" w14:textId="77777777" w:rsidR="00F26568" w:rsidRPr="00254919" w:rsidRDefault="00F26568" w:rsidP="00F26568">
            <w:pPr>
              <w:pStyle w:val="TableText"/>
            </w:pPr>
          </w:p>
        </w:tc>
        <w:tc>
          <w:tcPr>
            <w:tcW w:w="607" w:type="pct"/>
            <w:shd w:val="clear" w:color="auto" w:fill="auto"/>
            <w:tcMar>
              <w:left w:w="85" w:type="dxa"/>
              <w:right w:w="57" w:type="dxa"/>
            </w:tcMar>
          </w:tcPr>
          <w:p w14:paraId="273CD8DB" w14:textId="77777777" w:rsidR="00F26568" w:rsidRPr="003978B4" w:rsidRDefault="00324184" w:rsidP="00F26568">
            <w:pPr>
              <w:pStyle w:val="TableText"/>
            </w:pPr>
            <w:r w:rsidRPr="003978B4">
              <w:t>Embryo</w:t>
            </w:r>
          </w:p>
        </w:tc>
        <w:tc>
          <w:tcPr>
            <w:tcW w:w="405" w:type="pct"/>
            <w:shd w:val="clear" w:color="auto" w:fill="auto"/>
            <w:tcMar>
              <w:left w:w="85" w:type="dxa"/>
              <w:right w:w="57" w:type="dxa"/>
            </w:tcMar>
          </w:tcPr>
          <w:p w14:paraId="273CD8DC" w14:textId="77777777" w:rsidR="00F26568" w:rsidRPr="003978B4" w:rsidRDefault="00324184" w:rsidP="00F26568">
            <w:pPr>
              <w:pStyle w:val="TableText"/>
            </w:pPr>
            <w:r w:rsidRPr="003978B4">
              <w:t>2</w:t>
            </w:r>
          </w:p>
        </w:tc>
        <w:tc>
          <w:tcPr>
            <w:tcW w:w="709" w:type="pct"/>
            <w:shd w:val="clear" w:color="auto" w:fill="auto"/>
            <w:tcMar>
              <w:left w:w="85" w:type="dxa"/>
              <w:right w:w="57" w:type="dxa"/>
            </w:tcMar>
          </w:tcPr>
          <w:p w14:paraId="273CD8DD" w14:textId="77777777" w:rsidR="00F26568" w:rsidRPr="003978B4" w:rsidRDefault="00324184" w:rsidP="004457D8">
            <w:pPr>
              <w:pStyle w:val="TableText"/>
            </w:pPr>
            <w:r w:rsidRPr="003978B4">
              <w:t>EC10</w:t>
            </w:r>
            <w:r>
              <w:t xml:space="preserve"> </w:t>
            </w:r>
            <w:r w:rsidR="006C4BAD">
              <w:br/>
            </w:r>
            <w:r w:rsidRPr="003978B4">
              <w:t>(Development)</w:t>
            </w:r>
          </w:p>
        </w:tc>
        <w:tc>
          <w:tcPr>
            <w:tcW w:w="304" w:type="pct"/>
            <w:shd w:val="clear" w:color="auto" w:fill="auto"/>
            <w:tcMar>
              <w:left w:w="85" w:type="dxa"/>
              <w:right w:w="57" w:type="dxa"/>
            </w:tcMar>
          </w:tcPr>
          <w:p w14:paraId="273CD8DE" w14:textId="77777777" w:rsidR="00F26568" w:rsidRPr="003978B4" w:rsidRDefault="00324184" w:rsidP="00F26568">
            <w:pPr>
              <w:pStyle w:val="TableText"/>
            </w:pPr>
            <w:r w:rsidRPr="003978B4">
              <w:t>36</w:t>
            </w:r>
          </w:p>
        </w:tc>
        <w:tc>
          <w:tcPr>
            <w:tcW w:w="304" w:type="pct"/>
            <w:shd w:val="clear" w:color="auto" w:fill="auto"/>
            <w:tcMar>
              <w:left w:w="85" w:type="dxa"/>
              <w:right w:w="57" w:type="dxa"/>
            </w:tcMar>
          </w:tcPr>
          <w:p w14:paraId="273CD8DF" w14:textId="77777777" w:rsidR="00F26568" w:rsidRPr="003978B4" w:rsidRDefault="00324184" w:rsidP="00F26568">
            <w:pPr>
              <w:pStyle w:val="TableText"/>
            </w:pPr>
            <w:r w:rsidRPr="003978B4">
              <w:t>1.1</w:t>
            </w:r>
          </w:p>
        </w:tc>
        <w:tc>
          <w:tcPr>
            <w:tcW w:w="405" w:type="pct"/>
            <w:shd w:val="clear" w:color="auto" w:fill="auto"/>
            <w:tcMar>
              <w:left w:w="85" w:type="dxa"/>
              <w:right w:w="57" w:type="dxa"/>
            </w:tcMar>
          </w:tcPr>
          <w:p w14:paraId="273CD8E0" w14:textId="77777777" w:rsidR="00F26568" w:rsidRPr="003978B4" w:rsidRDefault="00324184" w:rsidP="00F26568">
            <w:pPr>
              <w:pStyle w:val="TableText"/>
            </w:pPr>
            <w:r w:rsidRPr="003978B4">
              <w:t>22</w:t>
            </w:r>
          </w:p>
        </w:tc>
        <w:tc>
          <w:tcPr>
            <w:tcW w:w="430" w:type="pct"/>
            <w:shd w:val="clear" w:color="auto" w:fill="auto"/>
            <w:tcMar>
              <w:left w:w="85" w:type="dxa"/>
              <w:right w:w="57" w:type="dxa"/>
            </w:tcMar>
          </w:tcPr>
          <w:p w14:paraId="273CD8E1" w14:textId="77777777" w:rsidR="00F26568" w:rsidRPr="003978B4" w:rsidRDefault="00324184" w:rsidP="00F26568">
            <w:pPr>
              <w:pStyle w:val="TableText"/>
            </w:pPr>
            <w:r w:rsidRPr="003978B4">
              <w:t>3.2</w:t>
            </w:r>
          </w:p>
        </w:tc>
        <w:tc>
          <w:tcPr>
            <w:tcW w:w="621" w:type="pct"/>
            <w:shd w:val="clear" w:color="auto" w:fill="auto"/>
            <w:tcMar>
              <w:left w:w="85" w:type="dxa"/>
              <w:right w:w="57" w:type="dxa"/>
            </w:tcMar>
          </w:tcPr>
          <w:p w14:paraId="273CD8E2" w14:textId="77777777" w:rsidR="00F26568" w:rsidRPr="003978B4" w:rsidRDefault="00324184" w:rsidP="00F26568">
            <w:pPr>
              <w:pStyle w:val="TableText"/>
              <w:rPr>
                <w:noProof/>
              </w:rPr>
            </w:pPr>
            <w:r w:rsidRPr="003978B4">
              <w:rPr>
                <w:noProof/>
              </w:rPr>
              <w:t>Zitoun et al. (2019)</w:t>
            </w:r>
          </w:p>
        </w:tc>
      </w:tr>
      <w:tr w:rsidR="00091AEB" w14:paraId="273CD8EE" w14:textId="77777777" w:rsidTr="00375885">
        <w:trPr>
          <w:cantSplit/>
        </w:trPr>
        <w:tc>
          <w:tcPr>
            <w:tcW w:w="506" w:type="pct"/>
            <w:vMerge/>
            <w:shd w:val="clear" w:color="auto" w:fill="auto"/>
            <w:tcMar>
              <w:left w:w="85" w:type="dxa"/>
              <w:right w:w="57" w:type="dxa"/>
            </w:tcMar>
          </w:tcPr>
          <w:p w14:paraId="273CD8E4" w14:textId="77777777" w:rsidR="00F26568" w:rsidRPr="003978B4" w:rsidRDefault="00F26568" w:rsidP="00F26568">
            <w:pPr>
              <w:pStyle w:val="TableText"/>
            </w:pPr>
          </w:p>
        </w:tc>
        <w:tc>
          <w:tcPr>
            <w:tcW w:w="709" w:type="pct"/>
            <w:vMerge/>
            <w:shd w:val="clear" w:color="auto" w:fill="auto"/>
            <w:tcMar>
              <w:left w:w="85" w:type="dxa"/>
              <w:right w:w="57" w:type="dxa"/>
            </w:tcMar>
          </w:tcPr>
          <w:p w14:paraId="273CD8E5" w14:textId="77777777" w:rsidR="00F26568" w:rsidRPr="00254919" w:rsidRDefault="00F26568" w:rsidP="00F26568">
            <w:pPr>
              <w:pStyle w:val="TableText"/>
            </w:pPr>
          </w:p>
        </w:tc>
        <w:tc>
          <w:tcPr>
            <w:tcW w:w="607" w:type="pct"/>
            <w:shd w:val="clear" w:color="auto" w:fill="auto"/>
            <w:tcMar>
              <w:left w:w="85" w:type="dxa"/>
              <w:right w:w="57" w:type="dxa"/>
            </w:tcMar>
          </w:tcPr>
          <w:p w14:paraId="273CD8E6" w14:textId="77777777" w:rsidR="00F26568" w:rsidRPr="003978B4" w:rsidRDefault="00324184" w:rsidP="00F26568">
            <w:pPr>
              <w:pStyle w:val="TableText"/>
            </w:pPr>
            <w:r w:rsidRPr="003978B4">
              <w:t>Embryo</w:t>
            </w:r>
          </w:p>
        </w:tc>
        <w:tc>
          <w:tcPr>
            <w:tcW w:w="405" w:type="pct"/>
            <w:shd w:val="clear" w:color="auto" w:fill="auto"/>
            <w:tcMar>
              <w:left w:w="85" w:type="dxa"/>
              <w:right w:w="57" w:type="dxa"/>
            </w:tcMar>
          </w:tcPr>
          <w:p w14:paraId="273CD8E7" w14:textId="77777777" w:rsidR="00F26568" w:rsidRPr="003978B4" w:rsidRDefault="00324184" w:rsidP="00F26568">
            <w:pPr>
              <w:pStyle w:val="TableText"/>
            </w:pPr>
            <w:r w:rsidRPr="003978B4">
              <w:t>2</w:t>
            </w:r>
          </w:p>
        </w:tc>
        <w:tc>
          <w:tcPr>
            <w:tcW w:w="709" w:type="pct"/>
            <w:shd w:val="clear" w:color="auto" w:fill="auto"/>
            <w:tcMar>
              <w:left w:w="85" w:type="dxa"/>
              <w:right w:w="57" w:type="dxa"/>
            </w:tcMar>
          </w:tcPr>
          <w:p w14:paraId="273CD8E8" w14:textId="77777777" w:rsidR="00F26568" w:rsidRPr="003978B4" w:rsidRDefault="00324184" w:rsidP="004457D8">
            <w:pPr>
              <w:pStyle w:val="TableText"/>
            </w:pPr>
            <w:r w:rsidRPr="003978B4">
              <w:t>EC10</w:t>
            </w:r>
            <w:r>
              <w:t xml:space="preserve"> </w:t>
            </w:r>
            <w:r w:rsidR="006C4BAD">
              <w:br/>
            </w:r>
            <w:r w:rsidRPr="003978B4">
              <w:t>(Development)</w:t>
            </w:r>
          </w:p>
        </w:tc>
        <w:tc>
          <w:tcPr>
            <w:tcW w:w="304" w:type="pct"/>
            <w:shd w:val="clear" w:color="auto" w:fill="auto"/>
            <w:tcMar>
              <w:left w:w="85" w:type="dxa"/>
              <w:right w:w="57" w:type="dxa"/>
            </w:tcMar>
          </w:tcPr>
          <w:p w14:paraId="273CD8E9" w14:textId="77777777" w:rsidR="00F26568" w:rsidRPr="003978B4" w:rsidRDefault="00324184" w:rsidP="00F26568">
            <w:pPr>
              <w:pStyle w:val="TableText"/>
            </w:pPr>
            <w:r w:rsidRPr="003978B4">
              <w:t>25</w:t>
            </w:r>
          </w:p>
        </w:tc>
        <w:tc>
          <w:tcPr>
            <w:tcW w:w="304" w:type="pct"/>
            <w:shd w:val="clear" w:color="auto" w:fill="auto"/>
            <w:tcMar>
              <w:left w:w="85" w:type="dxa"/>
              <w:right w:w="57" w:type="dxa"/>
            </w:tcMar>
          </w:tcPr>
          <w:p w14:paraId="273CD8EA" w14:textId="77777777" w:rsidR="00F26568" w:rsidRPr="003978B4" w:rsidRDefault="00324184" w:rsidP="00F26568">
            <w:pPr>
              <w:pStyle w:val="TableText"/>
            </w:pPr>
            <w:r w:rsidRPr="003978B4">
              <w:t>1.2</w:t>
            </w:r>
          </w:p>
        </w:tc>
        <w:tc>
          <w:tcPr>
            <w:tcW w:w="405" w:type="pct"/>
            <w:shd w:val="clear" w:color="auto" w:fill="auto"/>
            <w:tcMar>
              <w:left w:w="85" w:type="dxa"/>
              <w:right w:w="57" w:type="dxa"/>
            </w:tcMar>
          </w:tcPr>
          <w:p w14:paraId="273CD8EB" w14:textId="77777777" w:rsidR="00F26568" w:rsidRPr="003978B4" w:rsidRDefault="00324184" w:rsidP="00F26568">
            <w:pPr>
              <w:pStyle w:val="TableText"/>
            </w:pPr>
            <w:r w:rsidRPr="003978B4">
              <w:t>16</w:t>
            </w:r>
          </w:p>
        </w:tc>
        <w:tc>
          <w:tcPr>
            <w:tcW w:w="430" w:type="pct"/>
            <w:shd w:val="clear" w:color="auto" w:fill="auto"/>
            <w:tcMar>
              <w:left w:w="85" w:type="dxa"/>
              <w:right w:w="57" w:type="dxa"/>
            </w:tcMar>
          </w:tcPr>
          <w:p w14:paraId="273CD8EC" w14:textId="77777777" w:rsidR="00F26568" w:rsidRPr="003978B4" w:rsidRDefault="00324184" w:rsidP="00F26568">
            <w:pPr>
              <w:pStyle w:val="TableText"/>
            </w:pPr>
            <w:r w:rsidRPr="003978B4">
              <w:t>8.5</w:t>
            </w:r>
          </w:p>
        </w:tc>
        <w:tc>
          <w:tcPr>
            <w:tcW w:w="621" w:type="pct"/>
            <w:shd w:val="clear" w:color="auto" w:fill="auto"/>
            <w:tcMar>
              <w:left w:w="85" w:type="dxa"/>
              <w:right w:w="57" w:type="dxa"/>
            </w:tcMar>
          </w:tcPr>
          <w:p w14:paraId="273CD8ED" w14:textId="77777777" w:rsidR="00F26568" w:rsidRPr="003978B4" w:rsidRDefault="00324184" w:rsidP="00F26568">
            <w:pPr>
              <w:pStyle w:val="TableText"/>
            </w:pPr>
            <w:r w:rsidRPr="003978B4">
              <w:rPr>
                <w:noProof/>
              </w:rPr>
              <w:t>Deruytter et al. (2015)</w:t>
            </w:r>
          </w:p>
        </w:tc>
      </w:tr>
      <w:tr w:rsidR="00091AEB" w14:paraId="273CD8F9" w14:textId="77777777" w:rsidTr="00375885">
        <w:trPr>
          <w:cantSplit/>
        </w:trPr>
        <w:tc>
          <w:tcPr>
            <w:tcW w:w="506" w:type="pct"/>
            <w:vMerge/>
            <w:shd w:val="clear" w:color="auto" w:fill="auto"/>
            <w:tcMar>
              <w:left w:w="85" w:type="dxa"/>
              <w:right w:w="57" w:type="dxa"/>
            </w:tcMar>
          </w:tcPr>
          <w:p w14:paraId="273CD8EF" w14:textId="77777777" w:rsidR="00F26568" w:rsidRPr="003978B4" w:rsidRDefault="00F26568" w:rsidP="00F26568">
            <w:pPr>
              <w:pStyle w:val="TableText"/>
            </w:pPr>
          </w:p>
        </w:tc>
        <w:tc>
          <w:tcPr>
            <w:tcW w:w="709" w:type="pct"/>
            <w:vMerge/>
            <w:shd w:val="clear" w:color="auto" w:fill="auto"/>
            <w:tcMar>
              <w:left w:w="85" w:type="dxa"/>
              <w:right w:w="57" w:type="dxa"/>
            </w:tcMar>
          </w:tcPr>
          <w:p w14:paraId="273CD8F0" w14:textId="77777777" w:rsidR="00F26568" w:rsidRPr="00254919" w:rsidRDefault="00F26568" w:rsidP="00F26568">
            <w:pPr>
              <w:pStyle w:val="TableText"/>
            </w:pPr>
          </w:p>
        </w:tc>
        <w:tc>
          <w:tcPr>
            <w:tcW w:w="607" w:type="pct"/>
            <w:shd w:val="clear" w:color="auto" w:fill="auto"/>
            <w:tcMar>
              <w:left w:w="85" w:type="dxa"/>
              <w:right w:w="57" w:type="dxa"/>
            </w:tcMar>
          </w:tcPr>
          <w:p w14:paraId="273CD8F1" w14:textId="77777777" w:rsidR="00F26568" w:rsidRPr="003978B4" w:rsidRDefault="00324184" w:rsidP="00F26568">
            <w:pPr>
              <w:pStyle w:val="TableText"/>
            </w:pPr>
            <w:r w:rsidRPr="003978B4">
              <w:t>Embryo</w:t>
            </w:r>
          </w:p>
        </w:tc>
        <w:tc>
          <w:tcPr>
            <w:tcW w:w="405" w:type="pct"/>
            <w:shd w:val="clear" w:color="auto" w:fill="auto"/>
            <w:tcMar>
              <w:left w:w="85" w:type="dxa"/>
              <w:right w:w="57" w:type="dxa"/>
            </w:tcMar>
          </w:tcPr>
          <w:p w14:paraId="273CD8F2" w14:textId="77777777" w:rsidR="00F26568" w:rsidRPr="003978B4" w:rsidRDefault="00324184" w:rsidP="00F26568">
            <w:pPr>
              <w:pStyle w:val="TableText"/>
            </w:pPr>
            <w:r w:rsidRPr="003978B4">
              <w:t>2</w:t>
            </w:r>
          </w:p>
        </w:tc>
        <w:tc>
          <w:tcPr>
            <w:tcW w:w="709" w:type="pct"/>
            <w:shd w:val="clear" w:color="auto" w:fill="auto"/>
            <w:tcMar>
              <w:left w:w="85" w:type="dxa"/>
              <w:right w:w="57" w:type="dxa"/>
            </w:tcMar>
          </w:tcPr>
          <w:p w14:paraId="273CD8F3" w14:textId="77777777" w:rsidR="00F26568" w:rsidRPr="003978B4" w:rsidRDefault="00324184" w:rsidP="004457D8">
            <w:pPr>
              <w:pStyle w:val="TableText"/>
            </w:pPr>
            <w:r w:rsidRPr="003978B4">
              <w:t>EC10</w:t>
            </w:r>
            <w:r>
              <w:t xml:space="preserve"> </w:t>
            </w:r>
            <w:r w:rsidR="006C4BAD">
              <w:br/>
            </w:r>
            <w:r w:rsidRPr="003978B4">
              <w:t>(Development)</w:t>
            </w:r>
          </w:p>
        </w:tc>
        <w:tc>
          <w:tcPr>
            <w:tcW w:w="304" w:type="pct"/>
            <w:shd w:val="clear" w:color="auto" w:fill="auto"/>
            <w:tcMar>
              <w:left w:w="85" w:type="dxa"/>
              <w:right w:w="57" w:type="dxa"/>
            </w:tcMar>
          </w:tcPr>
          <w:p w14:paraId="273CD8F4" w14:textId="77777777" w:rsidR="00F26568" w:rsidRPr="003978B4" w:rsidRDefault="00324184" w:rsidP="00F26568">
            <w:pPr>
              <w:pStyle w:val="TableText"/>
            </w:pPr>
            <w:r w:rsidRPr="003978B4">
              <w:t>30</w:t>
            </w:r>
          </w:p>
        </w:tc>
        <w:tc>
          <w:tcPr>
            <w:tcW w:w="304" w:type="pct"/>
            <w:shd w:val="clear" w:color="auto" w:fill="auto"/>
            <w:tcMar>
              <w:left w:w="85" w:type="dxa"/>
              <w:right w:w="57" w:type="dxa"/>
            </w:tcMar>
          </w:tcPr>
          <w:p w14:paraId="273CD8F5" w14:textId="77777777" w:rsidR="00F26568" w:rsidRPr="003978B4" w:rsidRDefault="00324184" w:rsidP="00F26568">
            <w:pPr>
              <w:pStyle w:val="TableText"/>
            </w:pPr>
            <w:r w:rsidRPr="003978B4">
              <w:t>0.6</w:t>
            </w:r>
          </w:p>
        </w:tc>
        <w:tc>
          <w:tcPr>
            <w:tcW w:w="405" w:type="pct"/>
            <w:shd w:val="clear" w:color="auto" w:fill="auto"/>
            <w:tcMar>
              <w:left w:w="85" w:type="dxa"/>
              <w:right w:w="57" w:type="dxa"/>
            </w:tcMar>
          </w:tcPr>
          <w:p w14:paraId="273CD8F6" w14:textId="77777777" w:rsidR="00F26568" w:rsidRPr="003978B4" w:rsidRDefault="00324184" w:rsidP="00F26568">
            <w:pPr>
              <w:pStyle w:val="TableText"/>
            </w:pPr>
            <w:r w:rsidRPr="003978B4">
              <w:t>16</w:t>
            </w:r>
          </w:p>
        </w:tc>
        <w:tc>
          <w:tcPr>
            <w:tcW w:w="430" w:type="pct"/>
            <w:shd w:val="clear" w:color="auto" w:fill="auto"/>
            <w:tcMar>
              <w:left w:w="85" w:type="dxa"/>
              <w:right w:w="57" w:type="dxa"/>
            </w:tcMar>
          </w:tcPr>
          <w:p w14:paraId="273CD8F7" w14:textId="77777777" w:rsidR="00F26568" w:rsidRPr="003978B4" w:rsidRDefault="00324184" w:rsidP="00F26568">
            <w:pPr>
              <w:pStyle w:val="TableText"/>
            </w:pPr>
            <w:r w:rsidRPr="003978B4">
              <w:t>2.8</w:t>
            </w:r>
          </w:p>
        </w:tc>
        <w:tc>
          <w:tcPr>
            <w:tcW w:w="621" w:type="pct"/>
            <w:shd w:val="clear" w:color="auto" w:fill="auto"/>
            <w:tcMar>
              <w:left w:w="85" w:type="dxa"/>
              <w:right w:w="57" w:type="dxa"/>
            </w:tcMar>
          </w:tcPr>
          <w:p w14:paraId="273CD8F8" w14:textId="77777777" w:rsidR="00F26568" w:rsidRPr="003978B4" w:rsidRDefault="00324184" w:rsidP="00F26568">
            <w:pPr>
              <w:pStyle w:val="TableText"/>
            </w:pPr>
            <w:r w:rsidRPr="003978B4">
              <w:rPr>
                <w:noProof/>
              </w:rPr>
              <w:t>Deruytter et al. (2015)</w:t>
            </w:r>
          </w:p>
        </w:tc>
      </w:tr>
      <w:tr w:rsidR="00091AEB" w14:paraId="273CD904" w14:textId="77777777" w:rsidTr="00375885">
        <w:trPr>
          <w:cantSplit/>
        </w:trPr>
        <w:tc>
          <w:tcPr>
            <w:tcW w:w="506" w:type="pct"/>
            <w:vMerge/>
            <w:shd w:val="clear" w:color="auto" w:fill="auto"/>
            <w:tcMar>
              <w:left w:w="85" w:type="dxa"/>
              <w:right w:w="57" w:type="dxa"/>
            </w:tcMar>
          </w:tcPr>
          <w:p w14:paraId="273CD8FA" w14:textId="77777777" w:rsidR="00F26568" w:rsidRPr="003978B4" w:rsidRDefault="00F26568" w:rsidP="00F26568">
            <w:pPr>
              <w:pStyle w:val="TableText"/>
            </w:pPr>
          </w:p>
        </w:tc>
        <w:tc>
          <w:tcPr>
            <w:tcW w:w="709" w:type="pct"/>
            <w:vMerge/>
            <w:tcBorders>
              <w:bottom w:val="nil"/>
            </w:tcBorders>
            <w:shd w:val="clear" w:color="auto" w:fill="auto"/>
            <w:tcMar>
              <w:left w:w="85" w:type="dxa"/>
              <w:right w:w="57" w:type="dxa"/>
            </w:tcMar>
          </w:tcPr>
          <w:p w14:paraId="273CD8FB" w14:textId="77777777" w:rsidR="00F26568" w:rsidRPr="00254919" w:rsidRDefault="00F26568" w:rsidP="00F26568">
            <w:pPr>
              <w:pStyle w:val="TableText"/>
            </w:pPr>
          </w:p>
        </w:tc>
        <w:tc>
          <w:tcPr>
            <w:tcW w:w="607" w:type="pct"/>
            <w:tcBorders>
              <w:bottom w:val="nil"/>
            </w:tcBorders>
            <w:shd w:val="clear" w:color="auto" w:fill="auto"/>
            <w:tcMar>
              <w:left w:w="85" w:type="dxa"/>
              <w:right w:w="57" w:type="dxa"/>
            </w:tcMar>
          </w:tcPr>
          <w:p w14:paraId="273CD8FC" w14:textId="77777777" w:rsidR="00F26568" w:rsidRPr="003978B4" w:rsidRDefault="00324184" w:rsidP="00F26568">
            <w:pPr>
              <w:pStyle w:val="TableText"/>
            </w:pPr>
            <w:r w:rsidRPr="003978B4">
              <w:t>Embryo</w:t>
            </w:r>
          </w:p>
        </w:tc>
        <w:tc>
          <w:tcPr>
            <w:tcW w:w="405" w:type="pct"/>
            <w:tcBorders>
              <w:bottom w:val="nil"/>
            </w:tcBorders>
            <w:shd w:val="clear" w:color="auto" w:fill="auto"/>
            <w:tcMar>
              <w:left w:w="85" w:type="dxa"/>
              <w:right w:w="57" w:type="dxa"/>
            </w:tcMar>
          </w:tcPr>
          <w:p w14:paraId="273CD8FD" w14:textId="77777777" w:rsidR="00F26568" w:rsidRPr="003978B4" w:rsidRDefault="00324184" w:rsidP="00F26568">
            <w:pPr>
              <w:pStyle w:val="TableText"/>
            </w:pPr>
            <w:r w:rsidRPr="003978B4">
              <w:t>2</w:t>
            </w:r>
          </w:p>
        </w:tc>
        <w:tc>
          <w:tcPr>
            <w:tcW w:w="709" w:type="pct"/>
            <w:tcBorders>
              <w:bottom w:val="nil"/>
            </w:tcBorders>
            <w:shd w:val="clear" w:color="auto" w:fill="auto"/>
            <w:tcMar>
              <w:left w:w="85" w:type="dxa"/>
              <w:right w:w="57" w:type="dxa"/>
            </w:tcMar>
          </w:tcPr>
          <w:p w14:paraId="273CD8FE" w14:textId="77777777" w:rsidR="00F26568" w:rsidRPr="003978B4" w:rsidRDefault="00324184" w:rsidP="004457D8">
            <w:pPr>
              <w:pStyle w:val="TableText"/>
            </w:pPr>
            <w:r w:rsidRPr="003978B4">
              <w:t>EC10</w:t>
            </w:r>
            <w:r>
              <w:t xml:space="preserve"> </w:t>
            </w:r>
            <w:r w:rsidR="006C4BAD">
              <w:br/>
            </w:r>
            <w:r w:rsidRPr="003978B4">
              <w:t>(Development)</w:t>
            </w:r>
          </w:p>
        </w:tc>
        <w:tc>
          <w:tcPr>
            <w:tcW w:w="304" w:type="pct"/>
            <w:tcBorders>
              <w:bottom w:val="nil"/>
            </w:tcBorders>
            <w:shd w:val="clear" w:color="auto" w:fill="auto"/>
            <w:tcMar>
              <w:left w:w="85" w:type="dxa"/>
              <w:right w:w="57" w:type="dxa"/>
            </w:tcMar>
          </w:tcPr>
          <w:p w14:paraId="273CD8FF" w14:textId="77777777" w:rsidR="00F26568" w:rsidRPr="003978B4" w:rsidRDefault="00324184" w:rsidP="00F26568">
            <w:pPr>
              <w:pStyle w:val="TableText"/>
            </w:pPr>
            <w:r w:rsidRPr="003978B4">
              <w:t>35</w:t>
            </w:r>
          </w:p>
        </w:tc>
        <w:tc>
          <w:tcPr>
            <w:tcW w:w="304" w:type="pct"/>
            <w:tcBorders>
              <w:bottom w:val="nil"/>
            </w:tcBorders>
            <w:shd w:val="clear" w:color="auto" w:fill="auto"/>
            <w:tcMar>
              <w:left w:w="85" w:type="dxa"/>
              <w:right w:w="57" w:type="dxa"/>
            </w:tcMar>
          </w:tcPr>
          <w:p w14:paraId="273CD900" w14:textId="77777777" w:rsidR="00F26568" w:rsidRPr="003978B4" w:rsidRDefault="00324184" w:rsidP="00F26568">
            <w:pPr>
              <w:pStyle w:val="TableText"/>
            </w:pPr>
            <w:r w:rsidRPr="003978B4">
              <w:t>1.5</w:t>
            </w:r>
          </w:p>
        </w:tc>
        <w:tc>
          <w:tcPr>
            <w:tcW w:w="405" w:type="pct"/>
            <w:tcBorders>
              <w:bottom w:val="nil"/>
            </w:tcBorders>
            <w:shd w:val="clear" w:color="auto" w:fill="auto"/>
            <w:tcMar>
              <w:left w:w="85" w:type="dxa"/>
              <w:right w:w="57" w:type="dxa"/>
            </w:tcMar>
          </w:tcPr>
          <w:p w14:paraId="273CD901" w14:textId="77777777" w:rsidR="00F26568" w:rsidRPr="003978B4" w:rsidRDefault="00324184" w:rsidP="00F26568">
            <w:pPr>
              <w:pStyle w:val="TableText"/>
            </w:pPr>
            <w:r w:rsidRPr="003978B4">
              <w:t>16</w:t>
            </w:r>
          </w:p>
        </w:tc>
        <w:tc>
          <w:tcPr>
            <w:tcW w:w="430" w:type="pct"/>
            <w:shd w:val="clear" w:color="auto" w:fill="auto"/>
            <w:tcMar>
              <w:left w:w="85" w:type="dxa"/>
              <w:right w:w="57" w:type="dxa"/>
            </w:tcMar>
          </w:tcPr>
          <w:p w14:paraId="273CD902" w14:textId="77777777" w:rsidR="00F26568" w:rsidRPr="003978B4" w:rsidRDefault="00324184" w:rsidP="00F26568">
            <w:pPr>
              <w:pStyle w:val="TableText"/>
            </w:pPr>
            <w:r w:rsidRPr="003978B4">
              <w:t>2.9</w:t>
            </w:r>
          </w:p>
        </w:tc>
        <w:tc>
          <w:tcPr>
            <w:tcW w:w="621" w:type="pct"/>
            <w:shd w:val="clear" w:color="auto" w:fill="auto"/>
            <w:tcMar>
              <w:left w:w="85" w:type="dxa"/>
              <w:right w:w="57" w:type="dxa"/>
            </w:tcMar>
          </w:tcPr>
          <w:p w14:paraId="273CD903" w14:textId="77777777" w:rsidR="00F26568" w:rsidRPr="003978B4" w:rsidRDefault="00324184" w:rsidP="00F26568">
            <w:pPr>
              <w:pStyle w:val="TableText"/>
            </w:pPr>
            <w:r w:rsidRPr="003978B4">
              <w:rPr>
                <w:noProof/>
              </w:rPr>
              <w:t xml:space="preserve">Deruytter et al. </w:t>
            </w:r>
            <w:r w:rsidRPr="003978B4">
              <w:rPr>
                <w:noProof/>
              </w:rPr>
              <w:t>(2015)</w:t>
            </w:r>
          </w:p>
        </w:tc>
      </w:tr>
      <w:tr w:rsidR="00091AEB" w14:paraId="273CD90A" w14:textId="77777777" w:rsidTr="00375885">
        <w:trPr>
          <w:cantSplit/>
        </w:trPr>
        <w:tc>
          <w:tcPr>
            <w:tcW w:w="506" w:type="pct"/>
            <w:vMerge/>
            <w:shd w:val="clear" w:color="auto" w:fill="auto"/>
            <w:tcMar>
              <w:left w:w="85" w:type="dxa"/>
              <w:right w:w="57" w:type="dxa"/>
            </w:tcMar>
          </w:tcPr>
          <w:p w14:paraId="273CD905"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906"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907" w14:textId="77777777" w:rsidR="00F26568" w:rsidRPr="00275044" w:rsidRDefault="00324184" w:rsidP="00F26568">
            <w:pPr>
              <w:pStyle w:val="TableText"/>
              <w:rPr>
                <w:b/>
                <w:bCs/>
              </w:rPr>
            </w:pPr>
            <w:r w:rsidRPr="00275044">
              <w:rPr>
                <w:b/>
                <w:bCs/>
              </w:rPr>
              <w:t>4.8</w:t>
            </w:r>
          </w:p>
        </w:tc>
        <w:tc>
          <w:tcPr>
            <w:tcW w:w="621" w:type="pct"/>
            <w:shd w:val="clear" w:color="auto" w:fill="auto"/>
            <w:tcMar>
              <w:left w:w="85" w:type="dxa"/>
              <w:right w:w="57" w:type="dxa"/>
            </w:tcMar>
          </w:tcPr>
          <w:p w14:paraId="273CD908" w14:textId="77777777" w:rsidR="00F26568" w:rsidRDefault="00324184" w:rsidP="00F26568">
            <w:pPr>
              <w:pStyle w:val="TableText"/>
              <w:rPr>
                <w:b/>
                <w:bCs/>
              </w:rPr>
            </w:pPr>
            <w:r>
              <w:rPr>
                <w:b/>
                <w:bCs/>
              </w:rPr>
              <w:t>V</w:t>
            </w:r>
            <w:r w:rsidRPr="00275044">
              <w:rPr>
                <w:b/>
                <w:bCs/>
              </w:rPr>
              <w:t>alue used in SSD</w:t>
            </w:r>
          </w:p>
          <w:p w14:paraId="273CD909" w14:textId="77777777" w:rsidR="00F26568" w:rsidRPr="00275044" w:rsidRDefault="00324184" w:rsidP="00F26568">
            <w:pPr>
              <w:pStyle w:val="TableText"/>
              <w:rPr>
                <w:b/>
                <w:bCs/>
              </w:rPr>
            </w:pPr>
            <w:r>
              <w:rPr>
                <w:b/>
                <w:bCs/>
              </w:rPr>
              <w:t>(g</w:t>
            </w:r>
            <w:r w:rsidRPr="00275044">
              <w:rPr>
                <w:b/>
                <w:bCs/>
              </w:rPr>
              <w:t>eometric mean</w:t>
            </w:r>
            <w:r>
              <w:rPr>
                <w:b/>
                <w:bCs/>
              </w:rPr>
              <w:t>)</w:t>
            </w:r>
          </w:p>
        </w:tc>
      </w:tr>
      <w:tr w:rsidR="00091AEB" w14:paraId="273CD915" w14:textId="77777777" w:rsidTr="00375885">
        <w:trPr>
          <w:cantSplit/>
        </w:trPr>
        <w:tc>
          <w:tcPr>
            <w:tcW w:w="506" w:type="pct"/>
            <w:vMerge/>
            <w:shd w:val="clear" w:color="auto" w:fill="auto"/>
            <w:tcMar>
              <w:left w:w="85" w:type="dxa"/>
              <w:right w:w="57" w:type="dxa"/>
            </w:tcMar>
          </w:tcPr>
          <w:p w14:paraId="273CD90B" w14:textId="77777777" w:rsidR="00F26568" w:rsidRPr="003978B4" w:rsidRDefault="00F26568" w:rsidP="00F26568">
            <w:pPr>
              <w:pStyle w:val="TableText"/>
            </w:pPr>
          </w:p>
        </w:tc>
        <w:tc>
          <w:tcPr>
            <w:tcW w:w="709" w:type="pct"/>
            <w:tcBorders>
              <w:bottom w:val="nil"/>
            </w:tcBorders>
            <w:shd w:val="clear" w:color="auto" w:fill="auto"/>
            <w:tcMar>
              <w:left w:w="85" w:type="dxa"/>
              <w:right w:w="57" w:type="dxa"/>
            </w:tcMar>
          </w:tcPr>
          <w:p w14:paraId="273CD90C" w14:textId="77777777" w:rsidR="00F26568" w:rsidRPr="00254919" w:rsidRDefault="00324184" w:rsidP="00F26568">
            <w:pPr>
              <w:pStyle w:val="TableText"/>
            </w:pPr>
            <w:r w:rsidRPr="00A616D8">
              <w:rPr>
                <w:rStyle w:val="Emphasis"/>
              </w:rPr>
              <w:t>Mytilus trossulus</w:t>
            </w:r>
          </w:p>
        </w:tc>
        <w:tc>
          <w:tcPr>
            <w:tcW w:w="607" w:type="pct"/>
            <w:tcBorders>
              <w:bottom w:val="nil"/>
            </w:tcBorders>
            <w:shd w:val="clear" w:color="auto" w:fill="auto"/>
            <w:tcMar>
              <w:left w:w="85" w:type="dxa"/>
              <w:right w:w="57" w:type="dxa"/>
            </w:tcMar>
          </w:tcPr>
          <w:p w14:paraId="273CD90D" w14:textId="77777777" w:rsidR="00F26568" w:rsidRPr="003978B4" w:rsidRDefault="00324184" w:rsidP="00F26568">
            <w:pPr>
              <w:pStyle w:val="TableText"/>
            </w:pPr>
            <w:r w:rsidRPr="003978B4">
              <w:t>Embryo</w:t>
            </w:r>
          </w:p>
        </w:tc>
        <w:tc>
          <w:tcPr>
            <w:tcW w:w="405" w:type="pct"/>
            <w:tcBorders>
              <w:bottom w:val="nil"/>
            </w:tcBorders>
            <w:shd w:val="clear" w:color="auto" w:fill="auto"/>
            <w:tcMar>
              <w:left w:w="85" w:type="dxa"/>
              <w:right w:w="57" w:type="dxa"/>
            </w:tcMar>
          </w:tcPr>
          <w:p w14:paraId="273CD90E" w14:textId="77777777" w:rsidR="00F26568" w:rsidRPr="003978B4" w:rsidRDefault="00324184" w:rsidP="00F26568">
            <w:pPr>
              <w:pStyle w:val="TableText"/>
            </w:pPr>
            <w:r w:rsidRPr="003978B4">
              <w:t>2</w:t>
            </w:r>
          </w:p>
        </w:tc>
        <w:tc>
          <w:tcPr>
            <w:tcW w:w="709" w:type="pct"/>
            <w:tcBorders>
              <w:bottom w:val="nil"/>
            </w:tcBorders>
            <w:shd w:val="clear" w:color="auto" w:fill="auto"/>
            <w:tcMar>
              <w:left w:w="85" w:type="dxa"/>
              <w:right w:w="57" w:type="dxa"/>
            </w:tcMar>
          </w:tcPr>
          <w:p w14:paraId="273CD90F" w14:textId="77777777" w:rsidR="00F26568" w:rsidRPr="003978B4" w:rsidRDefault="00324184" w:rsidP="006C4BAD">
            <w:pPr>
              <w:pStyle w:val="TableText"/>
            </w:pPr>
            <w:r w:rsidRPr="003978B4">
              <w:t>EC20</w:t>
            </w:r>
            <w:r>
              <w:t xml:space="preserve"> </w:t>
            </w:r>
            <w:r w:rsidR="006C4BAD">
              <w:br/>
            </w:r>
            <w:r w:rsidRPr="003978B4">
              <w:t>(Development)</w:t>
            </w:r>
          </w:p>
        </w:tc>
        <w:tc>
          <w:tcPr>
            <w:tcW w:w="304" w:type="pct"/>
            <w:tcBorders>
              <w:bottom w:val="nil"/>
            </w:tcBorders>
            <w:shd w:val="clear" w:color="auto" w:fill="auto"/>
            <w:tcMar>
              <w:left w:w="85" w:type="dxa"/>
              <w:right w:w="57" w:type="dxa"/>
            </w:tcMar>
          </w:tcPr>
          <w:p w14:paraId="273CD910" w14:textId="77777777" w:rsidR="00F26568" w:rsidRPr="003978B4" w:rsidRDefault="00324184" w:rsidP="00F26568">
            <w:pPr>
              <w:pStyle w:val="TableText"/>
            </w:pPr>
            <w:r w:rsidRPr="003978B4">
              <w:t>35</w:t>
            </w:r>
          </w:p>
        </w:tc>
        <w:tc>
          <w:tcPr>
            <w:tcW w:w="304" w:type="pct"/>
            <w:tcBorders>
              <w:bottom w:val="nil"/>
            </w:tcBorders>
            <w:shd w:val="clear" w:color="auto" w:fill="auto"/>
            <w:tcMar>
              <w:left w:w="85" w:type="dxa"/>
              <w:right w:w="57" w:type="dxa"/>
            </w:tcMar>
          </w:tcPr>
          <w:p w14:paraId="273CD911" w14:textId="77777777" w:rsidR="00F26568"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912" w14:textId="77777777" w:rsidR="00F26568" w:rsidRPr="003978B4" w:rsidRDefault="00324184" w:rsidP="00F26568">
            <w:pPr>
              <w:pStyle w:val="TableText"/>
            </w:pPr>
            <w:r w:rsidRPr="003978B4">
              <w:t>20</w:t>
            </w:r>
          </w:p>
        </w:tc>
        <w:tc>
          <w:tcPr>
            <w:tcW w:w="430" w:type="pct"/>
            <w:shd w:val="clear" w:color="auto" w:fill="auto"/>
            <w:tcMar>
              <w:left w:w="85" w:type="dxa"/>
              <w:right w:w="57" w:type="dxa"/>
            </w:tcMar>
          </w:tcPr>
          <w:p w14:paraId="273CD913" w14:textId="77777777" w:rsidR="00F26568" w:rsidRPr="003978B4" w:rsidRDefault="00324184" w:rsidP="00F26568">
            <w:pPr>
              <w:pStyle w:val="TableText"/>
            </w:pPr>
            <w:r w:rsidRPr="003978B4">
              <w:t>5.6</w:t>
            </w:r>
          </w:p>
        </w:tc>
        <w:tc>
          <w:tcPr>
            <w:tcW w:w="621" w:type="pct"/>
            <w:shd w:val="clear" w:color="auto" w:fill="auto"/>
            <w:tcMar>
              <w:left w:w="85" w:type="dxa"/>
              <w:right w:w="57" w:type="dxa"/>
            </w:tcMar>
          </w:tcPr>
          <w:p w14:paraId="273CD914" w14:textId="77777777" w:rsidR="00F26568" w:rsidRPr="003978B4" w:rsidRDefault="00324184" w:rsidP="00F26568">
            <w:pPr>
              <w:pStyle w:val="TableText"/>
            </w:pPr>
            <w:r w:rsidRPr="003978B4">
              <w:rPr>
                <w:noProof/>
              </w:rPr>
              <w:t>Nadella et al. (2009)</w:t>
            </w:r>
          </w:p>
        </w:tc>
      </w:tr>
      <w:tr w:rsidR="00091AEB" w14:paraId="273CD91A" w14:textId="77777777" w:rsidTr="00375885">
        <w:trPr>
          <w:cantSplit/>
        </w:trPr>
        <w:tc>
          <w:tcPr>
            <w:tcW w:w="506" w:type="pct"/>
            <w:vMerge/>
            <w:shd w:val="clear" w:color="auto" w:fill="auto"/>
            <w:tcMar>
              <w:left w:w="85" w:type="dxa"/>
              <w:right w:w="57" w:type="dxa"/>
            </w:tcMar>
          </w:tcPr>
          <w:p w14:paraId="273CD916"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917"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918" w14:textId="77777777" w:rsidR="00F26568" w:rsidRPr="00275044" w:rsidRDefault="00324184" w:rsidP="00F26568">
            <w:pPr>
              <w:pStyle w:val="TableText"/>
              <w:rPr>
                <w:b/>
                <w:bCs/>
              </w:rPr>
            </w:pPr>
            <w:r w:rsidRPr="00275044">
              <w:rPr>
                <w:b/>
                <w:bCs/>
              </w:rPr>
              <w:t>5.6</w:t>
            </w:r>
          </w:p>
        </w:tc>
        <w:tc>
          <w:tcPr>
            <w:tcW w:w="621" w:type="pct"/>
            <w:shd w:val="clear" w:color="auto" w:fill="auto"/>
            <w:tcMar>
              <w:left w:w="85" w:type="dxa"/>
              <w:right w:w="57" w:type="dxa"/>
            </w:tcMar>
          </w:tcPr>
          <w:p w14:paraId="273CD919" w14:textId="77777777" w:rsidR="00F26568" w:rsidRPr="00275044" w:rsidRDefault="00324184" w:rsidP="00F26568">
            <w:pPr>
              <w:pStyle w:val="TableText"/>
              <w:rPr>
                <w:b/>
                <w:bCs/>
              </w:rPr>
            </w:pPr>
            <w:r w:rsidRPr="00275044">
              <w:rPr>
                <w:b/>
                <w:bCs/>
              </w:rPr>
              <w:t>Value used in SSD</w:t>
            </w:r>
          </w:p>
        </w:tc>
      </w:tr>
      <w:tr w:rsidR="00091AEB" w14:paraId="273CD925" w14:textId="77777777" w:rsidTr="00375885">
        <w:trPr>
          <w:cantSplit/>
        </w:trPr>
        <w:tc>
          <w:tcPr>
            <w:tcW w:w="506" w:type="pct"/>
            <w:vMerge/>
            <w:shd w:val="clear" w:color="auto" w:fill="auto"/>
            <w:tcMar>
              <w:left w:w="85" w:type="dxa"/>
              <w:right w:w="57" w:type="dxa"/>
            </w:tcMar>
          </w:tcPr>
          <w:p w14:paraId="273CD91B" w14:textId="77777777" w:rsidR="00F26568" w:rsidRPr="003978B4" w:rsidRDefault="00F26568" w:rsidP="00F26568">
            <w:pPr>
              <w:pStyle w:val="TableText"/>
            </w:pPr>
          </w:p>
        </w:tc>
        <w:tc>
          <w:tcPr>
            <w:tcW w:w="709" w:type="pct"/>
            <w:tcBorders>
              <w:bottom w:val="nil"/>
            </w:tcBorders>
            <w:shd w:val="clear" w:color="auto" w:fill="auto"/>
            <w:tcMar>
              <w:left w:w="85" w:type="dxa"/>
              <w:right w:w="57" w:type="dxa"/>
            </w:tcMar>
          </w:tcPr>
          <w:p w14:paraId="273CD91C" w14:textId="77777777" w:rsidR="00F26568" w:rsidRPr="00254919" w:rsidRDefault="00324184" w:rsidP="00F26568">
            <w:pPr>
              <w:pStyle w:val="TableText"/>
            </w:pPr>
            <w:r w:rsidRPr="00A616D8">
              <w:rPr>
                <w:rStyle w:val="Emphasis"/>
              </w:rPr>
              <w:t>Saccostrea glomerata</w:t>
            </w:r>
          </w:p>
        </w:tc>
        <w:tc>
          <w:tcPr>
            <w:tcW w:w="607" w:type="pct"/>
            <w:tcBorders>
              <w:bottom w:val="nil"/>
            </w:tcBorders>
            <w:shd w:val="clear" w:color="auto" w:fill="auto"/>
            <w:tcMar>
              <w:left w:w="85" w:type="dxa"/>
              <w:right w:w="57" w:type="dxa"/>
            </w:tcMar>
          </w:tcPr>
          <w:p w14:paraId="273CD91D" w14:textId="77777777" w:rsidR="00F26568" w:rsidRPr="003978B4" w:rsidRDefault="00324184" w:rsidP="00F26568">
            <w:pPr>
              <w:pStyle w:val="TableText"/>
            </w:pPr>
            <w:r w:rsidRPr="003978B4">
              <w:t>Larva</w:t>
            </w:r>
          </w:p>
        </w:tc>
        <w:tc>
          <w:tcPr>
            <w:tcW w:w="405" w:type="pct"/>
            <w:tcBorders>
              <w:bottom w:val="nil"/>
            </w:tcBorders>
            <w:shd w:val="clear" w:color="auto" w:fill="auto"/>
            <w:tcMar>
              <w:left w:w="85" w:type="dxa"/>
              <w:right w:w="57" w:type="dxa"/>
            </w:tcMar>
          </w:tcPr>
          <w:p w14:paraId="273CD91E" w14:textId="77777777" w:rsidR="00F26568" w:rsidRPr="003978B4" w:rsidRDefault="00324184" w:rsidP="00F26568">
            <w:pPr>
              <w:pStyle w:val="TableText"/>
            </w:pPr>
            <w:r w:rsidRPr="003978B4">
              <w:t>14</w:t>
            </w:r>
          </w:p>
        </w:tc>
        <w:tc>
          <w:tcPr>
            <w:tcW w:w="709" w:type="pct"/>
            <w:tcBorders>
              <w:bottom w:val="nil"/>
            </w:tcBorders>
            <w:shd w:val="clear" w:color="auto" w:fill="auto"/>
            <w:tcMar>
              <w:left w:w="85" w:type="dxa"/>
              <w:right w:w="57" w:type="dxa"/>
            </w:tcMar>
          </w:tcPr>
          <w:p w14:paraId="273CD91F" w14:textId="77777777" w:rsidR="00F26568" w:rsidRPr="003978B4" w:rsidRDefault="00324184" w:rsidP="006C4BAD">
            <w:pPr>
              <w:pStyle w:val="TableText"/>
            </w:pPr>
            <w:r w:rsidRPr="003978B4">
              <w:t>LC10</w:t>
            </w:r>
            <w:r>
              <w:t xml:space="preserve"> </w:t>
            </w:r>
            <w:r w:rsidR="006C4BAD">
              <w:br/>
            </w:r>
            <w:r w:rsidRPr="003978B4">
              <w:t>(Mortality)</w:t>
            </w:r>
          </w:p>
        </w:tc>
        <w:tc>
          <w:tcPr>
            <w:tcW w:w="304" w:type="pct"/>
            <w:tcBorders>
              <w:bottom w:val="nil"/>
            </w:tcBorders>
            <w:shd w:val="clear" w:color="auto" w:fill="auto"/>
            <w:tcMar>
              <w:left w:w="85" w:type="dxa"/>
              <w:right w:w="57" w:type="dxa"/>
            </w:tcMar>
          </w:tcPr>
          <w:p w14:paraId="273CD920" w14:textId="77777777" w:rsidR="00F26568" w:rsidRPr="003978B4" w:rsidRDefault="00324184" w:rsidP="00F26568">
            <w:pPr>
              <w:pStyle w:val="TableText"/>
            </w:pPr>
            <w:r w:rsidRPr="003978B4">
              <w:t>34</w:t>
            </w:r>
          </w:p>
        </w:tc>
        <w:tc>
          <w:tcPr>
            <w:tcW w:w="304" w:type="pct"/>
            <w:tcBorders>
              <w:bottom w:val="nil"/>
            </w:tcBorders>
            <w:shd w:val="clear" w:color="auto" w:fill="auto"/>
            <w:tcMar>
              <w:left w:w="85" w:type="dxa"/>
              <w:right w:w="57" w:type="dxa"/>
            </w:tcMar>
          </w:tcPr>
          <w:p w14:paraId="273CD921" w14:textId="77777777" w:rsidR="00F26568"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922" w14:textId="77777777" w:rsidR="00F26568" w:rsidRPr="003978B4" w:rsidRDefault="00324184" w:rsidP="00F26568">
            <w:pPr>
              <w:pStyle w:val="TableText"/>
            </w:pPr>
            <w:r w:rsidRPr="003978B4">
              <w:t>20</w:t>
            </w:r>
          </w:p>
        </w:tc>
        <w:tc>
          <w:tcPr>
            <w:tcW w:w="430" w:type="pct"/>
            <w:shd w:val="clear" w:color="auto" w:fill="auto"/>
            <w:tcMar>
              <w:left w:w="85" w:type="dxa"/>
              <w:right w:w="57" w:type="dxa"/>
            </w:tcMar>
          </w:tcPr>
          <w:p w14:paraId="273CD923" w14:textId="77777777" w:rsidR="00F26568" w:rsidRPr="003978B4" w:rsidRDefault="00324184" w:rsidP="00F26568">
            <w:pPr>
              <w:pStyle w:val="TableText"/>
            </w:pPr>
            <w:r w:rsidRPr="003978B4">
              <w:t>70</w:t>
            </w:r>
          </w:p>
        </w:tc>
        <w:tc>
          <w:tcPr>
            <w:tcW w:w="621" w:type="pct"/>
            <w:shd w:val="clear" w:color="auto" w:fill="auto"/>
            <w:tcMar>
              <w:left w:w="85" w:type="dxa"/>
              <w:right w:w="57" w:type="dxa"/>
            </w:tcMar>
          </w:tcPr>
          <w:p w14:paraId="273CD924" w14:textId="77777777" w:rsidR="00F26568" w:rsidRPr="003978B4" w:rsidRDefault="00324184" w:rsidP="00F26568">
            <w:pPr>
              <w:pStyle w:val="TableText"/>
            </w:pPr>
            <w:r>
              <w:rPr>
                <w:noProof/>
              </w:rPr>
              <w:t>Markich</w:t>
            </w:r>
            <w:r w:rsidRPr="003978B4">
              <w:rPr>
                <w:noProof/>
              </w:rPr>
              <w:t xml:space="preserve"> et al. (</w:t>
            </w:r>
            <w:r>
              <w:rPr>
                <w:noProof/>
              </w:rPr>
              <w:t>2002</w:t>
            </w:r>
            <w:r w:rsidRPr="003978B4">
              <w:rPr>
                <w:noProof/>
              </w:rPr>
              <w:t>)</w:t>
            </w:r>
          </w:p>
        </w:tc>
      </w:tr>
      <w:tr w:rsidR="00091AEB" w14:paraId="273CD92A" w14:textId="77777777" w:rsidTr="00375885">
        <w:trPr>
          <w:cantSplit/>
        </w:trPr>
        <w:tc>
          <w:tcPr>
            <w:tcW w:w="506" w:type="pct"/>
            <w:vMerge/>
            <w:tcBorders>
              <w:bottom w:val="single" w:sz="4" w:space="0" w:color="auto"/>
            </w:tcBorders>
            <w:shd w:val="clear" w:color="auto" w:fill="auto"/>
            <w:tcMar>
              <w:left w:w="85" w:type="dxa"/>
              <w:right w:w="57" w:type="dxa"/>
            </w:tcMar>
          </w:tcPr>
          <w:p w14:paraId="273CD926"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927"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928" w14:textId="77777777" w:rsidR="00F26568" w:rsidRPr="00275044" w:rsidRDefault="00324184" w:rsidP="00F26568">
            <w:pPr>
              <w:pStyle w:val="TableText"/>
              <w:rPr>
                <w:b/>
                <w:bCs/>
              </w:rPr>
            </w:pPr>
            <w:r>
              <w:rPr>
                <w:b/>
                <w:bCs/>
              </w:rPr>
              <w:t>7</w:t>
            </w:r>
            <w:r w:rsidRPr="00275044">
              <w:rPr>
                <w:b/>
                <w:bCs/>
              </w:rPr>
              <w:t>0</w:t>
            </w:r>
          </w:p>
        </w:tc>
        <w:tc>
          <w:tcPr>
            <w:tcW w:w="621" w:type="pct"/>
            <w:shd w:val="clear" w:color="auto" w:fill="auto"/>
            <w:tcMar>
              <w:left w:w="85" w:type="dxa"/>
              <w:right w:w="57" w:type="dxa"/>
            </w:tcMar>
          </w:tcPr>
          <w:p w14:paraId="273CD929" w14:textId="77777777" w:rsidR="00F26568" w:rsidRPr="00275044" w:rsidRDefault="00324184" w:rsidP="00F26568">
            <w:pPr>
              <w:pStyle w:val="TableText"/>
              <w:rPr>
                <w:b/>
                <w:bCs/>
              </w:rPr>
            </w:pPr>
            <w:r w:rsidRPr="00275044">
              <w:rPr>
                <w:b/>
                <w:bCs/>
              </w:rPr>
              <w:t>Value used in SSD</w:t>
            </w:r>
          </w:p>
        </w:tc>
      </w:tr>
      <w:tr w:rsidR="00091AEB" w14:paraId="273CD935" w14:textId="77777777" w:rsidTr="00375885">
        <w:trPr>
          <w:cantSplit/>
        </w:trPr>
        <w:tc>
          <w:tcPr>
            <w:tcW w:w="506" w:type="pct"/>
            <w:vMerge w:val="restart"/>
            <w:tcBorders>
              <w:bottom w:val="single" w:sz="12" w:space="0" w:color="auto"/>
            </w:tcBorders>
            <w:shd w:val="clear" w:color="auto" w:fill="auto"/>
            <w:tcMar>
              <w:left w:w="85" w:type="dxa"/>
              <w:right w:w="57" w:type="dxa"/>
            </w:tcMar>
          </w:tcPr>
          <w:p w14:paraId="273CD92B" w14:textId="77777777" w:rsidR="00F26568" w:rsidRPr="003978B4" w:rsidRDefault="00324184" w:rsidP="00F26568">
            <w:pPr>
              <w:pStyle w:val="TableText"/>
            </w:pPr>
            <w:r w:rsidRPr="003978B4">
              <w:t>Fish</w:t>
            </w:r>
          </w:p>
        </w:tc>
        <w:tc>
          <w:tcPr>
            <w:tcW w:w="709" w:type="pct"/>
            <w:vMerge w:val="restart"/>
            <w:shd w:val="clear" w:color="auto" w:fill="auto"/>
            <w:tcMar>
              <w:left w:w="85" w:type="dxa"/>
              <w:right w:w="57" w:type="dxa"/>
            </w:tcMar>
          </w:tcPr>
          <w:p w14:paraId="273CD92C" w14:textId="77777777" w:rsidR="00F26568" w:rsidRPr="00254919" w:rsidRDefault="00324184" w:rsidP="00F26568">
            <w:pPr>
              <w:pStyle w:val="TableText"/>
            </w:pPr>
            <w:r w:rsidRPr="00A616D8">
              <w:rPr>
                <w:rStyle w:val="Emphasis"/>
              </w:rPr>
              <w:t>Atherinops affinis</w:t>
            </w:r>
          </w:p>
        </w:tc>
        <w:tc>
          <w:tcPr>
            <w:tcW w:w="607" w:type="pct"/>
            <w:shd w:val="clear" w:color="auto" w:fill="auto"/>
            <w:tcMar>
              <w:left w:w="85" w:type="dxa"/>
              <w:right w:w="57" w:type="dxa"/>
            </w:tcMar>
          </w:tcPr>
          <w:p w14:paraId="273CD92D" w14:textId="77777777" w:rsidR="00F26568" w:rsidRPr="003978B4" w:rsidRDefault="00324184" w:rsidP="00F26568">
            <w:pPr>
              <w:pStyle w:val="TableText"/>
            </w:pPr>
            <w:r w:rsidRPr="003978B4">
              <w:t>Embryo</w:t>
            </w:r>
          </w:p>
        </w:tc>
        <w:tc>
          <w:tcPr>
            <w:tcW w:w="405" w:type="pct"/>
            <w:shd w:val="clear" w:color="auto" w:fill="auto"/>
            <w:tcMar>
              <w:left w:w="85" w:type="dxa"/>
              <w:right w:w="57" w:type="dxa"/>
            </w:tcMar>
          </w:tcPr>
          <w:p w14:paraId="273CD92E" w14:textId="77777777" w:rsidR="00F26568" w:rsidRPr="003978B4" w:rsidRDefault="00324184" w:rsidP="00F26568">
            <w:pPr>
              <w:pStyle w:val="TableText"/>
            </w:pPr>
            <w:r w:rsidRPr="003978B4">
              <w:t>12</w:t>
            </w:r>
          </w:p>
        </w:tc>
        <w:tc>
          <w:tcPr>
            <w:tcW w:w="709" w:type="pct"/>
            <w:shd w:val="clear" w:color="auto" w:fill="auto"/>
            <w:tcMar>
              <w:left w:w="85" w:type="dxa"/>
              <w:right w:w="57" w:type="dxa"/>
            </w:tcMar>
          </w:tcPr>
          <w:p w14:paraId="273CD92F" w14:textId="77777777" w:rsidR="00F26568" w:rsidRPr="003978B4" w:rsidRDefault="00324184" w:rsidP="006C4BAD">
            <w:pPr>
              <w:pStyle w:val="TableText"/>
            </w:pPr>
            <w:r w:rsidRPr="003978B4">
              <w:t>NOEC</w:t>
            </w:r>
            <w:r>
              <w:t xml:space="preserve"> </w:t>
            </w:r>
            <w:r w:rsidR="006C4BAD">
              <w:br/>
            </w:r>
            <w:r w:rsidRPr="003978B4">
              <w:t>(Development)</w:t>
            </w:r>
          </w:p>
        </w:tc>
        <w:tc>
          <w:tcPr>
            <w:tcW w:w="304" w:type="pct"/>
            <w:shd w:val="clear" w:color="auto" w:fill="auto"/>
            <w:tcMar>
              <w:left w:w="85" w:type="dxa"/>
              <w:right w:w="57" w:type="dxa"/>
            </w:tcMar>
          </w:tcPr>
          <w:p w14:paraId="273CD930" w14:textId="77777777" w:rsidR="00F26568" w:rsidRPr="003978B4" w:rsidRDefault="00324184" w:rsidP="00F26568">
            <w:pPr>
              <w:pStyle w:val="TableText"/>
            </w:pPr>
            <w:r w:rsidRPr="003978B4">
              <w:t>33</w:t>
            </w:r>
          </w:p>
        </w:tc>
        <w:tc>
          <w:tcPr>
            <w:tcW w:w="304" w:type="pct"/>
            <w:shd w:val="clear" w:color="auto" w:fill="auto"/>
            <w:tcMar>
              <w:left w:w="85" w:type="dxa"/>
              <w:right w:w="57" w:type="dxa"/>
            </w:tcMar>
          </w:tcPr>
          <w:p w14:paraId="273CD931" w14:textId="77777777" w:rsidR="00F26568" w:rsidRPr="003978B4" w:rsidRDefault="00324184" w:rsidP="00F26568">
            <w:pPr>
              <w:pStyle w:val="TableText"/>
            </w:pPr>
            <w:r>
              <w:t>–</w:t>
            </w:r>
          </w:p>
        </w:tc>
        <w:tc>
          <w:tcPr>
            <w:tcW w:w="405" w:type="pct"/>
            <w:shd w:val="clear" w:color="auto" w:fill="auto"/>
            <w:tcMar>
              <w:left w:w="85" w:type="dxa"/>
              <w:right w:w="57" w:type="dxa"/>
            </w:tcMar>
          </w:tcPr>
          <w:p w14:paraId="273CD932" w14:textId="77777777" w:rsidR="00F26568" w:rsidRPr="003978B4" w:rsidRDefault="00324184" w:rsidP="00F26568">
            <w:pPr>
              <w:pStyle w:val="TableText"/>
            </w:pPr>
            <w:r w:rsidRPr="003978B4">
              <w:t>21</w:t>
            </w:r>
          </w:p>
        </w:tc>
        <w:tc>
          <w:tcPr>
            <w:tcW w:w="430" w:type="pct"/>
            <w:shd w:val="clear" w:color="auto" w:fill="auto"/>
            <w:tcMar>
              <w:left w:w="85" w:type="dxa"/>
              <w:right w:w="57" w:type="dxa"/>
            </w:tcMar>
          </w:tcPr>
          <w:p w14:paraId="273CD933" w14:textId="77777777" w:rsidR="00F26568" w:rsidRPr="003978B4" w:rsidRDefault="00324184" w:rsidP="00F26568">
            <w:pPr>
              <w:pStyle w:val="TableText"/>
            </w:pPr>
            <w:r w:rsidRPr="003978B4">
              <w:t>92</w:t>
            </w:r>
          </w:p>
        </w:tc>
        <w:tc>
          <w:tcPr>
            <w:tcW w:w="621" w:type="pct"/>
            <w:shd w:val="clear" w:color="auto" w:fill="auto"/>
            <w:tcMar>
              <w:left w:w="85" w:type="dxa"/>
              <w:right w:w="57" w:type="dxa"/>
            </w:tcMar>
          </w:tcPr>
          <w:p w14:paraId="273CD934" w14:textId="77777777" w:rsidR="00F26568" w:rsidRPr="003978B4" w:rsidRDefault="00324184" w:rsidP="00F26568">
            <w:pPr>
              <w:pStyle w:val="TableText"/>
            </w:pPr>
            <w:r w:rsidRPr="003978B4">
              <w:rPr>
                <w:noProof/>
              </w:rPr>
              <w:t>Anderson et al. (1991)</w:t>
            </w:r>
          </w:p>
        </w:tc>
      </w:tr>
      <w:tr w:rsidR="00091AEB" w14:paraId="273CD940" w14:textId="77777777" w:rsidTr="00375885">
        <w:trPr>
          <w:cantSplit/>
        </w:trPr>
        <w:tc>
          <w:tcPr>
            <w:tcW w:w="506" w:type="pct"/>
            <w:vMerge/>
            <w:tcBorders>
              <w:bottom w:val="single" w:sz="12" w:space="0" w:color="auto"/>
            </w:tcBorders>
            <w:shd w:val="clear" w:color="auto" w:fill="auto"/>
            <w:tcMar>
              <w:left w:w="85" w:type="dxa"/>
              <w:right w:w="57" w:type="dxa"/>
            </w:tcMar>
          </w:tcPr>
          <w:p w14:paraId="273CD936" w14:textId="77777777" w:rsidR="00F26568" w:rsidRPr="003978B4" w:rsidRDefault="00F26568" w:rsidP="00F26568">
            <w:pPr>
              <w:pStyle w:val="TableText"/>
            </w:pPr>
          </w:p>
        </w:tc>
        <w:tc>
          <w:tcPr>
            <w:tcW w:w="709" w:type="pct"/>
            <w:vMerge/>
            <w:shd w:val="clear" w:color="auto" w:fill="auto"/>
            <w:tcMar>
              <w:left w:w="85" w:type="dxa"/>
              <w:right w:w="57" w:type="dxa"/>
            </w:tcMar>
          </w:tcPr>
          <w:p w14:paraId="273CD937" w14:textId="77777777" w:rsidR="00F26568" w:rsidRPr="00254919" w:rsidRDefault="00F26568" w:rsidP="00F26568">
            <w:pPr>
              <w:pStyle w:val="TableText"/>
            </w:pPr>
          </w:p>
        </w:tc>
        <w:tc>
          <w:tcPr>
            <w:tcW w:w="607" w:type="pct"/>
            <w:shd w:val="clear" w:color="auto" w:fill="auto"/>
            <w:tcMar>
              <w:left w:w="85" w:type="dxa"/>
              <w:right w:w="57" w:type="dxa"/>
            </w:tcMar>
          </w:tcPr>
          <w:p w14:paraId="273CD938" w14:textId="77777777" w:rsidR="00F26568" w:rsidRPr="003978B4" w:rsidRDefault="00324184" w:rsidP="00F26568">
            <w:pPr>
              <w:pStyle w:val="TableText"/>
            </w:pPr>
            <w:r w:rsidRPr="003978B4">
              <w:t>Larva</w:t>
            </w:r>
          </w:p>
        </w:tc>
        <w:tc>
          <w:tcPr>
            <w:tcW w:w="405" w:type="pct"/>
            <w:shd w:val="clear" w:color="auto" w:fill="auto"/>
            <w:tcMar>
              <w:left w:w="85" w:type="dxa"/>
              <w:right w:w="57" w:type="dxa"/>
            </w:tcMar>
          </w:tcPr>
          <w:p w14:paraId="273CD939" w14:textId="77777777" w:rsidR="00F26568" w:rsidRPr="003978B4" w:rsidRDefault="00324184" w:rsidP="00F26568">
            <w:pPr>
              <w:pStyle w:val="TableText"/>
            </w:pPr>
            <w:r w:rsidRPr="003978B4">
              <w:t>12</w:t>
            </w:r>
          </w:p>
        </w:tc>
        <w:tc>
          <w:tcPr>
            <w:tcW w:w="709" w:type="pct"/>
            <w:shd w:val="clear" w:color="auto" w:fill="auto"/>
            <w:tcMar>
              <w:left w:w="85" w:type="dxa"/>
              <w:right w:w="57" w:type="dxa"/>
            </w:tcMar>
          </w:tcPr>
          <w:p w14:paraId="273CD93A" w14:textId="77777777" w:rsidR="00F26568" w:rsidRPr="003978B4" w:rsidRDefault="00324184" w:rsidP="006C4BAD">
            <w:pPr>
              <w:pStyle w:val="TableText"/>
            </w:pPr>
            <w:r w:rsidRPr="003978B4">
              <w:t>NOEC</w:t>
            </w:r>
            <w:r>
              <w:t xml:space="preserve"> </w:t>
            </w:r>
            <w:r w:rsidR="006C4BAD">
              <w:br/>
            </w:r>
            <w:r w:rsidRPr="003978B4">
              <w:t>(Development)</w:t>
            </w:r>
          </w:p>
        </w:tc>
        <w:tc>
          <w:tcPr>
            <w:tcW w:w="304" w:type="pct"/>
            <w:shd w:val="clear" w:color="auto" w:fill="auto"/>
            <w:tcMar>
              <w:left w:w="85" w:type="dxa"/>
              <w:right w:w="57" w:type="dxa"/>
            </w:tcMar>
          </w:tcPr>
          <w:p w14:paraId="273CD93B" w14:textId="77777777" w:rsidR="00F26568" w:rsidRPr="003978B4" w:rsidRDefault="00324184" w:rsidP="00F26568">
            <w:pPr>
              <w:pStyle w:val="TableText"/>
            </w:pPr>
            <w:r w:rsidRPr="003978B4">
              <w:t>33</w:t>
            </w:r>
          </w:p>
        </w:tc>
        <w:tc>
          <w:tcPr>
            <w:tcW w:w="304" w:type="pct"/>
            <w:shd w:val="clear" w:color="auto" w:fill="auto"/>
            <w:tcMar>
              <w:left w:w="85" w:type="dxa"/>
              <w:right w:w="57" w:type="dxa"/>
            </w:tcMar>
          </w:tcPr>
          <w:p w14:paraId="273CD93C" w14:textId="77777777" w:rsidR="00F26568" w:rsidRPr="003978B4" w:rsidRDefault="00324184" w:rsidP="00F26568">
            <w:pPr>
              <w:pStyle w:val="TableText"/>
            </w:pPr>
            <w:r>
              <w:t>–</w:t>
            </w:r>
          </w:p>
        </w:tc>
        <w:tc>
          <w:tcPr>
            <w:tcW w:w="405" w:type="pct"/>
            <w:shd w:val="clear" w:color="auto" w:fill="auto"/>
            <w:tcMar>
              <w:left w:w="85" w:type="dxa"/>
              <w:right w:w="57" w:type="dxa"/>
            </w:tcMar>
          </w:tcPr>
          <w:p w14:paraId="273CD93D" w14:textId="77777777" w:rsidR="00F26568" w:rsidRPr="003978B4" w:rsidRDefault="00324184" w:rsidP="00F26568">
            <w:pPr>
              <w:pStyle w:val="TableText"/>
            </w:pPr>
            <w:r w:rsidRPr="003978B4">
              <w:t>21</w:t>
            </w:r>
          </w:p>
        </w:tc>
        <w:tc>
          <w:tcPr>
            <w:tcW w:w="430" w:type="pct"/>
            <w:shd w:val="clear" w:color="auto" w:fill="auto"/>
            <w:tcMar>
              <w:left w:w="85" w:type="dxa"/>
              <w:right w:w="57" w:type="dxa"/>
            </w:tcMar>
          </w:tcPr>
          <w:p w14:paraId="273CD93E" w14:textId="77777777" w:rsidR="00F26568" w:rsidRPr="003978B4" w:rsidRDefault="00324184" w:rsidP="00F26568">
            <w:pPr>
              <w:pStyle w:val="TableText"/>
            </w:pPr>
            <w:r w:rsidRPr="003978B4">
              <w:t>62</w:t>
            </w:r>
          </w:p>
        </w:tc>
        <w:tc>
          <w:tcPr>
            <w:tcW w:w="621" w:type="pct"/>
            <w:shd w:val="clear" w:color="auto" w:fill="auto"/>
            <w:tcMar>
              <w:left w:w="85" w:type="dxa"/>
              <w:right w:w="57" w:type="dxa"/>
            </w:tcMar>
          </w:tcPr>
          <w:p w14:paraId="273CD93F" w14:textId="77777777" w:rsidR="00F26568" w:rsidRPr="003978B4" w:rsidRDefault="00324184" w:rsidP="00F26568">
            <w:pPr>
              <w:pStyle w:val="TableText"/>
            </w:pPr>
            <w:r w:rsidRPr="003978B4">
              <w:rPr>
                <w:noProof/>
              </w:rPr>
              <w:t>Anderson et al. (1991)</w:t>
            </w:r>
          </w:p>
        </w:tc>
      </w:tr>
      <w:tr w:rsidR="00091AEB" w14:paraId="273CD94B" w14:textId="77777777" w:rsidTr="00375885">
        <w:trPr>
          <w:cantSplit/>
        </w:trPr>
        <w:tc>
          <w:tcPr>
            <w:tcW w:w="506" w:type="pct"/>
            <w:vMerge/>
            <w:tcBorders>
              <w:bottom w:val="single" w:sz="12" w:space="0" w:color="auto"/>
            </w:tcBorders>
            <w:shd w:val="clear" w:color="auto" w:fill="auto"/>
            <w:tcMar>
              <w:left w:w="85" w:type="dxa"/>
              <w:right w:w="57" w:type="dxa"/>
            </w:tcMar>
          </w:tcPr>
          <w:p w14:paraId="273CD941" w14:textId="77777777" w:rsidR="00F26568" w:rsidRPr="003978B4" w:rsidRDefault="00F26568" w:rsidP="00F26568">
            <w:pPr>
              <w:pStyle w:val="TableText"/>
            </w:pPr>
          </w:p>
        </w:tc>
        <w:tc>
          <w:tcPr>
            <w:tcW w:w="709" w:type="pct"/>
            <w:vMerge/>
            <w:tcBorders>
              <w:bottom w:val="nil"/>
            </w:tcBorders>
            <w:shd w:val="clear" w:color="auto" w:fill="auto"/>
            <w:tcMar>
              <w:left w:w="85" w:type="dxa"/>
              <w:right w:w="57" w:type="dxa"/>
            </w:tcMar>
          </w:tcPr>
          <w:p w14:paraId="273CD942" w14:textId="77777777" w:rsidR="00F26568" w:rsidRPr="00254919" w:rsidRDefault="00F26568" w:rsidP="00F26568">
            <w:pPr>
              <w:pStyle w:val="TableText"/>
            </w:pPr>
          </w:p>
        </w:tc>
        <w:tc>
          <w:tcPr>
            <w:tcW w:w="607" w:type="pct"/>
            <w:tcBorders>
              <w:bottom w:val="nil"/>
            </w:tcBorders>
            <w:shd w:val="clear" w:color="auto" w:fill="auto"/>
            <w:tcMar>
              <w:left w:w="85" w:type="dxa"/>
              <w:right w:w="57" w:type="dxa"/>
            </w:tcMar>
          </w:tcPr>
          <w:p w14:paraId="273CD943" w14:textId="77777777" w:rsidR="00F26568" w:rsidRPr="003978B4" w:rsidRDefault="00324184" w:rsidP="00F26568">
            <w:pPr>
              <w:pStyle w:val="TableText"/>
            </w:pPr>
            <w:r w:rsidRPr="003978B4">
              <w:t>Larva</w:t>
            </w:r>
          </w:p>
        </w:tc>
        <w:tc>
          <w:tcPr>
            <w:tcW w:w="405" w:type="pct"/>
            <w:tcBorders>
              <w:bottom w:val="nil"/>
            </w:tcBorders>
            <w:shd w:val="clear" w:color="auto" w:fill="auto"/>
            <w:tcMar>
              <w:left w:w="85" w:type="dxa"/>
              <w:right w:w="57" w:type="dxa"/>
            </w:tcMar>
          </w:tcPr>
          <w:p w14:paraId="273CD944" w14:textId="77777777" w:rsidR="00F26568" w:rsidRPr="003978B4" w:rsidRDefault="00324184" w:rsidP="00F26568">
            <w:pPr>
              <w:pStyle w:val="TableText"/>
            </w:pPr>
            <w:r w:rsidRPr="003978B4">
              <w:t>7</w:t>
            </w:r>
          </w:p>
        </w:tc>
        <w:tc>
          <w:tcPr>
            <w:tcW w:w="709" w:type="pct"/>
            <w:tcBorders>
              <w:bottom w:val="nil"/>
            </w:tcBorders>
            <w:shd w:val="clear" w:color="auto" w:fill="auto"/>
            <w:tcMar>
              <w:left w:w="85" w:type="dxa"/>
              <w:right w:w="57" w:type="dxa"/>
            </w:tcMar>
          </w:tcPr>
          <w:p w14:paraId="273CD945" w14:textId="77777777" w:rsidR="00F26568" w:rsidRPr="003978B4" w:rsidRDefault="00324184" w:rsidP="006C4BAD">
            <w:pPr>
              <w:pStyle w:val="TableText"/>
            </w:pPr>
            <w:r w:rsidRPr="003978B4">
              <w:t>NOEC</w:t>
            </w:r>
            <w:r>
              <w:t xml:space="preserve"> </w:t>
            </w:r>
            <w:r w:rsidR="006C4BAD">
              <w:br/>
            </w:r>
            <w:r w:rsidRPr="003978B4">
              <w:t>(Mortality)</w:t>
            </w:r>
          </w:p>
        </w:tc>
        <w:tc>
          <w:tcPr>
            <w:tcW w:w="304" w:type="pct"/>
            <w:tcBorders>
              <w:bottom w:val="nil"/>
            </w:tcBorders>
            <w:shd w:val="clear" w:color="auto" w:fill="auto"/>
            <w:tcMar>
              <w:left w:w="85" w:type="dxa"/>
              <w:right w:w="57" w:type="dxa"/>
            </w:tcMar>
          </w:tcPr>
          <w:p w14:paraId="273CD946" w14:textId="77777777" w:rsidR="00F26568" w:rsidRPr="003978B4" w:rsidRDefault="00324184" w:rsidP="00F26568">
            <w:pPr>
              <w:pStyle w:val="TableText"/>
            </w:pPr>
            <w:r>
              <w:t>–</w:t>
            </w:r>
          </w:p>
        </w:tc>
        <w:tc>
          <w:tcPr>
            <w:tcW w:w="304" w:type="pct"/>
            <w:tcBorders>
              <w:bottom w:val="nil"/>
            </w:tcBorders>
            <w:shd w:val="clear" w:color="auto" w:fill="auto"/>
            <w:tcMar>
              <w:left w:w="85" w:type="dxa"/>
              <w:right w:w="57" w:type="dxa"/>
            </w:tcMar>
          </w:tcPr>
          <w:p w14:paraId="273CD947" w14:textId="77777777" w:rsidR="00F26568"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948"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949" w14:textId="77777777" w:rsidR="00F26568" w:rsidRPr="003978B4" w:rsidRDefault="00324184" w:rsidP="00F26568">
            <w:pPr>
              <w:pStyle w:val="TableText"/>
            </w:pPr>
            <w:r w:rsidRPr="003978B4">
              <w:t>134</w:t>
            </w:r>
          </w:p>
        </w:tc>
        <w:tc>
          <w:tcPr>
            <w:tcW w:w="621" w:type="pct"/>
            <w:shd w:val="clear" w:color="auto" w:fill="auto"/>
            <w:tcMar>
              <w:left w:w="85" w:type="dxa"/>
              <w:right w:w="57" w:type="dxa"/>
            </w:tcMar>
          </w:tcPr>
          <w:p w14:paraId="273CD94A" w14:textId="77777777" w:rsidR="00F26568" w:rsidRPr="003978B4" w:rsidRDefault="00324184" w:rsidP="00F26568">
            <w:pPr>
              <w:pStyle w:val="TableText"/>
            </w:pPr>
            <w:r w:rsidRPr="003978B4">
              <w:rPr>
                <w:noProof/>
              </w:rPr>
              <w:t>McNulty et al. (1994)</w:t>
            </w:r>
          </w:p>
        </w:tc>
      </w:tr>
      <w:tr w:rsidR="00091AEB" w14:paraId="273CD951" w14:textId="77777777" w:rsidTr="00375885">
        <w:trPr>
          <w:cantSplit/>
        </w:trPr>
        <w:tc>
          <w:tcPr>
            <w:tcW w:w="506" w:type="pct"/>
            <w:vMerge/>
            <w:tcBorders>
              <w:bottom w:val="single" w:sz="12" w:space="0" w:color="auto"/>
            </w:tcBorders>
            <w:shd w:val="clear" w:color="auto" w:fill="auto"/>
            <w:tcMar>
              <w:left w:w="85" w:type="dxa"/>
              <w:right w:w="57" w:type="dxa"/>
            </w:tcMar>
          </w:tcPr>
          <w:p w14:paraId="273CD94C" w14:textId="77777777" w:rsidR="00F26568" w:rsidRPr="003978B4" w:rsidRDefault="00F26568" w:rsidP="00F26568">
            <w:pPr>
              <w:pStyle w:val="TableText"/>
            </w:pPr>
          </w:p>
        </w:tc>
        <w:tc>
          <w:tcPr>
            <w:tcW w:w="3443" w:type="pct"/>
            <w:gridSpan w:val="7"/>
            <w:tcBorders>
              <w:top w:val="nil"/>
            </w:tcBorders>
            <w:shd w:val="clear" w:color="auto" w:fill="auto"/>
            <w:tcMar>
              <w:left w:w="85" w:type="dxa"/>
              <w:right w:w="57" w:type="dxa"/>
            </w:tcMar>
          </w:tcPr>
          <w:p w14:paraId="273CD94D" w14:textId="77777777" w:rsidR="00F26568" w:rsidRPr="003978B4" w:rsidRDefault="00324184" w:rsidP="00F26568">
            <w:pPr>
              <w:pStyle w:val="TableText"/>
            </w:pPr>
            <w:r>
              <w:t>–</w:t>
            </w:r>
          </w:p>
        </w:tc>
        <w:tc>
          <w:tcPr>
            <w:tcW w:w="430" w:type="pct"/>
            <w:shd w:val="clear" w:color="auto" w:fill="auto"/>
            <w:tcMar>
              <w:left w:w="85" w:type="dxa"/>
              <w:right w:w="57" w:type="dxa"/>
            </w:tcMar>
          </w:tcPr>
          <w:p w14:paraId="273CD94E" w14:textId="77777777" w:rsidR="00F26568" w:rsidRPr="00275044" w:rsidRDefault="00324184" w:rsidP="00F26568">
            <w:pPr>
              <w:pStyle w:val="TableText"/>
              <w:rPr>
                <w:b/>
                <w:bCs/>
              </w:rPr>
            </w:pPr>
            <w:r w:rsidRPr="00275044">
              <w:rPr>
                <w:b/>
                <w:bCs/>
              </w:rPr>
              <w:t>62</w:t>
            </w:r>
          </w:p>
        </w:tc>
        <w:tc>
          <w:tcPr>
            <w:tcW w:w="621" w:type="pct"/>
            <w:shd w:val="clear" w:color="auto" w:fill="auto"/>
            <w:tcMar>
              <w:left w:w="85" w:type="dxa"/>
              <w:right w:w="57" w:type="dxa"/>
            </w:tcMar>
          </w:tcPr>
          <w:p w14:paraId="273CD94F" w14:textId="77777777" w:rsidR="00F26568" w:rsidRDefault="00324184" w:rsidP="00F26568">
            <w:pPr>
              <w:pStyle w:val="TableText"/>
              <w:rPr>
                <w:b/>
                <w:bCs/>
              </w:rPr>
            </w:pPr>
            <w:r>
              <w:rPr>
                <w:b/>
                <w:bCs/>
              </w:rPr>
              <w:t xml:space="preserve">Value </w:t>
            </w:r>
            <w:r w:rsidRPr="00275044">
              <w:rPr>
                <w:b/>
                <w:bCs/>
              </w:rPr>
              <w:t xml:space="preserve">used in </w:t>
            </w:r>
            <w:r w:rsidRPr="00275044">
              <w:rPr>
                <w:b/>
                <w:bCs/>
              </w:rPr>
              <w:t>SSD</w:t>
            </w:r>
          </w:p>
          <w:p w14:paraId="273CD950" w14:textId="77777777" w:rsidR="00F26568" w:rsidRPr="00275044" w:rsidRDefault="00324184" w:rsidP="00F26568">
            <w:pPr>
              <w:pStyle w:val="TableText"/>
              <w:rPr>
                <w:b/>
                <w:bCs/>
              </w:rPr>
            </w:pPr>
            <w:r>
              <w:rPr>
                <w:b/>
                <w:bCs/>
              </w:rPr>
              <w:t>(l</w:t>
            </w:r>
            <w:r w:rsidRPr="00275044">
              <w:rPr>
                <w:b/>
                <w:bCs/>
              </w:rPr>
              <w:t>owest value</w:t>
            </w:r>
            <w:r>
              <w:rPr>
                <w:b/>
                <w:bCs/>
              </w:rPr>
              <w:t>)</w:t>
            </w:r>
          </w:p>
        </w:tc>
      </w:tr>
      <w:tr w:rsidR="00091AEB" w14:paraId="273CD95C" w14:textId="77777777" w:rsidTr="00375885">
        <w:trPr>
          <w:cantSplit/>
        </w:trPr>
        <w:tc>
          <w:tcPr>
            <w:tcW w:w="506" w:type="pct"/>
            <w:vMerge/>
            <w:tcBorders>
              <w:bottom w:val="single" w:sz="12" w:space="0" w:color="auto"/>
            </w:tcBorders>
            <w:shd w:val="clear" w:color="auto" w:fill="auto"/>
            <w:tcMar>
              <w:left w:w="85" w:type="dxa"/>
              <w:right w:w="57" w:type="dxa"/>
            </w:tcMar>
          </w:tcPr>
          <w:p w14:paraId="273CD952" w14:textId="77777777" w:rsidR="00F26568" w:rsidRPr="003978B4" w:rsidRDefault="00F26568" w:rsidP="00F26568">
            <w:pPr>
              <w:pStyle w:val="TableText"/>
            </w:pPr>
          </w:p>
        </w:tc>
        <w:tc>
          <w:tcPr>
            <w:tcW w:w="709" w:type="pct"/>
            <w:tcBorders>
              <w:bottom w:val="nil"/>
            </w:tcBorders>
            <w:shd w:val="clear" w:color="auto" w:fill="auto"/>
            <w:tcMar>
              <w:left w:w="85" w:type="dxa"/>
              <w:right w:w="57" w:type="dxa"/>
            </w:tcMar>
          </w:tcPr>
          <w:p w14:paraId="273CD953" w14:textId="77777777" w:rsidR="00F26568" w:rsidRPr="00254919" w:rsidRDefault="00324184" w:rsidP="00F26568">
            <w:pPr>
              <w:pStyle w:val="TableText"/>
            </w:pPr>
            <w:r w:rsidRPr="00A616D8">
              <w:rPr>
                <w:rStyle w:val="Emphasis"/>
              </w:rPr>
              <w:t>Epinephelus coioides</w:t>
            </w:r>
          </w:p>
        </w:tc>
        <w:tc>
          <w:tcPr>
            <w:tcW w:w="607" w:type="pct"/>
            <w:tcBorders>
              <w:bottom w:val="nil"/>
            </w:tcBorders>
            <w:shd w:val="clear" w:color="auto" w:fill="auto"/>
            <w:tcMar>
              <w:left w:w="85" w:type="dxa"/>
              <w:right w:w="57" w:type="dxa"/>
            </w:tcMar>
          </w:tcPr>
          <w:p w14:paraId="273CD954" w14:textId="77777777" w:rsidR="00F26568" w:rsidRPr="003978B4" w:rsidRDefault="00324184" w:rsidP="00F26568">
            <w:pPr>
              <w:pStyle w:val="TableText"/>
            </w:pPr>
            <w:r w:rsidRPr="003978B4">
              <w:t>Juvenile</w:t>
            </w:r>
          </w:p>
        </w:tc>
        <w:tc>
          <w:tcPr>
            <w:tcW w:w="405" w:type="pct"/>
            <w:tcBorders>
              <w:bottom w:val="nil"/>
            </w:tcBorders>
            <w:shd w:val="clear" w:color="auto" w:fill="auto"/>
            <w:tcMar>
              <w:left w:w="85" w:type="dxa"/>
              <w:right w:w="57" w:type="dxa"/>
            </w:tcMar>
          </w:tcPr>
          <w:p w14:paraId="273CD955" w14:textId="77777777" w:rsidR="00F26568" w:rsidRPr="003978B4" w:rsidRDefault="00324184" w:rsidP="00F26568">
            <w:pPr>
              <w:pStyle w:val="TableText"/>
            </w:pPr>
            <w:r w:rsidRPr="003978B4">
              <w:t>25</w:t>
            </w:r>
          </w:p>
        </w:tc>
        <w:tc>
          <w:tcPr>
            <w:tcW w:w="709" w:type="pct"/>
            <w:tcBorders>
              <w:bottom w:val="nil"/>
            </w:tcBorders>
            <w:shd w:val="clear" w:color="auto" w:fill="auto"/>
            <w:tcMar>
              <w:left w:w="85" w:type="dxa"/>
              <w:right w:w="57" w:type="dxa"/>
            </w:tcMar>
          </w:tcPr>
          <w:p w14:paraId="273CD956" w14:textId="77777777" w:rsidR="00F26568" w:rsidRPr="003978B4" w:rsidRDefault="00324184" w:rsidP="006C4BAD">
            <w:pPr>
              <w:pStyle w:val="TableText"/>
            </w:pPr>
            <w:r w:rsidRPr="003978B4">
              <w:t>NOEC</w:t>
            </w:r>
            <w:r>
              <w:t xml:space="preserve"> </w:t>
            </w:r>
            <w:r w:rsidR="006C4BAD">
              <w:br/>
            </w:r>
            <w:r w:rsidRPr="003978B4">
              <w:t>(Growth)</w:t>
            </w:r>
          </w:p>
        </w:tc>
        <w:tc>
          <w:tcPr>
            <w:tcW w:w="304" w:type="pct"/>
            <w:tcBorders>
              <w:bottom w:val="nil"/>
            </w:tcBorders>
            <w:shd w:val="clear" w:color="auto" w:fill="auto"/>
            <w:tcMar>
              <w:left w:w="85" w:type="dxa"/>
              <w:right w:w="57" w:type="dxa"/>
            </w:tcMar>
          </w:tcPr>
          <w:p w14:paraId="273CD957" w14:textId="77777777" w:rsidR="00F26568" w:rsidRPr="003978B4" w:rsidRDefault="00324184" w:rsidP="00F26568">
            <w:pPr>
              <w:pStyle w:val="TableText"/>
            </w:pPr>
            <w:r w:rsidRPr="003978B4">
              <w:t>28</w:t>
            </w:r>
          </w:p>
        </w:tc>
        <w:tc>
          <w:tcPr>
            <w:tcW w:w="304" w:type="pct"/>
            <w:tcBorders>
              <w:bottom w:val="nil"/>
            </w:tcBorders>
            <w:shd w:val="clear" w:color="auto" w:fill="auto"/>
            <w:tcMar>
              <w:left w:w="85" w:type="dxa"/>
              <w:right w:w="57" w:type="dxa"/>
            </w:tcMar>
          </w:tcPr>
          <w:p w14:paraId="273CD958" w14:textId="77777777" w:rsidR="00F26568" w:rsidRPr="003978B4" w:rsidRDefault="00324184" w:rsidP="00F26568">
            <w:pPr>
              <w:pStyle w:val="TableText"/>
            </w:pPr>
            <w:r>
              <w:t>–</w:t>
            </w:r>
          </w:p>
        </w:tc>
        <w:tc>
          <w:tcPr>
            <w:tcW w:w="405" w:type="pct"/>
            <w:tcBorders>
              <w:bottom w:val="nil"/>
            </w:tcBorders>
            <w:shd w:val="clear" w:color="auto" w:fill="auto"/>
            <w:tcMar>
              <w:left w:w="85" w:type="dxa"/>
              <w:right w:w="57" w:type="dxa"/>
            </w:tcMar>
          </w:tcPr>
          <w:p w14:paraId="273CD959" w14:textId="77777777" w:rsidR="00F26568" w:rsidRPr="003978B4" w:rsidRDefault="00324184" w:rsidP="00F26568">
            <w:pPr>
              <w:pStyle w:val="TableText"/>
            </w:pPr>
            <w:r w:rsidRPr="003978B4">
              <w:t>24</w:t>
            </w:r>
          </w:p>
        </w:tc>
        <w:tc>
          <w:tcPr>
            <w:tcW w:w="430" w:type="pct"/>
            <w:shd w:val="clear" w:color="auto" w:fill="auto"/>
            <w:tcMar>
              <w:left w:w="85" w:type="dxa"/>
              <w:right w:w="57" w:type="dxa"/>
            </w:tcMar>
          </w:tcPr>
          <w:p w14:paraId="273CD95A" w14:textId="77777777" w:rsidR="00F26568" w:rsidRPr="003978B4" w:rsidRDefault="00324184" w:rsidP="00F26568">
            <w:pPr>
              <w:pStyle w:val="TableText"/>
            </w:pPr>
            <w:r w:rsidRPr="003978B4">
              <w:t>21</w:t>
            </w:r>
          </w:p>
        </w:tc>
        <w:tc>
          <w:tcPr>
            <w:tcW w:w="621" w:type="pct"/>
            <w:shd w:val="clear" w:color="auto" w:fill="auto"/>
            <w:tcMar>
              <w:left w:w="85" w:type="dxa"/>
              <w:right w:w="57" w:type="dxa"/>
            </w:tcMar>
          </w:tcPr>
          <w:p w14:paraId="273CD95B" w14:textId="77777777" w:rsidR="00F26568" w:rsidRPr="003978B4" w:rsidRDefault="00324184" w:rsidP="00F26568">
            <w:pPr>
              <w:pStyle w:val="TableText"/>
            </w:pPr>
            <w:r w:rsidRPr="003978B4">
              <w:rPr>
                <w:noProof/>
              </w:rPr>
              <w:t>Wang et al. (2014)</w:t>
            </w:r>
          </w:p>
        </w:tc>
      </w:tr>
      <w:tr w:rsidR="00091AEB" w14:paraId="273CD961" w14:textId="77777777" w:rsidTr="00375885">
        <w:trPr>
          <w:cantSplit/>
        </w:trPr>
        <w:tc>
          <w:tcPr>
            <w:tcW w:w="506" w:type="pct"/>
            <w:vMerge/>
            <w:tcBorders>
              <w:bottom w:val="single" w:sz="12" w:space="0" w:color="auto"/>
            </w:tcBorders>
            <w:shd w:val="clear" w:color="auto" w:fill="auto"/>
            <w:tcMar>
              <w:left w:w="85" w:type="dxa"/>
              <w:right w:w="57" w:type="dxa"/>
            </w:tcMar>
          </w:tcPr>
          <w:p w14:paraId="273CD95D" w14:textId="77777777" w:rsidR="00F26568" w:rsidRPr="003978B4" w:rsidRDefault="00F26568" w:rsidP="00F26568">
            <w:pPr>
              <w:pStyle w:val="TableText"/>
            </w:pPr>
          </w:p>
        </w:tc>
        <w:tc>
          <w:tcPr>
            <w:tcW w:w="3443" w:type="pct"/>
            <w:gridSpan w:val="7"/>
            <w:tcBorders>
              <w:top w:val="nil"/>
              <w:bottom w:val="single" w:sz="12" w:space="0" w:color="auto"/>
            </w:tcBorders>
            <w:shd w:val="clear" w:color="auto" w:fill="auto"/>
            <w:tcMar>
              <w:left w:w="85" w:type="dxa"/>
              <w:right w:w="57" w:type="dxa"/>
            </w:tcMar>
          </w:tcPr>
          <w:p w14:paraId="273CD95E" w14:textId="77777777" w:rsidR="00F26568" w:rsidRPr="003978B4" w:rsidRDefault="00324184" w:rsidP="00F26568">
            <w:pPr>
              <w:pStyle w:val="TableText"/>
            </w:pPr>
            <w:r>
              <w:t>–</w:t>
            </w:r>
          </w:p>
        </w:tc>
        <w:tc>
          <w:tcPr>
            <w:tcW w:w="430" w:type="pct"/>
            <w:tcBorders>
              <w:bottom w:val="single" w:sz="12" w:space="0" w:color="auto"/>
            </w:tcBorders>
            <w:shd w:val="clear" w:color="auto" w:fill="auto"/>
            <w:tcMar>
              <w:left w:w="85" w:type="dxa"/>
              <w:right w:w="57" w:type="dxa"/>
            </w:tcMar>
          </w:tcPr>
          <w:p w14:paraId="273CD95F" w14:textId="77777777" w:rsidR="00F26568" w:rsidRPr="00275044" w:rsidRDefault="00324184" w:rsidP="00F26568">
            <w:pPr>
              <w:pStyle w:val="TableText"/>
              <w:rPr>
                <w:b/>
                <w:bCs/>
              </w:rPr>
            </w:pPr>
            <w:r w:rsidRPr="00275044">
              <w:rPr>
                <w:b/>
                <w:bCs/>
              </w:rPr>
              <w:t>21</w:t>
            </w:r>
          </w:p>
        </w:tc>
        <w:tc>
          <w:tcPr>
            <w:tcW w:w="621" w:type="pct"/>
            <w:tcBorders>
              <w:bottom w:val="single" w:sz="12" w:space="0" w:color="auto"/>
            </w:tcBorders>
            <w:shd w:val="clear" w:color="auto" w:fill="auto"/>
            <w:tcMar>
              <w:left w:w="85" w:type="dxa"/>
              <w:right w:w="57" w:type="dxa"/>
            </w:tcMar>
          </w:tcPr>
          <w:p w14:paraId="273CD960" w14:textId="77777777" w:rsidR="00F26568" w:rsidRPr="00275044" w:rsidRDefault="00324184" w:rsidP="00F26568">
            <w:pPr>
              <w:pStyle w:val="TableText"/>
              <w:rPr>
                <w:b/>
                <w:bCs/>
              </w:rPr>
            </w:pPr>
            <w:r w:rsidRPr="00275044">
              <w:rPr>
                <w:b/>
                <w:bCs/>
              </w:rPr>
              <w:t>Value used in SSD</w:t>
            </w:r>
          </w:p>
        </w:tc>
      </w:tr>
    </w:tbl>
    <w:p w14:paraId="273CD962" w14:textId="77777777" w:rsidR="00D87BDC" w:rsidRDefault="00324184" w:rsidP="00D87BDC">
      <w:pPr>
        <w:pStyle w:val="FigureTableNoteSource"/>
        <w:rPr>
          <w:lang w:eastAsia="ja-JP"/>
        </w:rPr>
      </w:pPr>
      <w:r w:rsidRPr="001C5D2A">
        <w:rPr>
          <w:rStyle w:val="Strong"/>
        </w:rPr>
        <w:t>a</w:t>
      </w:r>
      <w:r w:rsidRPr="00A46751">
        <w:rPr>
          <w:lang w:eastAsia="ja-JP"/>
        </w:rPr>
        <w:t xml:space="preserve"> The </w:t>
      </w:r>
      <w:r w:rsidR="00473B32">
        <w:rPr>
          <w:lang w:eastAsia="ja-JP"/>
        </w:rPr>
        <w:t>actual</w:t>
      </w:r>
      <w:r w:rsidR="004E2E3A">
        <w:rPr>
          <w:lang w:eastAsia="ja-JP"/>
        </w:rPr>
        <w:t xml:space="preserve"> value, rather than the less than value, was used in the SSD</w:t>
      </w:r>
      <w:r w:rsidRPr="00A46751">
        <w:rPr>
          <w:lang w:eastAsia="ja-JP"/>
        </w:rPr>
        <w:t xml:space="preserve"> (Warne et al. 2018). </w:t>
      </w:r>
    </w:p>
    <w:p w14:paraId="273CD963" w14:textId="77777777" w:rsidR="00D87BDC" w:rsidRDefault="00324184" w:rsidP="00D87BDC">
      <w:pPr>
        <w:pStyle w:val="FigureTableNoteSource"/>
        <w:rPr>
          <w:lang w:eastAsia="ja-JP"/>
        </w:rPr>
      </w:pPr>
      <w:r w:rsidRPr="001C5D2A">
        <w:rPr>
          <w:rStyle w:val="Strong"/>
        </w:rPr>
        <w:t>b</w:t>
      </w:r>
      <w:r w:rsidRPr="00A46751">
        <w:rPr>
          <w:lang w:eastAsia="ja-JP"/>
        </w:rPr>
        <w:t xml:space="preserve"> </w:t>
      </w:r>
      <w:r w:rsidR="009C50C2" w:rsidRPr="009C50C2">
        <w:rPr>
          <w:lang w:eastAsia="ja-JP"/>
        </w:rPr>
        <w:t>Chronic IC50 converted to chronic NOEC/EC10 value by dividing by 5 (Warne et al. 2018)</w:t>
      </w:r>
      <w:r w:rsidR="009C50C2">
        <w:rPr>
          <w:lang w:eastAsia="ja-JP"/>
        </w:rPr>
        <w:t>.</w:t>
      </w:r>
      <w:r w:rsidR="009C50C2" w:rsidRPr="009C50C2">
        <w:rPr>
          <w:lang w:eastAsia="ja-JP"/>
        </w:rPr>
        <w:t xml:space="preserve"> </w:t>
      </w:r>
    </w:p>
    <w:p w14:paraId="273CD964" w14:textId="77777777" w:rsidR="00A46751" w:rsidRDefault="00324184" w:rsidP="00D87BDC">
      <w:pPr>
        <w:pStyle w:val="FigureTableNoteSource"/>
        <w:rPr>
          <w:lang w:eastAsia="ja-JP"/>
        </w:rPr>
      </w:pPr>
      <w:r w:rsidRPr="001C5D2A">
        <w:rPr>
          <w:rStyle w:val="Strong"/>
        </w:rPr>
        <w:t>c</w:t>
      </w:r>
      <w:r w:rsidRPr="00A46751">
        <w:rPr>
          <w:lang w:eastAsia="ja-JP"/>
        </w:rPr>
        <w:t xml:space="preserve"> </w:t>
      </w:r>
      <w:r w:rsidR="009C50C2" w:rsidRPr="009C50C2">
        <w:rPr>
          <w:lang w:eastAsia="ja-JP"/>
        </w:rPr>
        <w:t>Chronic LOEC value converted to chronic NOEC/EC10 value by dividing by 2.5 (Warne et al. 2018).</w:t>
      </w:r>
    </w:p>
    <w:p w14:paraId="273CD965" w14:textId="77777777" w:rsidR="00BF0C83" w:rsidRDefault="00324184" w:rsidP="00AA3163">
      <w:pPr>
        <w:pStyle w:val="FigureTableNoteSource"/>
        <w:rPr>
          <w:lang w:eastAsia="ja-JP"/>
        </w:rPr>
      </w:pPr>
      <w:r w:rsidRPr="00AA3163">
        <w:rPr>
          <w:rStyle w:val="Strong"/>
        </w:rPr>
        <w:t>d</w:t>
      </w:r>
      <w:r w:rsidRPr="00BF0C83">
        <w:t xml:space="preserve"> </w:t>
      </w:r>
      <w:r>
        <w:t>F</w:t>
      </w:r>
      <w:r w:rsidRPr="00BF0C83">
        <w:rPr>
          <w:lang w:eastAsia="ja-JP"/>
        </w:rPr>
        <w:t xml:space="preserve">ormerly </w:t>
      </w:r>
      <w:r w:rsidRPr="00AA3163">
        <w:rPr>
          <w:rStyle w:val="Emphasis"/>
        </w:rPr>
        <w:t>Nitzschia closterium</w:t>
      </w:r>
      <w:r>
        <w:rPr>
          <w:lang w:eastAsia="ja-JP"/>
        </w:rPr>
        <w:t>.</w:t>
      </w:r>
    </w:p>
    <w:p w14:paraId="273CD966" w14:textId="77777777" w:rsidR="00BF0C83" w:rsidRDefault="00324184" w:rsidP="00AA3163">
      <w:pPr>
        <w:pStyle w:val="FigureTableNoteSource"/>
        <w:rPr>
          <w:lang w:eastAsia="ja-JP"/>
        </w:rPr>
      </w:pPr>
      <w:r w:rsidRPr="00AA3163">
        <w:rPr>
          <w:rStyle w:val="Strong"/>
        </w:rPr>
        <w:t>e</w:t>
      </w:r>
      <w:r w:rsidR="00817DD5">
        <w:rPr>
          <w:lang w:eastAsia="ja-JP"/>
        </w:rPr>
        <w:t xml:space="preserve"> </w:t>
      </w:r>
      <w:r>
        <w:rPr>
          <w:lang w:eastAsia="ja-JP"/>
        </w:rPr>
        <w:t>F</w:t>
      </w:r>
      <w:r w:rsidR="00817DD5" w:rsidRPr="00817DD5">
        <w:rPr>
          <w:lang w:eastAsia="ja-JP"/>
        </w:rPr>
        <w:t xml:space="preserve">ormerly </w:t>
      </w:r>
      <w:r w:rsidR="00817DD5" w:rsidRPr="00AA3163">
        <w:rPr>
          <w:rStyle w:val="Emphasis"/>
        </w:rPr>
        <w:t>Aiptasia pulchella</w:t>
      </w:r>
      <w:r w:rsidR="00817DD5" w:rsidRPr="00817DD5">
        <w:t xml:space="preserve"> </w:t>
      </w:r>
      <w:r>
        <w:rPr>
          <w:lang w:eastAsia="ja-JP"/>
        </w:rPr>
        <w:t>and</w:t>
      </w:r>
      <w:r w:rsidR="00817DD5" w:rsidRPr="00817DD5">
        <w:rPr>
          <w:lang w:eastAsia="ja-JP"/>
        </w:rPr>
        <w:t xml:space="preserve"> </w:t>
      </w:r>
      <w:r w:rsidR="00817DD5" w:rsidRPr="00AA3163">
        <w:rPr>
          <w:rStyle w:val="Emphasis"/>
        </w:rPr>
        <w:t>Exaiptasia pallida</w:t>
      </w:r>
      <w:r>
        <w:rPr>
          <w:lang w:eastAsia="ja-JP"/>
        </w:rPr>
        <w:t>.</w:t>
      </w:r>
    </w:p>
    <w:p w14:paraId="273CD967" w14:textId="77777777" w:rsidR="006402D2" w:rsidRDefault="006402D2" w:rsidP="00A46751">
      <w:pPr>
        <w:rPr>
          <w:highlight w:val="yellow"/>
          <w:lang w:eastAsia="ja-JP"/>
        </w:rPr>
      </w:pPr>
    </w:p>
    <w:p w14:paraId="273CD968" w14:textId="77777777" w:rsidR="00D87BDC" w:rsidRDefault="00D87BDC" w:rsidP="00A46751">
      <w:pPr>
        <w:rPr>
          <w:highlight w:val="yellow"/>
          <w:lang w:eastAsia="ja-JP"/>
        </w:rPr>
        <w:sectPr w:rsidR="00D87BDC" w:rsidSect="003E0D02">
          <w:pgSz w:w="16838" w:h="11906" w:orient="landscape" w:code="9"/>
          <w:pgMar w:top="1418" w:right="1418" w:bottom="1418" w:left="1418" w:header="567" w:footer="284" w:gutter="0"/>
          <w:cols w:space="708"/>
          <w:docGrid w:linePitch="360"/>
        </w:sectPr>
      </w:pPr>
    </w:p>
    <w:p w14:paraId="273CD969" w14:textId="77777777" w:rsidR="006402D2" w:rsidRPr="000079DA" w:rsidRDefault="00324184" w:rsidP="00557389">
      <w:pPr>
        <w:pStyle w:val="Heading2"/>
        <w:numPr>
          <w:ilvl w:val="0"/>
          <w:numId w:val="0"/>
        </w:numPr>
      </w:pPr>
      <w:bookmarkStart w:id="69" w:name="_Ref85904150"/>
      <w:bookmarkStart w:id="70" w:name="_Toc89265625"/>
      <w:bookmarkStart w:id="71" w:name="_Toc89268665"/>
      <w:r w:rsidRPr="000079DA">
        <w:t>A</w:t>
      </w:r>
      <w:r w:rsidR="008B402F">
        <w:t>ppendix </w:t>
      </w:r>
      <w:r w:rsidRPr="000079DA">
        <w:t>C</w:t>
      </w:r>
      <w:r w:rsidR="008B402F">
        <w:t>:</w:t>
      </w:r>
      <w:r w:rsidRPr="000079DA">
        <w:t xml:space="preserve"> DOC </w:t>
      </w:r>
      <w:r w:rsidR="00A74DB5">
        <w:t>c</w:t>
      </w:r>
      <w:r w:rsidRPr="000079DA">
        <w:t xml:space="preserve">orrection for </w:t>
      </w:r>
      <w:r w:rsidR="00A74DB5">
        <w:t xml:space="preserve">dissolved </w:t>
      </w:r>
      <w:r w:rsidRPr="000079DA">
        <w:t>copper default guideline values</w:t>
      </w:r>
      <w:bookmarkEnd w:id="69"/>
      <w:bookmarkEnd w:id="70"/>
      <w:bookmarkEnd w:id="71"/>
    </w:p>
    <w:p w14:paraId="273CD96A" w14:textId="77777777" w:rsidR="006402D2" w:rsidRDefault="00324184" w:rsidP="001A0172">
      <w:pPr>
        <w:rPr>
          <w:lang w:eastAsia="ja-JP"/>
        </w:rPr>
      </w:pPr>
      <w:r w:rsidRPr="000079DA">
        <w:rPr>
          <w:lang w:eastAsia="ja-JP"/>
        </w:rPr>
        <w:t xml:space="preserve">The equations for calculating </w:t>
      </w:r>
      <w:r w:rsidR="00F96711">
        <w:rPr>
          <w:lang w:eastAsia="ja-JP"/>
        </w:rPr>
        <w:t xml:space="preserve">default </w:t>
      </w:r>
      <w:r w:rsidRPr="000079DA">
        <w:rPr>
          <w:lang w:eastAsia="ja-JP"/>
        </w:rPr>
        <w:t xml:space="preserve">guideline values </w:t>
      </w:r>
      <w:r w:rsidR="00F96711">
        <w:rPr>
          <w:lang w:eastAsia="ja-JP"/>
        </w:rPr>
        <w:t xml:space="preserve">(DGV) </w:t>
      </w:r>
      <w:r w:rsidRPr="000079DA">
        <w:rPr>
          <w:lang w:eastAsia="ja-JP"/>
        </w:rPr>
        <w:t xml:space="preserve">at different </w:t>
      </w:r>
      <w:r w:rsidR="00B37525">
        <w:rPr>
          <w:lang w:eastAsia="ja-JP"/>
        </w:rPr>
        <w:t>dissolved organic carbon (</w:t>
      </w:r>
      <w:r w:rsidRPr="000079DA">
        <w:rPr>
          <w:lang w:eastAsia="ja-JP"/>
        </w:rPr>
        <w:t>DOC</w:t>
      </w:r>
      <w:r w:rsidR="00B37525">
        <w:rPr>
          <w:lang w:eastAsia="ja-JP"/>
        </w:rPr>
        <w:t>)</w:t>
      </w:r>
      <w:r w:rsidRPr="000079DA">
        <w:rPr>
          <w:lang w:eastAsia="ja-JP"/>
        </w:rPr>
        <w:t xml:space="preserve"> concentrations are provided </w:t>
      </w:r>
      <w:r w:rsidR="00D16C07">
        <w:rPr>
          <w:lang w:eastAsia="ja-JP"/>
        </w:rPr>
        <w:t>in</w:t>
      </w:r>
      <w:r w:rsidR="0045606A">
        <w:rPr>
          <w:lang w:eastAsia="ja-JP"/>
        </w:rPr>
        <w:t xml:space="preserve"> </w:t>
      </w:r>
      <w:r w:rsidR="0045606A">
        <w:rPr>
          <w:lang w:eastAsia="ja-JP"/>
        </w:rPr>
        <w:fldChar w:fldCharType="begin"/>
      </w:r>
      <w:r w:rsidR="0045606A">
        <w:rPr>
          <w:lang w:eastAsia="ja-JP"/>
        </w:rPr>
        <w:instrText xml:space="preserve"> REF _Ref89266112 \h </w:instrText>
      </w:r>
      <w:r w:rsidR="0045606A">
        <w:rPr>
          <w:lang w:eastAsia="ja-JP"/>
        </w:rPr>
      </w:r>
      <w:r w:rsidR="0045606A">
        <w:rPr>
          <w:lang w:eastAsia="ja-JP"/>
        </w:rPr>
        <w:fldChar w:fldCharType="separate"/>
      </w:r>
      <w:r w:rsidR="00A41C81">
        <w:t>Table C </w:t>
      </w:r>
      <w:r w:rsidR="00A41C81">
        <w:rPr>
          <w:noProof/>
        </w:rPr>
        <w:t>1</w:t>
      </w:r>
      <w:r w:rsidR="0045606A">
        <w:rPr>
          <w:lang w:eastAsia="ja-JP"/>
        </w:rPr>
        <w:fldChar w:fldCharType="end"/>
      </w:r>
      <w:r w:rsidR="008B402F">
        <w:rPr>
          <w:lang w:eastAsia="ja-JP"/>
        </w:rPr>
        <w:t>.</w:t>
      </w:r>
      <w:r w:rsidR="00CE332F">
        <w:rPr>
          <w:lang w:eastAsia="ja-JP"/>
        </w:rPr>
        <w:t xml:space="preserve"> The rationale for determining the DOC correction is provided in </w:t>
      </w:r>
      <w:r w:rsidR="00C61DB1">
        <w:rPr>
          <w:lang w:eastAsia="ja-JP"/>
        </w:rPr>
        <w:fldChar w:fldCharType="begin"/>
      </w:r>
      <w:r w:rsidR="00C61DB1">
        <w:rPr>
          <w:lang w:eastAsia="ja-JP"/>
        </w:rPr>
        <w:instrText xml:space="preserve"> REF _Ref85904335 \h </w:instrText>
      </w:r>
      <w:r w:rsidR="001A0172">
        <w:rPr>
          <w:lang w:eastAsia="ja-JP"/>
        </w:rPr>
        <w:instrText xml:space="preserve"> \* MERGEFORMAT </w:instrText>
      </w:r>
      <w:r w:rsidR="00C61DB1">
        <w:rPr>
          <w:lang w:eastAsia="ja-JP"/>
        </w:rPr>
      </w:r>
      <w:r w:rsidR="00C61DB1">
        <w:rPr>
          <w:lang w:eastAsia="ja-JP"/>
        </w:rPr>
        <w:fldChar w:fldCharType="separate"/>
      </w:r>
      <w:r w:rsidR="00A41C81">
        <w:t>Appendix G: Rationale for DOC correction</w:t>
      </w:r>
      <w:r w:rsidR="00C61DB1">
        <w:rPr>
          <w:lang w:eastAsia="ja-JP"/>
        </w:rPr>
        <w:fldChar w:fldCharType="end"/>
      </w:r>
      <w:r w:rsidR="00CE332F">
        <w:rPr>
          <w:lang w:eastAsia="ja-JP"/>
        </w:rPr>
        <w:t>.</w:t>
      </w:r>
      <w:r w:rsidR="001A0172">
        <w:rPr>
          <w:lang w:eastAsia="ja-JP"/>
        </w:rPr>
        <w:t xml:space="preserve"> </w:t>
      </w:r>
    </w:p>
    <w:p w14:paraId="273CD96B" w14:textId="77777777" w:rsidR="004D7D82" w:rsidRPr="000079DA" w:rsidRDefault="00324184" w:rsidP="0045606A">
      <w:pPr>
        <w:pStyle w:val="Caption"/>
        <w:rPr>
          <w:lang w:eastAsia="ja-JP"/>
        </w:rPr>
      </w:pPr>
      <w:bookmarkStart w:id="72" w:name="_Ref89266112"/>
      <w:bookmarkStart w:id="73" w:name="_Toc89266125"/>
      <w:bookmarkStart w:id="74" w:name="_Toc89268634"/>
      <w:r>
        <w:t>Table C </w:t>
      </w:r>
      <w:r w:rsidR="00A41C81">
        <w:fldChar w:fldCharType="begin"/>
      </w:r>
      <w:r>
        <w:instrText xml:space="preserve"> SEQ Table_C \* ARABIC </w:instrText>
      </w:r>
      <w:r w:rsidR="00A41C81">
        <w:fldChar w:fldCharType="separate"/>
      </w:r>
      <w:r w:rsidR="00A41C81">
        <w:rPr>
          <w:noProof/>
        </w:rPr>
        <w:t>1</w:t>
      </w:r>
      <w:r w:rsidR="00A41C81">
        <w:rPr>
          <w:noProof/>
        </w:rPr>
        <w:fldChar w:fldCharType="end"/>
      </w:r>
      <w:bookmarkEnd w:id="72"/>
      <w:r w:rsidR="00D27482">
        <w:t xml:space="preserve"> </w:t>
      </w:r>
      <w:r>
        <w:rPr>
          <w:lang w:eastAsia="ja-JP"/>
        </w:rPr>
        <w:t>Equations, default guideline v</w:t>
      </w:r>
      <w:r>
        <w:rPr>
          <w:lang w:eastAsia="ja-JP"/>
        </w:rPr>
        <w:t xml:space="preserve">alues </w:t>
      </w:r>
      <w:r w:rsidR="0089492D">
        <w:rPr>
          <w:lang w:eastAsia="ja-JP"/>
        </w:rPr>
        <w:t>at different DOC concentrations</w:t>
      </w:r>
      <w:bookmarkEnd w:id="73"/>
      <w:bookmarkEnd w:id="7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Caption w:val="Equations, default guideline values at different DOC concentrations"/>
        <w:tblDescription w:val="Table displays 4 equations for deriving default guideline values at different dissolved organic carbon (DOC) concentrations. DOC is in miligrams per litre."/>
      </w:tblPr>
      <w:tblGrid>
        <w:gridCol w:w="1560"/>
        <w:gridCol w:w="7510"/>
      </w:tblGrid>
      <w:tr w:rsidR="00091AEB" w14:paraId="273CD96E" w14:textId="77777777" w:rsidTr="00D16C07">
        <w:trPr>
          <w:cantSplit/>
        </w:trPr>
        <w:tc>
          <w:tcPr>
            <w:tcW w:w="860" w:type="pct"/>
            <w:vAlign w:val="center"/>
          </w:tcPr>
          <w:p w14:paraId="273CD96C" w14:textId="77777777" w:rsidR="008B402F" w:rsidRPr="00D16C07" w:rsidRDefault="00324184" w:rsidP="00D16C07">
            <w:pPr>
              <w:pStyle w:val="TableText"/>
            </w:pPr>
            <w:r w:rsidRPr="00D16C07">
              <w:t>Equation 1</w:t>
            </w:r>
          </w:p>
        </w:tc>
        <w:tc>
          <w:tcPr>
            <w:tcW w:w="4140" w:type="pct"/>
            <w:vAlign w:val="center"/>
          </w:tcPr>
          <w:p w14:paraId="273CD96D" w14:textId="77777777" w:rsidR="008B402F" w:rsidRPr="00D16C07" w:rsidRDefault="00324184" w:rsidP="00D16C07">
            <w:pPr>
              <w:pStyle w:val="TableText"/>
            </w:pPr>
            <m:oMathPara>
              <m:oMath>
                <m:r>
                  <w:rPr>
                    <w:rFonts w:ascii="Cambria Math" w:hAnsi="Cambria Math"/>
                  </w:rPr>
                  <m:t>Guideline</m:t>
                </m:r>
                <m:r>
                  <m:rPr>
                    <m:sty m:val="p"/>
                  </m:rPr>
                  <w:rPr>
                    <w:rFonts w:ascii="Cambria Math" w:hAnsi="Cambria Math"/>
                  </w:rPr>
                  <m:t xml:space="preserve"> </m:t>
                </m:r>
                <m:r>
                  <w:rPr>
                    <w:rFonts w:ascii="Cambria Math" w:hAnsi="Cambria Math"/>
                  </w:rPr>
                  <m:t>value</m:t>
                </m:r>
                <m:r>
                  <m:rPr>
                    <m:sty m:val="p"/>
                  </m:rPr>
                  <w:rPr>
                    <w:rFonts w:ascii="Cambria Math" w:hAnsi="Cambria Math"/>
                  </w:rPr>
                  <m:t xml:space="preserve"> </m:t>
                </m:r>
                <m:r>
                  <w:rPr>
                    <w:rFonts w:ascii="Cambria Math" w:hAnsi="Cambria Math"/>
                  </w:rPr>
                  <m:t>at</m:t>
                </m:r>
                <m:r>
                  <m:rPr>
                    <m:sty m:val="p"/>
                  </m:rPr>
                  <w:rPr>
                    <w:rFonts w:ascii="Cambria Math" w:hAnsi="Cambria Math"/>
                  </w:rPr>
                  <m:t xml:space="preserve"> 99% </m:t>
                </m:r>
                <m:r>
                  <w:rPr>
                    <w:rFonts w:ascii="Cambria Math" w:hAnsi="Cambria Math"/>
                  </w:rPr>
                  <m:t>protection</m:t>
                </m:r>
                <m:r>
                  <m:rPr>
                    <m:sty m:val="p"/>
                  </m:rPr>
                  <w:rPr>
                    <w:rFonts w:ascii="Cambria Math" w:hAnsi="Cambria Math"/>
                  </w:rPr>
                  <m:t xml:space="preserve"> </m:t>
                </m:r>
                <m:r>
                  <w:rPr>
                    <w:rFonts w:ascii="Cambria Math" w:hAnsi="Cambria Math"/>
                  </w:rPr>
                  <m:t>level</m:t>
                </m:r>
                <m:r>
                  <m:rPr>
                    <m:sty m:val="p"/>
                  </m:rPr>
                  <w:rPr>
                    <w:rFonts w:ascii="Cambria Math" w:hAnsi="Cambria Math"/>
                  </w:rPr>
                  <m:t>=1.24 ×</m:t>
                </m:r>
                <m:d>
                  <m:dPr>
                    <m:ctrlPr>
                      <w:rPr>
                        <w:rFonts w:ascii="Cambria Math" w:hAnsi="Cambria Math"/>
                      </w:rPr>
                    </m:ctrlPr>
                  </m:dPr>
                  <m:e>
                    <m:sSub>
                      <m:sSubPr>
                        <m:ctrlPr>
                          <w:rPr>
                            <w:rFonts w:ascii="Cambria Math" w:hAnsi="Cambria Math"/>
                          </w:rPr>
                        </m:ctrlPr>
                      </m:sSubPr>
                      <m:e>
                        <m:r>
                          <w:rPr>
                            <w:rFonts w:ascii="Cambria Math" w:hAnsi="Cambria Math"/>
                          </w:rPr>
                          <m:t>DOC</m:t>
                        </m:r>
                      </m:e>
                      <m:sub>
                        <m:r>
                          <w:rPr>
                            <w:rFonts w:ascii="Cambria Math" w:hAnsi="Cambria Math"/>
                          </w:rPr>
                          <m:t>site</m:t>
                        </m:r>
                        <m:r>
                          <m:rPr>
                            <m:sty m:val="p"/>
                          </m:rPr>
                          <w:rPr>
                            <w:rFonts w:ascii="Cambria Math" w:hAnsi="Cambria Math"/>
                          </w:rPr>
                          <m:t xml:space="preserve"> </m:t>
                        </m:r>
                        <m:r>
                          <w:rPr>
                            <w:rFonts w:ascii="Cambria Math" w:hAnsi="Cambria Math"/>
                          </w:rPr>
                          <m:t>specific</m:t>
                        </m:r>
                      </m:sub>
                    </m:sSub>
                    <m:r>
                      <m:rPr>
                        <m:sty m:val="p"/>
                      </m:rPr>
                      <w:rPr>
                        <w:rFonts w:ascii="Cambria Math" w:hAnsi="Cambria Math"/>
                      </w:rPr>
                      <m:t>-</m:t>
                    </m:r>
                    <m:r>
                      <m:rPr>
                        <m:sty m:val="p"/>
                      </m:rPr>
                      <w:rPr>
                        <w:rFonts w:ascii="Cambria Math" w:hAnsi="Cambria Math"/>
                      </w:rPr>
                      <m:t xml:space="preserve"> 0.5</m:t>
                    </m:r>
                  </m:e>
                </m:d>
                <m:r>
                  <m:rPr>
                    <m:sty m:val="p"/>
                  </m:rPr>
                  <w:rPr>
                    <w:rFonts w:ascii="Cambria Math" w:hAnsi="Cambria Math"/>
                  </w:rPr>
                  <m:t>+0.13</m:t>
                </m:r>
              </m:oMath>
            </m:oMathPara>
          </w:p>
        </w:tc>
      </w:tr>
      <w:tr w:rsidR="00091AEB" w14:paraId="273CD971" w14:textId="77777777" w:rsidTr="00D16C07">
        <w:trPr>
          <w:cantSplit/>
        </w:trPr>
        <w:tc>
          <w:tcPr>
            <w:tcW w:w="860" w:type="pct"/>
            <w:vAlign w:val="center"/>
          </w:tcPr>
          <w:p w14:paraId="273CD96F" w14:textId="77777777" w:rsidR="008B402F" w:rsidRPr="00D16C07" w:rsidRDefault="00324184" w:rsidP="00D16C07">
            <w:pPr>
              <w:pStyle w:val="TableText"/>
            </w:pPr>
            <w:r w:rsidRPr="00D16C07">
              <w:t>Equation 2</w:t>
            </w:r>
          </w:p>
        </w:tc>
        <w:tc>
          <w:tcPr>
            <w:tcW w:w="4140" w:type="pct"/>
            <w:vAlign w:val="center"/>
          </w:tcPr>
          <w:p w14:paraId="273CD970" w14:textId="77777777" w:rsidR="008B402F" w:rsidRPr="00D16C07" w:rsidRDefault="00324184" w:rsidP="00D16C07">
            <w:pPr>
              <w:pStyle w:val="TableText"/>
            </w:pPr>
            <m:oMathPara>
              <m:oMath>
                <m:r>
                  <w:rPr>
                    <w:rFonts w:ascii="Cambria Math" w:hAnsi="Cambria Math"/>
                  </w:rPr>
                  <m:t>Guideline</m:t>
                </m:r>
                <m:r>
                  <m:rPr>
                    <m:sty m:val="p"/>
                  </m:rPr>
                  <w:rPr>
                    <w:rFonts w:ascii="Cambria Math" w:hAnsi="Cambria Math"/>
                  </w:rPr>
                  <m:t xml:space="preserve"> </m:t>
                </m:r>
                <m:r>
                  <w:rPr>
                    <w:rFonts w:ascii="Cambria Math" w:hAnsi="Cambria Math"/>
                  </w:rPr>
                  <m:t>value</m:t>
                </m:r>
                <m:r>
                  <m:rPr>
                    <m:sty m:val="p"/>
                  </m:rPr>
                  <w:rPr>
                    <w:rFonts w:ascii="Cambria Math" w:hAnsi="Cambria Math"/>
                  </w:rPr>
                  <m:t xml:space="preserve"> </m:t>
                </m:r>
                <m:r>
                  <w:rPr>
                    <w:rFonts w:ascii="Cambria Math" w:hAnsi="Cambria Math"/>
                  </w:rPr>
                  <m:t>at</m:t>
                </m:r>
                <m:r>
                  <m:rPr>
                    <m:sty m:val="p"/>
                  </m:rPr>
                  <w:rPr>
                    <w:rFonts w:ascii="Cambria Math" w:hAnsi="Cambria Math"/>
                  </w:rPr>
                  <m:t xml:space="preserve"> 95% </m:t>
                </m:r>
                <m:r>
                  <w:rPr>
                    <w:rFonts w:ascii="Cambria Math" w:hAnsi="Cambria Math"/>
                  </w:rPr>
                  <m:t>protection</m:t>
                </m:r>
                <m:r>
                  <m:rPr>
                    <m:sty m:val="p"/>
                  </m:rPr>
                  <w:rPr>
                    <w:rFonts w:ascii="Cambria Math" w:hAnsi="Cambria Math"/>
                  </w:rPr>
                  <m:t xml:space="preserve"> </m:t>
                </m:r>
                <m:r>
                  <w:rPr>
                    <w:rFonts w:ascii="Cambria Math" w:hAnsi="Cambria Math"/>
                  </w:rPr>
                  <m:t>level</m:t>
                </m:r>
                <m:r>
                  <m:rPr>
                    <m:sty m:val="p"/>
                  </m:rPr>
                  <w:rPr>
                    <w:rFonts w:ascii="Cambria Math" w:hAnsi="Cambria Math"/>
                  </w:rPr>
                  <m:t>=1.24 ×</m:t>
                </m:r>
                <m:d>
                  <m:dPr>
                    <m:ctrlPr>
                      <w:rPr>
                        <w:rFonts w:ascii="Cambria Math" w:hAnsi="Cambria Math"/>
                      </w:rPr>
                    </m:ctrlPr>
                  </m:dPr>
                  <m:e>
                    <m:sSub>
                      <m:sSubPr>
                        <m:ctrlPr>
                          <w:rPr>
                            <w:rFonts w:ascii="Cambria Math" w:hAnsi="Cambria Math"/>
                          </w:rPr>
                        </m:ctrlPr>
                      </m:sSubPr>
                      <m:e>
                        <m:r>
                          <w:rPr>
                            <w:rFonts w:ascii="Cambria Math" w:hAnsi="Cambria Math"/>
                          </w:rPr>
                          <m:t>DOC</m:t>
                        </m:r>
                      </m:e>
                      <m:sub>
                        <m:r>
                          <w:rPr>
                            <w:rFonts w:ascii="Cambria Math" w:hAnsi="Cambria Math"/>
                          </w:rPr>
                          <m:t>site</m:t>
                        </m:r>
                        <m:r>
                          <m:rPr>
                            <m:sty m:val="p"/>
                          </m:rPr>
                          <w:rPr>
                            <w:rFonts w:ascii="Cambria Math" w:hAnsi="Cambria Math"/>
                          </w:rPr>
                          <m:t xml:space="preserve"> </m:t>
                        </m:r>
                        <m:r>
                          <w:rPr>
                            <w:rFonts w:ascii="Cambria Math" w:hAnsi="Cambria Math"/>
                          </w:rPr>
                          <m:t>specific</m:t>
                        </m:r>
                      </m:sub>
                    </m:sSub>
                    <m:r>
                      <m:rPr>
                        <m:sty m:val="p"/>
                      </m:rPr>
                      <w:rPr>
                        <w:rFonts w:ascii="Cambria Math" w:hAnsi="Cambria Math"/>
                      </w:rPr>
                      <m:t>-</m:t>
                    </m:r>
                    <m:r>
                      <m:rPr>
                        <m:sty m:val="p"/>
                      </m:rPr>
                      <w:rPr>
                        <w:rFonts w:ascii="Cambria Math" w:hAnsi="Cambria Math"/>
                      </w:rPr>
                      <m:t xml:space="preserve"> 0.5</m:t>
                    </m:r>
                  </m:e>
                </m:d>
                <m:r>
                  <m:rPr>
                    <m:sty m:val="p"/>
                  </m:rPr>
                  <w:rPr>
                    <w:rFonts w:ascii="Cambria Math" w:hAnsi="Cambria Math"/>
                  </w:rPr>
                  <m:t>+0.41</m:t>
                </m:r>
              </m:oMath>
            </m:oMathPara>
          </w:p>
        </w:tc>
      </w:tr>
      <w:tr w:rsidR="00091AEB" w14:paraId="273CD974" w14:textId="77777777" w:rsidTr="00D16C07">
        <w:trPr>
          <w:cantSplit/>
        </w:trPr>
        <w:tc>
          <w:tcPr>
            <w:tcW w:w="860" w:type="pct"/>
            <w:vAlign w:val="center"/>
          </w:tcPr>
          <w:p w14:paraId="273CD972" w14:textId="77777777" w:rsidR="008B402F" w:rsidRPr="00D16C07" w:rsidRDefault="00324184" w:rsidP="00D16C07">
            <w:pPr>
              <w:pStyle w:val="TableText"/>
            </w:pPr>
            <w:r w:rsidRPr="00D16C07">
              <w:t>Equation 3</w:t>
            </w:r>
          </w:p>
        </w:tc>
        <w:tc>
          <w:tcPr>
            <w:tcW w:w="4140" w:type="pct"/>
            <w:vAlign w:val="center"/>
          </w:tcPr>
          <w:p w14:paraId="273CD973" w14:textId="77777777" w:rsidR="008B402F" w:rsidRPr="00D16C07" w:rsidRDefault="00324184" w:rsidP="00D16C07">
            <w:pPr>
              <w:pStyle w:val="TableText"/>
            </w:pPr>
            <m:oMathPara>
              <m:oMath>
                <m:r>
                  <w:rPr>
                    <w:rFonts w:ascii="Cambria Math" w:hAnsi="Cambria Math"/>
                  </w:rPr>
                  <m:t>Guideline</m:t>
                </m:r>
                <m:r>
                  <m:rPr>
                    <m:sty m:val="p"/>
                  </m:rPr>
                  <w:rPr>
                    <w:rFonts w:ascii="Cambria Math" w:hAnsi="Cambria Math"/>
                  </w:rPr>
                  <m:t xml:space="preserve"> </m:t>
                </m:r>
                <m:r>
                  <w:rPr>
                    <w:rFonts w:ascii="Cambria Math" w:hAnsi="Cambria Math"/>
                  </w:rPr>
                  <m:t>value</m:t>
                </m:r>
                <m:r>
                  <m:rPr>
                    <m:sty m:val="p"/>
                  </m:rPr>
                  <w:rPr>
                    <w:rFonts w:ascii="Cambria Math" w:hAnsi="Cambria Math"/>
                  </w:rPr>
                  <m:t xml:space="preserve"> </m:t>
                </m:r>
                <m:r>
                  <w:rPr>
                    <w:rFonts w:ascii="Cambria Math" w:hAnsi="Cambria Math"/>
                  </w:rPr>
                  <m:t>at</m:t>
                </m:r>
                <m:r>
                  <m:rPr>
                    <m:sty m:val="p"/>
                  </m:rPr>
                  <w:rPr>
                    <w:rFonts w:ascii="Cambria Math" w:hAnsi="Cambria Math"/>
                  </w:rPr>
                  <m:t xml:space="preserve"> 90% </m:t>
                </m:r>
                <m:r>
                  <w:rPr>
                    <w:rFonts w:ascii="Cambria Math" w:hAnsi="Cambria Math"/>
                  </w:rPr>
                  <m:t>protection</m:t>
                </m:r>
                <m:r>
                  <m:rPr>
                    <m:sty m:val="p"/>
                  </m:rPr>
                  <w:rPr>
                    <w:rFonts w:ascii="Cambria Math" w:hAnsi="Cambria Math"/>
                  </w:rPr>
                  <m:t xml:space="preserve"> </m:t>
                </m:r>
                <m:r>
                  <w:rPr>
                    <w:rFonts w:ascii="Cambria Math" w:hAnsi="Cambria Math"/>
                  </w:rPr>
                  <m:t>level</m:t>
                </m:r>
                <m:r>
                  <m:rPr>
                    <m:sty m:val="p"/>
                  </m:rPr>
                  <w:rPr>
                    <w:rFonts w:ascii="Cambria Math" w:hAnsi="Cambria Math"/>
                  </w:rPr>
                  <m:t>=1.24 ×</m:t>
                </m:r>
                <m:d>
                  <m:dPr>
                    <m:ctrlPr>
                      <w:rPr>
                        <w:rFonts w:ascii="Cambria Math" w:hAnsi="Cambria Math"/>
                      </w:rPr>
                    </m:ctrlPr>
                  </m:dPr>
                  <m:e>
                    <m:sSub>
                      <m:sSubPr>
                        <m:ctrlPr>
                          <w:rPr>
                            <w:rFonts w:ascii="Cambria Math" w:hAnsi="Cambria Math"/>
                          </w:rPr>
                        </m:ctrlPr>
                      </m:sSubPr>
                      <m:e>
                        <m:r>
                          <w:rPr>
                            <w:rFonts w:ascii="Cambria Math" w:hAnsi="Cambria Math"/>
                          </w:rPr>
                          <m:t>DOC</m:t>
                        </m:r>
                      </m:e>
                      <m:sub>
                        <m:r>
                          <w:rPr>
                            <w:rFonts w:ascii="Cambria Math" w:hAnsi="Cambria Math"/>
                          </w:rPr>
                          <m:t>site</m:t>
                        </m:r>
                        <m:r>
                          <m:rPr>
                            <m:sty m:val="p"/>
                          </m:rPr>
                          <w:rPr>
                            <w:rFonts w:ascii="Cambria Math" w:hAnsi="Cambria Math"/>
                          </w:rPr>
                          <m:t xml:space="preserve"> </m:t>
                        </m:r>
                        <m:r>
                          <w:rPr>
                            <w:rFonts w:ascii="Cambria Math" w:hAnsi="Cambria Math"/>
                          </w:rPr>
                          <m:t>specific</m:t>
                        </m:r>
                      </m:sub>
                    </m:sSub>
                    <m:r>
                      <m:rPr>
                        <m:sty m:val="p"/>
                      </m:rPr>
                      <w:rPr>
                        <w:rFonts w:ascii="Cambria Math" w:hAnsi="Cambria Math"/>
                      </w:rPr>
                      <m:t>-</m:t>
                    </m:r>
                    <m:r>
                      <m:rPr>
                        <m:sty m:val="p"/>
                      </m:rPr>
                      <w:rPr>
                        <w:rFonts w:ascii="Cambria Math" w:hAnsi="Cambria Math"/>
                      </w:rPr>
                      <m:t xml:space="preserve"> 0.5</m:t>
                    </m:r>
                  </m:e>
                </m:d>
                <m:r>
                  <m:rPr>
                    <m:sty m:val="p"/>
                  </m:rPr>
                  <w:rPr>
                    <w:rFonts w:ascii="Cambria Math" w:hAnsi="Cambria Math"/>
                  </w:rPr>
                  <m:t>+0.74</m:t>
                </m:r>
              </m:oMath>
            </m:oMathPara>
          </w:p>
        </w:tc>
      </w:tr>
      <w:tr w:rsidR="00091AEB" w14:paraId="273CD977" w14:textId="77777777" w:rsidTr="00D16C07">
        <w:trPr>
          <w:cantSplit/>
        </w:trPr>
        <w:tc>
          <w:tcPr>
            <w:tcW w:w="860" w:type="pct"/>
            <w:vAlign w:val="center"/>
          </w:tcPr>
          <w:p w14:paraId="273CD975" w14:textId="77777777" w:rsidR="008B402F" w:rsidRPr="00D16C07" w:rsidRDefault="00324184" w:rsidP="00D16C07">
            <w:pPr>
              <w:pStyle w:val="TableText"/>
            </w:pPr>
            <w:r w:rsidRPr="00D16C07">
              <w:t>Equation 4</w:t>
            </w:r>
          </w:p>
        </w:tc>
        <w:tc>
          <w:tcPr>
            <w:tcW w:w="4140" w:type="pct"/>
            <w:vAlign w:val="center"/>
          </w:tcPr>
          <w:p w14:paraId="273CD976" w14:textId="77777777" w:rsidR="008B402F" w:rsidRPr="00D16C07" w:rsidRDefault="00324184" w:rsidP="00D16C07">
            <w:pPr>
              <w:pStyle w:val="TableText"/>
            </w:pPr>
            <m:oMathPara>
              <m:oMath>
                <m:r>
                  <w:rPr>
                    <w:rFonts w:ascii="Cambria Math" w:hAnsi="Cambria Math"/>
                  </w:rPr>
                  <m:t>Guideline</m:t>
                </m:r>
                <m:r>
                  <m:rPr>
                    <m:sty m:val="p"/>
                  </m:rPr>
                  <w:rPr>
                    <w:rFonts w:ascii="Cambria Math" w:hAnsi="Cambria Math"/>
                  </w:rPr>
                  <m:t xml:space="preserve"> </m:t>
                </m:r>
                <m:r>
                  <w:rPr>
                    <w:rFonts w:ascii="Cambria Math" w:hAnsi="Cambria Math"/>
                  </w:rPr>
                  <m:t>value</m:t>
                </m:r>
                <m:r>
                  <m:rPr>
                    <m:sty m:val="p"/>
                  </m:rPr>
                  <w:rPr>
                    <w:rFonts w:ascii="Cambria Math" w:hAnsi="Cambria Math"/>
                  </w:rPr>
                  <m:t xml:space="preserve"> </m:t>
                </m:r>
                <m:r>
                  <w:rPr>
                    <w:rFonts w:ascii="Cambria Math" w:hAnsi="Cambria Math"/>
                  </w:rPr>
                  <m:t>a</m:t>
                </m:r>
                <m:r>
                  <w:rPr>
                    <w:rFonts w:ascii="Cambria Math" w:hAnsi="Cambria Math"/>
                  </w:rPr>
                  <m:t>t</m:t>
                </m:r>
                <m:r>
                  <m:rPr>
                    <m:sty m:val="p"/>
                  </m:rPr>
                  <w:rPr>
                    <w:rFonts w:ascii="Cambria Math" w:hAnsi="Cambria Math"/>
                  </w:rPr>
                  <m:t xml:space="preserve"> 80% </m:t>
                </m:r>
                <m:r>
                  <w:rPr>
                    <w:rFonts w:ascii="Cambria Math" w:hAnsi="Cambria Math"/>
                  </w:rPr>
                  <m:t>protection</m:t>
                </m:r>
                <m:r>
                  <m:rPr>
                    <m:sty m:val="p"/>
                  </m:rPr>
                  <w:rPr>
                    <w:rFonts w:ascii="Cambria Math" w:hAnsi="Cambria Math"/>
                  </w:rPr>
                  <m:t xml:space="preserve"> </m:t>
                </m:r>
                <m:r>
                  <w:rPr>
                    <w:rFonts w:ascii="Cambria Math" w:hAnsi="Cambria Math"/>
                  </w:rPr>
                  <m:t>level</m:t>
                </m:r>
                <m:r>
                  <m:rPr>
                    <m:sty m:val="p"/>
                  </m:rPr>
                  <w:rPr>
                    <w:rFonts w:ascii="Cambria Math" w:hAnsi="Cambria Math"/>
                  </w:rPr>
                  <m:t>=1.24 ×</m:t>
                </m:r>
                <m:d>
                  <m:dPr>
                    <m:ctrlPr>
                      <w:rPr>
                        <w:rFonts w:ascii="Cambria Math" w:hAnsi="Cambria Math"/>
                      </w:rPr>
                    </m:ctrlPr>
                  </m:dPr>
                  <m:e>
                    <m:sSub>
                      <m:sSubPr>
                        <m:ctrlPr>
                          <w:rPr>
                            <w:rFonts w:ascii="Cambria Math" w:hAnsi="Cambria Math"/>
                          </w:rPr>
                        </m:ctrlPr>
                      </m:sSubPr>
                      <m:e>
                        <m:r>
                          <w:rPr>
                            <w:rFonts w:ascii="Cambria Math" w:hAnsi="Cambria Math"/>
                          </w:rPr>
                          <m:t>DOC</m:t>
                        </m:r>
                      </m:e>
                      <m:sub>
                        <m:r>
                          <w:rPr>
                            <w:rFonts w:ascii="Cambria Math" w:hAnsi="Cambria Math"/>
                          </w:rPr>
                          <m:t>site</m:t>
                        </m:r>
                        <m:r>
                          <m:rPr>
                            <m:sty m:val="p"/>
                          </m:rPr>
                          <w:rPr>
                            <w:rFonts w:ascii="Cambria Math" w:hAnsi="Cambria Math"/>
                          </w:rPr>
                          <m:t xml:space="preserve"> </m:t>
                        </m:r>
                        <m:r>
                          <w:rPr>
                            <w:rFonts w:ascii="Cambria Math" w:hAnsi="Cambria Math"/>
                          </w:rPr>
                          <m:t>specific</m:t>
                        </m:r>
                      </m:sub>
                    </m:sSub>
                    <m:r>
                      <m:rPr>
                        <m:sty m:val="p"/>
                      </m:rPr>
                      <w:rPr>
                        <w:rFonts w:ascii="Cambria Math" w:hAnsi="Cambria Math"/>
                      </w:rPr>
                      <m:t>-</m:t>
                    </m:r>
                    <m:r>
                      <m:rPr>
                        <m:sty m:val="p"/>
                      </m:rPr>
                      <w:rPr>
                        <w:rFonts w:ascii="Cambria Math" w:hAnsi="Cambria Math"/>
                      </w:rPr>
                      <m:t xml:space="preserve"> 0.5</m:t>
                    </m:r>
                  </m:e>
                </m:d>
                <m:r>
                  <m:rPr>
                    <m:sty m:val="p"/>
                  </m:rPr>
                  <w:rPr>
                    <w:rFonts w:ascii="Cambria Math" w:hAnsi="Cambria Math"/>
                  </w:rPr>
                  <m:t>+1.5</m:t>
                </m:r>
              </m:oMath>
            </m:oMathPara>
          </w:p>
        </w:tc>
      </w:tr>
    </w:tbl>
    <w:p w14:paraId="273CD978" w14:textId="77777777" w:rsidR="006402D2" w:rsidRPr="000079DA" w:rsidRDefault="00324184" w:rsidP="00E70625">
      <w:pPr>
        <w:spacing w:before="200"/>
        <w:rPr>
          <w:lang w:eastAsia="ja-JP"/>
        </w:rPr>
      </w:pPr>
      <w:r>
        <w:rPr>
          <w:lang w:eastAsia="ja-JP"/>
        </w:rPr>
        <w:t>W</w:t>
      </w:r>
      <w:r w:rsidRPr="000079DA">
        <w:rPr>
          <w:lang w:eastAsia="ja-JP"/>
        </w:rPr>
        <w:t xml:space="preserve">here </w:t>
      </w:r>
      <w:r w:rsidRPr="00B37525">
        <w:rPr>
          <w:rStyle w:val="Emphasis"/>
        </w:rPr>
        <w:t>DOC</w:t>
      </w:r>
      <w:r w:rsidRPr="00B37525">
        <w:rPr>
          <w:rStyle w:val="Emphasis"/>
          <w:vertAlign w:val="subscript"/>
        </w:rPr>
        <w:t>site specific</w:t>
      </w:r>
      <w:r w:rsidRPr="00B37525">
        <w:rPr>
          <w:vertAlign w:val="subscript"/>
          <w:lang w:eastAsia="ja-JP"/>
        </w:rPr>
        <w:t xml:space="preserve"> </w:t>
      </w:r>
      <w:r w:rsidRPr="000079DA">
        <w:rPr>
          <w:lang w:eastAsia="ja-JP"/>
        </w:rPr>
        <w:t>means the DOC (in mg/L) at the site of interest. These equations apply up to a maximum DOC of 6</w:t>
      </w:r>
      <w:r w:rsidR="00730068">
        <w:rPr>
          <w:lang w:eastAsia="ja-JP"/>
        </w:rPr>
        <w:t> </w:t>
      </w:r>
      <w:r w:rsidRPr="000079DA">
        <w:rPr>
          <w:lang w:eastAsia="ja-JP"/>
        </w:rPr>
        <w:t>mg/L.</w:t>
      </w:r>
    </w:p>
    <w:p w14:paraId="273CD979" w14:textId="77777777" w:rsidR="006402D2" w:rsidRPr="000079DA" w:rsidRDefault="00324184" w:rsidP="006402D2">
      <w:pPr>
        <w:rPr>
          <w:lang w:eastAsia="ja-JP"/>
        </w:rPr>
      </w:pPr>
      <w:r>
        <w:rPr>
          <w:lang w:eastAsia="ja-JP"/>
        </w:rPr>
        <w:t>DGVs</w:t>
      </w:r>
      <w:r w:rsidRPr="000079DA">
        <w:rPr>
          <w:lang w:eastAsia="ja-JP"/>
        </w:rPr>
        <w:t xml:space="preserve"> at representative DOC concentrations were calculated from these equations</w:t>
      </w:r>
      <w:r>
        <w:rPr>
          <w:lang w:eastAsia="ja-JP"/>
        </w:rPr>
        <w:t xml:space="preserve">; these are presented in </w:t>
      </w:r>
      <w:r w:rsidR="00C12A88">
        <w:rPr>
          <w:lang w:eastAsia="ja-JP"/>
        </w:rPr>
        <w:fldChar w:fldCharType="begin"/>
      </w:r>
      <w:r w:rsidR="00C12A88">
        <w:rPr>
          <w:lang w:eastAsia="ja-JP"/>
        </w:rPr>
        <w:instrText xml:space="preserve"> REF _Ref85903757 \h </w:instrText>
      </w:r>
      <w:r w:rsidR="00C12A88">
        <w:rPr>
          <w:lang w:eastAsia="ja-JP"/>
        </w:rPr>
      </w:r>
      <w:r w:rsidR="00C12A88">
        <w:rPr>
          <w:lang w:eastAsia="ja-JP"/>
        </w:rPr>
        <w:fldChar w:fldCharType="separate"/>
      </w:r>
      <w:r w:rsidR="00A41C81">
        <w:t>Table C </w:t>
      </w:r>
      <w:r w:rsidR="00A41C81">
        <w:rPr>
          <w:noProof/>
        </w:rPr>
        <w:t>2</w:t>
      </w:r>
      <w:r w:rsidR="00C12A88">
        <w:rPr>
          <w:lang w:eastAsia="ja-JP"/>
        </w:rPr>
        <w:fldChar w:fldCharType="end"/>
      </w:r>
      <w:r w:rsidRPr="000079DA">
        <w:rPr>
          <w:lang w:eastAsia="ja-JP"/>
        </w:rPr>
        <w:t>.</w:t>
      </w:r>
    </w:p>
    <w:p w14:paraId="273CD97A" w14:textId="77777777" w:rsidR="006402D2" w:rsidRPr="00AB3416" w:rsidRDefault="00324184" w:rsidP="00D27482">
      <w:pPr>
        <w:pStyle w:val="Caption"/>
      </w:pPr>
      <w:bookmarkStart w:id="75" w:name="_Ref85903757"/>
      <w:bookmarkStart w:id="76" w:name="_Toc89266126"/>
      <w:bookmarkStart w:id="77" w:name="_Toc89268635"/>
      <w:r>
        <w:t>Table C </w:t>
      </w:r>
      <w:r w:rsidR="00A41C81">
        <w:fldChar w:fldCharType="begin"/>
      </w:r>
      <w:r>
        <w:instrText xml:space="preserve"> SEQ Table_C \* ARABIC </w:instrText>
      </w:r>
      <w:r w:rsidR="00A41C81">
        <w:fldChar w:fldCharType="separate"/>
      </w:r>
      <w:r w:rsidR="00A41C81">
        <w:rPr>
          <w:noProof/>
        </w:rPr>
        <w:t>2</w:t>
      </w:r>
      <w:r w:rsidR="00A41C81">
        <w:rPr>
          <w:noProof/>
        </w:rPr>
        <w:fldChar w:fldCharType="end"/>
      </w:r>
      <w:bookmarkEnd w:id="75"/>
      <w:r w:rsidRPr="00AB3416">
        <w:t xml:space="preserve"> </w:t>
      </w:r>
      <w:r w:rsidR="00722577" w:rsidRPr="00AB3416">
        <w:t>Default g</w:t>
      </w:r>
      <w:r w:rsidRPr="00AB3416">
        <w:t>uideline value</w:t>
      </w:r>
      <w:r w:rsidRPr="00AB3416">
        <w:t>s</w:t>
      </w:r>
      <w:r w:rsidR="00722577" w:rsidRPr="00AB3416">
        <w:t>, dissolved copper in marine water,</w:t>
      </w:r>
      <w:r w:rsidRPr="00AB3416">
        <w:t xml:space="preserve"> varying DOC concentrations</w:t>
      </w:r>
      <w:bookmarkEnd w:id="76"/>
      <w:bookmarkEnd w:id="77"/>
    </w:p>
    <w:tbl>
      <w:tblPr>
        <w:tblW w:w="5000" w:type="pct"/>
        <w:tblBorders>
          <w:top w:val="single" w:sz="4" w:space="0" w:color="auto"/>
          <w:bottom w:val="single" w:sz="4" w:space="0" w:color="auto"/>
        </w:tblBorders>
        <w:tblLook w:val="04A0" w:firstRow="1" w:lastRow="0" w:firstColumn="1" w:lastColumn="0" w:noHBand="0" w:noVBand="1"/>
        <w:tblCaption w:val="Default guideline values, dissolved copper in marine water, varying DOC concentrations"/>
        <w:tblDescription w:val="Table shows the default guideline values for dissolved copper in marine water for different levels of species protection at varying concentrations of dissolved organic carbon (DOC). DOC is in miligrams per litre; DGVs are provided in micrograms per litre. DGVs are provided for 99%, 95%, 90% and 80% species protection."/>
      </w:tblPr>
      <w:tblGrid>
        <w:gridCol w:w="1133"/>
        <w:gridCol w:w="1984"/>
        <w:gridCol w:w="1985"/>
        <w:gridCol w:w="1985"/>
        <w:gridCol w:w="1983"/>
      </w:tblGrid>
      <w:tr w:rsidR="00091AEB" w14:paraId="273CD97D" w14:textId="77777777" w:rsidTr="00AB3416">
        <w:tc>
          <w:tcPr>
            <w:tcW w:w="625" w:type="pct"/>
            <w:vMerge w:val="restart"/>
            <w:tcBorders>
              <w:top w:val="single" w:sz="12" w:space="0" w:color="auto"/>
            </w:tcBorders>
            <w:shd w:val="clear" w:color="auto" w:fill="auto"/>
            <w:vAlign w:val="center"/>
          </w:tcPr>
          <w:p w14:paraId="273CD97B" w14:textId="77777777" w:rsidR="00435CD2" w:rsidRPr="000079DA" w:rsidRDefault="00324184" w:rsidP="00CB626A">
            <w:pPr>
              <w:pStyle w:val="TableHeading"/>
            </w:pPr>
            <w:r w:rsidRPr="000079DA">
              <w:t>DOC (mg/L)</w:t>
            </w:r>
          </w:p>
        </w:tc>
        <w:tc>
          <w:tcPr>
            <w:tcW w:w="4375" w:type="pct"/>
            <w:gridSpan w:val="4"/>
            <w:tcBorders>
              <w:top w:val="single" w:sz="12" w:space="0" w:color="auto"/>
              <w:bottom w:val="nil"/>
            </w:tcBorders>
            <w:shd w:val="clear" w:color="auto" w:fill="auto"/>
          </w:tcPr>
          <w:p w14:paraId="273CD97C" w14:textId="77777777" w:rsidR="00435CD2" w:rsidRPr="00435CD2" w:rsidRDefault="00324184" w:rsidP="00435CD2">
            <w:pPr>
              <w:pStyle w:val="TableHeading"/>
              <w:jc w:val="center"/>
            </w:pPr>
            <w:r>
              <w:t>DGV for dissolved copper in marine water</w:t>
            </w:r>
            <w:r w:rsidRPr="00435CD2">
              <w:t xml:space="preserve"> (µg/L)</w:t>
            </w:r>
          </w:p>
        </w:tc>
      </w:tr>
      <w:tr w:rsidR="00091AEB" w14:paraId="273CD983" w14:textId="77777777" w:rsidTr="009C3ED8">
        <w:tc>
          <w:tcPr>
            <w:tcW w:w="625" w:type="pct"/>
            <w:vMerge/>
            <w:tcBorders>
              <w:bottom w:val="single" w:sz="12" w:space="0" w:color="auto"/>
            </w:tcBorders>
            <w:shd w:val="clear" w:color="auto" w:fill="auto"/>
          </w:tcPr>
          <w:p w14:paraId="273CD97E" w14:textId="77777777" w:rsidR="00435CD2" w:rsidRPr="000079DA" w:rsidRDefault="00435CD2" w:rsidP="00435CD2">
            <w:pPr>
              <w:pStyle w:val="TableHeading"/>
            </w:pPr>
          </w:p>
        </w:tc>
        <w:tc>
          <w:tcPr>
            <w:tcW w:w="1094" w:type="pct"/>
            <w:tcBorders>
              <w:top w:val="single" w:sz="4" w:space="0" w:color="auto"/>
              <w:bottom w:val="single" w:sz="12" w:space="0" w:color="auto"/>
            </w:tcBorders>
            <w:shd w:val="clear" w:color="auto" w:fill="auto"/>
          </w:tcPr>
          <w:p w14:paraId="273CD97F" w14:textId="77777777" w:rsidR="00435CD2" w:rsidRPr="000079DA" w:rsidRDefault="00324184" w:rsidP="00435CD2">
            <w:pPr>
              <w:pStyle w:val="TableHeading"/>
            </w:pPr>
            <w:r w:rsidRPr="000079DA">
              <w:t xml:space="preserve">99% species protection </w:t>
            </w:r>
          </w:p>
        </w:tc>
        <w:tc>
          <w:tcPr>
            <w:tcW w:w="1094" w:type="pct"/>
            <w:tcBorders>
              <w:top w:val="single" w:sz="4" w:space="0" w:color="auto"/>
              <w:bottom w:val="single" w:sz="12" w:space="0" w:color="auto"/>
              <w:right w:val="nil"/>
            </w:tcBorders>
            <w:shd w:val="clear" w:color="auto" w:fill="auto"/>
          </w:tcPr>
          <w:p w14:paraId="273CD980" w14:textId="77777777" w:rsidR="00435CD2" w:rsidRPr="000079DA" w:rsidRDefault="00324184" w:rsidP="00435CD2">
            <w:pPr>
              <w:pStyle w:val="TableHeading"/>
            </w:pPr>
            <w:r w:rsidRPr="000079DA">
              <w:t>95% species protection</w:t>
            </w:r>
          </w:p>
        </w:tc>
        <w:tc>
          <w:tcPr>
            <w:tcW w:w="1094" w:type="pct"/>
            <w:tcBorders>
              <w:top w:val="single" w:sz="4" w:space="0" w:color="auto"/>
              <w:bottom w:val="single" w:sz="12" w:space="0" w:color="auto"/>
              <w:right w:val="nil"/>
            </w:tcBorders>
            <w:shd w:val="clear" w:color="auto" w:fill="auto"/>
          </w:tcPr>
          <w:p w14:paraId="273CD981" w14:textId="77777777" w:rsidR="00435CD2" w:rsidRPr="000079DA" w:rsidRDefault="00324184" w:rsidP="00435CD2">
            <w:pPr>
              <w:pStyle w:val="TableHeading"/>
            </w:pPr>
            <w:r w:rsidRPr="000079DA">
              <w:t>90% species protection</w:t>
            </w:r>
          </w:p>
        </w:tc>
        <w:tc>
          <w:tcPr>
            <w:tcW w:w="1093" w:type="pct"/>
            <w:tcBorders>
              <w:top w:val="single" w:sz="4" w:space="0" w:color="auto"/>
              <w:bottom w:val="single" w:sz="12" w:space="0" w:color="auto"/>
              <w:right w:val="nil"/>
            </w:tcBorders>
            <w:shd w:val="clear" w:color="auto" w:fill="auto"/>
          </w:tcPr>
          <w:p w14:paraId="273CD982" w14:textId="77777777" w:rsidR="00435CD2" w:rsidRPr="000079DA" w:rsidRDefault="00324184" w:rsidP="00435CD2">
            <w:pPr>
              <w:pStyle w:val="TableHeading"/>
            </w:pPr>
            <w:r w:rsidRPr="000079DA">
              <w:t>80% species protection</w:t>
            </w:r>
          </w:p>
        </w:tc>
      </w:tr>
      <w:tr w:rsidR="00091AEB" w14:paraId="273CD989" w14:textId="77777777" w:rsidTr="009C3ED8">
        <w:tc>
          <w:tcPr>
            <w:tcW w:w="625" w:type="pct"/>
            <w:tcBorders>
              <w:top w:val="single" w:sz="12" w:space="0" w:color="auto"/>
              <w:left w:val="nil"/>
              <w:bottom w:val="single" w:sz="4" w:space="0" w:color="auto"/>
              <w:right w:val="nil"/>
            </w:tcBorders>
          </w:tcPr>
          <w:p w14:paraId="273CD984" w14:textId="77777777" w:rsidR="009C3ED8" w:rsidRPr="000079DA" w:rsidRDefault="00324184" w:rsidP="009C3ED8">
            <w:pPr>
              <w:pStyle w:val="TableText"/>
            </w:pPr>
            <w:r w:rsidRPr="000079DA">
              <w:t>0.5</w:t>
            </w:r>
          </w:p>
        </w:tc>
        <w:tc>
          <w:tcPr>
            <w:tcW w:w="1094" w:type="pct"/>
            <w:tcBorders>
              <w:top w:val="single" w:sz="12" w:space="0" w:color="auto"/>
              <w:left w:val="nil"/>
              <w:bottom w:val="single" w:sz="4" w:space="0" w:color="auto"/>
              <w:right w:val="nil"/>
            </w:tcBorders>
            <w:shd w:val="clear" w:color="auto" w:fill="auto"/>
            <w:vAlign w:val="bottom"/>
          </w:tcPr>
          <w:p w14:paraId="273CD985" w14:textId="77777777" w:rsidR="009C3ED8" w:rsidRPr="009C3ED8" w:rsidRDefault="00324184" w:rsidP="009C3ED8">
            <w:pPr>
              <w:pStyle w:val="TableText"/>
              <w:rPr>
                <w:sz w:val="20"/>
                <w:szCs w:val="20"/>
              </w:rPr>
            </w:pPr>
            <w:r w:rsidRPr="009C3ED8">
              <w:rPr>
                <w:color w:val="000000"/>
                <w:sz w:val="20"/>
                <w:szCs w:val="20"/>
              </w:rPr>
              <w:t>0.1</w:t>
            </w:r>
            <w:r w:rsidR="00016132">
              <w:rPr>
                <w:color w:val="000000"/>
                <w:sz w:val="20"/>
                <w:szCs w:val="20"/>
              </w:rPr>
              <w:t>2</w:t>
            </w:r>
          </w:p>
        </w:tc>
        <w:tc>
          <w:tcPr>
            <w:tcW w:w="1094" w:type="pct"/>
            <w:tcBorders>
              <w:top w:val="single" w:sz="12" w:space="0" w:color="auto"/>
              <w:left w:val="nil"/>
              <w:bottom w:val="single" w:sz="4" w:space="0" w:color="auto"/>
              <w:right w:val="nil"/>
            </w:tcBorders>
            <w:shd w:val="clear" w:color="auto" w:fill="auto"/>
            <w:vAlign w:val="bottom"/>
          </w:tcPr>
          <w:p w14:paraId="273CD986" w14:textId="77777777" w:rsidR="009C3ED8" w:rsidRPr="009C3ED8" w:rsidRDefault="00324184" w:rsidP="009C3ED8">
            <w:pPr>
              <w:pStyle w:val="TableText"/>
              <w:rPr>
                <w:sz w:val="20"/>
                <w:szCs w:val="20"/>
              </w:rPr>
            </w:pPr>
            <w:r w:rsidRPr="009C3ED8">
              <w:rPr>
                <w:color w:val="000000"/>
                <w:sz w:val="20"/>
                <w:szCs w:val="20"/>
              </w:rPr>
              <w:t>0.4</w:t>
            </w:r>
            <w:r w:rsidR="00016132">
              <w:rPr>
                <w:color w:val="000000"/>
                <w:sz w:val="20"/>
                <w:szCs w:val="20"/>
              </w:rPr>
              <w:t>0</w:t>
            </w:r>
          </w:p>
        </w:tc>
        <w:tc>
          <w:tcPr>
            <w:tcW w:w="1094" w:type="pct"/>
            <w:tcBorders>
              <w:top w:val="single" w:sz="12" w:space="0" w:color="auto"/>
              <w:left w:val="nil"/>
              <w:bottom w:val="single" w:sz="4" w:space="0" w:color="auto"/>
              <w:right w:val="nil"/>
            </w:tcBorders>
            <w:shd w:val="clear" w:color="auto" w:fill="auto"/>
            <w:vAlign w:val="bottom"/>
          </w:tcPr>
          <w:p w14:paraId="273CD987" w14:textId="77777777" w:rsidR="009C3ED8" w:rsidRPr="009C3ED8" w:rsidRDefault="00324184" w:rsidP="009C3ED8">
            <w:pPr>
              <w:pStyle w:val="TableText"/>
              <w:rPr>
                <w:sz w:val="20"/>
                <w:szCs w:val="20"/>
              </w:rPr>
            </w:pPr>
            <w:r w:rsidRPr="009C3ED8">
              <w:rPr>
                <w:color w:val="000000"/>
                <w:sz w:val="20"/>
                <w:szCs w:val="20"/>
              </w:rPr>
              <w:t>0.7</w:t>
            </w:r>
            <w:r w:rsidR="00016132">
              <w:rPr>
                <w:color w:val="000000"/>
                <w:sz w:val="20"/>
                <w:szCs w:val="20"/>
              </w:rPr>
              <w:t>2</w:t>
            </w:r>
          </w:p>
        </w:tc>
        <w:tc>
          <w:tcPr>
            <w:tcW w:w="1093" w:type="pct"/>
            <w:tcBorders>
              <w:top w:val="single" w:sz="12" w:space="0" w:color="auto"/>
              <w:left w:val="nil"/>
              <w:bottom w:val="single" w:sz="4" w:space="0" w:color="auto"/>
              <w:right w:val="nil"/>
            </w:tcBorders>
            <w:shd w:val="clear" w:color="auto" w:fill="auto"/>
            <w:vAlign w:val="bottom"/>
          </w:tcPr>
          <w:p w14:paraId="273CD988" w14:textId="77777777" w:rsidR="009C3ED8" w:rsidRPr="009C3ED8" w:rsidRDefault="00324184" w:rsidP="009C3ED8">
            <w:pPr>
              <w:pStyle w:val="TableText"/>
              <w:rPr>
                <w:sz w:val="20"/>
                <w:szCs w:val="20"/>
              </w:rPr>
            </w:pPr>
            <w:r w:rsidRPr="009C3ED8">
              <w:rPr>
                <w:color w:val="000000"/>
                <w:sz w:val="20"/>
                <w:szCs w:val="20"/>
              </w:rPr>
              <w:t>1.</w:t>
            </w:r>
            <w:r w:rsidR="00016132">
              <w:rPr>
                <w:color w:val="000000"/>
                <w:sz w:val="20"/>
                <w:szCs w:val="20"/>
              </w:rPr>
              <w:t>4</w:t>
            </w:r>
          </w:p>
        </w:tc>
      </w:tr>
      <w:tr w:rsidR="00091AEB" w14:paraId="273CD98F" w14:textId="77777777" w:rsidTr="009C3ED8">
        <w:tc>
          <w:tcPr>
            <w:tcW w:w="625" w:type="pct"/>
            <w:tcBorders>
              <w:top w:val="single" w:sz="4" w:space="0" w:color="auto"/>
              <w:left w:val="nil"/>
              <w:bottom w:val="single" w:sz="4" w:space="0" w:color="auto"/>
              <w:right w:val="nil"/>
            </w:tcBorders>
          </w:tcPr>
          <w:p w14:paraId="273CD98A" w14:textId="77777777" w:rsidR="009C3ED8" w:rsidRPr="000079DA" w:rsidRDefault="00324184" w:rsidP="009C3ED8">
            <w:pPr>
              <w:pStyle w:val="TableText"/>
            </w:pPr>
            <w:r w:rsidRPr="000079DA">
              <w:t>1</w:t>
            </w:r>
          </w:p>
        </w:tc>
        <w:tc>
          <w:tcPr>
            <w:tcW w:w="1094" w:type="pct"/>
            <w:tcBorders>
              <w:top w:val="single" w:sz="4" w:space="0" w:color="auto"/>
              <w:left w:val="nil"/>
              <w:bottom w:val="single" w:sz="4" w:space="0" w:color="auto"/>
              <w:right w:val="nil"/>
            </w:tcBorders>
            <w:shd w:val="clear" w:color="auto" w:fill="auto"/>
            <w:vAlign w:val="bottom"/>
          </w:tcPr>
          <w:p w14:paraId="273CD98B" w14:textId="77777777" w:rsidR="009C3ED8" w:rsidRPr="009C3ED8" w:rsidRDefault="00324184" w:rsidP="009C3ED8">
            <w:pPr>
              <w:pStyle w:val="TableText"/>
              <w:rPr>
                <w:sz w:val="20"/>
                <w:szCs w:val="20"/>
              </w:rPr>
            </w:pPr>
            <w:r w:rsidRPr="009C3ED8">
              <w:rPr>
                <w:color w:val="000000"/>
                <w:sz w:val="20"/>
                <w:szCs w:val="20"/>
              </w:rPr>
              <w:t>0.7</w:t>
            </w:r>
            <w:r w:rsidR="00016132">
              <w:rPr>
                <w:color w:val="000000"/>
                <w:sz w:val="20"/>
                <w:szCs w:val="20"/>
              </w:rPr>
              <w:t>4</w:t>
            </w:r>
          </w:p>
        </w:tc>
        <w:tc>
          <w:tcPr>
            <w:tcW w:w="1094" w:type="pct"/>
            <w:tcBorders>
              <w:top w:val="single" w:sz="4" w:space="0" w:color="auto"/>
              <w:left w:val="nil"/>
              <w:bottom w:val="single" w:sz="4" w:space="0" w:color="auto"/>
              <w:right w:val="nil"/>
            </w:tcBorders>
            <w:shd w:val="clear" w:color="auto" w:fill="auto"/>
            <w:vAlign w:val="bottom"/>
          </w:tcPr>
          <w:p w14:paraId="273CD98C" w14:textId="77777777" w:rsidR="009C3ED8" w:rsidRPr="009C3ED8" w:rsidRDefault="00324184" w:rsidP="009C3ED8">
            <w:pPr>
              <w:pStyle w:val="TableText"/>
              <w:rPr>
                <w:sz w:val="20"/>
                <w:szCs w:val="20"/>
              </w:rPr>
            </w:pPr>
            <w:r w:rsidRPr="009C3ED8">
              <w:rPr>
                <w:color w:val="000000"/>
                <w:sz w:val="20"/>
                <w:szCs w:val="20"/>
              </w:rPr>
              <w:t>1.0</w:t>
            </w:r>
          </w:p>
        </w:tc>
        <w:tc>
          <w:tcPr>
            <w:tcW w:w="1094" w:type="pct"/>
            <w:tcBorders>
              <w:top w:val="single" w:sz="4" w:space="0" w:color="auto"/>
              <w:left w:val="nil"/>
              <w:bottom w:val="single" w:sz="4" w:space="0" w:color="auto"/>
              <w:right w:val="nil"/>
            </w:tcBorders>
            <w:shd w:val="clear" w:color="auto" w:fill="auto"/>
            <w:vAlign w:val="bottom"/>
          </w:tcPr>
          <w:p w14:paraId="273CD98D" w14:textId="77777777" w:rsidR="009C3ED8" w:rsidRPr="009C3ED8" w:rsidRDefault="00324184" w:rsidP="009C3ED8">
            <w:pPr>
              <w:pStyle w:val="TableText"/>
              <w:rPr>
                <w:sz w:val="20"/>
                <w:szCs w:val="20"/>
              </w:rPr>
            </w:pPr>
            <w:r w:rsidRPr="009C3ED8">
              <w:rPr>
                <w:color w:val="000000"/>
                <w:sz w:val="20"/>
                <w:szCs w:val="20"/>
              </w:rPr>
              <w:t>1.</w:t>
            </w:r>
            <w:r w:rsidR="00016132">
              <w:rPr>
                <w:color w:val="000000"/>
                <w:sz w:val="20"/>
                <w:szCs w:val="20"/>
              </w:rPr>
              <w:t>3</w:t>
            </w:r>
          </w:p>
        </w:tc>
        <w:tc>
          <w:tcPr>
            <w:tcW w:w="1093" w:type="pct"/>
            <w:tcBorders>
              <w:top w:val="single" w:sz="4" w:space="0" w:color="auto"/>
              <w:left w:val="nil"/>
              <w:bottom w:val="single" w:sz="4" w:space="0" w:color="auto"/>
              <w:right w:val="nil"/>
            </w:tcBorders>
            <w:shd w:val="clear" w:color="auto" w:fill="auto"/>
            <w:vAlign w:val="bottom"/>
          </w:tcPr>
          <w:p w14:paraId="273CD98E" w14:textId="77777777" w:rsidR="009C3ED8" w:rsidRPr="009C3ED8" w:rsidRDefault="00324184" w:rsidP="009C3ED8">
            <w:pPr>
              <w:pStyle w:val="TableText"/>
              <w:rPr>
                <w:sz w:val="20"/>
                <w:szCs w:val="20"/>
              </w:rPr>
            </w:pPr>
            <w:r w:rsidRPr="009C3ED8">
              <w:rPr>
                <w:color w:val="000000"/>
                <w:sz w:val="20"/>
                <w:szCs w:val="20"/>
              </w:rPr>
              <w:t>2.</w:t>
            </w:r>
            <w:r w:rsidR="00016132">
              <w:rPr>
                <w:color w:val="000000"/>
                <w:sz w:val="20"/>
                <w:szCs w:val="20"/>
              </w:rPr>
              <w:t>0</w:t>
            </w:r>
          </w:p>
        </w:tc>
      </w:tr>
      <w:tr w:rsidR="00091AEB" w14:paraId="273CD995" w14:textId="77777777" w:rsidTr="009C3ED8">
        <w:tc>
          <w:tcPr>
            <w:tcW w:w="625" w:type="pct"/>
            <w:tcBorders>
              <w:top w:val="single" w:sz="4" w:space="0" w:color="auto"/>
              <w:left w:val="nil"/>
              <w:bottom w:val="single" w:sz="4" w:space="0" w:color="auto"/>
              <w:right w:val="nil"/>
            </w:tcBorders>
          </w:tcPr>
          <w:p w14:paraId="273CD990" w14:textId="77777777" w:rsidR="009C3ED8" w:rsidRPr="000079DA" w:rsidRDefault="00324184" w:rsidP="009C3ED8">
            <w:pPr>
              <w:pStyle w:val="TableText"/>
            </w:pPr>
            <w:r w:rsidRPr="000079DA">
              <w:t>2</w:t>
            </w:r>
          </w:p>
        </w:tc>
        <w:tc>
          <w:tcPr>
            <w:tcW w:w="1094" w:type="pct"/>
            <w:tcBorders>
              <w:top w:val="single" w:sz="4" w:space="0" w:color="auto"/>
              <w:left w:val="nil"/>
              <w:bottom w:val="single" w:sz="4" w:space="0" w:color="auto"/>
              <w:right w:val="nil"/>
            </w:tcBorders>
            <w:shd w:val="clear" w:color="auto" w:fill="auto"/>
            <w:vAlign w:val="bottom"/>
          </w:tcPr>
          <w:p w14:paraId="273CD991" w14:textId="77777777" w:rsidR="009C3ED8" w:rsidRPr="009C3ED8" w:rsidRDefault="00324184" w:rsidP="009C3ED8">
            <w:pPr>
              <w:pStyle w:val="TableText"/>
              <w:rPr>
                <w:sz w:val="20"/>
                <w:szCs w:val="20"/>
              </w:rPr>
            </w:pPr>
            <w:r w:rsidRPr="009C3ED8">
              <w:rPr>
                <w:color w:val="000000"/>
                <w:sz w:val="20"/>
                <w:szCs w:val="20"/>
              </w:rPr>
              <w:t>2.0</w:t>
            </w:r>
          </w:p>
        </w:tc>
        <w:tc>
          <w:tcPr>
            <w:tcW w:w="1094" w:type="pct"/>
            <w:tcBorders>
              <w:top w:val="single" w:sz="4" w:space="0" w:color="auto"/>
              <w:left w:val="nil"/>
              <w:bottom w:val="single" w:sz="4" w:space="0" w:color="auto"/>
              <w:right w:val="nil"/>
            </w:tcBorders>
            <w:shd w:val="clear" w:color="auto" w:fill="auto"/>
            <w:vAlign w:val="bottom"/>
          </w:tcPr>
          <w:p w14:paraId="273CD992" w14:textId="77777777" w:rsidR="009C3ED8" w:rsidRPr="009C3ED8" w:rsidRDefault="00324184" w:rsidP="009C3ED8">
            <w:pPr>
              <w:pStyle w:val="TableText"/>
              <w:rPr>
                <w:sz w:val="20"/>
                <w:szCs w:val="20"/>
              </w:rPr>
            </w:pPr>
            <w:r w:rsidRPr="009C3ED8">
              <w:rPr>
                <w:color w:val="000000"/>
                <w:sz w:val="20"/>
                <w:szCs w:val="20"/>
              </w:rPr>
              <w:t>2.3</w:t>
            </w:r>
          </w:p>
        </w:tc>
        <w:tc>
          <w:tcPr>
            <w:tcW w:w="1094" w:type="pct"/>
            <w:tcBorders>
              <w:top w:val="single" w:sz="4" w:space="0" w:color="auto"/>
              <w:left w:val="nil"/>
              <w:bottom w:val="single" w:sz="4" w:space="0" w:color="auto"/>
              <w:right w:val="nil"/>
            </w:tcBorders>
            <w:shd w:val="clear" w:color="auto" w:fill="auto"/>
            <w:vAlign w:val="bottom"/>
          </w:tcPr>
          <w:p w14:paraId="273CD993" w14:textId="77777777" w:rsidR="009C3ED8" w:rsidRPr="009C3ED8" w:rsidRDefault="00324184" w:rsidP="009C3ED8">
            <w:pPr>
              <w:pStyle w:val="TableText"/>
              <w:rPr>
                <w:sz w:val="20"/>
                <w:szCs w:val="20"/>
              </w:rPr>
            </w:pPr>
            <w:r w:rsidRPr="009C3ED8">
              <w:rPr>
                <w:color w:val="000000"/>
                <w:sz w:val="20"/>
                <w:szCs w:val="20"/>
              </w:rPr>
              <w:t>2.6</w:t>
            </w:r>
          </w:p>
        </w:tc>
        <w:tc>
          <w:tcPr>
            <w:tcW w:w="1093" w:type="pct"/>
            <w:tcBorders>
              <w:top w:val="single" w:sz="4" w:space="0" w:color="auto"/>
              <w:left w:val="nil"/>
              <w:bottom w:val="single" w:sz="4" w:space="0" w:color="auto"/>
              <w:right w:val="nil"/>
            </w:tcBorders>
            <w:shd w:val="clear" w:color="auto" w:fill="auto"/>
            <w:vAlign w:val="bottom"/>
          </w:tcPr>
          <w:p w14:paraId="273CD994" w14:textId="77777777" w:rsidR="009C3ED8" w:rsidRPr="009C3ED8" w:rsidRDefault="00324184" w:rsidP="009C3ED8">
            <w:pPr>
              <w:pStyle w:val="TableText"/>
              <w:rPr>
                <w:sz w:val="20"/>
                <w:szCs w:val="20"/>
              </w:rPr>
            </w:pPr>
            <w:r w:rsidRPr="009C3ED8">
              <w:rPr>
                <w:color w:val="000000"/>
                <w:sz w:val="20"/>
                <w:szCs w:val="20"/>
              </w:rPr>
              <w:t>3.</w:t>
            </w:r>
            <w:r w:rsidR="00016132">
              <w:rPr>
                <w:color w:val="000000"/>
                <w:sz w:val="20"/>
                <w:szCs w:val="20"/>
              </w:rPr>
              <w:t>3</w:t>
            </w:r>
          </w:p>
        </w:tc>
      </w:tr>
      <w:tr w:rsidR="00091AEB" w14:paraId="273CD99B" w14:textId="77777777" w:rsidTr="009C3ED8">
        <w:tc>
          <w:tcPr>
            <w:tcW w:w="625" w:type="pct"/>
            <w:tcBorders>
              <w:top w:val="single" w:sz="4" w:space="0" w:color="auto"/>
              <w:left w:val="nil"/>
              <w:bottom w:val="single" w:sz="4" w:space="0" w:color="auto"/>
              <w:right w:val="nil"/>
            </w:tcBorders>
          </w:tcPr>
          <w:p w14:paraId="273CD996" w14:textId="77777777" w:rsidR="009C3ED8" w:rsidRPr="000079DA" w:rsidRDefault="00324184" w:rsidP="009C3ED8">
            <w:pPr>
              <w:pStyle w:val="TableText"/>
            </w:pPr>
            <w:r w:rsidRPr="000079DA">
              <w:t>3</w:t>
            </w:r>
          </w:p>
        </w:tc>
        <w:tc>
          <w:tcPr>
            <w:tcW w:w="1094" w:type="pct"/>
            <w:tcBorders>
              <w:top w:val="single" w:sz="4" w:space="0" w:color="auto"/>
              <w:left w:val="nil"/>
              <w:bottom w:val="single" w:sz="4" w:space="0" w:color="auto"/>
              <w:right w:val="nil"/>
            </w:tcBorders>
            <w:shd w:val="clear" w:color="auto" w:fill="auto"/>
            <w:vAlign w:val="bottom"/>
          </w:tcPr>
          <w:p w14:paraId="273CD997" w14:textId="77777777" w:rsidR="009C3ED8" w:rsidRPr="009C3ED8" w:rsidRDefault="00324184" w:rsidP="009C3ED8">
            <w:pPr>
              <w:pStyle w:val="TableText"/>
              <w:rPr>
                <w:sz w:val="20"/>
                <w:szCs w:val="20"/>
              </w:rPr>
            </w:pPr>
            <w:r w:rsidRPr="009C3ED8">
              <w:rPr>
                <w:color w:val="000000"/>
                <w:sz w:val="20"/>
                <w:szCs w:val="20"/>
              </w:rPr>
              <w:t>3.2</w:t>
            </w:r>
          </w:p>
        </w:tc>
        <w:tc>
          <w:tcPr>
            <w:tcW w:w="1094" w:type="pct"/>
            <w:tcBorders>
              <w:top w:val="single" w:sz="4" w:space="0" w:color="auto"/>
              <w:left w:val="nil"/>
              <w:bottom w:val="single" w:sz="4" w:space="0" w:color="auto"/>
              <w:right w:val="nil"/>
            </w:tcBorders>
            <w:shd w:val="clear" w:color="auto" w:fill="auto"/>
            <w:vAlign w:val="bottom"/>
          </w:tcPr>
          <w:p w14:paraId="273CD998" w14:textId="77777777" w:rsidR="009C3ED8" w:rsidRPr="009C3ED8" w:rsidRDefault="00324184" w:rsidP="009C3ED8">
            <w:pPr>
              <w:pStyle w:val="TableText"/>
              <w:rPr>
                <w:sz w:val="20"/>
                <w:szCs w:val="20"/>
              </w:rPr>
            </w:pPr>
            <w:r w:rsidRPr="009C3ED8">
              <w:rPr>
                <w:color w:val="000000"/>
                <w:sz w:val="20"/>
                <w:szCs w:val="20"/>
              </w:rPr>
              <w:t>3.5</w:t>
            </w:r>
          </w:p>
        </w:tc>
        <w:tc>
          <w:tcPr>
            <w:tcW w:w="1094" w:type="pct"/>
            <w:tcBorders>
              <w:top w:val="single" w:sz="4" w:space="0" w:color="auto"/>
              <w:left w:val="nil"/>
              <w:bottom w:val="single" w:sz="4" w:space="0" w:color="auto"/>
              <w:right w:val="nil"/>
            </w:tcBorders>
            <w:shd w:val="clear" w:color="auto" w:fill="auto"/>
            <w:vAlign w:val="bottom"/>
          </w:tcPr>
          <w:p w14:paraId="273CD999" w14:textId="77777777" w:rsidR="009C3ED8" w:rsidRPr="009C3ED8" w:rsidRDefault="00324184" w:rsidP="009C3ED8">
            <w:pPr>
              <w:pStyle w:val="TableText"/>
              <w:rPr>
                <w:sz w:val="20"/>
                <w:szCs w:val="20"/>
              </w:rPr>
            </w:pPr>
            <w:r w:rsidRPr="009C3ED8">
              <w:rPr>
                <w:color w:val="000000"/>
                <w:sz w:val="20"/>
                <w:szCs w:val="20"/>
              </w:rPr>
              <w:t>3.8</w:t>
            </w:r>
          </w:p>
        </w:tc>
        <w:tc>
          <w:tcPr>
            <w:tcW w:w="1093" w:type="pct"/>
            <w:tcBorders>
              <w:top w:val="single" w:sz="4" w:space="0" w:color="auto"/>
              <w:left w:val="nil"/>
              <w:bottom w:val="single" w:sz="4" w:space="0" w:color="auto"/>
              <w:right w:val="nil"/>
            </w:tcBorders>
            <w:shd w:val="clear" w:color="auto" w:fill="auto"/>
            <w:vAlign w:val="bottom"/>
          </w:tcPr>
          <w:p w14:paraId="273CD99A" w14:textId="77777777" w:rsidR="009C3ED8" w:rsidRPr="009C3ED8" w:rsidRDefault="00324184" w:rsidP="009C3ED8">
            <w:pPr>
              <w:pStyle w:val="TableText"/>
              <w:rPr>
                <w:sz w:val="20"/>
                <w:szCs w:val="20"/>
              </w:rPr>
            </w:pPr>
            <w:r w:rsidRPr="009C3ED8">
              <w:rPr>
                <w:color w:val="000000"/>
                <w:sz w:val="20"/>
                <w:szCs w:val="20"/>
              </w:rPr>
              <w:t>4.</w:t>
            </w:r>
            <w:r w:rsidR="00016132">
              <w:rPr>
                <w:color w:val="000000"/>
                <w:sz w:val="20"/>
                <w:szCs w:val="20"/>
              </w:rPr>
              <w:t>5</w:t>
            </w:r>
          </w:p>
        </w:tc>
      </w:tr>
      <w:tr w:rsidR="00091AEB" w14:paraId="273CD9A1" w14:textId="77777777" w:rsidTr="009C3ED8">
        <w:tc>
          <w:tcPr>
            <w:tcW w:w="625" w:type="pct"/>
            <w:tcBorders>
              <w:top w:val="single" w:sz="4" w:space="0" w:color="auto"/>
              <w:left w:val="nil"/>
              <w:bottom w:val="single" w:sz="4" w:space="0" w:color="auto"/>
              <w:right w:val="nil"/>
            </w:tcBorders>
          </w:tcPr>
          <w:p w14:paraId="273CD99C" w14:textId="77777777" w:rsidR="009C3ED8" w:rsidRPr="000079DA" w:rsidRDefault="00324184" w:rsidP="009C3ED8">
            <w:pPr>
              <w:pStyle w:val="TableText"/>
            </w:pPr>
            <w:r w:rsidRPr="000079DA">
              <w:t>4</w:t>
            </w:r>
          </w:p>
        </w:tc>
        <w:tc>
          <w:tcPr>
            <w:tcW w:w="1094" w:type="pct"/>
            <w:tcBorders>
              <w:top w:val="single" w:sz="4" w:space="0" w:color="auto"/>
              <w:left w:val="nil"/>
              <w:bottom w:val="single" w:sz="4" w:space="0" w:color="auto"/>
              <w:right w:val="nil"/>
            </w:tcBorders>
            <w:shd w:val="clear" w:color="auto" w:fill="auto"/>
            <w:vAlign w:val="bottom"/>
          </w:tcPr>
          <w:p w14:paraId="273CD99D" w14:textId="77777777" w:rsidR="009C3ED8" w:rsidRPr="009C3ED8" w:rsidRDefault="00324184" w:rsidP="009C3ED8">
            <w:pPr>
              <w:pStyle w:val="TableText"/>
              <w:rPr>
                <w:sz w:val="20"/>
                <w:szCs w:val="20"/>
              </w:rPr>
            </w:pPr>
            <w:r w:rsidRPr="009C3ED8">
              <w:rPr>
                <w:color w:val="000000"/>
                <w:sz w:val="20"/>
                <w:szCs w:val="20"/>
              </w:rPr>
              <w:t>4.5</w:t>
            </w:r>
          </w:p>
        </w:tc>
        <w:tc>
          <w:tcPr>
            <w:tcW w:w="1094" w:type="pct"/>
            <w:tcBorders>
              <w:top w:val="single" w:sz="4" w:space="0" w:color="auto"/>
              <w:left w:val="nil"/>
              <w:bottom w:val="single" w:sz="4" w:space="0" w:color="auto"/>
              <w:right w:val="nil"/>
            </w:tcBorders>
            <w:shd w:val="clear" w:color="auto" w:fill="auto"/>
            <w:vAlign w:val="bottom"/>
          </w:tcPr>
          <w:p w14:paraId="273CD99E" w14:textId="77777777" w:rsidR="009C3ED8" w:rsidRPr="009C3ED8" w:rsidRDefault="00324184" w:rsidP="009C3ED8">
            <w:pPr>
              <w:pStyle w:val="TableText"/>
              <w:rPr>
                <w:sz w:val="20"/>
                <w:szCs w:val="20"/>
              </w:rPr>
            </w:pPr>
            <w:r w:rsidRPr="009C3ED8">
              <w:rPr>
                <w:color w:val="000000"/>
                <w:sz w:val="20"/>
                <w:szCs w:val="20"/>
              </w:rPr>
              <w:t>4.</w:t>
            </w:r>
            <w:r w:rsidR="00016132">
              <w:rPr>
                <w:color w:val="000000"/>
                <w:sz w:val="20"/>
                <w:szCs w:val="20"/>
              </w:rPr>
              <w:t>7</w:t>
            </w:r>
          </w:p>
        </w:tc>
        <w:tc>
          <w:tcPr>
            <w:tcW w:w="1094" w:type="pct"/>
            <w:tcBorders>
              <w:top w:val="single" w:sz="4" w:space="0" w:color="auto"/>
              <w:left w:val="nil"/>
              <w:bottom w:val="single" w:sz="4" w:space="0" w:color="auto"/>
              <w:right w:val="nil"/>
            </w:tcBorders>
            <w:shd w:val="clear" w:color="auto" w:fill="auto"/>
            <w:vAlign w:val="bottom"/>
          </w:tcPr>
          <w:p w14:paraId="273CD99F" w14:textId="77777777" w:rsidR="009C3ED8" w:rsidRPr="009C3ED8" w:rsidRDefault="00324184" w:rsidP="009C3ED8">
            <w:pPr>
              <w:pStyle w:val="TableText"/>
              <w:rPr>
                <w:sz w:val="20"/>
                <w:szCs w:val="20"/>
              </w:rPr>
            </w:pPr>
            <w:r w:rsidRPr="009C3ED8">
              <w:rPr>
                <w:color w:val="000000"/>
                <w:sz w:val="20"/>
                <w:szCs w:val="20"/>
              </w:rPr>
              <w:t>5.1</w:t>
            </w:r>
          </w:p>
        </w:tc>
        <w:tc>
          <w:tcPr>
            <w:tcW w:w="1093" w:type="pct"/>
            <w:tcBorders>
              <w:top w:val="single" w:sz="4" w:space="0" w:color="auto"/>
              <w:left w:val="nil"/>
              <w:bottom w:val="single" w:sz="4" w:space="0" w:color="auto"/>
              <w:right w:val="nil"/>
            </w:tcBorders>
            <w:shd w:val="clear" w:color="auto" w:fill="auto"/>
            <w:vAlign w:val="bottom"/>
          </w:tcPr>
          <w:p w14:paraId="273CD9A0" w14:textId="77777777" w:rsidR="009C3ED8" w:rsidRPr="009C3ED8" w:rsidRDefault="00324184" w:rsidP="009C3ED8">
            <w:pPr>
              <w:pStyle w:val="TableText"/>
              <w:rPr>
                <w:sz w:val="20"/>
                <w:szCs w:val="20"/>
              </w:rPr>
            </w:pPr>
            <w:r w:rsidRPr="009C3ED8">
              <w:rPr>
                <w:color w:val="000000"/>
                <w:sz w:val="20"/>
                <w:szCs w:val="20"/>
              </w:rPr>
              <w:t>5.</w:t>
            </w:r>
            <w:r w:rsidR="00016132">
              <w:rPr>
                <w:color w:val="000000"/>
                <w:sz w:val="20"/>
                <w:szCs w:val="20"/>
              </w:rPr>
              <w:t>7</w:t>
            </w:r>
          </w:p>
        </w:tc>
      </w:tr>
      <w:tr w:rsidR="00091AEB" w14:paraId="273CD9A7" w14:textId="77777777" w:rsidTr="009C3ED8">
        <w:tc>
          <w:tcPr>
            <w:tcW w:w="625" w:type="pct"/>
            <w:tcBorders>
              <w:top w:val="single" w:sz="4" w:space="0" w:color="auto"/>
              <w:left w:val="nil"/>
              <w:bottom w:val="single" w:sz="4" w:space="0" w:color="auto"/>
              <w:right w:val="nil"/>
            </w:tcBorders>
          </w:tcPr>
          <w:p w14:paraId="273CD9A2" w14:textId="77777777" w:rsidR="009C3ED8" w:rsidRPr="000079DA" w:rsidRDefault="00324184" w:rsidP="009C3ED8">
            <w:pPr>
              <w:pStyle w:val="TableText"/>
            </w:pPr>
            <w:r w:rsidRPr="000079DA">
              <w:t>5</w:t>
            </w:r>
          </w:p>
        </w:tc>
        <w:tc>
          <w:tcPr>
            <w:tcW w:w="1094" w:type="pct"/>
            <w:tcBorders>
              <w:top w:val="single" w:sz="4" w:space="0" w:color="auto"/>
              <w:left w:val="nil"/>
              <w:bottom w:val="single" w:sz="4" w:space="0" w:color="auto"/>
              <w:right w:val="nil"/>
            </w:tcBorders>
            <w:shd w:val="clear" w:color="auto" w:fill="auto"/>
            <w:vAlign w:val="bottom"/>
          </w:tcPr>
          <w:p w14:paraId="273CD9A3" w14:textId="77777777" w:rsidR="009C3ED8" w:rsidRPr="009C3ED8" w:rsidRDefault="00324184" w:rsidP="009C3ED8">
            <w:pPr>
              <w:pStyle w:val="TableText"/>
              <w:rPr>
                <w:sz w:val="20"/>
                <w:szCs w:val="20"/>
              </w:rPr>
            </w:pPr>
            <w:r w:rsidRPr="009C3ED8">
              <w:rPr>
                <w:color w:val="000000"/>
                <w:sz w:val="20"/>
                <w:szCs w:val="20"/>
              </w:rPr>
              <w:t>5.7</w:t>
            </w:r>
          </w:p>
        </w:tc>
        <w:tc>
          <w:tcPr>
            <w:tcW w:w="1094" w:type="pct"/>
            <w:tcBorders>
              <w:top w:val="single" w:sz="4" w:space="0" w:color="auto"/>
              <w:left w:val="nil"/>
              <w:bottom w:val="single" w:sz="4" w:space="0" w:color="auto"/>
              <w:right w:val="nil"/>
            </w:tcBorders>
            <w:shd w:val="clear" w:color="auto" w:fill="auto"/>
            <w:vAlign w:val="bottom"/>
          </w:tcPr>
          <w:p w14:paraId="273CD9A4" w14:textId="77777777" w:rsidR="009C3ED8" w:rsidRPr="009C3ED8" w:rsidRDefault="00324184" w:rsidP="009C3ED8">
            <w:pPr>
              <w:pStyle w:val="TableText"/>
              <w:rPr>
                <w:sz w:val="20"/>
                <w:szCs w:val="20"/>
              </w:rPr>
            </w:pPr>
            <w:r w:rsidRPr="009C3ED8">
              <w:rPr>
                <w:color w:val="000000"/>
                <w:sz w:val="20"/>
                <w:szCs w:val="20"/>
              </w:rPr>
              <w:t>6.0</w:t>
            </w:r>
          </w:p>
        </w:tc>
        <w:tc>
          <w:tcPr>
            <w:tcW w:w="1094" w:type="pct"/>
            <w:tcBorders>
              <w:top w:val="single" w:sz="4" w:space="0" w:color="auto"/>
              <w:left w:val="nil"/>
              <w:bottom w:val="single" w:sz="4" w:space="0" w:color="auto"/>
              <w:right w:val="nil"/>
            </w:tcBorders>
            <w:shd w:val="clear" w:color="auto" w:fill="auto"/>
            <w:vAlign w:val="bottom"/>
          </w:tcPr>
          <w:p w14:paraId="273CD9A5" w14:textId="77777777" w:rsidR="009C3ED8" w:rsidRPr="009C3ED8" w:rsidRDefault="00324184" w:rsidP="009C3ED8">
            <w:pPr>
              <w:pStyle w:val="TableText"/>
              <w:rPr>
                <w:sz w:val="20"/>
                <w:szCs w:val="20"/>
              </w:rPr>
            </w:pPr>
            <w:r w:rsidRPr="009C3ED8">
              <w:rPr>
                <w:color w:val="000000"/>
                <w:sz w:val="20"/>
                <w:szCs w:val="20"/>
              </w:rPr>
              <w:t>6.3</w:t>
            </w:r>
          </w:p>
        </w:tc>
        <w:tc>
          <w:tcPr>
            <w:tcW w:w="1093" w:type="pct"/>
            <w:tcBorders>
              <w:top w:val="single" w:sz="4" w:space="0" w:color="auto"/>
              <w:left w:val="nil"/>
              <w:bottom w:val="single" w:sz="4" w:space="0" w:color="auto"/>
              <w:right w:val="nil"/>
            </w:tcBorders>
            <w:shd w:val="clear" w:color="auto" w:fill="auto"/>
            <w:vAlign w:val="bottom"/>
          </w:tcPr>
          <w:p w14:paraId="273CD9A6" w14:textId="77777777" w:rsidR="009C3ED8" w:rsidRPr="009C3ED8" w:rsidRDefault="00324184" w:rsidP="009C3ED8">
            <w:pPr>
              <w:pStyle w:val="TableText"/>
              <w:rPr>
                <w:sz w:val="20"/>
                <w:szCs w:val="20"/>
              </w:rPr>
            </w:pPr>
            <w:r w:rsidRPr="009C3ED8">
              <w:rPr>
                <w:color w:val="000000"/>
                <w:sz w:val="20"/>
                <w:szCs w:val="20"/>
              </w:rPr>
              <w:t>7.</w:t>
            </w:r>
            <w:r w:rsidR="00016132">
              <w:rPr>
                <w:color w:val="000000"/>
                <w:sz w:val="20"/>
                <w:szCs w:val="20"/>
              </w:rPr>
              <w:t>0</w:t>
            </w:r>
          </w:p>
        </w:tc>
      </w:tr>
      <w:tr w:rsidR="00091AEB" w14:paraId="273CD9AD" w14:textId="77777777" w:rsidTr="009C3ED8">
        <w:tc>
          <w:tcPr>
            <w:tcW w:w="625" w:type="pct"/>
            <w:tcBorders>
              <w:top w:val="single" w:sz="4" w:space="0" w:color="auto"/>
              <w:left w:val="nil"/>
              <w:bottom w:val="single" w:sz="12" w:space="0" w:color="auto"/>
              <w:right w:val="nil"/>
            </w:tcBorders>
          </w:tcPr>
          <w:p w14:paraId="273CD9A8" w14:textId="77777777" w:rsidR="009C3ED8" w:rsidRPr="000079DA" w:rsidRDefault="00324184" w:rsidP="009C3ED8">
            <w:pPr>
              <w:pStyle w:val="TableText"/>
            </w:pPr>
            <w:r w:rsidRPr="000079DA">
              <w:t>6</w:t>
            </w:r>
          </w:p>
        </w:tc>
        <w:tc>
          <w:tcPr>
            <w:tcW w:w="1094" w:type="pct"/>
            <w:tcBorders>
              <w:top w:val="single" w:sz="4" w:space="0" w:color="auto"/>
              <w:left w:val="nil"/>
              <w:bottom w:val="single" w:sz="12" w:space="0" w:color="auto"/>
              <w:right w:val="nil"/>
            </w:tcBorders>
            <w:shd w:val="clear" w:color="auto" w:fill="auto"/>
            <w:vAlign w:val="bottom"/>
          </w:tcPr>
          <w:p w14:paraId="273CD9A9" w14:textId="77777777" w:rsidR="009C3ED8" w:rsidRPr="009C3ED8" w:rsidRDefault="00324184" w:rsidP="009C3ED8">
            <w:pPr>
              <w:pStyle w:val="TableText"/>
              <w:rPr>
                <w:sz w:val="20"/>
                <w:szCs w:val="20"/>
              </w:rPr>
            </w:pPr>
            <w:r>
              <w:rPr>
                <w:color w:val="000000"/>
                <w:sz w:val="20"/>
                <w:szCs w:val="20"/>
              </w:rPr>
              <w:t>6.9</w:t>
            </w:r>
          </w:p>
        </w:tc>
        <w:tc>
          <w:tcPr>
            <w:tcW w:w="1094" w:type="pct"/>
            <w:tcBorders>
              <w:top w:val="single" w:sz="4" w:space="0" w:color="auto"/>
              <w:left w:val="nil"/>
              <w:bottom w:val="single" w:sz="12" w:space="0" w:color="auto"/>
              <w:right w:val="nil"/>
            </w:tcBorders>
            <w:shd w:val="clear" w:color="auto" w:fill="auto"/>
            <w:vAlign w:val="bottom"/>
          </w:tcPr>
          <w:p w14:paraId="273CD9AA" w14:textId="77777777" w:rsidR="009C3ED8" w:rsidRPr="009C3ED8" w:rsidRDefault="00324184" w:rsidP="009C3ED8">
            <w:pPr>
              <w:pStyle w:val="TableText"/>
              <w:rPr>
                <w:sz w:val="20"/>
                <w:szCs w:val="20"/>
              </w:rPr>
            </w:pPr>
            <w:r w:rsidRPr="009C3ED8">
              <w:rPr>
                <w:color w:val="000000"/>
                <w:sz w:val="20"/>
                <w:szCs w:val="20"/>
              </w:rPr>
              <w:t>7.2</w:t>
            </w:r>
          </w:p>
        </w:tc>
        <w:tc>
          <w:tcPr>
            <w:tcW w:w="1094" w:type="pct"/>
            <w:tcBorders>
              <w:top w:val="single" w:sz="4" w:space="0" w:color="auto"/>
              <w:left w:val="nil"/>
              <w:bottom w:val="single" w:sz="12" w:space="0" w:color="auto"/>
              <w:right w:val="nil"/>
            </w:tcBorders>
            <w:shd w:val="clear" w:color="auto" w:fill="auto"/>
            <w:vAlign w:val="bottom"/>
          </w:tcPr>
          <w:p w14:paraId="273CD9AB" w14:textId="77777777" w:rsidR="009C3ED8" w:rsidRPr="009C3ED8" w:rsidRDefault="00324184" w:rsidP="009C3ED8">
            <w:pPr>
              <w:pStyle w:val="TableText"/>
              <w:rPr>
                <w:sz w:val="20"/>
                <w:szCs w:val="20"/>
              </w:rPr>
            </w:pPr>
            <w:r w:rsidRPr="009C3ED8">
              <w:rPr>
                <w:color w:val="000000"/>
                <w:sz w:val="20"/>
                <w:szCs w:val="20"/>
              </w:rPr>
              <w:t>7.</w:t>
            </w:r>
            <w:r w:rsidR="00016132">
              <w:rPr>
                <w:color w:val="000000"/>
                <w:sz w:val="20"/>
                <w:szCs w:val="20"/>
              </w:rPr>
              <w:t>5</w:t>
            </w:r>
          </w:p>
        </w:tc>
        <w:tc>
          <w:tcPr>
            <w:tcW w:w="1093" w:type="pct"/>
            <w:tcBorders>
              <w:top w:val="single" w:sz="4" w:space="0" w:color="auto"/>
              <w:left w:val="nil"/>
              <w:bottom w:val="single" w:sz="12" w:space="0" w:color="auto"/>
              <w:right w:val="nil"/>
            </w:tcBorders>
            <w:shd w:val="clear" w:color="auto" w:fill="auto"/>
            <w:vAlign w:val="bottom"/>
          </w:tcPr>
          <w:p w14:paraId="273CD9AC" w14:textId="77777777" w:rsidR="009C3ED8" w:rsidRPr="009C3ED8" w:rsidRDefault="00324184" w:rsidP="009C3ED8">
            <w:pPr>
              <w:pStyle w:val="TableText"/>
              <w:rPr>
                <w:sz w:val="20"/>
                <w:szCs w:val="20"/>
              </w:rPr>
            </w:pPr>
            <w:r w:rsidRPr="009C3ED8">
              <w:rPr>
                <w:color w:val="000000"/>
                <w:sz w:val="20"/>
                <w:szCs w:val="20"/>
              </w:rPr>
              <w:t>8.</w:t>
            </w:r>
            <w:r w:rsidR="00016132">
              <w:rPr>
                <w:color w:val="000000"/>
                <w:sz w:val="20"/>
                <w:szCs w:val="20"/>
              </w:rPr>
              <w:t>2</w:t>
            </w:r>
          </w:p>
        </w:tc>
      </w:tr>
    </w:tbl>
    <w:p w14:paraId="273CD9AE" w14:textId="77777777" w:rsidR="006402D2" w:rsidRDefault="006402D2" w:rsidP="006402D2">
      <w:pPr>
        <w:rPr>
          <w:highlight w:val="yellow"/>
          <w:lang w:eastAsia="ja-JP"/>
        </w:rPr>
      </w:pPr>
    </w:p>
    <w:p w14:paraId="273CD9AF" w14:textId="77777777" w:rsidR="00D1632C" w:rsidRDefault="00D1632C" w:rsidP="006402D2">
      <w:pPr>
        <w:rPr>
          <w:highlight w:val="yellow"/>
          <w:lang w:eastAsia="ja-JP"/>
        </w:rPr>
      </w:pPr>
    </w:p>
    <w:p w14:paraId="273CD9B0" w14:textId="77777777" w:rsidR="00D1632C" w:rsidRDefault="00D1632C" w:rsidP="006402D2">
      <w:pPr>
        <w:rPr>
          <w:highlight w:val="yellow"/>
          <w:lang w:eastAsia="ja-JP"/>
        </w:rPr>
        <w:sectPr w:rsidR="00D1632C" w:rsidSect="006402D2">
          <w:pgSz w:w="11906" w:h="16838" w:code="9"/>
          <w:pgMar w:top="1418" w:right="1418" w:bottom="1418" w:left="1418" w:header="567" w:footer="284" w:gutter="0"/>
          <w:cols w:space="708"/>
          <w:docGrid w:linePitch="360"/>
        </w:sectPr>
      </w:pPr>
    </w:p>
    <w:p w14:paraId="273CD9B1" w14:textId="77777777" w:rsidR="00C355E9" w:rsidRDefault="00324184" w:rsidP="00DA5A63">
      <w:pPr>
        <w:pStyle w:val="Heading2"/>
        <w:numPr>
          <w:ilvl w:val="0"/>
          <w:numId w:val="0"/>
        </w:numPr>
      </w:pPr>
      <w:bookmarkStart w:id="78" w:name="_Ref85904168"/>
      <w:bookmarkStart w:id="79" w:name="_Toc89265626"/>
      <w:bookmarkStart w:id="80" w:name="_Toc89268666"/>
      <w:r>
        <w:t>Appendix </w:t>
      </w:r>
      <w:r w:rsidRPr="00C355E9">
        <w:t>D</w:t>
      </w:r>
      <w:r>
        <w:t>:</w:t>
      </w:r>
      <w:r w:rsidRPr="00C355E9">
        <w:t xml:space="preserve"> Chronic toxicity data for </w:t>
      </w:r>
      <w:r w:rsidR="00E37B52">
        <w:t>Australasian</w:t>
      </w:r>
      <w:r w:rsidRPr="00C355E9">
        <w:t xml:space="preserve"> species not </w:t>
      </w:r>
      <w:r w:rsidR="00AB3416">
        <w:t>used to derive the default guideline values</w:t>
      </w:r>
      <w:bookmarkEnd w:id="78"/>
      <w:bookmarkEnd w:id="79"/>
      <w:bookmarkEnd w:id="80"/>
    </w:p>
    <w:p w14:paraId="273CD9B2" w14:textId="77777777" w:rsidR="00AB3416" w:rsidRPr="00AB3416" w:rsidRDefault="00324184" w:rsidP="000909EB">
      <w:pPr>
        <w:pStyle w:val="Caption"/>
        <w:rPr>
          <w:lang w:eastAsia="ja-JP"/>
        </w:rPr>
      </w:pPr>
      <w:bookmarkStart w:id="81" w:name="_Toc89268637"/>
      <w:r>
        <w:t>Table D </w:t>
      </w:r>
      <w:r w:rsidR="00A41C81">
        <w:fldChar w:fldCharType="begin"/>
      </w:r>
      <w:r>
        <w:instrText xml:space="preserve"> SEQ Table_D \* ARABIC </w:instrText>
      </w:r>
      <w:r w:rsidR="00A41C81">
        <w:fldChar w:fldCharType="separate"/>
      </w:r>
      <w:r w:rsidR="00A41C81">
        <w:rPr>
          <w:noProof/>
        </w:rPr>
        <w:t>1</w:t>
      </w:r>
      <w:r w:rsidR="00A41C81">
        <w:rPr>
          <w:noProof/>
        </w:rPr>
        <w:fldChar w:fldCharType="end"/>
      </w:r>
      <w:r w:rsidR="005336A4">
        <w:t xml:space="preserve"> </w:t>
      </w:r>
      <w:r w:rsidR="00390E6E">
        <w:rPr>
          <w:lang w:eastAsia="ja-JP"/>
        </w:rPr>
        <w:t xml:space="preserve">Toxicity data excluded from the </w:t>
      </w:r>
      <w:r w:rsidR="00193E44">
        <w:rPr>
          <w:lang w:eastAsia="ja-JP"/>
        </w:rPr>
        <w:t>default guideline value derivation, dissolved copper in marine water</w:t>
      </w:r>
      <w:r w:rsidR="00644D32">
        <w:rPr>
          <w:lang w:eastAsia="ja-JP"/>
        </w:rPr>
        <w:t xml:space="preserve">, </w:t>
      </w:r>
      <w:r w:rsidR="00A41CA1">
        <w:rPr>
          <w:lang w:eastAsia="ja-JP"/>
        </w:rPr>
        <w:t xml:space="preserve">in </w:t>
      </w:r>
      <w:r w:rsidR="00644D32">
        <w:rPr>
          <w:lang w:eastAsia="ja-JP"/>
        </w:rPr>
        <w:t>order of sensitivity</w:t>
      </w:r>
      <w:bookmarkEnd w:id="81"/>
    </w:p>
    <w:tbl>
      <w:tblPr>
        <w:tblW w:w="5000" w:type="pct"/>
        <w:tblBorders>
          <w:top w:val="single" w:sz="4" w:space="0" w:color="auto"/>
          <w:bottom w:val="single" w:sz="4" w:space="0" w:color="auto"/>
          <w:insideH w:val="single" w:sz="4" w:space="0" w:color="auto"/>
        </w:tblBorders>
        <w:tblLayout w:type="fixed"/>
        <w:tblCellMar>
          <w:left w:w="85" w:type="dxa"/>
          <w:right w:w="57" w:type="dxa"/>
        </w:tblCellMar>
        <w:tblLook w:val="0000" w:firstRow="0" w:lastRow="0" w:firstColumn="0" w:lastColumn="0" w:noHBand="0" w:noVBand="0"/>
        <w:tblCaption w:val="Toxicity data excluded from the default guideline value derivation, dissolved copper in marine water, in order of sensitivity"/>
        <w:tblDescription w:val="Table lists species, with their taxonomic group, that were excluded from the default guideline value derivation. The different life stages for each species are provided with the following test information: exposure duration (day), endpoint, toxicity measure, salinity, temperature, toxicity value (microgram per litre) converted concentration (microgram per litre), reason for exclusion, and reference."/>
      </w:tblPr>
      <w:tblGrid>
        <w:gridCol w:w="1278"/>
        <w:gridCol w:w="1840"/>
        <w:gridCol w:w="1134"/>
        <w:gridCol w:w="851"/>
        <w:gridCol w:w="1134"/>
        <w:gridCol w:w="994"/>
        <w:gridCol w:w="709"/>
        <w:gridCol w:w="709"/>
        <w:gridCol w:w="991"/>
        <w:gridCol w:w="1274"/>
        <w:gridCol w:w="1843"/>
        <w:gridCol w:w="1529"/>
      </w:tblGrid>
      <w:tr w:rsidR="00091AEB" w14:paraId="273CD9BF" w14:textId="77777777" w:rsidTr="00D85C45">
        <w:trPr>
          <w:cantSplit/>
          <w:trHeight w:val="531"/>
          <w:tblHeader/>
        </w:trPr>
        <w:tc>
          <w:tcPr>
            <w:tcW w:w="447" w:type="pct"/>
            <w:tcBorders>
              <w:top w:val="single" w:sz="12" w:space="0" w:color="auto"/>
              <w:bottom w:val="single" w:sz="12" w:space="0" w:color="auto"/>
            </w:tcBorders>
            <w:shd w:val="clear" w:color="auto" w:fill="auto"/>
            <w:tcMar>
              <w:left w:w="85" w:type="dxa"/>
              <w:right w:w="57" w:type="dxa"/>
            </w:tcMar>
          </w:tcPr>
          <w:p w14:paraId="273CD9B3" w14:textId="77777777" w:rsidR="00C355E9" w:rsidRPr="009907F5" w:rsidRDefault="00324184" w:rsidP="00923A97">
            <w:pPr>
              <w:pStyle w:val="TableHeading"/>
            </w:pPr>
            <w:r>
              <w:t>Taxonomic group</w:t>
            </w:r>
          </w:p>
        </w:tc>
        <w:tc>
          <w:tcPr>
            <w:tcW w:w="644" w:type="pct"/>
            <w:tcBorders>
              <w:top w:val="single" w:sz="12" w:space="0" w:color="auto"/>
              <w:bottom w:val="single" w:sz="12" w:space="0" w:color="auto"/>
            </w:tcBorders>
            <w:shd w:val="clear" w:color="auto" w:fill="auto"/>
            <w:tcMar>
              <w:left w:w="85" w:type="dxa"/>
              <w:right w:w="57" w:type="dxa"/>
            </w:tcMar>
          </w:tcPr>
          <w:p w14:paraId="273CD9B4" w14:textId="77777777" w:rsidR="00C355E9" w:rsidRPr="009907F5" w:rsidRDefault="00324184" w:rsidP="00923A97">
            <w:pPr>
              <w:pStyle w:val="TableHeading"/>
            </w:pPr>
            <w:r w:rsidRPr="009907F5">
              <w:t xml:space="preserve">Species </w:t>
            </w:r>
          </w:p>
        </w:tc>
        <w:tc>
          <w:tcPr>
            <w:tcW w:w="397" w:type="pct"/>
            <w:tcBorders>
              <w:top w:val="single" w:sz="12" w:space="0" w:color="auto"/>
              <w:bottom w:val="single" w:sz="12" w:space="0" w:color="auto"/>
            </w:tcBorders>
            <w:shd w:val="clear" w:color="auto" w:fill="auto"/>
            <w:tcMar>
              <w:left w:w="85" w:type="dxa"/>
              <w:right w:w="57" w:type="dxa"/>
            </w:tcMar>
          </w:tcPr>
          <w:p w14:paraId="273CD9B5" w14:textId="77777777" w:rsidR="00C355E9" w:rsidRPr="009907F5" w:rsidRDefault="00324184" w:rsidP="00923A97">
            <w:pPr>
              <w:pStyle w:val="TableHeading"/>
            </w:pPr>
            <w:r w:rsidRPr="009907F5">
              <w:t>Life stage</w:t>
            </w:r>
          </w:p>
        </w:tc>
        <w:tc>
          <w:tcPr>
            <w:tcW w:w="298" w:type="pct"/>
            <w:tcBorders>
              <w:top w:val="single" w:sz="12" w:space="0" w:color="auto"/>
              <w:bottom w:val="single" w:sz="12" w:space="0" w:color="auto"/>
            </w:tcBorders>
            <w:shd w:val="clear" w:color="auto" w:fill="auto"/>
            <w:tcMar>
              <w:left w:w="85" w:type="dxa"/>
              <w:right w:w="57" w:type="dxa"/>
            </w:tcMar>
          </w:tcPr>
          <w:p w14:paraId="273CD9B6" w14:textId="77777777" w:rsidR="00C355E9" w:rsidRPr="009907F5" w:rsidRDefault="00324184" w:rsidP="00923A97">
            <w:pPr>
              <w:pStyle w:val="TableHeading"/>
            </w:pPr>
            <w:r w:rsidRPr="009907F5">
              <w:t>Exposure duration (d)</w:t>
            </w:r>
          </w:p>
        </w:tc>
        <w:tc>
          <w:tcPr>
            <w:tcW w:w="397" w:type="pct"/>
            <w:tcBorders>
              <w:top w:val="single" w:sz="12" w:space="0" w:color="auto"/>
              <w:bottom w:val="single" w:sz="12" w:space="0" w:color="auto"/>
            </w:tcBorders>
            <w:shd w:val="clear" w:color="auto" w:fill="auto"/>
            <w:tcMar>
              <w:left w:w="28" w:type="dxa"/>
              <w:right w:w="0" w:type="dxa"/>
            </w:tcMar>
          </w:tcPr>
          <w:p w14:paraId="273CD9B7" w14:textId="77777777" w:rsidR="00C355E9" w:rsidRPr="009907F5" w:rsidRDefault="00324184" w:rsidP="00923A97">
            <w:pPr>
              <w:pStyle w:val="TableHeading"/>
            </w:pPr>
            <w:r>
              <w:t>Endpoint</w:t>
            </w:r>
          </w:p>
        </w:tc>
        <w:tc>
          <w:tcPr>
            <w:tcW w:w="348" w:type="pct"/>
            <w:tcBorders>
              <w:top w:val="single" w:sz="12" w:space="0" w:color="auto"/>
              <w:bottom w:val="single" w:sz="12" w:space="0" w:color="auto"/>
            </w:tcBorders>
            <w:shd w:val="clear" w:color="auto" w:fill="auto"/>
            <w:tcMar>
              <w:left w:w="85" w:type="dxa"/>
              <w:right w:w="57" w:type="dxa"/>
            </w:tcMar>
          </w:tcPr>
          <w:p w14:paraId="273CD9B8" w14:textId="77777777" w:rsidR="00C355E9" w:rsidRPr="009907F5" w:rsidRDefault="00324184" w:rsidP="00923A97">
            <w:pPr>
              <w:pStyle w:val="TableHeading"/>
            </w:pPr>
            <w:r w:rsidRPr="009907F5">
              <w:t xml:space="preserve">Toxicity measure </w:t>
            </w:r>
            <w:r w:rsidR="00BB1509" w:rsidRPr="00BD56AB">
              <w:rPr>
                <w:rStyle w:val="Strong"/>
                <w:vertAlign w:val="superscript"/>
              </w:rPr>
              <w:t>a</w:t>
            </w:r>
          </w:p>
        </w:tc>
        <w:tc>
          <w:tcPr>
            <w:tcW w:w="248" w:type="pct"/>
            <w:tcBorders>
              <w:top w:val="single" w:sz="12" w:space="0" w:color="auto"/>
              <w:bottom w:val="single" w:sz="12" w:space="0" w:color="auto"/>
            </w:tcBorders>
            <w:shd w:val="clear" w:color="auto" w:fill="auto"/>
            <w:tcMar>
              <w:left w:w="85" w:type="dxa"/>
              <w:right w:w="57" w:type="dxa"/>
            </w:tcMar>
          </w:tcPr>
          <w:p w14:paraId="273CD9B9" w14:textId="77777777" w:rsidR="00C355E9" w:rsidRPr="009907F5" w:rsidRDefault="00324184" w:rsidP="00923A97">
            <w:pPr>
              <w:pStyle w:val="TableHeading"/>
            </w:pPr>
            <w:r w:rsidRPr="009907F5">
              <w:t>Salinity (‰)</w:t>
            </w:r>
          </w:p>
        </w:tc>
        <w:tc>
          <w:tcPr>
            <w:tcW w:w="248" w:type="pct"/>
            <w:tcBorders>
              <w:top w:val="single" w:sz="12" w:space="0" w:color="auto"/>
              <w:bottom w:val="single" w:sz="12" w:space="0" w:color="auto"/>
            </w:tcBorders>
            <w:shd w:val="clear" w:color="auto" w:fill="auto"/>
            <w:tcMar>
              <w:left w:w="85" w:type="dxa"/>
              <w:right w:w="57" w:type="dxa"/>
            </w:tcMar>
          </w:tcPr>
          <w:p w14:paraId="273CD9BA" w14:textId="77777777" w:rsidR="00C355E9" w:rsidRPr="009907F5" w:rsidRDefault="00324184" w:rsidP="00923A97">
            <w:pPr>
              <w:pStyle w:val="TableHeading"/>
            </w:pPr>
            <w:r w:rsidRPr="009907F5">
              <w:t>Temp</w:t>
            </w:r>
            <w:r w:rsidR="00724E45">
              <w:t xml:space="preserve">. </w:t>
            </w:r>
            <w:r w:rsidRPr="009907F5">
              <w:t>(</w:t>
            </w:r>
            <w:r w:rsidRPr="009907F5">
              <w:rPr>
                <w:rFonts w:ascii="Symbol" w:hAnsi="Symbol"/>
              </w:rPr>
              <w:sym w:font="Symbol" w:char="F0B0"/>
            </w:r>
            <w:r w:rsidRPr="009907F5">
              <w:t>C)</w:t>
            </w:r>
          </w:p>
        </w:tc>
        <w:tc>
          <w:tcPr>
            <w:tcW w:w="347" w:type="pct"/>
            <w:tcBorders>
              <w:top w:val="single" w:sz="12" w:space="0" w:color="auto"/>
              <w:bottom w:val="single" w:sz="12" w:space="0" w:color="auto"/>
            </w:tcBorders>
            <w:shd w:val="clear" w:color="auto" w:fill="auto"/>
            <w:tcMar>
              <w:left w:w="85" w:type="dxa"/>
              <w:right w:w="57" w:type="dxa"/>
            </w:tcMar>
          </w:tcPr>
          <w:p w14:paraId="273CD9BB" w14:textId="77777777" w:rsidR="00C355E9" w:rsidRPr="009907F5" w:rsidRDefault="00324184" w:rsidP="00923A97">
            <w:pPr>
              <w:pStyle w:val="TableHeading"/>
            </w:pPr>
            <w:r w:rsidRPr="009907F5">
              <w:t>Toxicity value (</w:t>
            </w:r>
            <w:r w:rsidRPr="009907F5">
              <w:rPr>
                <w:rFonts w:ascii="Corbel" w:hAnsi="Corbel"/>
              </w:rPr>
              <w:t>µ</w:t>
            </w:r>
            <w:r w:rsidRPr="009907F5">
              <w:t>g/L)</w:t>
            </w:r>
          </w:p>
        </w:tc>
        <w:tc>
          <w:tcPr>
            <w:tcW w:w="446" w:type="pct"/>
            <w:tcBorders>
              <w:top w:val="single" w:sz="12" w:space="0" w:color="auto"/>
              <w:bottom w:val="single" w:sz="12" w:space="0" w:color="auto"/>
            </w:tcBorders>
            <w:shd w:val="clear" w:color="auto" w:fill="auto"/>
            <w:tcMar>
              <w:left w:w="85" w:type="dxa"/>
              <w:right w:w="57" w:type="dxa"/>
            </w:tcMar>
          </w:tcPr>
          <w:p w14:paraId="273CD9BC" w14:textId="77777777" w:rsidR="00C355E9" w:rsidRPr="009907F5" w:rsidRDefault="00324184" w:rsidP="00923A97">
            <w:pPr>
              <w:pStyle w:val="TableHeading"/>
            </w:pPr>
            <w:r w:rsidRPr="009907F5">
              <w:t>Converted conc</w:t>
            </w:r>
            <w:r w:rsidR="00EC316F">
              <w:t>entration</w:t>
            </w:r>
            <w:r w:rsidRPr="009907F5">
              <w:t xml:space="preserve"> (</w:t>
            </w:r>
            <w:r w:rsidRPr="009907F5">
              <w:rPr>
                <w:rFonts w:ascii="Corbel" w:hAnsi="Corbel"/>
              </w:rPr>
              <w:t>µ</w:t>
            </w:r>
            <w:r w:rsidRPr="009907F5">
              <w:t>g/L)</w:t>
            </w:r>
          </w:p>
        </w:tc>
        <w:tc>
          <w:tcPr>
            <w:tcW w:w="645" w:type="pct"/>
            <w:tcBorders>
              <w:top w:val="single" w:sz="12" w:space="0" w:color="auto"/>
              <w:bottom w:val="single" w:sz="12" w:space="0" w:color="auto"/>
            </w:tcBorders>
            <w:shd w:val="clear" w:color="auto" w:fill="auto"/>
            <w:tcMar>
              <w:left w:w="85" w:type="dxa"/>
              <w:right w:w="57" w:type="dxa"/>
            </w:tcMar>
          </w:tcPr>
          <w:p w14:paraId="273CD9BD" w14:textId="77777777" w:rsidR="00C355E9" w:rsidRPr="009907F5" w:rsidRDefault="00324184" w:rsidP="00923A97">
            <w:pPr>
              <w:pStyle w:val="TableHeading"/>
            </w:pPr>
            <w:r w:rsidRPr="009907F5">
              <w:t>Reason for exclusion</w:t>
            </w:r>
          </w:p>
        </w:tc>
        <w:tc>
          <w:tcPr>
            <w:tcW w:w="535" w:type="pct"/>
            <w:tcBorders>
              <w:top w:val="single" w:sz="12" w:space="0" w:color="auto"/>
              <w:bottom w:val="single" w:sz="12" w:space="0" w:color="auto"/>
            </w:tcBorders>
            <w:shd w:val="clear" w:color="auto" w:fill="auto"/>
            <w:tcMar>
              <w:left w:w="85" w:type="dxa"/>
              <w:right w:w="57" w:type="dxa"/>
            </w:tcMar>
          </w:tcPr>
          <w:p w14:paraId="273CD9BE" w14:textId="77777777" w:rsidR="00C355E9" w:rsidRPr="009907F5" w:rsidRDefault="00324184" w:rsidP="00923A97">
            <w:pPr>
              <w:pStyle w:val="TableHeading"/>
            </w:pPr>
            <w:r w:rsidRPr="009907F5">
              <w:t>Reference</w:t>
            </w:r>
          </w:p>
        </w:tc>
      </w:tr>
      <w:tr w:rsidR="00091AEB" w14:paraId="273CD9CC" w14:textId="77777777" w:rsidTr="00D85C45">
        <w:trPr>
          <w:cantSplit/>
        </w:trPr>
        <w:tc>
          <w:tcPr>
            <w:tcW w:w="447" w:type="pct"/>
            <w:tcBorders>
              <w:top w:val="single" w:sz="12" w:space="0" w:color="auto"/>
            </w:tcBorders>
            <w:shd w:val="clear" w:color="auto" w:fill="auto"/>
            <w:tcMar>
              <w:left w:w="85" w:type="dxa"/>
              <w:right w:w="57" w:type="dxa"/>
            </w:tcMar>
          </w:tcPr>
          <w:p w14:paraId="273CD9C0" w14:textId="77777777" w:rsidR="00C355E9" w:rsidRPr="001A7F2E" w:rsidRDefault="00324184" w:rsidP="001A7F2E">
            <w:pPr>
              <w:pStyle w:val="TableText"/>
            </w:pPr>
            <w:r w:rsidRPr="001A7F2E">
              <w:t>Diatom</w:t>
            </w:r>
          </w:p>
        </w:tc>
        <w:tc>
          <w:tcPr>
            <w:tcW w:w="644" w:type="pct"/>
            <w:tcBorders>
              <w:top w:val="single" w:sz="12" w:space="0" w:color="auto"/>
            </w:tcBorders>
            <w:shd w:val="clear" w:color="auto" w:fill="auto"/>
            <w:tcMar>
              <w:left w:w="85" w:type="dxa"/>
              <w:right w:w="57" w:type="dxa"/>
            </w:tcMar>
          </w:tcPr>
          <w:p w14:paraId="273CD9C1" w14:textId="77777777" w:rsidR="00C355E9" w:rsidRPr="00F23917" w:rsidRDefault="00324184" w:rsidP="001A7F2E">
            <w:pPr>
              <w:pStyle w:val="TableText"/>
              <w:rPr>
                <w:rStyle w:val="Emphasis"/>
              </w:rPr>
            </w:pPr>
            <w:r w:rsidRPr="00F23917">
              <w:rPr>
                <w:rStyle w:val="Emphasis"/>
              </w:rPr>
              <w:t>Thalassiosira weissflogii</w:t>
            </w:r>
          </w:p>
        </w:tc>
        <w:tc>
          <w:tcPr>
            <w:tcW w:w="397" w:type="pct"/>
            <w:tcBorders>
              <w:top w:val="single" w:sz="12" w:space="0" w:color="auto"/>
            </w:tcBorders>
            <w:shd w:val="clear" w:color="auto" w:fill="auto"/>
            <w:tcMar>
              <w:left w:w="85" w:type="dxa"/>
              <w:right w:w="57" w:type="dxa"/>
            </w:tcMar>
          </w:tcPr>
          <w:p w14:paraId="273CD9C2" w14:textId="77777777" w:rsidR="00C355E9" w:rsidRPr="001A7F2E" w:rsidRDefault="00324184" w:rsidP="001A7F2E">
            <w:pPr>
              <w:pStyle w:val="TableText"/>
            </w:pPr>
            <w:r>
              <w:t>Exponential</w:t>
            </w:r>
            <w:r w:rsidRPr="001A7F2E">
              <w:t xml:space="preserve"> growth</w:t>
            </w:r>
          </w:p>
        </w:tc>
        <w:tc>
          <w:tcPr>
            <w:tcW w:w="298" w:type="pct"/>
            <w:tcBorders>
              <w:top w:val="single" w:sz="12" w:space="0" w:color="auto"/>
            </w:tcBorders>
            <w:tcMar>
              <w:left w:w="85" w:type="dxa"/>
              <w:right w:w="57" w:type="dxa"/>
            </w:tcMar>
          </w:tcPr>
          <w:p w14:paraId="273CD9C3" w14:textId="77777777" w:rsidR="00C355E9" w:rsidRPr="001A7F2E" w:rsidRDefault="00324184" w:rsidP="001A7F2E">
            <w:pPr>
              <w:pStyle w:val="TableText"/>
            </w:pPr>
            <w:r w:rsidRPr="001A7F2E">
              <w:t>1.25</w:t>
            </w:r>
          </w:p>
        </w:tc>
        <w:tc>
          <w:tcPr>
            <w:tcW w:w="397" w:type="pct"/>
            <w:tcBorders>
              <w:top w:val="single" w:sz="12" w:space="0" w:color="auto"/>
            </w:tcBorders>
            <w:tcMar>
              <w:left w:w="28" w:type="dxa"/>
              <w:right w:w="0" w:type="dxa"/>
            </w:tcMar>
          </w:tcPr>
          <w:p w14:paraId="273CD9C4" w14:textId="77777777" w:rsidR="00C355E9" w:rsidRPr="001A7F2E" w:rsidRDefault="00324184" w:rsidP="001A7F2E">
            <w:pPr>
              <w:pStyle w:val="TableText"/>
            </w:pPr>
            <w:r w:rsidRPr="001A7F2E">
              <w:t>Population growth rate</w:t>
            </w:r>
          </w:p>
        </w:tc>
        <w:tc>
          <w:tcPr>
            <w:tcW w:w="348" w:type="pct"/>
            <w:tcBorders>
              <w:top w:val="single" w:sz="12" w:space="0" w:color="auto"/>
            </w:tcBorders>
            <w:shd w:val="clear" w:color="auto" w:fill="auto"/>
            <w:tcMar>
              <w:left w:w="85" w:type="dxa"/>
              <w:right w:w="57" w:type="dxa"/>
            </w:tcMar>
          </w:tcPr>
          <w:p w14:paraId="273CD9C5" w14:textId="77777777" w:rsidR="00C355E9" w:rsidRPr="001A7F2E" w:rsidRDefault="00324184" w:rsidP="001A7F2E">
            <w:pPr>
              <w:pStyle w:val="TableText"/>
            </w:pPr>
            <w:r w:rsidRPr="001A7F2E">
              <w:t>NOEC</w:t>
            </w:r>
          </w:p>
        </w:tc>
        <w:tc>
          <w:tcPr>
            <w:tcW w:w="248" w:type="pct"/>
            <w:tcBorders>
              <w:top w:val="single" w:sz="12" w:space="0" w:color="auto"/>
            </w:tcBorders>
            <w:tcMar>
              <w:left w:w="85" w:type="dxa"/>
              <w:right w:w="57" w:type="dxa"/>
            </w:tcMar>
          </w:tcPr>
          <w:p w14:paraId="273CD9C6" w14:textId="77777777" w:rsidR="00C355E9" w:rsidRPr="001A7F2E" w:rsidRDefault="00324184" w:rsidP="001A7F2E">
            <w:pPr>
              <w:pStyle w:val="TableText"/>
            </w:pPr>
            <w:r>
              <w:t>–</w:t>
            </w:r>
          </w:p>
        </w:tc>
        <w:tc>
          <w:tcPr>
            <w:tcW w:w="248" w:type="pct"/>
            <w:tcBorders>
              <w:top w:val="single" w:sz="12" w:space="0" w:color="auto"/>
            </w:tcBorders>
            <w:tcMar>
              <w:left w:w="85" w:type="dxa"/>
              <w:right w:w="57" w:type="dxa"/>
            </w:tcMar>
          </w:tcPr>
          <w:p w14:paraId="273CD9C7" w14:textId="77777777" w:rsidR="00C355E9" w:rsidRPr="001A7F2E" w:rsidRDefault="00324184" w:rsidP="001A7F2E">
            <w:pPr>
              <w:pStyle w:val="TableText"/>
            </w:pPr>
            <w:r w:rsidRPr="001A7F2E">
              <w:t>21</w:t>
            </w:r>
          </w:p>
        </w:tc>
        <w:tc>
          <w:tcPr>
            <w:tcW w:w="347" w:type="pct"/>
            <w:tcBorders>
              <w:top w:val="single" w:sz="12" w:space="0" w:color="auto"/>
            </w:tcBorders>
            <w:tcMar>
              <w:left w:w="85" w:type="dxa"/>
              <w:right w:w="57" w:type="dxa"/>
            </w:tcMar>
          </w:tcPr>
          <w:p w14:paraId="273CD9C8" w14:textId="77777777" w:rsidR="00C355E9" w:rsidRPr="001A7F2E" w:rsidRDefault="00324184" w:rsidP="001A7F2E">
            <w:pPr>
              <w:pStyle w:val="TableText"/>
            </w:pPr>
            <w:r w:rsidRPr="001A7F2E">
              <w:t>0.075</w:t>
            </w:r>
          </w:p>
        </w:tc>
        <w:tc>
          <w:tcPr>
            <w:tcW w:w="446" w:type="pct"/>
            <w:tcBorders>
              <w:top w:val="single" w:sz="12" w:space="0" w:color="auto"/>
            </w:tcBorders>
            <w:tcMar>
              <w:left w:w="85" w:type="dxa"/>
              <w:right w:w="57" w:type="dxa"/>
            </w:tcMar>
          </w:tcPr>
          <w:p w14:paraId="273CD9C9" w14:textId="77777777" w:rsidR="00C355E9" w:rsidRPr="001A7F2E" w:rsidRDefault="00324184" w:rsidP="001A7F2E">
            <w:pPr>
              <w:pStyle w:val="TableText"/>
            </w:pPr>
            <w:r w:rsidRPr="001A7F2E">
              <w:t>0.075</w:t>
            </w:r>
          </w:p>
        </w:tc>
        <w:tc>
          <w:tcPr>
            <w:tcW w:w="645" w:type="pct"/>
            <w:tcBorders>
              <w:top w:val="single" w:sz="12" w:space="0" w:color="auto"/>
            </w:tcBorders>
            <w:shd w:val="clear" w:color="auto" w:fill="auto"/>
            <w:tcMar>
              <w:left w:w="85" w:type="dxa"/>
              <w:right w:w="57" w:type="dxa"/>
            </w:tcMar>
          </w:tcPr>
          <w:p w14:paraId="273CD9CA" w14:textId="77777777" w:rsidR="00C355E9" w:rsidRPr="001A7F2E" w:rsidRDefault="00324184" w:rsidP="001A7F2E">
            <w:pPr>
              <w:pStyle w:val="TableText"/>
            </w:pPr>
            <w:r w:rsidRPr="001A7F2E">
              <w:t>No copper measurement</w:t>
            </w:r>
          </w:p>
        </w:tc>
        <w:tc>
          <w:tcPr>
            <w:tcW w:w="535" w:type="pct"/>
            <w:tcBorders>
              <w:top w:val="single" w:sz="12" w:space="0" w:color="auto"/>
            </w:tcBorders>
            <w:tcMar>
              <w:left w:w="85" w:type="dxa"/>
              <w:right w:w="57" w:type="dxa"/>
            </w:tcMar>
          </w:tcPr>
          <w:p w14:paraId="273CD9CB" w14:textId="77777777" w:rsidR="00C355E9" w:rsidRPr="001A7F2E" w:rsidRDefault="00324184" w:rsidP="001A7F2E">
            <w:pPr>
              <w:pStyle w:val="TableText"/>
            </w:pPr>
            <w:r w:rsidRPr="001A7F2E">
              <w:t>Karner et al. (2006)</w:t>
            </w:r>
          </w:p>
        </w:tc>
      </w:tr>
      <w:tr w:rsidR="00091AEB" w14:paraId="273CD9D9" w14:textId="77777777" w:rsidTr="00D85C45">
        <w:trPr>
          <w:cantSplit/>
        </w:trPr>
        <w:tc>
          <w:tcPr>
            <w:tcW w:w="447" w:type="pct"/>
            <w:shd w:val="clear" w:color="auto" w:fill="auto"/>
            <w:tcMar>
              <w:left w:w="85" w:type="dxa"/>
              <w:right w:w="57" w:type="dxa"/>
            </w:tcMar>
          </w:tcPr>
          <w:p w14:paraId="273CD9CD" w14:textId="77777777" w:rsidR="00C355E9" w:rsidRPr="001A7F2E" w:rsidRDefault="00324184" w:rsidP="001A7F2E">
            <w:pPr>
              <w:pStyle w:val="TableText"/>
            </w:pPr>
            <w:r w:rsidRPr="001A7F2E">
              <w:t>Mollusc</w:t>
            </w:r>
          </w:p>
        </w:tc>
        <w:tc>
          <w:tcPr>
            <w:tcW w:w="644" w:type="pct"/>
            <w:shd w:val="clear" w:color="auto" w:fill="auto"/>
            <w:tcMar>
              <w:left w:w="85" w:type="dxa"/>
              <w:right w:w="57" w:type="dxa"/>
            </w:tcMar>
          </w:tcPr>
          <w:p w14:paraId="273CD9CE" w14:textId="77777777" w:rsidR="00C355E9" w:rsidRPr="001A7F2E" w:rsidRDefault="00324184" w:rsidP="001A7F2E">
            <w:pPr>
              <w:pStyle w:val="TableText"/>
            </w:pPr>
            <w:r w:rsidRPr="00F23917">
              <w:rPr>
                <w:rStyle w:val="Emphasis"/>
              </w:rPr>
              <w:t>Mytilus edulis</w:t>
            </w:r>
            <w:r w:rsidRPr="001A7F2E">
              <w:t xml:space="preserve"> </w:t>
            </w:r>
          </w:p>
        </w:tc>
        <w:tc>
          <w:tcPr>
            <w:tcW w:w="397" w:type="pct"/>
            <w:shd w:val="clear" w:color="auto" w:fill="auto"/>
            <w:tcMar>
              <w:left w:w="85" w:type="dxa"/>
              <w:right w:w="57" w:type="dxa"/>
            </w:tcMar>
          </w:tcPr>
          <w:p w14:paraId="273CD9CF" w14:textId="77777777" w:rsidR="00C355E9" w:rsidRPr="001A7F2E" w:rsidRDefault="00324184" w:rsidP="001A7F2E">
            <w:pPr>
              <w:pStyle w:val="TableText"/>
            </w:pPr>
            <w:r w:rsidRPr="001A7F2E">
              <w:t>Gamete</w:t>
            </w:r>
          </w:p>
        </w:tc>
        <w:tc>
          <w:tcPr>
            <w:tcW w:w="298" w:type="pct"/>
            <w:tcMar>
              <w:left w:w="85" w:type="dxa"/>
              <w:right w:w="57" w:type="dxa"/>
            </w:tcMar>
          </w:tcPr>
          <w:p w14:paraId="273CD9D0" w14:textId="77777777" w:rsidR="00C355E9" w:rsidRPr="001A7F2E" w:rsidRDefault="00324184" w:rsidP="001A7F2E">
            <w:pPr>
              <w:pStyle w:val="TableText"/>
            </w:pPr>
            <w:r w:rsidRPr="001A7F2E">
              <w:t>30</w:t>
            </w:r>
          </w:p>
        </w:tc>
        <w:tc>
          <w:tcPr>
            <w:tcW w:w="397" w:type="pct"/>
            <w:tcMar>
              <w:left w:w="28" w:type="dxa"/>
              <w:right w:w="0" w:type="dxa"/>
            </w:tcMar>
          </w:tcPr>
          <w:p w14:paraId="273CD9D1" w14:textId="77777777" w:rsidR="00C355E9" w:rsidRPr="001A7F2E" w:rsidRDefault="00324184" w:rsidP="001A7F2E">
            <w:pPr>
              <w:pStyle w:val="TableText"/>
            </w:pPr>
            <w:r w:rsidRPr="001A7F2E">
              <w:t>Reproduction</w:t>
            </w:r>
          </w:p>
        </w:tc>
        <w:tc>
          <w:tcPr>
            <w:tcW w:w="348" w:type="pct"/>
            <w:shd w:val="clear" w:color="auto" w:fill="auto"/>
            <w:tcMar>
              <w:left w:w="85" w:type="dxa"/>
              <w:right w:w="57" w:type="dxa"/>
            </w:tcMar>
          </w:tcPr>
          <w:p w14:paraId="273CD9D2" w14:textId="77777777" w:rsidR="00C355E9" w:rsidRPr="001A7F2E" w:rsidRDefault="00324184" w:rsidP="001A7F2E">
            <w:pPr>
              <w:pStyle w:val="TableText"/>
            </w:pPr>
            <w:r w:rsidRPr="001A7F2E">
              <w:t>EC50</w:t>
            </w:r>
          </w:p>
        </w:tc>
        <w:tc>
          <w:tcPr>
            <w:tcW w:w="248" w:type="pct"/>
            <w:tcMar>
              <w:left w:w="85" w:type="dxa"/>
              <w:right w:w="57" w:type="dxa"/>
            </w:tcMar>
          </w:tcPr>
          <w:p w14:paraId="273CD9D3" w14:textId="77777777" w:rsidR="00C355E9" w:rsidRPr="001A7F2E" w:rsidRDefault="00324184" w:rsidP="001A7F2E">
            <w:pPr>
              <w:pStyle w:val="TableText"/>
            </w:pPr>
            <w:r w:rsidRPr="001A7F2E">
              <w:t>32</w:t>
            </w:r>
          </w:p>
        </w:tc>
        <w:tc>
          <w:tcPr>
            <w:tcW w:w="248" w:type="pct"/>
            <w:tcMar>
              <w:left w:w="85" w:type="dxa"/>
              <w:right w:w="57" w:type="dxa"/>
            </w:tcMar>
          </w:tcPr>
          <w:p w14:paraId="273CD9D4" w14:textId="77777777" w:rsidR="00C355E9" w:rsidRPr="001A7F2E" w:rsidRDefault="00324184" w:rsidP="001A7F2E">
            <w:pPr>
              <w:pStyle w:val="TableText"/>
            </w:pPr>
            <w:r>
              <w:t>–</w:t>
            </w:r>
          </w:p>
        </w:tc>
        <w:tc>
          <w:tcPr>
            <w:tcW w:w="347" w:type="pct"/>
            <w:tcMar>
              <w:left w:w="85" w:type="dxa"/>
              <w:right w:w="57" w:type="dxa"/>
            </w:tcMar>
          </w:tcPr>
          <w:p w14:paraId="273CD9D5" w14:textId="77777777" w:rsidR="00C355E9" w:rsidRPr="001A7F2E" w:rsidRDefault="00324184" w:rsidP="001A7F2E">
            <w:pPr>
              <w:pStyle w:val="TableText"/>
            </w:pPr>
            <w:r w:rsidRPr="001A7F2E">
              <w:t>2</w:t>
            </w:r>
          </w:p>
        </w:tc>
        <w:tc>
          <w:tcPr>
            <w:tcW w:w="446" w:type="pct"/>
            <w:tcMar>
              <w:left w:w="85" w:type="dxa"/>
              <w:right w:w="57" w:type="dxa"/>
            </w:tcMar>
          </w:tcPr>
          <w:p w14:paraId="273CD9D6" w14:textId="77777777" w:rsidR="00C355E9" w:rsidRPr="001A7F2E" w:rsidRDefault="00324184" w:rsidP="001A7F2E">
            <w:pPr>
              <w:pStyle w:val="TableText"/>
            </w:pPr>
            <w:r w:rsidRPr="001A7F2E">
              <w:t>0.4</w:t>
            </w:r>
          </w:p>
        </w:tc>
        <w:tc>
          <w:tcPr>
            <w:tcW w:w="645" w:type="pct"/>
            <w:shd w:val="clear" w:color="auto" w:fill="auto"/>
            <w:tcMar>
              <w:left w:w="85" w:type="dxa"/>
              <w:right w:w="57" w:type="dxa"/>
            </w:tcMar>
          </w:tcPr>
          <w:p w14:paraId="273CD9D7"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9D8" w14:textId="77777777" w:rsidR="00C355E9" w:rsidRPr="001A7F2E" w:rsidRDefault="00324184" w:rsidP="001A7F2E">
            <w:pPr>
              <w:pStyle w:val="TableText"/>
            </w:pPr>
            <w:r w:rsidRPr="001A7F2E">
              <w:t>Stromgren &amp; Nielsen (1991)</w:t>
            </w:r>
          </w:p>
        </w:tc>
      </w:tr>
      <w:tr w:rsidR="00091AEB" w14:paraId="273CD9E6" w14:textId="77777777" w:rsidTr="00D85C45">
        <w:trPr>
          <w:cantSplit/>
        </w:trPr>
        <w:tc>
          <w:tcPr>
            <w:tcW w:w="447" w:type="pct"/>
            <w:shd w:val="clear" w:color="auto" w:fill="auto"/>
            <w:tcMar>
              <w:left w:w="85" w:type="dxa"/>
              <w:right w:w="57" w:type="dxa"/>
            </w:tcMar>
          </w:tcPr>
          <w:p w14:paraId="273CD9DA" w14:textId="77777777" w:rsidR="00C355E9" w:rsidRPr="001A7F2E" w:rsidRDefault="00324184" w:rsidP="001A7F2E">
            <w:pPr>
              <w:pStyle w:val="TableText"/>
            </w:pPr>
            <w:r w:rsidRPr="001A7F2E">
              <w:t>Annelid</w:t>
            </w:r>
          </w:p>
        </w:tc>
        <w:tc>
          <w:tcPr>
            <w:tcW w:w="644" w:type="pct"/>
            <w:shd w:val="clear" w:color="auto" w:fill="auto"/>
            <w:tcMar>
              <w:left w:w="85" w:type="dxa"/>
              <w:right w:w="57" w:type="dxa"/>
            </w:tcMar>
          </w:tcPr>
          <w:p w14:paraId="273CD9DB" w14:textId="77777777" w:rsidR="00C355E9" w:rsidRPr="00F23917" w:rsidRDefault="00324184" w:rsidP="001A7F2E">
            <w:pPr>
              <w:pStyle w:val="TableText"/>
              <w:rPr>
                <w:rStyle w:val="Emphasis"/>
              </w:rPr>
            </w:pPr>
            <w:r w:rsidRPr="00161044">
              <w:rPr>
                <w:rStyle w:val="Emphasis"/>
              </w:rPr>
              <w:t xml:space="preserve">Galeolaria </w:t>
            </w:r>
            <w:r w:rsidRPr="00F23917">
              <w:rPr>
                <w:rStyle w:val="Emphasis"/>
              </w:rPr>
              <w:t>caespitosa</w:t>
            </w:r>
          </w:p>
        </w:tc>
        <w:tc>
          <w:tcPr>
            <w:tcW w:w="397" w:type="pct"/>
            <w:shd w:val="clear" w:color="auto" w:fill="auto"/>
            <w:tcMar>
              <w:left w:w="85" w:type="dxa"/>
              <w:right w:w="57" w:type="dxa"/>
            </w:tcMar>
          </w:tcPr>
          <w:p w14:paraId="273CD9DC" w14:textId="77777777" w:rsidR="00C355E9" w:rsidRPr="001A7F2E" w:rsidRDefault="00324184" w:rsidP="001A7F2E">
            <w:pPr>
              <w:pStyle w:val="TableText"/>
            </w:pPr>
            <w:r w:rsidRPr="001A7F2E">
              <w:t>Gamete</w:t>
            </w:r>
          </w:p>
        </w:tc>
        <w:tc>
          <w:tcPr>
            <w:tcW w:w="298" w:type="pct"/>
            <w:tcMar>
              <w:left w:w="85" w:type="dxa"/>
              <w:right w:w="57" w:type="dxa"/>
            </w:tcMar>
          </w:tcPr>
          <w:p w14:paraId="273CD9DD" w14:textId="77777777" w:rsidR="00C355E9" w:rsidRPr="001A7F2E" w:rsidRDefault="00324184" w:rsidP="001A7F2E">
            <w:pPr>
              <w:pStyle w:val="TableText"/>
            </w:pPr>
            <w:r w:rsidRPr="001A7F2E">
              <w:t>2</w:t>
            </w:r>
          </w:p>
        </w:tc>
        <w:tc>
          <w:tcPr>
            <w:tcW w:w="397" w:type="pct"/>
            <w:tcMar>
              <w:left w:w="28" w:type="dxa"/>
              <w:right w:w="0" w:type="dxa"/>
            </w:tcMar>
          </w:tcPr>
          <w:p w14:paraId="273CD9DE"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9DF" w14:textId="77777777" w:rsidR="00C355E9" w:rsidRPr="001A7F2E" w:rsidRDefault="00324184" w:rsidP="001A7F2E">
            <w:pPr>
              <w:pStyle w:val="TableText"/>
            </w:pPr>
            <w:r w:rsidRPr="001A7F2E">
              <w:t>EC50</w:t>
            </w:r>
          </w:p>
        </w:tc>
        <w:tc>
          <w:tcPr>
            <w:tcW w:w="248" w:type="pct"/>
            <w:tcMar>
              <w:left w:w="85" w:type="dxa"/>
              <w:right w:w="57" w:type="dxa"/>
            </w:tcMar>
          </w:tcPr>
          <w:p w14:paraId="273CD9E0" w14:textId="77777777" w:rsidR="00C355E9" w:rsidRPr="001A7F2E" w:rsidRDefault="00324184" w:rsidP="001A7F2E">
            <w:pPr>
              <w:pStyle w:val="TableText"/>
            </w:pPr>
            <w:r w:rsidRPr="001A7F2E">
              <w:t>32</w:t>
            </w:r>
            <w:r w:rsidR="006A6386">
              <w:t>–</w:t>
            </w:r>
            <w:r w:rsidRPr="001A7F2E">
              <w:t>35</w:t>
            </w:r>
          </w:p>
        </w:tc>
        <w:tc>
          <w:tcPr>
            <w:tcW w:w="248" w:type="pct"/>
            <w:tcMar>
              <w:left w:w="85" w:type="dxa"/>
              <w:right w:w="57" w:type="dxa"/>
            </w:tcMar>
          </w:tcPr>
          <w:p w14:paraId="273CD9E1" w14:textId="77777777" w:rsidR="00C355E9" w:rsidRPr="001A7F2E" w:rsidRDefault="00324184" w:rsidP="001A7F2E">
            <w:pPr>
              <w:pStyle w:val="TableText"/>
            </w:pPr>
            <w:r w:rsidRPr="001A7F2E">
              <w:t>16</w:t>
            </w:r>
            <w:r w:rsidR="001D1DA9">
              <w:t>–</w:t>
            </w:r>
            <w:r w:rsidRPr="001A7F2E">
              <w:t>18</w:t>
            </w:r>
          </w:p>
        </w:tc>
        <w:tc>
          <w:tcPr>
            <w:tcW w:w="347" w:type="pct"/>
            <w:tcMar>
              <w:left w:w="85" w:type="dxa"/>
              <w:right w:w="57" w:type="dxa"/>
            </w:tcMar>
          </w:tcPr>
          <w:p w14:paraId="273CD9E2" w14:textId="77777777" w:rsidR="00C355E9" w:rsidRPr="001A7F2E" w:rsidRDefault="00324184" w:rsidP="001A7F2E">
            <w:pPr>
              <w:pStyle w:val="TableText"/>
            </w:pPr>
            <w:r w:rsidRPr="001A7F2E">
              <w:t>4.6</w:t>
            </w:r>
          </w:p>
        </w:tc>
        <w:tc>
          <w:tcPr>
            <w:tcW w:w="446" w:type="pct"/>
            <w:tcMar>
              <w:left w:w="85" w:type="dxa"/>
              <w:right w:w="57" w:type="dxa"/>
            </w:tcMar>
          </w:tcPr>
          <w:p w14:paraId="273CD9E3" w14:textId="77777777" w:rsidR="00C355E9" w:rsidRPr="001A7F2E" w:rsidRDefault="00324184" w:rsidP="001A7F2E">
            <w:pPr>
              <w:pStyle w:val="TableText"/>
            </w:pPr>
            <w:r w:rsidRPr="001A7F2E">
              <w:t>0.92</w:t>
            </w:r>
          </w:p>
        </w:tc>
        <w:tc>
          <w:tcPr>
            <w:tcW w:w="645" w:type="pct"/>
            <w:shd w:val="clear" w:color="auto" w:fill="auto"/>
            <w:tcMar>
              <w:left w:w="85" w:type="dxa"/>
              <w:right w:w="57" w:type="dxa"/>
            </w:tcMar>
          </w:tcPr>
          <w:p w14:paraId="273CD9E4" w14:textId="77777777" w:rsidR="00C355E9" w:rsidRPr="001A7F2E" w:rsidRDefault="00324184" w:rsidP="001A7F2E">
            <w:pPr>
              <w:pStyle w:val="TableText"/>
            </w:pPr>
            <w:r w:rsidRPr="001A7F2E">
              <w:t>No EC10/NOEC data</w:t>
            </w:r>
          </w:p>
        </w:tc>
        <w:tc>
          <w:tcPr>
            <w:tcW w:w="535" w:type="pct"/>
            <w:tcMar>
              <w:left w:w="85" w:type="dxa"/>
              <w:right w:w="57" w:type="dxa"/>
            </w:tcMar>
          </w:tcPr>
          <w:p w14:paraId="273CD9E5" w14:textId="77777777" w:rsidR="00C355E9" w:rsidRPr="001A7F2E" w:rsidRDefault="00324184" w:rsidP="001A7F2E">
            <w:pPr>
              <w:pStyle w:val="TableText"/>
            </w:pPr>
            <w:r w:rsidRPr="001A7F2E">
              <w:t>Ross &amp; Bidwell (2001)</w:t>
            </w:r>
          </w:p>
        </w:tc>
      </w:tr>
      <w:tr w:rsidR="00091AEB" w14:paraId="273CD9F3" w14:textId="77777777" w:rsidTr="00D85C45">
        <w:trPr>
          <w:cantSplit/>
        </w:trPr>
        <w:tc>
          <w:tcPr>
            <w:tcW w:w="447" w:type="pct"/>
            <w:shd w:val="clear" w:color="auto" w:fill="auto"/>
            <w:tcMar>
              <w:left w:w="85" w:type="dxa"/>
              <w:right w:w="57" w:type="dxa"/>
            </w:tcMar>
          </w:tcPr>
          <w:p w14:paraId="273CD9E7" w14:textId="77777777" w:rsidR="00C355E9" w:rsidRPr="001A7F2E" w:rsidRDefault="00324184" w:rsidP="001A7F2E">
            <w:pPr>
              <w:pStyle w:val="TableText"/>
            </w:pPr>
            <w:r w:rsidRPr="001A7F2E">
              <w:t>Mollusc</w:t>
            </w:r>
          </w:p>
        </w:tc>
        <w:tc>
          <w:tcPr>
            <w:tcW w:w="644" w:type="pct"/>
            <w:shd w:val="clear" w:color="auto" w:fill="auto"/>
            <w:tcMar>
              <w:left w:w="85" w:type="dxa"/>
              <w:right w:w="57" w:type="dxa"/>
            </w:tcMar>
          </w:tcPr>
          <w:p w14:paraId="273CD9E8" w14:textId="77777777" w:rsidR="00C355E9" w:rsidRPr="001A7F2E" w:rsidRDefault="00324184" w:rsidP="001A7F2E">
            <w:pPr>
              <w:pStyle w:val="TableText"/>
            </w:pPr>
            <w:r w:rsidRPr="00F23917">
              <w:rPr>
                <w:rStyle w:val="Emphasis"/>
              </w:rPr>
              <w:t>Crassostrea gigas</w:t>
            </w:r>
            <w:r w:rsidRPr="001A7F2E">
              <w:t xml:space="preserve"> </w:t>
            </w:r>
          </w:p>
        </w:tc>
        <w:tc>
          <w:tcPr>
            <w:tcW w:w="397" w:type="pct"/>
            <w:shd w:val="clear" w:color="auto" w:fill="auto"/>
            <w:tcMar>
              <w:left w:w="85" w:type="dxa"/>
              <w:right w:w="57" w:type="dxa"/>
            </w:tcMar>
          </w:tcPr>
          <w:p w14:paraId="273CD9E9" w14:textId="77777777" w:rsidR="00C355E9" w:rsidRPr="001A7F2E" w:rsidRDefault="00324184" w:rsidP="001A7F2E">
            <w:pPr>
              <w:pStyle w:val="TableText"/>
            </w:pPr>
            <w:r w:rsidRPr="001A7F2E">
              <w:t>Egg/Larva</w:t>
            </w:r>
          </w:p>
        </w:tc>
        <w:tc>
          <w:tcPr>
            <w:tcW w:w="298" w:type="pct"/>
            <w:tcMar>
              <w:left w:w="85" w:type="dxa"/>
              <w:right w:w="57" w:type="dxa"/>
            </w:tcMar>
          </w:tcPr>
          <w:p w14:paraId="273CD9EA" w14:textId="77777777" w:rsidR="00C355E9" w:rsidRPr="001A7F2E" w:rsidRDefault="00324184" w:rsidP="001A7F2E">
            <w:pPr>
              <w:pStyle w:val="TableText"/>
            </w:pPr>
            <w:r w:rsidRPr="001A7F2E">
              <w:t>2</w:t>
            </w:r>
          </w:p>
        </w:tc>
        <w:tc>
          <w:tcPr>
            <w:tcW w:w="397" w:type="pct"/>
            <w:tcMar>
              <w:left w:w="28" w:type="dxa"/>
              <w:right w:w="0" w:type="dxa"/>
            </w:tcMar>
          </w:tcPr>
          <w:p w14:paraId="273CD9EB"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9EC" w14:textId="77777777" w:rsidR="00C355E9" w:rsidRPr="001A7F2E" w:rsidRDefault="00324184" w:rsidP="001A7F2E">
            <w:pPr>
              <w:pStyle w:val="TableText"/>
            </w:pPr>
            <w:r w:rsidRPr="001A7F2E">
              <w:t>EC10</w:t>
            </w:r>
          </w:p>
        </w:tc>
        <w:tc>
          <w:tcPr>
            <w:tcW w:w="248" w:type="pct"/>
            <w:tcMar>
              <w:left w:w="85" w:type="dxa"/>
              <w:right w:w="57" w:type="dxa"/>
            </w:tcMar>
          </w:tcPr>
          <w:p w14:paraId="273CD9ED" w14:textId="77777777" w:rsidR="00C355E9" w:rsidRPr="001A7F2E" w:rsidRDefault="00324184" w:rsidP="001A7F2E">
            <w:pPr>
              <w:pStyle w:val="TableText"/>
            </w:pPr>
            <w:r w:rsidRPr="001A7F2E">
              <w:t>35</w:t>
            </w:r>
          </w:p>
        </w:tc>
        <w:tc>
          <w:tcPr>
            <w:tcW w:w="248" w:type="pct"/>
            <w:tcMar>
              <w:left w:w="85" w:type="dxa"/>
              <w:right w:w="57" w:type="dxa"/>
            </w:tcMar>
          </w:tcPr>
          <w:p w14:paraId="273CD9EE" w14:textId="77777777" w:rsidR="00C355E9" w:rsidRPr="001A7F2E" w:rsidRDefault="00324184" w:rsidP="001A7F2E">
            <w:pPr>
              <w:pStyle w:val="TableText"/>
            </w:pPr>
            <w:r w:rsidRPr="001A7F2E">
              <w:t>20</w:t>
            </w:r>
          </w:p>
        </w:tc>
        <w:tc>
          <w:tcPr>
            <w:tcW w:w="347" w:type="pct"/>
            <w:tcMar>
              <w:left w:w="85" w:type="dxa"/>
              <w:right w:w="57" w:type="dxa"/>
            </w:tcMar>
          </w:tcPr>
          <w:p w14:paraId="273CD9EF" w14:textId="77777777" w:rsidR="00C355E9" w:rsidRPr="001A7F2E" w:rsidRDefault="00324184" w:rsidP="001A7F2E">
            <w:pPr>
              <w:pStyle w:val="TableText"/>
            </w:pPr>
            <w:r w:rsidRPr="001A7F2E">
              <w:t>1</w:t>
            </w:r>
          </w:p>
        </w:tc>
        <w:tc>
          <w:tcPr>
            <w:tcW w:w="446" w:type="pct"/>
            <w:tcMar>
              <w:left w:w="85" w:type="dxa"/>
              <w:right w:w="57" w:type="dxa"/>
            </w:tcMar>
          </w:tcPr>
          <w:p w14:paraId="273CD9F0" w14:textId="77777777" w:rsidR="00C355E9" w:rsidRPr="001A7F2E" w:rsidRDefault="00324184" w:rsidP="001A7F2E">
            <w:pPr>
              <w:pStyle w:val="TableText"/>
            </w:pPr>
            <w:r w:rsidRPr="001A7F2E">
              <w:t>1</w:t>
            </w:r>
          </w:p>
        </w:tc>
        <w:tc>
          <w:tcPr>
            <w:tcW w:w="645" w:type="pct"/>
            <w:shd w:val="clear" w:color="auto" w:fill="auto"/>
            <w:tcMar>
              <w:left w:w="85" w:type="dxa"/>
              <w:right w:w="57" w:type="dxa"/>
            </w:tcMar>
          </w:tcPr>
          <w:p w14:paraId="273CD9F1"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9F2" w14:textId="77777777" w:rsidR="00C355E9" w:rsidRPr="001A7F2E" w:rsidRDefault="00324184" w:rsidP="001A7F2E">
            <w:pPr>
              <w:pStyle w:val="TableText"/>
            </w:pPr>
            <w:r w:rsidRPr="001A7F2E">
              <w:t>Worboys et al. (2002)</w:t>
            </w:r>
          </w:p>
        </w:tc>
      </w:tr>
      <w:tr w:rsidR="00091AEB" w14:paraId="273CDA00" w14:textId="77777777" w:rsidTr="00D85C45">
        <w:trPr>
          <w:cantSplit/>
        </w:trPr>
        <w:tc>
          <w:tcPr>
            <w:tcW w:w="447" w:type="pct"/>
            <w:shd w:val="clear" w:color="auto" w:fill="auto"/>
            <w:tcMar>
              <w:left w:w="85" w:type="dxa"/>
              <w:right w:w="57" w:type="dxa"/>
            </w:tcMar>
          </w:tcPr>
          <w:p w14:paraId="273CD9F4" w14:textId="77777777" w:rsidR="00C355E9" w:rsidRPr="001A7F2E" w:rsidRDefault="00324184" w:rsidP="001A7F2E">
            <w:pPr>
              <w:pStyle w:val="TableText"/>
            </w:pPr>
            <w:r w:rsidRPr="001A7F2E">
              <w:t>Mollusc</w:t>
            </w:r>
          </w:p>
        </w:tc>
        <w:tc>
          <w:tcPr>
            <w:tcW w:w="644" w:type="pct"/>
            <w:shd w:val="clear" w:color="auto" w:fill="auto"/>
            <w:tcMar>
              <w:left w:w="85" w:type="dxa"/>
              <w:right w:w="57" w:type="dxa"/>
            </w:tcMar>
          </w:tcPr>
          <w:p w14:paraId="273CD9F5" w14:textId="77777777" w:rsidR="00C355E9" w:rsidRPr="001A7F2E" w:rsidRDefault="00324184" w:rsidP="001A7F2E">
            <w:pPr>
              <w:pStyle w:val="TableText"/>
            </w:pPr>
            <w:r w:rsidRPr="00F23917">
              <w:rPr>
                <w:rStyle w:val="Emphasis"/>
              </w:rPr>
              <w:t>Crassostrea gigas</w:t>
            </w:r>
            <w:r w:rsidRPr="001A7F2E">
              <w:t xml:space="preserve"> </w:t>
            </w:r>
          </w:p>
        </w:tc>
        <w:tc>
          <w:tcPr>
            <w:tcW w:w="397" w:type="pct"/>
            <w:shd w:val="clear" w:color="auto" w:fill="auto"/>
            <w:tcMar>
              <w:left w:w="85" w:type="dxa"/>
              <w:right w:w="57" w:type="dxa"/>
            </w:tcMar>
          </w:tcPr>
          <w:p w14:paraId="273CD9F6" w14:textId="77777777" w:rsidR="00C355E9" w:rsidRPr="001A7F2E" w:rsidRDefault="00324184" w:rsidP="001A7F2E">
            <w:pPr>
              <w:pStyle w:val="TableText"/>
            </w:pPr>
            <w:r w:rsidRPr="001A7F2E">
              <w:t>Egg/Larva</w:t>
            </w:r>
          </w:p>
        </w:tc>
        <w:tc>
          <w:tcPr>
            <w:tcW w:w="298" w:type="pct"/>
            <w:tcMar>
              <w:left w:w="85" w:type="dxa"/>
              <w:right w:w="57" w:type="dxa"/>
            </w:tcMar>
          </w:tcPr>
          <w:p w14:paraId="273CD9F7" w14:textId="77777777" w:rsidR="00C355E9" w:rsidRPr="001A7F2E" w:rsidRDefault="00324184" w:rsidP="001A7F2E">
            <w:pPr>
              <w:pStyle w:val="TableText"/>
            </w:pPr>
            <w:r w:rsidRPr="001A7F2E">
              <w:t>2</w:t>
            </w:r>
          </w:p>
        </w:tc>
        <w:tc>
          <w:tcPr>
            <w:tcW w:w="397" w:type="pct"/>
            <w:tcMar>
              <w:left w:w="28" w:type="dxa"/>
              <w:right w:w="0" w:type="dxa"/>
            </w:tcMar>
          </w:tcPr>
          <w:p w14:paraId="273CD9F8"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9F9" w14:textId="77777777" w:rsidR="00C355E9" w:rsidRPr="001A7F2E" w:rsidRDefault="00324184" w:rsidP="001A7F2E">
            <w:pPr>
              <w:pStyle w:val="TableText"/>
            </w:pPr>
            <w:r w:rsidRPr="001A7F2E">
              <w:t>EC50</w:t>
            </w:r>
          </w:p>
        </w:tc>
        <w:tc>
          <w:tcPr>
            <w:tcW w:w="248" w:type="pct"/>
            <w:tcMar>
              <w:left w:w="85" w:type="dxa"/>
              <w:right w:w="57" w:type="dxa"/>
            </w:tcMar>
          </w:tcPr>
          <w:p w14:paraId="273CD9FA" w14:textId="77777777" w:rsidR="00C355E9" w:rsidRPr="001A7F2E" w:rsidRDefault="00324184" w:rsidP="001A7F2E">
            <w:pPr>
              <w:pStyle w:val="TableText"/>
            </w:pPr>
            <w:r w:rsidRPr="001A7F2E">
              <w:t>34</w:t>
            </w:r>
          </w:p>
        </w:tc>
        <w:tc>
          <w:tcPr>
            <w:tcW w:w="248" w:type="pct"/>
            <w:tcMar>
              <w:left w:w="85" w:type="dxa"/>
              <w:right w:w="57" w:type="dxa"/>
            </w:tcMar>
          </w:tcPr>
          <w:p w14:paraId="273CD9FB" w14:textId="77777777" w:rsidR="00C355E9" w:rsidRPr="001A7F2E" w:rsidRDefault="00324184" w:rsidP="001A7F2E">
            <w:pPr>
              <w:pStyle w:val="TableText"/>
            </w:pPr>
            <w:r w:rsidRPr="001A7F2E">
              <w:t>20</w:t>
            </w:r>
          </w:p>
        </w:tc>
        <w:tc>
          <w:tcPr>
            <w:tcW w:w="347" w:type="pct"/>
            <w:tcMar>
              <w:left w:w="85" w:type="dxa"/>
              <w:right w:w="57" w:type="dxa"/>
            </w:tcMar>
          </w:tcPr>
          <w:p w14:paraId="273CD9FC" w14:textId="77777777" w:rsidR="00C355E9" w:rsidRPr="001A7F2E" w:rsidRDefault="00324184" w:rsidP="001A7F2E">
            <w:pPr>
              <w:pStyle w:val="TableText"/>
            </w:pPr>
            <w:r w:rsidRPr="001A7F2E">
              <w:t>5.3</w:t>
            </w:r>
          </w:p>
        </w:tc>
        <w:tc>
          <w:tcPr>
            <w:tcW w:w="446" w:type="pct"/>
            <w:tcMar>
              <w:left w:w="85" w:type="dxa"/>
              <w:right w:w="57" w:type="dxa"/>
            </w:tcMar>
          </w:tcPr>
          <w:p w14:paraId="273CD9FD" w14:textId="77777777" w:rsidR="00C355E9" w:rsidRPr="001A7F2E" w:rsidRDefault="00324184" w:rsidP="001A7F2E">
            <w:pPr>
              <w:pStyle w:val="TableText"/>
            </w:pPr>
            <w:r w:rsidRPr="001A7F2E">
              <w:t>1.1</w:t>
            </w:r>
          </w:p>
        </w:tc>
        <w:tc>
          <w:tcPr>
            <w:tcW w:w="645" w:type="pct"/>
            <w:shd w:val="clear" w:color="auto" w:fill="auto"/>
            <w:tcMar>
              <w:left w:w="85" w:type="dxa"/>
              <w:right w:w="57" w:type="dxa"/>
            </w:tcMar>
          </w:tcPr>
          <w:p w14:paraId="273CD9FE" w14:textId="77777777" w:rsidR="00C355E9" w:rsidRPr="001A7F2E" w:rsidRDefault="00324184" w:rsidP="001A7F2E">
            <w:pPr>
              <w:pStyle w:val="TableText"/>
            </w:pPr>
            <w:r w:rsidRPr="001A7F2E">
              <w:t>No EC10/NOEC data</w:t>
            </w:r>
          </w:p>
        </w:tc>
        <w:tc>
          <w:tcPr>
            <w:tcW w:w="535" w:type="pct"/>
            <w:tcMar>
              <w:left w:w="85" w:type="dxa"/>
              <w:right w:w="57" w:type="dxa"/>
            </w:tcMar>
          </w:tcPr>
          <w:p w14:paraId="273CD9FF" w14:textId="77777777" w:rsidR="00C355E9" w:rsidRPr="001A7F2E" w:rsidRDefault="00324184" w:rsidP="001A7F2E">
            <w:pPr>
              <w:pStyle w:val="TableText"/>
            </w:pPr>
            <w:r w:rsidRPr="001A7F2E">
              <w:t>Martin et al. (1981)</w:t>
            </w:r>
          </w:p>
        </w:tc>
      </w:tr>
      <w:tr w:rsidR="00091AEB" w14:paraId="273CDA0D" w14:textId="77777777" w:rsidTr="00D85C45">
        <w:trPr>
          <w:cantSplit/>
        </w:trPr>
        <w:tc>
          <w:tcPr>
            <w:tcW w:w="447" w:type="pct"/>
            <w:shd w:val="clear" w:color="auto" w:fill="auto"/>
            <w:tcMar>
              <w:left w:w="85" w:type="dxa"/>
              <w:right w:w="57" w:type="dxa"/>
            </w:tcMar>
          </w:tcPr>
          <w:p w14:paraId="273CDA01" w14:textId="77777777" w:rsidR="00C355E9" w:rsidRPr="001A7F2E" w:rsidRDefault="00324184" w:rsidP="001A7F2E">
            <w:pPr>
              <w:pStyle w:val="TableText"/>
            </w:pPr>
            <w:r w:rsidRPr="001A7F2E">
              <w:t>Mollusc</w:t>
            </w:r>
          </w:p>
        </w:tc>
        <w:tc>
          <w:tcPr>
            <w:tcW w:w="644" w:type="pct"/>
            <w:shd w:val="clear" w:color="auto" w:fill="auto"/>
            <w:tcMar>
              <w:left w:w="85" w:type="dxa"/>
              <w:right w:w="57" w:type="dxa"/>
            </w:tcMar>
          </w:tcPr>
          <w:p w14:paraId="273CDA02" w14:textId="77777777" w:rsidR="00C355E9" w:rsidRPr="001A7F2E" w:rsidRDefault="00324184" w:rsidP="001A7F2E">
            <w:pPr>
              <w:pStyle w:val="TableText"/>
            </w:pPr>
            <w:r w:rsidRPr="00F23917">
              <w:rPr>
                <w:rStyle w:val="Emphasis"/>
              </w:rPr>
              <w:t>Mytilus edulis</w:t>
            </w:r>
            <w:r w:rsidRPr="001A7F2E">
              <w:t xml:space="preserve"> </w:t>
            </w:r>
          </w:p>
        </w:tc>
        <w:tc>
          <w:tcPr>
            <w:tcW w:w="397" w:type="pct"/>
            <w:shd w:val="clear" w:color="auto" w:fill="auto"/>
            <w:tcMar>
              <w:left w:w="85" w:type="dxa"/>
              <w:right w:w="57" w:type="dxa"/>
            </w:tcMar>
          </w:tcPr>
          <w:p w14:paraId="273CDA03" w14:textId="77777777" w:rsidR="00C355E9" w:rsidRPr="001A7F2E" w:rsidRDefault="00324184" w:rsidP="001A7F2E">
            <w:pPr>
              <w:pStyle w:val="TableText"/>
            </w:pPr>
            <w:r w:rsidRPr="001A7F2E">
              <w:t>Gamete</w:t>
            </w:r>
          </w:p>
        </w:tc>
        <w:tc>
          <w:tcPr>
            <w:tcW w:w="298" w:type="pct"/>
            <w:tcMar>
              <w:left w:w="85" w:type="dxa"/>
              <w:right w:w="57" w:type="dxa"/>
            </w:tcMar>
          </w:tcPr>
          <w:p w14:paraId="273CDA04" w14:textId="77777777" w:rsidR="00C355E9" w:rsidRPr="001A7F2E" w:rsidRDefault="00324184" w:rsidP="001A7F2E">
            <w:pPr>
              <w:pStyle w:val="TableText"/>
            </w:pPr>
            <w:r w:rsidRPr="001A7F2E">
              <w:t>2</w:t>
            </w:r>
          </w:p>
        </w:tc>
        <w:tc>
          <w:tcPr>
            <w:tcW w:w="397" w:type="pct"/>
            <w:tcMar>
              <w:left w:w="28" w:type="dxa"/>
              <w:right w:w="0" w:type="dxa"/>
            </w:tcMar>
          </w:tcPr>
          <w:p w14:paraId="273CDA05"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A06" w14:textId="77777777" w:rsidR="00C355E9" w:rsidRPr="001A7F2E" w:rsidRDefault="00324184" w:rsidP="001A7F2E">
            <w:pPr>
              <w:pStyle w:val="TableText"/>
            </w:pPr>
            <w:r w:rsidRPr="001A7F2E">
              <w:t>EC50</w:t>
            </w:r>
          </w:p>
        </w:tc>
        <w:tc>
          <w:tcPr>
            <w:tcW w:w="248" w:type="pct"/>
            <w:tcMar>
              <w:left w:w="85" w:type="dxa"/>
              <w:right w:w="57" w:type="dxa"/>
            </w:tcMar>
          </w:tcPr>
          <w:p w14:paraId="273CDA07" w14:textId="77777777" w:rsidR="00C355E9" w:rsidRPr="001A7F2E" w:rsidRDefault="00324184" w:rsidP="001A7F2E">
            <w:pPr>
              <w:pStyle w:val="TableText"/>
            </w:pPr>
            <w:r w:rsidRPr="001A7F2E">
              <w:t>34</w:t>
            </w:r>
          </w:p>
        </w:tc>
        <w:tc>
          <w:tcPr>
            <w:tcW w:w="248" w:type="pct"/>
            <w:tcMar>
              <w:left w:w="85" w:type="dxa"/>
              <w:right w:w="57" w:type="dxa"/>
            </w:tcMar>
          </w:tcPr>
          <w:p w14:paraId="273CDA08" w14:textId="77777777" w:rsidR="00C355E9" w:rsidRPr="001A7F2E" w:rsidRDefault="00324184" w:rsidP="001A7F2E">
            <w:pPr>
              <w:pStyle w:val="TableText"/>
            </w:pPr>
            <w:r w:rsidRPr="001A7F2E">
              <w:t>20</w:t>
            </w:r>
          </w:p>
        </w:tc>
        <w:tc>
          <w:tcPr>
            <w:tcW w:w="347" w:type="pct"/>
            <w:tcMar>
              <w:left w:w="85" w:type="dxa"/>
              <w:right w:w="57" w:type="dxa"/>
            </w:tcMar>
          </w:tcPr>
          <w:p w14:paraId="273CDA09" w14:textId="77777777" w:rsidR="00C355E9" w:rsidRPr="001A7F2E" w:rsidRDefault="00324184" w:rsidP="001A7F2E">
            <w:pPr>
              <w:pStyle w:val="TableText"/>
            </w:pPr>
            <w:r w:rsidRPr="001A7F2E">
              <w:t>5.8</w:t>
            </w:r>
          </w:p>
        </w:tc>
        <w:tc>
          <w:tcPr>
            <w:tcW w:w="446" w:type="pct"/>
            <w:tcMar>
              <w:left w:w="85" w:type="dxa"/>
              <w:right w:w="57" w:type="dxa"/>
            </w:tcMar>
          </w:tcPr>
          <w:p w14:paraId="273CDA0A" w14:textId="77777777" w:rsidR="00C355E9" w:rsidRPr="001A7F2E" w:rsidRDefault="00324184" w:rsidP="001A7F2E">
            <w:pPr>
              <w:pStyle w:val="TableText"/>
            </w:pPr>
            <w:r w:rsidRPr="001A7F2E">
              <w:t>1.2</w:t>
            </w:r>
          </w:p>
        </w:tc>
        <w:tc>
          <w:tcPr>
            <w:tcW w:w="645" w:type="pct"/>
            <w:shd w:val="clear" w:color="auto" w:fill="auto"/>
            <w:tcMar>
              <w:left w:w="85" w:type="dxa"/>
              <w:right w:w="57" w:type="dxa"/>
            </w:tcMar>
          </w:tcPr>
          <w:p w14:paraId="273CDA0B" w14:textId="77777777" w:rsidR="00C355E9" w:rsidRPr="001A7F2E" w:rsidRDefault="00324184" w:rsidP="001A7F2E">
            <w:pPr>
              <w:pStyle w:val="TableText"/>
            </w:pPr>
            <w:r w:rsidRPr="001A7F2E">
              <w:t>EC50 data only</w:t>
            </w:r>
          </w:p>
        </w:tc>
        <w:tc>
          <w:tcPr>
            <w:tcW w:w="535" w:type="pct"/>
            <w:tcMar>
              <w:left w:w="85" w:type="dxa"/>
              <w:right w:w="57" w:type="dxa"/>
            </w:tcMar>
          </w:tcPr>
          <w:p w14:paraId="273CDA0C" w14:textId="77777777" w:rsidR="00C355E9" w:rsidRPr="001A7F2E" w:rsidRDefault="00324184" w:rsidP="001A7F2E">
            <w:pPr>
              <w:pStyle w:val="TableText"/>
            </w:pPr>
            <w:r w:rsidRPr="001A7F2E">
              <w:t>Martin et al. (1981)</w:t>
            </w:r>
          </w:p>
        </w:tc>
      </w:tr>
      <w:tr w:rsidR="00091AEB" w14:paraId="273CDA1A" w14:textId="77777777" w:rsidTr="00D85C45">
        <w:trPr>
          <w:cantSplit/>
        </w:trPr>
        <w:tc>
          <w:tcPr>
            <w:tcW w:w="447" w:type="pct"/>
            <w:shd w:val="clear" w:color="auto" w:fill="auto"/>
            <w:tcMar>
              <w:left w:w="85" w:type="dxa"/>
              <w:right w:w="57" w:type="dxa"/>
            </w:tcMar>
          </w:tcPr>
          <w:p w14:paraId="273CDA0E" w14:textId="77777777" w:rsidR="00C355E9" w:rsidRPr="001A7F2E" w:rsidRDefault="00324184" w:rsidP="001A7F2E">
            <w:pPr>
              <w:pStyle w:val="TableText"/>
            </w:pPr>
            <w:r w:rsidRPr="001A7F2E">
              <w:t>Cnidaria</w:t>
            </w:r>
            <w:r w:rsidR="006C6C88">
              <w:t>n</w:t>
            </w:r>
          </w:p>
        </w:tc>
        <w:tc>
          <w:tcPr>
            <w:tcW w:w="644" w:type="pct"/>
            <w:shd w:val="clear" w:color="auto" w:fill="auto"/>
            <w:tcMar>
              <w:left w:w="85" w:type="dxa"/>
              <w:right w:w="57" w:type="dxa"/>
            </w:tcMar>
          </w:tcPr>
          <w:p w14:paraId="273CDA0F" w14:textId="77777777" w:rsidR="00C355E9" w:rsidRPr="00F23917" w:rsidRDefault="00324184" w:rsidP="001A7F2E">
            <w:pPr>
              <w:pStyle w:val="TableText"/>
              <w:rPr>
                <w:rStyle w:val="Emphasis"/>
              </w:rPr>
            </w:pPr>
            <w:r w:rsidRPr="00F23917">
              <w:rPr>
                <w:rStyle w:val="Emphasis"/>
              </w:rPr>
              <w:t>Pocillopora damicornis</w:t>
            </w:r>
          </w:p>
        </w:tc>
        <w:tc>
          <w:tcPr>
            <w:tcW w:w="397" w:type="pct"/>
            <w:shd w:val="clear" w:color="auto" w:fill="auto"/>
            <w:tcMar>
              <w:left w:w="85" w:type="dxa"/>
              <w:right w:w="57" w:type="dxa"/>
            </w:tcMar>
          </w:tcPr>
          <w:p w14:paraId="273CDA10" w14:textId="77777777" w:rsidR="00C355E9" w:rsidRPr="001A7F2E" w:rsidRDefault="00324184" w:rsidP="001A7F2E">
            <w:pPr>
              <w:pStyle w:val="TableText"/>
            </w:pPr>
            <w:r>
              <w:t>–</w:t>
            </w:r>
          </w:p>
        </w:tc>
        <w:tc>
          <w:tcPr>
            <w:tcW w:w="298" w:type="pct"/>
            <w:tcMar>
              <w:left w:w="85" w:type="dxa"/>
              <w:right w:w="57" w:type="dxa"/>
            </w:tcMar>
          </w:tcPr>
          <w:p w14:paraId="273CDA11" w14:textId="77777777" w:rsidR="00C355E9" w:rsidRPr="001A7F2E" w:rsidRDefault="00324184" w:rsidP="001A7F2E">
            <w:pPr>
              <w:pStyle w:val="TableText"/>
            </w:pPr>
            <w:r w:rsidRPr="001A7F2E">
              <w:t>35</w:t>
            </w:r>
          </w:p>
        </w:tc>
        <w:tc>
          <w:tcPr>
            <w:tcW w:w="397" w:type="pct"/>
            <w:tcMar>
              <w:left w:w="28" w:type="dxa"/>
              <w:right w:w="0" w:type="dxa"/>
            </w:tcMar>
          </w:tcPr>
          <w:p w14:paraId="273CDA12" w14:textId="77777777" w:rsidR="00C355E9" w:rsidRPr="001A7F2E" w:rsidRDefault="00324184" w:rsidP="001A7F2E">
            <w:pPr>
              <w:pStyle w:val="TableText"/>
            </w:pPr>
            <w:r w:rsidRPr="001A7F2E">
              <w:t>Growth</w:t>
            </w:r>
          </w:p>
        </w:tc>
        <w:tc>
          <w:tcPr>
            <w:tcW w:w="348" w:type="pct"/>
            <w:shd w:val="clear" w:color="auto" w:fill="auto"/>
            <w:tcMar>
              <w:left w:w="85" w:type="dxa"/>
              <w:right w:w="57" w:type="dxa"/>
            </w:tcMar>
          </w:tcPr>
          <w:p w14:paraId="273CDA13" w14:textId="77777777" w:rsidR="00C355E9" w:rsidRPr="001A7F2E" w:rsidRDefault="00324184" w:rsidP="001A7F2E">
            <w:pPr>
              <w:pStyle w:val="TableText"/>
            </w:pPr>
            <w:r w:rsidRPr="001A7F2E">
              <w:t>LOEC</w:t>
            </w:r>
          </w:p>
        </w:tc>
        <w:tc>
          <w:tcPr>
            <w:tcW w:w="248" w:type="pct"/>
            <w:tcMar>
              <w:left w:w="85" w:type="dxa"/>
              <w:right w:w="57" w:type="dxa"/>
            </w:tcMar>
          </w:tcPr>
          <w:p w14:paraId="273CDA14" w14:textId="77777777" w:rsidR="00C355E9" w:rsidRPr="001A7F2E" w:rsidRDefault="00324184" w:rsidP="001A7F2E">
            <w:pPr>
              <w:pStyle w:val="TableText"/>
            </w:pPr>
            <w:r w:rsidRPr="001A7F2E">
              <w:t>36</w:t>
            </w:r>
          </w:p>
        </w:tc>
        <w:tc>
          <w:tcPr>
            <w:tcW w:w="248" w:type="pct"/>
            <w:tcMar>
              <w:left w:w="85" w:type="dxa"/>
              <w:right w:w="57" w:type="dxa"/>
            </w:tcMar>
          </w:tcPr>
          <w:p w14:paraId="273CDA15" w14:textId="77777777" w:rsidR="00C355E9" w:rsidRPr="001A7F2E" w:rsidRDefault="00324184" w:rsidP="001A7F2E">
            <w:pPr>
              <w:pStyle w:val="TableText"/>
            </w:pPr>
            <w:r w:rsidRPr="001A7F2E">
              <w:t>26</w:t>
            </w:r>
          </w:p>
        </w:tc>
        <w:tc>
          <w:tcPr>
            <w:tcW w:w="347" w:type="pct"/>
            <w:tcMar>
              <w:left w:w="85" w:type="dxa"/>
              <w:right w:w="57" w:type="dxa"/>
            </w:tcMar>
          </w:tcPr>
          <w:p w14:paraId="273CDA16" w14:textId="77777777" w:rsidR="00C355E9" w:rsidRPr="001A7F2E" w:rsidRDefault="00324184" w:rsidP="001A7F2E">
            <w:pPr>
              <w:pStyle w:val="TableText"/>
            </w:pPr>
            <w:r w:rsidRPr="001A7F2E">
              <w:t>4</w:t>
            </w:r>
          </w:p>
        </w:tc>
        <w:tc>
          <w:tcPr>
            <w:tcW w:w="446" w:type="pct"/>
            <w:tcMar>
              <w:left w:w="85" w:type="dxa"/>
              <w:right w:w="57" w:type="dxa"/>
            </w:tcMar>
          </w:tcPr>
          <w:p w14:paraId="273CDA17" w14:textId="77777777" w:rsidR="00C355E9" w:rsidRPr="001A7F2E" w:rsidRDefault="00324184" w:rsidP="001A7F2E">
            <w:pPr>
              <w:pStyle w:val="TableText"/>
            </w:pPr>
            <w:r w:rsidRPr="001A7F2E">
              <w:t>1.6</w:t>
            </w:r>
          </w:p>
        </w:tc>
        <w:tc>
          <w:tcPr>
            <w:tcW w:w="645" w:type="pct"/>
            <w:shd w:val="clear" w:color="auto" w:fill="auto"/>
            <w:tcMar>
              <w:left w:w="85" w:type="dxa"/>
              <w:right w:w="57" w:type="dxa"/>
            </w:tcMar>
          </w:tcPr>
          <w:p w14:paraId="273CDA18" w14:textId="77777777" w:rsidR="00C355E9" w:rsidRPr="001A7F2E" w:rsidRDefault="00324184" w:rsidP="001A7F2E">
            <w:pPr>
              <w:pStyle w:val="TableText"/>
            </w:pPr>
            <w:r w:rsidRPr="001A7F2E">
              <w:t>No EC10/NOEC data</w:t>
            </w:r>
          </w:p>
        </w:tc>
        <w:tc>
          <w:tcPr>
            <w:tcW w:w="535" w:type="pct"/>
            <w:tcMar>
              <w:left w:w="85" w:type="dxa"/>
              <w:right w:w="57" w:type="dxa"/>
            </w:tcMar>
          </w:tcPr>
          <w:p w14:paraId="273CDA19" w14:textId="77777777" w:rsidR="00C355E9" w:rsidRPr="001A7F2E" w:rsidRDefault="00324184" w:rsidP="001A7F2E">
            <w:pPr>
              <w:pStyle w:val="TableText"/>
            </w:pPr>
            <w:r w:rsidRPr="001A7F2E">
              <w:t>Bielmyer et al</w:t>
            </w:r>
            <w:r w:rsidR="00924217">
              <w:t>.</w:t>
            </w:r>
            <w:r w:rsidRPr="001A7F2E">
              <w:t xml:space="preserve"> (2010)</w:t>
            </w:r>
          </w:p>
        </w:tc>
      </w:tr>
      <w:tr w:rsidR="00091AEB" w14:paraId="273CDA27" w14:textId="77777777" w:rsidTr="00D85C45">
        <w:trPr>
          <w:cantSplit/>
        </w:trPr>
        <w:tc>
          <w:tcPr>
            <w:tcW w:w="447" w:type="pct"/>
            <w:shd w:val="clear" w:color="auto" w:fill="auto"/>
            <w:tcMar>
              <w:left w:w="85" w:type="dxa"/>
              <w:right w:w="57" w:type="dxa"/>
            </w:tcMar>
          </w:tcPr>
          <w:p w14:paraId="273CDA1B" w14:textId="77777777" w:rsidR="00C355E9" w:rsidRPr="001A7F2E" w:rsidRDefault="00324184" w:rsidP="001A7F2E">
            <w:pPr>
              <w:pStyle w:val="TableText"/>
            </w:pPr>
            <w:r w:rsidRPr="001A7F2E">
              <w:t>Echinoderm</w:t>
            </w:r>
          </w:p>
        </w:tc>
        <w:tc>
          <w:tcPr>
            <w:tcW w:w="644" w:type="pct"/>
            <w:shd w:val="clear" w:color="auto" w:fill="auto"/>
            <w:tcMar>
              <w:left w:w="85" w:type="dxa"/>
              <w:right w:w="57" w:type="dxa"/>
            </w:tcMar>
          </w:tcPr>
          <w:p w14:paraId="273CDA1C" w14:textId="77777777" w:rsidR="00C355E9" w:rsidRPr="00F23917" w:rsidRDefault="00324184" w:rsidP="001A7F2E">
            <w:pPr>
              <w:pStyle w:val="TableText"/>
              <w:rPr>
                <w:rStyle w:val="Emphasis"/>
              </w:rPr>
            </w:pPr>
            <w:r w:rsidRPr="00F23917">
              <w:rPr>
                <w:rStyle w:val="Emphasis"/>
              </w:rPr>
              <w:t>Heliocidaris tuberculata</w:t>
            </w:r>
          </w:p>
        </w:tc>
        <w:tc>
          <w:tcPr>
            <w:tcW w:w="397" w:type="pct"/>
            <w:shd w:val="clear" w:color="auto" w:fill="auto"/>
            <w:tcMar>
              <w:left w:w="85" w:type="dxa"/>
              <w:right w:w="57" w:type="dxa"/>
            </w:tcMar>
          </w:tcPr>
          <w:p w14:paraId="273CDA1D" w14:textId="77777777" w:rsidR="00C355E9" w:rsidRPr="001A7F2E" w:rsidRDefault="00324184" w:rsidP="001A7F2E">
            <w:pPr>
              <w:pStyle w:val="TableText"/>
            </w:pPr>
            <w:r w:rsidRPr="001A7F2E">
              <w:t>Zygote</w:t>
            </w:r>
          </w:p>
        </w:tc>
        <w:tc>
          <w:tcPr>
            <w:tcW w:w="298" w:type="pct"/>
            <w:tcMar>
              <w:left w:w="85" w:type="dxa"/>
              <w:right w:w="57" w:type="dxa"/>
            </w:tcMar>
          </w:tcPr>
          <w:p w14:paraId="273CDA1E" w14:textId="77777777" w:rsidR="00C355E9" w:rsidRPr="001A7F2E" w:rsidRDefault="00324184" w:rsidP="001A7F2E">
            <w:pPr>
              <w:pStyle w:val="TableText"/>
            </w:pPr>
            <w:r w:rsidRPr="001A7F2E">
              <w:t>3</w:t>
            </w:r>
          </w:p>
        </w:tc>
        <w:tc>
          <w:tcPr>
            <w:tcW w:w="397" w:type="pct"/>
            <w:tcMar>
              <w:left w:w="28" w:type="dxa"/>
              <w:right w:w="0" w:type="dxa"/>
            </w:tcMar>
          </w:tcPr>
          <w:p w14:paraId="273CDA1F"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A20" w14:textId="77777777" w:rsidR="00C355E9" w:rsidRPr="001A7F2E" w:rsidRDefault="00324184" w:rsidP="001A7F2E">
            <w:pPr>
              <w:pStyle w:val="TableText"/>
            </w:pPr>
            <w:r w:rsidRPr="001A7F2E">
              <w:t>NOEC</w:t>
            </w:r>
          </w:p>
        </w:tc>
        <w:tc>
          <w:tcPr>
            <w:tcW w:w="248" w:type="pct"/>
            <w:tcMar>
              <w:left w:w="85" w:type="dxa"/>
              <w:right w:w="57" w:type="dxa"/>
            </w:tcMar>
          </w:tcPr>
          <w:p w14:paraId="273CDA21" w14:textId="77777777" w:rsidR="00C355E9" w:rsidRPr="001A7F2E" w:rsidRDefault="00324184" w:rsidP="001A7F2E">
            <w:pPr>
              <w:pStyle w:val="TableText"/>
            </w:pPr>
            <w:r w:rsidRPr="001A7F2E">
              <w:t>34</w:t>
            </w:r>
          </w:p>
        </w:tc>
        <w:tc>
          <w:tcPr>
            <w:tcW w:w="248" w:type="pct"/>
            <w:tcMar>
              <w:left w:w="85" w:type="dxa"/>
              <w:right w:w="57" w:type="dxa"/>
            </w:tcMar>
          </w:tcPr>
          <w:p w14:paraId="273CDA22" w14:textId="77777777" w:rsidR="00C355E9" w:rsidRPr="001A7F2E" w:rsidRDefault="00324184" w:rsidP="001A7F2E">
            <w:pPr>
              <w:pStyle w:val="TableText"/>
            </w:pPr>
            <w:r w:rsidRPr="001A7F2E">
              <w:t>18</w:t>
            </w:r>
          </w:p>
        </w:tc>
        <w:tc>
          <w:tcPr>
            <w:tcW w:w="347" w:type="pct"/>
            <w:tcMar>
              <w:left w:w="85" w:type="dxa"/>
              <w:right w:w="57" w:type="dxa"/>
            </w:tcMar>
          </w:tcPr>
          <w:p w14:paraId="273CDA23" w14:textId="77777777" w:rsidR="00C355E9" w:rsidRPr="001A7F2E" w:rsidRDefault="00324184" w:rsidP="001A7F2E">
            <w:pPr>
              <w:pStyle w:val="TableText"/>
            </w:pPr>
            <w:r w:rsidRPr="001A7F2E">
              <w:t>2</w:t>
            </w:r>
          </w:p>
        </w:tc>
        <w:tc>
          <w:tcPr>
            <w:tcW w:w="446" w:type="pct"/>
            <w:tcMar>
              <w:left w:w="85" w:type="dxa"/>
              <w:right w:w="57" w:type="dxa"/>
            </w:tcMar>
          </w:tcPr>
          <w:p w14:paraId="273CDA24" w14:textId="77777777" w:rsidR="00C355E9" w:rsidRPr="001A7F2E" w:rsidRDefault="00324184" w:rsidP="001A7F2E">
            <w:pPr>
              <w:pStyle w:val="TableText"/>
            </w:pPr>
            <w:r w:rsidRPr="001A7F2E">
              <w:t>2</w:t>
            </w:r>
          </w:p>
        </w:tc>
        <w:tc>
          <w:tcPr>
            <w:tcW w:w="645" w:type="pct"/>
            <w:shd w:val="clear" w:color="auto" w:fill="auto"/>
            <w:tcMar>
              <w:left w:w="85" w:type="dxa"/>
              <w:right w:w="57" w:type="dxa"/>
            </w:tcMar>
          </w:tcPr>
          <w:p w14:paraId="273CDA25"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A26" w14:textId="77777777" w:rsidR="00C355E9" w:rsidRPr="001A7F2E" w:rsidRDefault="00324184" w:rsidP="001A7F2E">
            <w:pPr>
              <w:pStyle w:val="TableText"/>
            </w:pPr>
            <w:r w:rsidRPr="001A7F2E">
              <w:t xml:space="preserve">Doyle et al. </w:t>
            </w:r>
            <w:r w:rsidRPr="001A7F2E">
              <w:t>(2003)</w:t>
            </w:r>
          </w:p>
        </w:tc>
      </w:tr>
      <w:tr w:rsidR="00091AEB" w14:paraId="273CDA34" w14:textId="77777777" w:rsidTr="00D85C45">
        <w:trPr>
          <w:cantSplit/>
        </w:trPr>
        <w:tc>
          <w:tcPr>
            <w:tcW w:w="447" w:type="pct"/>
            <w:shd w:val="clear" w:color="auto" w:fill="auto"/>
            <w:tcMar>
              <w:left w:w="85" w:type="dxa"/>
              <w:right w:w="57" w:type="dxa"/>
            </w:tcMar>
          </w:tcPr>
          <w:p w14:paraId="273CDA28" w14:textId="77777777" w:rsidR="00C355E9" w:rsidRPr="001A7F2E" w:rsidRDefault="00324184" w:rsidP="001A7F2E">
            <w:pPr>
              <w:pStyle w:val="TableText"/>
            </w:pPr>
            <w:r w:rsidRPr="001A7F2E">
              <w:t xml:space="preserve">Green </w:t>
            </w:r>
            <w:r w:rsidR="00AD1EB3">
              <w:t>macro</w:t>
            </w:r>
            <w:r w:rsidRPr="001A7F2E">
              <w:t>alga</w:t>
            </w:r>
          </w:p>
        </w:tc>
        <w:tc>
          <w:tcPr>
            <w:tcW w:w="644" w:type="pct"/>
            <w:shd w:val="clear" w:color="auto" w:fill="auto"/>
            <w:tcMar>
              <w:left w:w="85" w:type="dxa"/>
              <w:right w:w="57" w:type="dxa"/>
            </w:tcMar>
          </w:tcPr>
          <w:p w14:paraId="273CDA29" w14:textId="77777777" w:rsidR="00C355E9" w:rsidRPr="001A7F2E" w:rsidRDefault="00324184" w:rsidP="001A7F2E">
            <w:pPr>
              <w:pStyle w:val="TableText"/>
            </w:pPr>
            <w:r w:rsidRPr="00F23917">
              <w:rPr>
                <w:rStyle w:val="Emphasis"/>
              </w:rPr>
              <w:t>Ulva intestinalis</w:t>
            </w:r>
            <w:r w:rsidRPr="001A7F2E">
              <w:t xml:space="preserve"> </w:t>
            </w:r>
          </w:p>
        </w:tc>
        <w:tc>
          <w:tcPr>
            <w:tcW w:w="397" w:type="pct"/>
            <w:shd w:val="clear" w:color="auto" w:fill="auto"/>
            <w:tcMar>
              <w:left w:w="85" w:type="dxa"/>
              <w:right w:w="57" w:type="dxa"/>
            </w:tcMar>
          </w:tcPr>
          <w:p w14:paraId="273CDA2A" w14:textId="77777777" w:rsidR="00C355E9" w:rsidRPr="001A7F2E" w:rsidRDefault="00324184" w:rsidP="001A7F2E">
            <w:pPr>
              <w:pStyle w:val="TableText"/>
            </w:pPr>
            <w:r w:rsidRPr="001A7F2E">
              <w:t>Germling</w:t>
            </w:r>
          </w:p>
        </w:tc>
        <w:tc>
          <w:tcPr>
            <w:tcW w:w="298" w:type="pct"/>
            <w:tcMar>
              <w:left w:w="85" w:type="dxa"/>
              <w:right w:w="57" w:type="dxa"/>
            </w:tcMar>
          </w:tcPr>
          <w:p w14:paraId="273CDA2B" w14:textId="77777777" w:rsidR="00C355E9" w:rsidRPr="001A7F2E" w:rsidRDefault="00324184" w:rsidP="001A7F2E">
            <w:pPr>
              <w:pStyle w:val="TableText"/>
            </w:pPr>
            <w:r w:rsidRPr="001A7F2E">
              <w:t>5</w:t>
            </w:r>
          </w:p>
        </w:tc>
        <w:tc>
          <w:tcPr>
            <w:tcW w:w="397" w:type="pct"/>
            <w:tcMar>
              <w:left w:w="28" w:type="dxa"/>
              <w:right w:w="0" w:type="dxa"/>
            </w:tcMar>
          </w:tcPr>
          <w:p w14:paraId="273CDA2C" w14:textId="77777777" w:rsidR="00C355E9" w:rsidRPr="001A7F2E" w:rsidRDefault="00324184" w:rsidP="001A7F2E">
            <w:pPr>
              <w:pStyle w:val="TableText"/>
            </w:pPr>
            <w:r w:rsidRPr="001A7F2E">
              <w:t>Mortality</w:t>
            </w:r>
          </w:p>
        </w:tc>
        <w:tc>
          <w:tcPr>
            <w:tcW w:w="348" w:type="pct"/>
            <w:shd w:val="clear" w:color="auto" w:fill="auto"/>
            <w:tcMar>
              <w:left w:w="85" w:type="dxa"/>
              <w:right w:w="57" w:type="dxa"/>
            </w:tcMar>
          </w:tcPr>
          <w:p w14:paraId="273CDA2D" w14:textId="77777777" w:rsidR="00C355E9" w:rsidRPr="001A7F2E" w:rsidRDefault="00324184" w:rsidP="001A7F2E">
            <w:pPr>
              <w:pStyle w:val="TableText"/>
            </w:pPr>
            <w:r w:rsidRPr="001A7F2E">
              <w:t>LC50</w:t>
            </w:r>
          </w:p>
        </w:tc>
        <w:tc>
          <w:tcPr>
            <w:tcW w:w="248" w:type="pct"/>
            <w:tcMar>
              <w:left w:w="85" w:type="dxa"/>
              <w:right w:w="57" w:type="dxa"/>
            </w:tcMar>
          </w:tcPr>
          <w:p w14:paraId="273CDA2E" w14:textId="77777777" w:rsidR="00C355E9" w:rsidRPr="001A7F2E" w:rsidRDefault="00324184" w:rsidP="001A7F2E">
            <w:pPr>
              <w:pStyle w:val="TableText"/>
            </w:pPr>
            <w:r>
              <w:t>–</w:t>
            </w:r>
          </w:p>
        </w:tc>
        <w:tc>
          <w:tcPr>
            <w:tcW w:w="248" w:type="pct"/>
            <w:tcMar>
              <w:left w:w="85" w:type="dxa"/>
              <w:right w:w="57" w:type="dxa"/>
            </w:tcMar>
          </w:tcPr>
          <w:p w14:paraId="273CDA2F" w14:textId="77777777" w:rsidR="00C355E9" w:rsidRPr="001A7F2E" w:rsidRDefault="00324184" w:rsidP="001A7F2E">
            <w:pPr>
              <w:pStyle w:val="TableText"/>
            </w:pPr>
            <w:r w:rsidRPr="001A7F2E">
              <w:t>20</w:t>
            </w:r>
          </w:p>
        </w:tc>
        <w:tc>
          <w:tcPr>
            <w:tcW w:w="347" w:type="pct"/>
            <w:tcMar>
              <w:left w:w="85" w:type="dxa"/>
              <w:right w:w="57" w:type="dxa"/>
            </w:tcMar>
          </w:tcPr>
          <w:p w14:paraId="273CDA30" w14:textId="77777777" w:rsidR="00C355E9" w:rsidRPr="001A7F2E" w:rsidRDefault="00324184" w:rsidP="001A7F2E">
            <w:pPr>
              <w:pStyle w:val="TableText"/>
            </w:pPr>
            <w:r w:rsidRPr="001A7F2E">
              <w:t>9.9</w:t>
            </w:r>
          </w:p>
        </w:tc>
        <w:tc>
          <w:tcPr>
            <w:tcW w:w="446" w:type="pct"/>
            <w:tcMar>
              <w:left w:w="85" w:type="dxa"/>
              <w:right w:w="57" w:type="dxa"/>
            </w:tcMar>
          </w:tcPr>
          <w:p w14:paraId="273CDA31" w14:textId="77777777" w:rsidR="00C355E9" w:rsidRPr="001A7F2E" w:rsidRDefault="00324184" w:rsidP="001A7F2E">
            <w:pPr>
              <w:pStyle w:val="TableText"/>
            </w:pPr>
            <w:r w:rsidRPr="001A7F2E">
              <w:t>2</w:t>
            </w:r>
          </w:p>
        </w:tc>
        <w:tc>
          <w:tcPr>
            <w:tcW w:w="645" w:type="pct"/>
            <w:shd w:val="clear" w:color="auto" w:fill="auto"/>
            <w:tcMar>
              <w:left w:w="85" w:type="dxa"/>
              <w:right w:w="57" w:type="dxa"/>
            </w:tcMar>
          </w:tcPr>
          <w:p w14:paraId="273CDA32"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A33" w14:textId="77777777" w:rsidR="00C355E9" w:rsidRPr="001A7F2E" w:rsidRDefault="00324184" w:rsidP="001A7F2E">
            <w:pPr>
              <w:pStyle w:val="TableText"/>
            </w:pPr>
            <w:r w:rsidRPr="001A7F2E">
              <w:t>Girling et al. (2015)</w:t>
            </w:r>
          </w:p>
        </w:tc>
      </w:tr>
      <w:tr w:rsidR="00091AEB" w14:paraId="273CDA41" w14:textId="77777777" w:rsidTr="00D85C45">
        <w:trPr>
          <w:cantSplit/>
        </w:trPr>
        <w:tc>
          <w:tcPr>
            <w:tcW w:w="447" w:type="pct"/>
            <w:shd w:val="clear" w:color="auto" w:fill="auto"/>
            <w:tcMar>
              <w:left w:w="85" w:type="dxa"/>
              <w:right w:w="57" w:type="dxa"/>
            </w:tcMar>
          </w:tcPr>
          <w:p w14:paraId="273CDA35" w14:textId="77777777" w:rsidR="00C355E9" w:rsidRPr="001A7F2E" w:rsidRDefault="00324184" w:rsidP="001A7F2E">
            <w:pPr>
              <w:pStyle w:val="TableText"/>
            </w:pPr>
            <w:r w:rsidRPr="001A7F2E">
              <w:t>Mollusc</w:t>
            </w:r>
          </w:p>
        </w:tc>
        <w:tc>
          <w:tcPr>
            <w:tcW w:w="644" w:type="pct"/>
            <w:shd w:val="clear" w:color="auto" w:fill="auto"/>
            <w:tcMar>
              <w:left w:w="85" w:type="dxa"/>
              <w:right w:w="57" w:type="dxa"/>
            </w:tcMar>
          </w:tcPr>
          <w:p w14:paraId="273CDA36" w14:textId="77777777" w:rsidR="00C355E9" w:rsidRPr="001A7F2E" w:rsidRDefault="00324184" w:rsidP="001A7F2E">
            <w:pPr>
              <w:pStyle w:val="TableText"/>
            </w:pPr>
            <w:r w:rsidRPr="00F23917">
              <w:rPr>
                <w:rStyle w:val="Emphasis"/>
              </w:rPr>
              <w:t>Mytilus edulis</w:t>
            </w:r>
            <w:r w:rsidRPr="001A7F2E">
              <w:t xml:space="preserve"> </w:t>
            </w:r>
          </w:p>
        </w:tc>
        <w:tc>
          <w:tcPr>
            <w:tcW w:w="397" w:type="pct"/>
            <w:shd w:val="clear" w:color="auto" w:fill="auto"/>
            <w:tcMar>
              <w:left w:w="85" w:type="dxa"/>
              <w:right w:w="57" w:type="dxa"/>
            </w:tcMar>
          </w:tcPr>
          <w:p w14:paraId="273CDA37" w14:textId="77777777" w:rsidR="00C355E9" w:rsidRPr="001A7F2E" w:rsidRDefault="00324184" w:rsidP="001A7F2E">
            <w:pPr>
              <w:pStyle w:val="TableText"/>
            </w:pPr>
            <w:r w:rsidRPr="001A7F2E">
              <w:t>Embryo</w:t>
            </w:r>
          </w:p>
        </w:tc>
        <w:tc>
          <w:tcPr>
            <w:tcW w:w="298" w:type="pct"/>
            <w:tcMar>
              <w:left w:w="85" w:type="dxa"/>
              <w:right w:w="57" w:type="dxa"/>
            </w:tcMar>
          </w:tcPr>
          <w:p w14:paraId="273CDA38" w14:textId="77777777" w:rsidR="00C355E9" w:rsidRPr="001A7F2E" w:rsidRDefault="00324184" w:rsidP="001A7F2E">
            <w:pPr>
              <w:pStyle w:val="TableText"/>
            </w:pPr>
            <w:r w:rsidRPr="001A7F2E">
              <w:t>2</w:t>
            </w:r>
          </w:p>
        </w:tc>
        <w:tc>
          <w:tcPr>
            <w:tcW w:w="397" w:type="pct"/>
            <w:tcMar>
              <w:left w:w="28" w:type="dxa"/>
              <w:right w:w="0" w:type="dxa"/>
            </w:tcMar>
          </w:tcPr>
          <w:p w14:paraId="273CDA39"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A3A" w14:textId="77777777" w:rsidR="00C355E9" w:rsidRPr="001A7F2E" w:rsidRDefault="00324184" w:rsidP="001A7F2E">
            <w:pPr>
              <w:pStyle w:val="TableText"/>
            </w:pPr>
            <w:r w:rsidRPr="001A7F2E">
              <w:t>EC50</w:t>
            </w:r>
          </w:p>
        </w:tc>
        <w:tc>
          <w:tcPr>
            <w:tcW w:w="248" w:type="pct"/>
            <w:tcMar>
              <w:left w:w="85" w:type="dxa"/>
              <w:right w:w="57" w:type="dxa"/>
            </w:tcMar>
          </w:tcPr>
          <w:p w14:paraId="273CDA3B" w14:textId="77777777" w:rsidR="00C355E9" w:rsidRPr="001A7F2E" w:rsidRDefault="00324184" w:rsidP="001A7F2E">
            <w:pPr>
              <w:pStyle w:val="TableText"/>
            </w:pPr>
            <w:r w:rsidRPr="001A7F2E">
              <w:t>30</w:t>
            </w:r>
          </w:p>
        </w:tc>
        <w:tc>
          <w:tcPr>
            <w:tcW w:w="248" w:type="pct"/>
            <w:tcMar>
              <w:left w:w="85" w:type="dxa"/>
              <w:right w:w="57" w:type="dxa"/>
            </w:tcMar>
          </w:tcPr>
          <w:p w14:paraId="273CDA3C" w14:textId="77777777" w:rsidR="00C355E9" w:rsidRPr="001A7F2E" w:rsidRDefault="00324184" w:rsidP="001A7F2E">
            <w:pPr>
              <w:pStyle w:val="TableText"/>
            </w:pPr>
            <w:r w:rsidRPr="001A7F2E">
              <w:t>15</w:t>
            </w:r>
          </w:p>
        </w:tc>
        <w:tc>
          <w:tcPr>
            <w:tcW w:w="347" w:type="pct"/>
            <w:tcMar>
              <w:left w:w="85" w:type="dxa"/>
              <w:right w:w="57" w:type="dxa"/>
            </w:tcMar>
          </w:tcPr>
          <w:p w14:paraId="273CDA3D" w14:textId="77777777" w:rsidR="00C355E9" w:rsidRPr="001A7F2E" w:rsidRDefault="00324184" w:rsidP="001A7F2E">
            <w:pPr>
              <w:pStyle w:val="TableText"/>
            </w:pPr>
            <w:r w:rsidRPr="001A7F2E">
              <w:t>11</w:t>
            </w:r>
          </w:p>
        </w:tc>
        <w:tc>
          <w:tcPr>
            <w:tcW w:w="446" w:type="pct"/>
            <w:tcMar>
              <w:left w:w="85" w:type="dxa"/>
              <w:right w:w="57" w:type="dxa"/>
            </w:tcMar>
          </w:tcPr>
          <w:p w14:paraId="273CDA3E" w14:textId="77777777" w:rsidR="00C355E9" w:rsidRPr="001A7F2E" w:rsidRDefault="00324184" w:rsidP="001A7F2E">
            <w:pPr>
              <w:pStyle w:val="TableText"/>
            </w:pPr>
            <w:r w:rsidRPr="001A7F2E">
              <w:t>2.1</w:t>
            </w:r>
          </w:p>
        </w:tc>
        <w:tc>
          <w:tcPr>
            <w:tcW w:w="645" w:type="pct"/>
            <w:shd w:val="clear" w:color="auto" w:fill="auto"/>
            <w:tcMar>
              <w:left w:w="85" w:type="dxa"/>
              <w:right w:w="57" w:type="dxa"/>
            </w:tcMar>
          </w:tcPr>
          <w:p w14:paraId="273CDA3F" w14:textId="77777777" w:rsidR="00C355E9" w:rsidRPr="001A7F2E" w:rsidRDefault="00324184" w:rsidP="001A7F2E">
            <w:pPr>
              <w:pStyle w:val="TableText"/>
            </w:pPr>
            <w:r w:rsidRPr="001A7F2E">
              <w:t>EC50 data only</w:t>
            </w:r>
          </w:p>
        </w:tc>
        <w:tc>
          <w:tcPr>
            <w:tcW w:w="535" w:type="pct"/>
            <w:tcMar>
              <w:left w:w="85" w:type="dxa"/>
              <w:right w:w="57" w:type="dxa"/>
            </w:tcMar>
          </w:tcPr>
          <w:p w14:paraId="273CDA40" w14:textId="77777777" w:rsidR="00C355E9" w:rsidRPr="001A7F2E" w:rsidRDefault="00324184" w:rsidP="001A7F2E">
            <w:pPr>
              <w:pStyle w:val="TableText"/>
            </w:pPr>
            <w:r w:rsidRPr="001A7F2E">
              <w:t>Arnold et al. (2009)</w:t>
            </w:r>
          </w:p>
        </w:tc>
      </w:tr>
      <w:tr w:rsidR="00091AEB" w14:paraId="273CDA4E" w14:textId="77777777" w:rsidTr="00D85C45">
        <w:trPr>
          <w:cantSplit/>
        </w:trPr>
        <w:tc>
          <w:tcPr>
            <w:tcW w:w="447" w:type="pct"/>
            <w:shd w:val="clear" w:color="auto" w:fill="auto"/>
            <w:tcMar>
              <w:left w:w="85" w:type="dxa"/>
              <w:right w:w="57" w:type="dxa"/>
            </w:tcMar>
          </w:tcPr>
          <w:p w14:paraId="273CDA42" w14:textId="77777777" w:rsidR="00C355E9" w:rsidRPr="001A7F2E" w:rsidRDefault="00324184" w:rsidP="001A7F2E">
            <w:pPr>
              <w:pStyle w:val="TableText"/>
            </w:pPr>
            <w:r w:rsidRPr="001A7F2E">
              <w:t>Diatom</w:t>
            </w:r>
          </w:p>
        </w:tc>
        <w:tc>
          <w:tcPr>
            <w:tcW w:w="644" w:type="pct"/>
            <w:shd w:val="clear" w:color="auto" w:fill="auto"/>
            <w:tcMar>
              <w:left w:w="85" w:type="dxa"/>
              <w:right w:w="57" w:type="dxa"/>
            </w:tcMar>
          </w:tcPr>
          <w:p w14:paraId="273CDA43" w14:textId="77777777" w:rsidR="00C355E9" w:rsidRPr="00F23917" w:rsidRDefault="00324184" w:rsidP="001A7F2E">
            <w:pPr>
              <w:pStyle w:val="TableText"/>
              <w:rPr>
                <w:rStyle w:val="Emphasis"/>
              </w:rPr>
            </w:pPr>
            <w:r w:rsidRPr="00F23917">
              <w:rPr>
                <w:rStyle w:val="Emphasis"/>
              </w:rPr>
              <w:t xml:space="preserve">Ceratoneis </w:t>
            </w:r>
            <w:r w:rsidRPr="00F23917">
              <w:rPr>
                <w:rStyle w:val="Emphasis"/>
              </w:rPr>
              <w:t>closterium</w:t>
            </w:r>
          </w:p>
        </w:tc>
        <w:tc>
          <w:tcPr>
            <w:tcW w:w="397" w:type="pct"/>
            <w:shd w:val="clear" w:color="auto" w:fill="auto"/>
            <w:tcMar>
              <w:left w:w="85" w:type="dxa"/>
              <w:right w:w="57" w:type="dxa"/>
            </w:tcMar>
          </w:tcPr>
          <w:p w14:paraId="273CDA44" w14:textId="77777777" w:rsidR="00C355E9" w:rsidRPr="001A7F2E" w:rsidRDefault="00324184" w:rsidP="001A7F2E">
            <w:pPr>
              <w:pStyle w:val="TableText"/>
            </w:pPr>
            <w:r>
              <w:t>Exponential</w:t>
            </w:r>
            <w:r w:rsidRPr="001A7F2E">
              <w:t xml:space="preserve"> growth</w:t>
            </w:r>
          </w:p>
        </w:tc>
        <w:tc>
          <w:tcPr>
            <w:tcW w:w="298" w:type="pct"/>
            <w:tcMar>
              <w:left w:w="85" w:type="dxa"/>
              <w:right w:w="57" w:type="dxa"/>
            </w:tcMar>
          </w:tcPr>
          <w:p w14:paraId="273CDA45" w14:textId="77777777" w:rsidR="00C355E9" w:rsidRPr="001A7F2E" w:rsidRDefault="00324184" w:rsidP="001A7F2E">
            <w:pPr>
              <w:pStyle w:val="TableText"/>
            </w:pPr>
            <w:r w:rsidRPr="001A7F2E">
              <w:t>3</w:t>
            </w:r>
          </w:p>
        </w:tc>
        <w:tc>
          <w:tcPr>
            <w:tcW w:w="397" w:type="pct"/>
            <w:tcMar>
              <w:left w:w="28" w:type="dxa"/>
              <w:right w:w="0" w:type="dxa"/>
            </w:tcMar>
          </w:tcPr>
          <w:p w14:paraId="273CDA46" w14:textId="77777777" w:rsidR="00C355E9" w:rsidRPr="001A7F2E" w:rsidRDefault="00324184" w:rsidP="001A7F2E">
            <w:pPr>
              <w:pStyle w:val="TableText"/>
            </w:pPr>
            <w:r w:rsidRPr="001A7F2E">
              <w:t>Population growth rate</w:t>
            </w:r>
          </w:p>
        </w:tc>
        <w:tc>
          <w:tcPr>
            <w:tcW w:w="348" w:type="pct"/>
            <w:shd w:val="clear" w:color="auto" w:fill="auto"/>
            <w:tcMar>
              <w:left w:w="85" w:type="dxa"/>
              <w:right w:w="57" w:type="dxa"/>
            </w:tcMar>
          </w:tcPr>
          <w:p w14:paraId="273CDA47" w14:textId="77777777" w:rsidR="00C355E9" w:rsidRPr="001A7F2E" w:rsidRDefault="00324184" w:rsidP="001A7F2E">
            <w:pPr>
              <w:pStyle w:val="TableText"/>
            </w:pPr>
            <w:r w:rsidRPr="001A7F2E">
              <w:t>EC10</w:t>
            </w:r>
          </w:p>
        </w:tc>
        <w:tc>
          <w:tcPr>
            <w:tcW w:w="248" w:type="pct"/>
            <w:tcMar>
              <w:left w:w="85" w:type="dxa"/>
              <w:right w:w="57" w:type="dxa"/>
            </w:tcMar>
          </w:tcPr>
          <w:p w14:paraId="273CDA48" w14:textId="77777777" w:rsidR="00C355E9" w:rsidRPr="001A7F2E" w:rsidRDefault="00324184" w:rsidP="001A7F2E">
            <w:pPr>
              <w:pStyle w:val="TableText"/>
            </w:pPr>
            <w:r w:rsidRPr="001A7F2E">
              <w:t>35</w:t>
            </w:r>
          </w:p>
        </w:tc>
        <w:tc>
          <w:tcPr>
            <w:tcW w:w="248" w:type="pct"/>
            <w:tcMar>
              <w:left w:w="85" w:type="dxa"/>
              <w:right w:w="57" w:type="dxa"/>
            </w:tcMar>
          </w:tcPr>
          <w:p w14:paraId="273CDA49" w14:textId="77777777" w:rsidR="00C355E9" w:rsidRPr="001A7F2E" w:rsidRDefault="00324184" w:rsidP="001A7F2E">
            <w:pPr>
              <w:pStyle w:val="TableText"/>
            </w:pPr>
            <w:r w:rsidRPr="001A7F2E">
              <w:t>21</w:t>
            </w:r>
          </w:p>
        </w:tc>
        <w:tc>
          <w:tcPr>
            <w:tcW w:w="347" w:type="pct"/>
            <w:tcMar>
              <w:left w:w="85" w:type="dxa"/>
              <w:right w:w="57" w:type="dxa"/>
            </w:tcMar>
          </w:tcPr>
          <w:p w14:paraId="273CDA4A" w14:textId="77777777" w:rsidR="00C355E9" w:rsidRPr="001A7F2E" w:rsidRDefault="00324184" w:rsidP="001A7F2E">
            <w:pPr>
              <w:pStyle w:val="TableText"/>
            </w:pPr>
            <w:r w:rsidRPr="001A7F2E">
              <w:t>2.2</w:t>
            </w:r>
          </w:p>
        </w:tc>
        <w:tc>
          <w:tcPr>
            <w:tcW w:w="446" w:type="pct"/>
            <w:tcMar>
              <w:left w:w="85" w:type="dxa"/>
              <w:right w:w="57" w:type="dxa"/>
            </w:tcMar>
          </w:tcPr>
          <w:p w14:paraId="273CDA4B" w14:textId="77777777" w:rsidR="00C355E9" w:rsidRPr="001A7F2E" w:rsidRDefault="00324184" w:rsidP="001A7F2E">
            <w:pPr>
              <w:pStyle w:val="TableText"/>
            </w:pPr>
            <w:r w:rsidRPr="001A7F2E">
              <w:t>2.2</w:t>
            </w:r>
          </w:p>
        </w:tc>
        <w:tc>
          <w:tcPr>
            <w:tcW w:w="645" w:type="pct"/>
            <w:shd w:val="clear" w:color="auto" w:fill="auto"/>
            <w:tcMar>
              <w:left w:w="85" w:type="dxa"/>
              <w:right w:w="57" w:type="dxa"/>
            </w:tcMar>
          </w:tcPr>
          <w:p w14:paraId="273CDA4C"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A4D" w14:textId="77777777" w:rsidR="00C355E9" w:rsidRPr="001A7F2E" w:rsidRDefault="00324184" w:rsidP="001A7F2E">
            <w:pPr>
              <w:pStyle w:val="TableText"/>
            </w:pPr>
            <w:r w:rsidRPr="001A7F2E">
              <w:t>Hook et al. (2014)</w:t>
            </w:r>
          </w:p>
        </w:tc>
      </w:tr>
      <w:tr w:rsidR="00091AEB" w14:paraId="273CDA5B" w14:textId="77777777" w:rsidTr="00D85C45">
        <w:trPr>
          <w:cantSplit/>
        </w:trPr>
        <w:tc>
          <w:tcPr>
            <w:tcW w:w="447" w:type="pct"/>
            <w:shd w:val="clear" w:color="auto" w:fill="auto"/>
            <w:tcMar>
              <w:left w:w="85" w:type="dxa"/>
              <w:right w:w="57" w:type="dxa"/>
            </w:tcMar>
          </w:tcPr>
          <w:p w14:paraId="273CDA4F" w14:textId="77777777" w:rsidR="00C355E9" w:rsidRPr="001A7F2E" w:rsidRDefault="00324184" w:rsidP="001A7F2E">
            <w:pPr>
              <w:pStyle w:val="TableText"/>
            </w:pPr>
            <w:r w:rsidRPr="001A7F2E">
              <w:t>Echinoderm</w:t>
            </w:r>
          </w:p>
        </w:tc>
        <w:tc>
          <w:tcPr>
            <w:tcW w:w="644" w:type="pct"/>
            <w:shd w:val="clear" w:color="auto" w:fill="auto"/>
            <w:tcMar>
              <w:left w:w="85" w:type="dxa"/>
              <w:right w:w="57" w:type="dxa"/>
            </w:tcMar>
          </w:tcPr>
          <w:p w14:paraId="273CDA50" w14:textId="77777777" w:rsidR="00C355E9" w:rsidRPr="001A7F2E" w:rsidRDefault="00324184" w:rsidP="001A7F2E">
            <w:pPr>
              <w:pStyle w:val="TableText"/>
            </w:pPr>
            <w:r w:rsidRPr="00F23917">
              <w:rPr>
                <w:rStyle w:val="Emphasis"/>
              </w:rPr>
              <w:t>Diadema setosum</w:t>
            </w:r>
            <w:r w:rsidRPr="001A7F2E">
              <w:t xml:space="preserve"> </w:t>
            </w:r>
          </w:p>
        </w:tc>
        <w:tc>
          <w:tcPr>
            <w:tcW w:w="397" w:type="pct"/>
            <w:shd w:val="clear" w:color="auto" w:fill="auto"/>
            <w:tcMar>
              <w:left w:w="85" w:type="dxa"/>
              <w:right w:w="57" w:type="dxa"/>
            </w:tcMar>
          </w:tcPr>
          <w:p w14:paraId="273CDA51" w14:textId="77777777" w:rsidR="00C355E9" w:rsidRPr="001A7F2E" w:rsidRDefault="00324184" w:rsidP="001A7F2E">
            <w:pPr>
              <w:pStyle w:val="TableText"/>
            </w:pPr>
            <w:r w:rsidRPr="001A7F2E">
              <w:t>Embryo</w:t>
            </w:r>
          </w:p>
        </w:tc>
        <w:tc>
          <w:tcPr>
            <w:tcW w:w="298" w:type="pct"/>
            <w:tcMar>
              <w:left w:w="85" w:type="dxa"/>
              <w:right w:w="57" w:type="dxa"/>
            </w:tcMar>
          </w:tcPr>
          <w:p w14:paraId="273CDA52" w14:textId="77777777" w:rsidR="00C355E9" w:rsidRPr="001A7F2E" w:rsidRDefault="00324184" w:rsidP="001A7F2E">
            <w:pPr>
              <w:pStyle w:val="TableText"/>
            </w:pPr>
            <w:r w:rsidRPr="001A7F2E">
              <w:t>0.042</w:t>
            </w:r>
          </w:p>
        </w:tc>
        <w:tc>
          <w:tcPr>
            <w:tcW w:w="397" w:type="pct"/>
            <w:tcMar>
              <w:left w:w="28" w:type="dxa"/>
              <w:right w:w="0" w:type="dxa"/>
            </w:tcMar>
          </w:tcPr>
          <w:p w14:paraId="273CDA53" w14:textId="77777777" w:rsidR="00C355E9" w:rsidRPr="001A7F2E" w:rsidRDefault="00324184" w:rsidP="001A7F2E">
            <w:pPr>
              <w:pStyle w:val="TableText"/>
            </w:pPr>
            <w:r>
              <w:t>Fertilisation</w:t>
            </w:r>
          </w:p>
        </w:tc>
        <w:tc>
          <w:tcPr>
            <w:tcW w:w="348" w:type="pct"/>
            <w:shd w:val="clear" w:color="auto" w:fill="auto"/>
            <w:tcMar>
              <w:left w:w="85" w:type="dxa"/>
              <w:right w:w="57" w:type="dxa"/>
            </w:tcMar>
          </w:tcPr>
          <w:p w14:paraId="273CDA54" w14:textId="77777777" w:rsidR="00C355E9" w:rsidRPr="001A7F2E" w:rsidRDefault="00324184" w:rsidP="001A7F2E">
            <w:pPr>
              <w:pStyle w:val="TableText"/>
            </w:pPr>
            <w:r w:rsidRPr="001A7F2E">
              <w:t>EC50</w:t>
            </w:r>
          </w:p>
        </w:tc>
        <w:tc>
          <w:tcPr>
            <w:tcW w:w="248" w:type="pct"/>
            <w:tcMar>
              <w:left w:w="85" w:type="dxa"/>
              <w:right w:w="57" w:type="dxa"/>
            </w:tcMar>
          </w:tcPr>
          <w:p w14:paraId="273CDA55" w14:textId="77777777" w:rsidR="00C355E9" w:rsidRPr="001A7F2E" w:rsidRDefault="00324184" w:rsidP="001A7F2E">
            <w:pPr>
              <w:pStyle w:val="TableText"/>
            </w:pPr>
            <w:r w:rsidRPr="001A7F2E">
              <w:t>30</w:t>
            </w:r>
          </w:p>
        </w:tc>
        <w:tc>
          <w:tcPr>
            <w:tcW w:w="248" w:type="pct"/>
            <w:tcMar>
              <w:left w:w="85" w:type="dxa"/>
              <w:right w:w="57" w:type="dxa"/>
            </w:tcMar>
          </w:tcPr>
          <w:p w14:paraId="273CDA56" w14:textId="77777777" w:rsidR="00C355E9" w:rsidRPr="001A7F2E" w:rsidRDefault="00324184" w:rsidP="001A7F2E">
            <w:pPr>
              <w:pStyle w:val="TableText"/>
            </w:pPr>
            <w:r>
              <w:t>–</w:t>
            </w:r>
          </w:p>
        </w:tc>
        <w:tc>
          <w:tcPr>
            <w:tcW w:w="347" w:type="pct"/>
            <w:tcMar>
              <w:left w:w="85" w:type="dxa"/>
              <w:right w:w="57" w:type="dxa"/>
            </w:tcMar>
          </w:tcPr>
          <w:p w14:paraId="273CDA57" w14:textId="77777777" w:rsidR="00C355E9" w:rsidRPr="001A7F2E" w:rsidRDefault="00324184" w:rsidP="001A7F2E">
            <w:pPr>
              <w:pStyle w:val="TableText"/>
            </w:pPr>
            <w:r w:rsidRPr="001A7F2E">
              <w:t>12</w:t>
            </w:r>
          </w:p>
        </w:tc>
        <w:tc>
          <w:tcPr>
            <w:tcW w:w="446" w:type="pct"/>
            <w:tcMar>
              <w:left w:w="85" w:type="dxa"/>
              <w:right w:w="57" w:type="dxa"/>
            </w:tcMar>
          </w:tcPr>
          <w:p w14:paraId="273CDA58" w14:textId="77777777" w:rsidR="00C355E9" w:rsidRPr="001A7F2E" w:rsidRDefault="00324184" w:rsidP="001A7F2E">
            <w:pPr>
              <w:pStyle w:val="TableText"/>
            </w:pPr>
            <w:r w:rsidRPr="001A7F2E">
              <w:t>2.4</w:t>
            </w:r>
          </w:p>
        </w:tc>
        <w:tc>
          <w:tcPr>
            <w:tcW w:w="645" w:type="pct"/>
            <w:shd w:val="clear" w:color="auto" w:fill="auto"/>
            <w:tcMar>
              <w:left w:w="85" w:type="dxa"/>
              <w:right w:w="57" w:type="dxa"/>
            </w:tcMar>
          </w:tcPr>
          <w:p w14:paraId="273CDA59"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A5A" w14:textId="77777777" w:rsidR="00C355E9" w:rsidRPr="001A7F2E" w:rsidRDefault="00324184" w:rsidP="001A7F2E">
            <w:pPr>
              <w:pStyle w:val="TableText"/>
            </w:pPr>
            <w:r w:rsidRPr="001A7F2E">
              <w:t>Ramachandran et al. (1997)</w:t>
            </w:r>
          </w:p>
        </w:tc>
      </w:tr>
      <w:tr w:rsidR="00091AEB" w14:paraId="273CDA68" w14:textId="77777777" w:rsidTr="00D85C45">
        <w:trPr>
          <w:cantSplit/>
        </w:trPr>
        <w:tc>
          <w:tcPr>
            <w:tcW w:w="447" w:type="pct"/>
            <w:shd w:val="clear" w:color="auto" w:fill="auto"/>
            <w:tcMar>
              <w:left w:w="85" w:type="dxa"/>
              <w:right w:w="57" w:type="dxa"/>
            </w:tcMar>
          </w:tcPr>
          <w:p w14:paraId="273CDA5C" w14:textId="77777777" w:rsidR="00C355E9" w:rsidRPr="001A7F2E" w:rsidRDefault="00324184" w:rsidP="001A7F2E">
            <w:pPr>
              <w:pStyle w:val="TableText"/>
            </w:pPr>
            <w:r w:rsidRPr="001A7F2E">
              <w:t>Mollusc</w:t>
            </w:r>
          </w:p>
        </w:tc>
        <w:tc>
          <w:tcPr>
            <w:tcW w:w="644" w:type="pct"/>
            <w:shd w:val="clear" w:color="auto" w:fill="auto"/>
            <w:tcMar>
              <w:left w:w="85" w:type="dxa"/>
              <w:right w:w="57" w:type="dxa"/>
            </w:tcMar>
          </w:tcPr>
          <w:p w14:paraId="273CDA5D" w14:textId="77777777" w:rsidR="00C355E9" w:rsidRPr="001A7F2E" w:rsidRDefault="00324184" w:rsidP="001A7F2E">
            <w:pPr>
              <w:pStyle w:val="TableText"/>
            </w:pPr>
            <w:r w:rsidRPr="00F23917">
              <w:rPr>
                <w:rStyle w:val="Emphasis"/>
              </w:rPr>
              <w:t>Mytilus edulis</w:t>
            </w:r>
            <w:r w:rsidRPr="001A7F2E">
              <w:t xml:space="preserve"> </w:t>
            </w:r>
          </w:p>
        </w:tc>
        <w:tc>
          <w:tcPr>
            <w:tcW w:w="397" w:type="pct"/>
            <w:shd w:val="clear" w:color="auto" w:fill="auto"/>
            <w:tcMar>
              <w:left w:w="85" w:type="dxa"/>
              <w:right w:w="57" w:type="dxa"/>
            </w:tcMar>
          </w:tcPr>
          <w:p w14:paraId="273CDA5E" w14:textId="77777777" w:rsidR="00C355E9" w:rsidRPr="001A7F2E" w:rsidRDefault="00324184" w:rsidP="001A7F2E">
            <w:pPr>
              <w:pStyle w:val="TableText"/>
            </w:pPr>
            <w:r w:rsidRPr="001A7F2E">
              <w:t>Embryo</w:t>
            </w:r>
          </w:p>
        </w:tc>
        <w:tc>
          <w:tcPr>
            <w:tcW w:w="298" w:type="pct"/>
            <w:tcMar>
              <w:left w:w="85" w:type="dxa"/>
              <w:right w:w="57" w:type="dxa"/>
            </w:tcMar>
          </w:tcPr>
          <w:p w14:paraId="273CDA5F" w14:textId="77777777" w:rsidR="00C355E9" w:rsidRPr="001A7F2E" w:rsidRDefault="00324184" w:rsidP="001A7F2E">
            <w:pPr>
              <w:pStyle w:val="TableText"/>
            </w:pPr>
            <w:r w:rsidRPr="001A7F2E">
              <w:t>2</w:t>
            </w:r>
          </w:p>
        </w:tc>
        <w:tc>
          <w:tcPr>
            <w:tcW w:w="397" w:type="pct"/>
            <w:tcMar>
              <w:left w:w="28" w:type="dxa"/>
              <w:right w:w="0" w:type="dxa"/>
            </w:tcMar>
          </w:tcPr>
          <w:p w14:paraId="273CDA60"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A61" w14:textId="77777777" w:rsidR="00C355E9" w:rsidRPr="001A7F2E" w:rsidRDefault="00324184" w:rsidP="001A7F2E">
            <w:pPr>
              <w:pStyle w:val="TableText"/>
            </w:pPr>
            <w:r w:rsidRPr="001A7F2E">
              <w:t>EC50</w:t>
            </w:r>
          </w:p>
        </w:tc>
        <w:tc>
          <w:tcPr>
            <w:tcW w:w="248" w:type="pct"/>
            <w:tcMar>
              <w:left w:w="85" w:type="dxa"/>
              <w:right w:w="57" w:type="dxa"/>
            </w:tcMar>
          </w:tcPr>
          <w:p w14:paraId="273CDA62" w14:textId="77777777" w:rsidR="00C355E9" w:rsidRPr="001A7F2E" w:rsidRDefault="00324184" w:rsidP="001A7F2E">
            <w:pPr>
              <w:pStyle w:val="TableText"/>
            </w:pPr>
            <w:r w:rsidRPr="001A7F2E">
              <w:t>26</w:t>
            </w:r>
            <w:r w:rsidR="006A6386">
              <w:t>–</w:t>
            </w:r>
            <w:r w:rsidRPr="001A7F2E">
              <w:t>34</w:t>
            </w:r>
          </w:p>
        </w:tc>
        <w:tc>
          <w:tcPr>
            <w:tcW w:w="248" w:type="pct"/>
            <w:tcMar>
              <w:left w:w="85" w:type="dxa"/>
              <w:right w:w="57" w:type="dxa"/>
            </w:tcMar>
          </w:tcPr>
          <w:p w14:paraId="273CDA63" w14:textId="77777777" w:rsidR="00C355E9" w:rsidRPr="001A7F2E" w:rsidRDefault="00324184" w:rsidP="001A7F2E">
            <w:pPr>
              <w:pStyle w:val="TableText"/>
            </w:pPr>
            <w:r w:rsidRPr="001A7F2E">
              <w:t>14</w:t>
            </w:r>
            <w:r w:rsidR="006A6386">
              <w:t>–</w:t>
            </w:r>
            <w:r w:rsidRPr="001A7F2E">
              <w:t>18</w:t>
            </w:r>
          </w:p>
        </w:tc>
        <w:tc>
          <w:tcPr>
            <w:tcW w:w="347" w:type="pct"/>
            <w:tcMar>
              <w:left w:w="85" w:type="dxa"/>
              <w:right w:w="57" w:type="dxa"/>
            </w:tcMar>
          </w:tcPr>
          <w:p w14:paraId="273CDA64" w14:textId="77777777" w:rsidR="00C355E9" w:rsidRPr="001A7F2E" w:rsidRDefault="00324184" w:rsidP="001A7F2E">
            <w:pPr>
              <w:pStyle w:val="TableText"/>
            </w:pPr>
            <w:r w:rsidRPr="001A7F2E">
              <w:t>12</w:t>
            </w:r>
          </w:p>
        </w:tc>
        <w:tc>
          <w:tcPr>
            <w:tcW w:w="446" w:type="pct"/>
            <w:tcMar>
              <w:left w:w="85" w:type="dxa"/>
              <w:right w:w="57" w:type="dxa"/>
            </w:tcMar>
          </w:tcPr>
          <w:p w14:paraId="273CDA65" w14:textId="77777777" w:rsidR="00C355E9" w:rsidRPr="001A7F2E" w:rsidRDefault="00324184" w:rsidP="001A7F2E">
            <w:pPr>
              <w:pStyle w:val="TableText"/>
            </w:pPr>
            <w:r w:rsidRPr="001A7F2E">
              <w:t>2.4</w:t>
            </w:r>
          </w:p>
        </w:tc>
        <w:tc>
          <w:tcPr>
            <w:tcW w:w="645" w:type="pct"/>
            <w:shd w:val="clear" w:color="auto" w:fill="auto"/>
            <w:tcMar>
              <w:left w:w="85" w:type="dxa"/>
              <w:right w:w="57" w:type="dxa"/>
            </w:tcMar>
          </w:tcPr>
          <w:p w14:paraId="273CDA66" w14:textId="77777777" w:rsidR="00C355E9" w:rsidRPr="001A7F2E" w:rsidRDefault="00324184" w:rsidP="001A7F2E">
            <w:pPr>
              <w:pStyle w:val="TableText"/>
            </w:pPr>
            <w:r w:rsidRPr="001A7F2E">
              <w:t>EC50 data only</w:t>
            </w:r>
          </w:p>
        </w:tc>
        <w:tc>
          <w:tcPr>
            <w:tcW w:w="535" w:type="pct"/>
            <w:tcMar>
              <w:left w:w="85" w:type="dxa"/>
              <w:right w:w="57" w:type="dxa"/>
            </w:tcMar>
          </w:tcPr>
          <w:p w14:paraId="273CDA67" w14:textId="77777777" w:rsidR="00C355E9" w:rsidRPr="001A7F2E" w:rsidRDefault="00324184" w:rsidP="001A7F2E">
            <w:pPr>
              <w:pStyle w:val="TableText"/>
            </w:pPr>
            <w:r w:rsidRPr="001A7F2E">
              <w:t>Tucker (1998)</w:t>
            </w:r>
          </w:p>
        </w:tc>
      </w:tr>
      <w:tr w:rsidR="00091AEB" w14:paraId="273CDA75" w14:textId="77777777" w:rsidTr="00D85C45">
        <w:trPr>
          <w:cantSplit/>
        </w:trPr>
        <w:tc>
          <w:tcPr>
            <w:tcW w:w="447" w:type="pct"/>
            <w:shd w:val="clear" w:color="auto" w:fill="auto"/>
            <w:tcMar>
              <w:left w:w="85" w:type="dxa"/>
              <w:right w:w="57" w:type="dxa"/>
            </w:tcMar>
          </w:tcPr>
          <w:p w14:paraId="273CDA69" w14:textId="77777777" w:rsidR="00C355E9" w:rsidRPr="001A7F2E" w:rsidRDefault="00324184" w:rsidP="001A7F2E">
            <w:pPr>
              <w:pStyle w:val="TableText"/>
            </w:pPr>
            <w:r w:rsidRPr="001A7F2E">
              <w:t>Crustacean</w:t>
            </w:r>
          </w:p>
        </w:tc>
        <w:tc>
          <w:tcPr>
            <w:tcW w:w="644" w:type="pct"/>
            <w:shd w:val="clear" w:color="auto" w:fill="auto"/>
            <w:tcMar>
              <w:left w:w="85" w:type="dxa"/>
              <w:right w:w="57" w:type="dxa"/>
            </w:tcMar>
          </w:tcPr>
          <w:p w14:paraId="273CDA6A" w14:textId="77777777" w:rsidR="00C355E9" w:rsidRPr="001A7F2E" w:rsidRDefault="00324184" w:rsidP="001A7F2E">
            <w:pPr>
              <w:pStyle w:val="TableText"/>
            </w:pPr>
            <w:r w:rsidRPr="00F23917">
              <w:rPr>
                <w:rStyle w:val="Emphasis"/>
              </w:rPr>
              <w:t>Allorchestes compressa</w:t>
            </w:r>
            <w:r w:rsidRPr="001A7F2E">
              <w:t xml:space="preserve"> </w:t>
            </w:r>
          </w:p>
        </w:tc>
        <w:tc>
          <w:tcPr>
            <w:tcW w:w="397" w:type="pct"/>
            <w:shd w:val="clear" w:color="auto" w:fill="auto"/>
            <w:tcMar>
              <w:left w:w="85" w:type="dxa"/>
              <w:right w:w="57" w:type="dxa"/>
            </w:tcMar>
          </w:tcPr>
          <w:p w14:paraId="273CDA6B" w14:textId="77777777" w:rsidR="00C355E9" w:rsidRPr="001A7F2E" w:rsidRDefault="00324184" w:rsidP="001A7F2E">
            <w:pPr>
              <w:pStyle w:val="TableText"/>
            </w:pPr>
            <w:r w:rsidRPr="001A7F2E">
              <w:t>Juvenile</w:t>
            </w:r>
          </w:p>
        </w:tc>
        <w:tc>
          <w:tcPr>
            <w:tcW w:w="298" w:type="pct"/>
            <w:tcMar>
              <w:left w:w="85" w:type="dxa"/>
              <w:right w:w="57" w:type="dxa"/>
            </w:tcMar>
          </w:tcPr>
          <w:p w14:paraId="273CDA6C" w14:textId="77777777" w:rsidR="00C355E9" w:rsidRPr="001A7F2E" w:rsidRDefault="00324184" w:rsidP="001A7F2E">
            <w:pPr>
              <w:pStyle w:val="TableText"/>
            </w:pPr>
            <w:r w:rsidRPr="001A7F2E">
              <w:t>27</w:t>
            </w:r>
          </w:p>
        </w:tc>
        <w:tc>
          <w:tcPr>
            <w:tcW w:w="397" w:type="pct"/>
            <w:tcMar>
              <w:left w:w="28" w:type="dxa"/>
              <w:right w:w="0" w:type="dxa"/>
            </w:tcMar>
          </w:tcPr>
          <w:p w14:paraId="273CDA6D"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A6E" w14:textId="77777777" w:rsidR="00C355E9" w:rsidRPr="001A7F2E" w:rsidRDefault="00324184" w:rsidP="001A7F2E">
            <w:pPr>
              <w:pStyle w:val="TableText"/>
            </w:pPr>
            <w:r w:rsidRPr="001A7F2E">
              <w:t>NOEC</w:t>
            </w:r>
          </w:p>
        </w:tc>
        <w:tc>
          <w:tcPr>
            <w:tcW w:w="248" w:type="pct"/>
            <w:tcMar>
              <w:left w:w="85" w:type="dxa"/>
              <w:right w:w="57" w:type="dxa"/>
            </w:tcMar>
          </w:tcPr>
          <w:p w14:paraId="273CDA6F" w14:textId="77777777" w:rsidR="00C355E9" w:rsidRPr="001A7F2E" w:rsidRDefault="00324184" w:rsidP="001A7F2E">
            <w:pPr>
              <w:pStyle w:val="TableText"/>
            </w:pPr>
            <w:r w:rsidRPr="001A7F2E">
              <w:t>22</w:t>
            </w:r>
          </w:p>
        </w:tc>
        <w:tc>
          <w:tcPr>
            <w:tcW w:w="248" w:type="pct"/>
            <w:tcMar>
              <w:left w:w="85" w:type="dxa"/>
              <w:right w:w="57" w:type="dxa"/>
            </w:tcMar>
          </w:tcPr>
          <w:p w14:paraId="273CDA70" w14:textId="77777777" w:rsidR="00C355E9" w:rsidRPr="001A7F2E" w:rsidRDefault="00324184" w:rsidP="001A7F2E">
            <w:pPr>
              <w:pStyle w:val="TableText"/>
            </w:pPr>
            <w:r>
              <w:t>–</w:t>
            </w:r>
          </w:p>
        </w:tc>
        <w:tc>
          <w:tcPr>
            <w:tcW w:w="347" w:type="pct"/>
            <w:tcMar>
              <w:left w:w="85" w:type="dxa"/>
              <w:right w:w="57" w:type="dxa"/>
            </w:tcMar>
          </w:tcPr>
          <w:p w14:paraId="273CDA71" w14:textId="77777777" w:rsidR="00C355E9" w:rsidRPr="001A7F2E" w:rsidRDefault="00324184" w:rsidP="001A7F2E">
            <w:pPr>
              <w:pStyle w:val="TableText"/>
            </w:pPr>
            <w:r w:rsidRPr="001A7F2E">
              <w:t>3</w:t>
            </w:r>
          </w:p>
        </w:tc>
        <w:tc>
          <w:tcPr>
            <w:tcW w:w="446" w:type="pct"/>
            <w:tcMar>
              <w:left w:w="85" w:type="dxa"/>
              <w:right w:w="57" w:type="dxa"/>
            </w:tcMar>
          </w:tcPr>
          <w:p w14:paraId="273CDA72" w14:textId="77777777" w:rsidR="00C355E9" w:rsidRPr="001A7F2E" w:rsidRDefault="00324184" w:rsidP="001A7F2E">
            <w:pPr>
              <w:pStyle w:val="TableText"/>
            </w:pPr>
            <w:r w:rsidRPr="001A7F2E">
              <w:t>3</w:t>
            </w:r>
          </w:p>
        </w:tc>
        <w:tc>
          <w:tcPr>
            <w:tcW w:w="645" w:type="pct"/>
            <w:shd w:val="clear" w:color="auto" w:fill="auto"/>
            <w:tcMar>
              <w:left w:w="85" w:type="dxa"/>
              <w:right w:w="57" w:type="dxa"/>
            </w:tcMar>
          </w:tcPr>
          <w:p w14:paraId="273CDA73" w14:textId="77777777" w:rsidR="00C355E9" w:rsidRPr="001A7F2E" w:rsidRDefault="00324184" w:rsidP="001A7F2E">
            <w:pPr>
              <w:pStyle w:val="TableText"/>
            </w:pPr>
            <w:r w:rsidRPr="001A7F2E">
              <w:t>Salinity &lt;25</w:t>
            </w:r>
            <w:r w:rsidR="003F599F" w:rsidRPr="009907F5">
              <w:t>‰</w:t>
            </w:r>
          </w:p>
        </w:tc>
        <w:tc>
          <w:tcPr>
            <w:tcW w:w="535" w:type="pct"/>
            <w:tcMar>
              <w:left w:w="85" w:type="dxa"/>
              <w:right w:w="57" w:type="dxa"/>
            </w:tcMar>
          </w:tcPr>
          <w:p w14:paraId="273CDA74" w14:textId="77777777" w:rsidR="00C355E9" w:rsidRPr="001A7F2E" w:rsidRDefault="00324184" w:rsidP="001A7F2E">
            <w:pPr>
              <w:pStyle w:val="TableText"/>
            </w:pPr>
            <w:r w:rsidRPr="001A7F2E">
              <w:t>Stauber et al. (1996)</w:t>
            </w:r>
          </w:p>
        </w:tc>
      </w:tr>
      <w:tr w:rsidR="00091AEB" w14:paraId="273CDA82" w14:textId="77777777" w:rsidTr="00D85C45">
        <w:trPr>
          <w:cantSplit/>
        </w:trPr>
        <w:tc>
          <w:tcPr>
            <w:tcW w:w="447" w:type="pct"/>
            <w:shd w:val="clear" w:color="auto" w:fill="auto"/>
            <w:tcMar>
              <w:left w:w="85" w:type="dxa"/>
              <w:right w:w="57" w:type="dxa"/>
            </w:tcMar>
          </w:tcPr>
          <w:p w14:paraId="273CDA76" w14:textId="77777777" w:rsidR="00C355E9" w:rsidRPr="001A7F2E" w:rsidRDefault="00324184" w:rsidP="001A7F2E">
            <w:pPr>
              <w:pStyle w:val="TableText"/>
            </w:pPr>
            <w:r w:rsidRPr="001A7F2E">
              <w:t>Mollusc</w:t>
            </w:r>
          </w:p>
        </w:tc>
        <w:tc>
          <w:tcPr>
            <w:tcW w:w="644" w:type="pct"/>
            <w:shd w:val="clear" w:color="auto" w:fill="auto"/>
            <w:tcMar>
              <w:left w:w="85" w:type="dxa"/>
              <w:right w:w="57" w:type="dxa"/>
            </w:tcMar>
          </w:tcPr>
          <w:p w14:paraId="273CDA77" w14:textId="77777777" w:rsidR="00C355E9" w:rsidRPr="001A7F2E" w:rsidRDefault="00324184" w:rsidP="001A7F2E">
            <w:pPr>
              <w:pStyle w:val="TableText"/>
            </w:pPr>
            <w:r w:rsidRPr="00F23917">
              <w:rPr>
                <w:rStyle w:val="Emphasis"/>
              </w:rPr>
              <w:t>Nassarius dorsatus</w:t>
            </w:r>
          </w:p>
        </w:tc>
        <w:tc>
          <w:tcPr>
            <w:tcW w:w="397" w:type="pct"/>
            <w:shd w:val="clear" w:color="auto" w:fill="auto"/>
            <w:tcMar>
              <w:left w:w="85" w:type="dxa"/>
              <w:right w:w="57" w:type="dxa"/>
            </w:tcMar>
          </w:tcPr>
          <w:p w14:paraId="273CDA78" w14:textId="77777777" w:rsidR="00C355E9" w:rsidRPr="001A7F2E" w:rsidRDefault="00324184" w:rsidP="001A7F2E">
            <w:pPr>
              <w:pStyle w:val="TableText"/>
            </w:pPr>
            <w:r w:rsidRPr="001A7F2E">
              <w:t>Larvae</w:t>
            </w:r>
          </w:p>
        </w:tc>
        <w:tc>
          <w:tcPr>
            <w:tcW w:w="298" w:type="pct"/>
            <w:tcMar>
              <w:left w:w="85" w:type="dxa"/>
              <w:right w:w="57" w:type="dxa"/>
            </w:tcMar>
          </w:tcPr>
          <w:p w14:paraId="273CDA79" w14:textId="77777777" w:rsidR="00C355E9" w:rsidRPr="001A7F2E" w:rsidRDefault="00324184" w:rsidP="001A7F2E">
            <w:pPr>
              <w:pStyle w:val="TableText"/>
            </w:pPr>
            <w:r w:rsidRPr="001A7F2E">
              <w:t>4</w:t>
            </w:r>
          </w:p>
        </w:tc>
        <w:tc>
          <w:tcPr>
            <w:tcW w:w="397" w:type="pct"/>
            <w:tcMar>
              <w:left w:w="28" w:type="dxa"/>
              <w:right w:w="0" w:type="dxa"/>
            </w:tcMar>
          </w:tcPr>
          <w:p w14:paraId="273CDA7A" w14:textId="77777777" w:rsidR="00C355E9" w:rsidRPr="001A7F2E" w:rsidRDefault="00324184" w:rsidP="001A7F2E">
            <w:pPr>
              <w:pStyle w:val="TableText"/>
            </w:pPr>
            <w:r w:rsidRPr="001A7F2E">
              <w:t>Growth</w:t>
            </w:r>
          </w:p>
        </w:tc>
        <w:tc>
          <w:tcPr>
            <w:tcW w:w="348" w:type="pct"/>
            <w:shd w:val="clear" w:color="auto" w:fill="auto"/>
            <w:tcMar>
              <w:left w:w="85" w:type="dxa"/>
              <w:right w:w="57" w:type="dxa"/>
            </w:tcMar>
          </w:tcPr>
          <w:p w14:paraId="273CDA7B" w14:textId="77777777" w:rsidR="00C355E9" w:rsidRPr="001A7F2E" w:rsidRDefault="00324184" w:rsidP="001A7F2E">
            <w:pPr>
              <w:pStyle w:val="TableText"/>
            </w:pPr>
            <w:r w:rsidRPr="001A7F2E">
              <w:t>EC10</w:t>
            </w:r>
          </w:p>
        </w:tc>
        <w:tc>
          <w:tcPr>
            <w:tcW w:w="248" w:type="pct"/>
            <w:tcMar>
              <w:left w:w="85" w:type="dxa"/>
              <w:right w:w="57" w:type="dxa"/>
            </w:tcMar>
          </w:tcPr>
          <w:p w14:paraId="273CDA7C" w14:textId="77777777" w:rsidR="00C355E9" w:rsidRPr="001A7F2E" w:rsidRDefault="00324184" w:rsidP="001A7F2E">
            <w:pPr>
              <w:pStyle w:val="TableText"/>
            </w:pPr>
            <w:r w:rsidRPr="001A7F2E">
              <w:t>34</w:t>
            </w:r>
          </w:p>
        </w:tc>
        <w:tc>
          <w:tcPr>
            <w:tcW w:w="248" w:type="pct"/>
            <w:tcMar>
              <w:left w:w="85" w:type="dxa"/>
              <w:right w:w="57" w:type="dxa"/>
            </w:tcMar>
          </w:tcPr>
          <w:p w14:paraId="273CDA7D" w14:textId="77777777" w:rsidR="00C355E9" w:rsidRPr="001A7F2E" w:rsidRDefault="00324184" w:rsidP="001A7F2E">
            <w:pPr>
              <w:pStyle w:val="TableText"/>
            </w:pPr>
            <w:r w:rsidRPr="001A7F2E">
              <w:t>24</w:t>
            </w:r>
            <w:r w:rsidR="006A6386">
              <w:t>–</w:t>
            </w:r>
            <w:r w:rsidRPr="001A7F2E">
              <w:t>31</w:t>
            </w:r>
          </w:p>
        </w:tc>
        <w:tc>
          <w:tcPr>
            <w:tcW w:w="347" w:type="pct"/>
            <w:tcMar>
              <w:left w:w="85" w:type="dxa"/>
              <w:right w:w="57" w:type="dxa"/>
            </w:tcMar>
          </w:tcPr>
          <w:p w14:paraId="273CDA7E" w14:textId="77777777" w:rsidR="00C355E9" w:rsidRPr="001A7F2E" w:rsidRDefault="00324184" w:rsidP="001A7F2E">
            <w:pPr>
              <w:pStyle w:val="TableText"/>
            </w:pPr>
            <w:r w:rsidRPr="001A7F2E">
              <w:t>3.1</w:t>
            </w:r>
          </w:p>
        </w:tc>
        <w:tc>
          <w:tcPr>
            <w:tcW w:w="446" w:type="pct"/>
            <w:tcMar>
              <w:left w:w="85" w:type="dxa"/>
              <w:right w:w="57" w:type="dxa"/>
            </w:tcMar>
          </w:tcPr>
          <w:p w14:paraId="273CDA7F" w14:textId="77777777" w:rsidR="00C355E9" w:rsidRPr="001A7F2E" w:rsidRDefault="00324184" w:rsidP="001A7F2E">
            <w:pPr>
              <w:pStyle w:val="TableText"/>
            </w:pPr>
            <w:r w:rsidRPr="001A7F2E">
              <w:t>3.1</w:t>
            </w:r>
          </w:p>
        </w:tc>
        <w:tc>
          <w:tcPr>
            <w:tcW w:w="645" w:type="pct"/>
            <w:shd w:val="clear" w:color="auto" w:fill="auto"/>
            <w:tcMar>
              <w:left w:w="85" w:type="dxa"/>
              <w:right w:w="57" w:type="dxa"/>
            </w:tcMar>
          </w:tcPr>
          <w:p w14:paraId="273CDA80" w14:textId="77777777" w:rsidR="00C355E9" w:rsidRPr="001A7F2E" w:rsidRDefault="00324184" w:rsidP="001A7F2E">
            <w:pPr>
              <w:pStyle w:val="TableText"/>
            </w:pPr>
            <w:r w:rsidRPr="001A7F2E">
              <w:t>DOC &gt;2 (2.4</w:t>
            </w:r>
            <w:r w:rsidR="003F599F">
              <w:t> </w:t>
            </w:r>
            <w:r w:rsidRPr="001A7F2E">
              <w:t>mg/L)</w:t>
            </w:r>
          </w:p>
        </w:tc>
        <w:tc>
          <w:tcPr>
            <w:tcW w:w="535" w:type="pct"/>
            <w:tcMar>
              <w:left w:w="85" w:type="dxa"/>
              <w:right w:w="57" w:type="dxa"/>
            </w:tcMar>
          </w:tcPr>
          <w:p w14:paraId="273CDA81" w14:textId="77777777" w:rsidR="00C355E9" w:rsidRPr="001A7F2E" w:rsidRDefault="00324184" w:rsidP="001A7F2E">
            <w:pPr>
              <w:pStyle w:val="TableText"/>
            </w:pPr>
            <w:r w:rsidRPr="001A7F2E">
              <w:t>Trenfield et al</w:t>
            </w:r>
            <w:r w:rsidR="001F3A48">
              <w:t>.</w:t>
            </w:r>
            <w:r w:rsidRPr="001A7F2E">
              <w:t xml:space="preserve"> (2016)</w:t>
            </w:r>
          </w:p>
        </w:tc>
      </w:tr>
      <w:tr w:rsidR="00091AEB" w14:paraId="273CDA8F" w14:textId="77777777" w:rsidTr="00D85C45">
        <w:trPr>
          <w:cantSplit/>
        </w:trPr>
        <w:tc>
          <w:tcPr>
            <w:tcW w:w="447" w:type="pct"/>
            <w:shd w:val="clear" w:color="auto" w:fill="auto"/>
            <w:tcMar>
              <w:left w:w="85" w:type="dxa"/>
              <w:right w:w="57" w:type="dxa"/>
            </w:tcMar>
          </w:tcPr>
          <w:p w14:paraId="273CDA83" w14:textId="77777777" w:rsidR="00C355E9" w:rsidRPr="001A7F2E" w:rsidRDefault="00324184" w:rsidP="001A7F2E">
            <w:pPr>
              <w:pStyle w:val="TableText"/>
            </w:pPr>
            <w:r w:rsidRPr="001A7F2E">
              <w:t>Mollusc</w:t>
            </w:r>
          </w:p>
        </w:tc>
        <w:tc>
          <w:tcPr>
            <w:tcW w:w="644" w:type="pct"/>
            <w:shd w:val="clear" w:color="auto" w:fill="auto"/>
            <w:tcMar>
              <w:left w:w="85" w:type="dxa"/>
              <w:right w:w="57" w:type="dxa"/>
            </w:tcMar>
          </w:tcPr>
          <w:p w14:paraId="273CDA84" w14:textId="77777777" w:rsidR="00C355E9" w:rsidRPr="00F23917" w:rsidRDefault="00324184" w:rsidP="001A7F2E">
            <w:pPr>
              <w:pStyle w:val="TableText"/>
              <w:rPr>
                <w:rStyle w:val="Emphasis"/>
              </w:rPr>
            </w:pPr>
            <w:r w:rsidRPr="00F23917">
              <w:rPr>
                <w:rStyle w:val="Emphasis"/>
              </w:rPr>
              <w:t>Haliotis rubra</w:t>
            </w:r>
          </w:p>
        </w:tc>
        <w:tc>
          <w:tcPr>
            <w:tcW w:w="397" w:type="pct"/>
            <w:shd w:val="clear" w:color="auto" w:fill="auto"/>
            <w:tcMar>
              <w:left w:w="85" w:type="dxa"/>
              <w:right w:w="57" w:type="dxa"/>
            </w:tcMar>
          </w:tcPr>
          <w:p w14:paraId="273CDA85" w14:textId="77777777" w:rsidR="00C355E9" w:rsidRPr="001A7F2E" w:rsidRDefault="00324184" w:rsidP="001A7F2E">
            <w:pPr>
              <w:pStyle w:val="TableText"/>
            </w:pPr>
            <w:r w:rsidRPr="001A7F2E">
              <w:t>Embryo</w:t>
            </w:r>
          </w:p>
        </w:tc>
        <w:tc>
          <w:tcPr>
            <w:tcW w:w="298" w:type="pct"/>
            <w:tcMar>
              <w:left w:w="85" w:type="dxa"/>
              <w:right w:w="57" w:type="dxa"/>
            </w:tcMar>
          </w:tcPr>
          <w:p w14:paraId="273CDA86" w14:textId="77777777" w:rsidR="00C355E9" w:rsidRPr="001A7F2E" w:rsidRDefault="00324184" w:rsidP="001A7F2E">
            <w:pPr>
              <w:pStyle w:val="TableText"/>
            </w:pPr>
            <w:r w:rsidRPr="001A7F2E">
              <w:t>2</w:t>
            </w:r>
          </w:p>
        </w:tc>
        <w:tc>
          <w:tcPr>
            <w:tcW w:w="397" w:type="pct"/>
            <w:tcMar>
              <w:left w:w="28" w:type="dxa"/>
              <w:right w:w="0" w:type="dxa"/>
            </w:tcMar>
          </w:tcPr>
          <w:p w14:paraId="273CDA87"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A88" w14:textId="77777777" w:rsidR="00C355E9" w:rsidRPr="001A7F2E" w:rsidRDefault="00324184" w:rsidP="001A7F2E">
            <w:pPr>
              <w:pStyle w:val="TableText"/>
            </w:pPr>
            <w:r w:rsidRPr="001A7F2E">
              <w:t>EC10</w:t>
            </w:r>
          </w:p>
        </w:tc>
        <w:tc>
          <w:tcPr>
            <w:tcW w:w="248" w:type="pct"/>
            <w:tcMar>
              <w:left w:w="85" w:type="dxa"/>
              <w:right w:w="57" w:type="dxa"/>
            </w:tcMar>
          </w:tcPr>
          <w:p w14:paraId="273CDA89" w14:textId="77777777" w:rsidR="00C355E9" w:rsidRPr="001A7F2E" w:rsidRDefault="00324184" w:rsidP="001A7F2E">
            <w:pPr>
              <w:pStyle w:val="TableText"/>
            </w:pPr>
            <w:r>
              <w:t>–</w:t>
            </w:r>
          </w:p>
        </w:tc>
        <w:tc>
          <w:tcPr>
            <w:tcW w:w="248" w:type="pct"/>
            <w:tcMar>
              <w:left w:w="85" w:type="dxa"/>
              <w:right w:w="57" w:type="dxa"/>
            </w:tcMar>
          </w:tcPr>
          <w:p w14:paraId="273CDA8A" w14:textId="77777777" w:rsidR="00C355E9" w:rsidRPr="001A7F2E" w:rsidRDefault="00324184" w:rsidP="001A7F2E">
            <w:pPr>
              <w:pStyle w:val="TableText"/>
            </w:pPr>
            <w:r w:rsidRPr="001A7F2E">
              <w:t>20</w:t>
            </w:r>
          </w:p>
        </w:tc>
        <w:tc>
          <w:tcPr>
            <w:tcW w:w="347" w:type="pct"/>
            <w:tcMar>
              <w:left w:w="85" w:type="dxa"/>
              <w:right w:w="57" w:type="dxa"/>
            </w:tcMar>
          </w:tcPr>
          <w:p w14:paraId="273CDA8B" w14:textId="77777777" w:rsidR="00C355E9" w:rsidRPr="001A7F2E" w:rsidRDefault="00324184" w:rsidP="001A7F2E">
            <w:pPr>
              <w:pStyle w:val="TableText"/>
            </w:pPr>
            <w:r w:rsidRPr="001A7F2E">
              <w:t>3.7</w:t>
            </w:r>
          </w:p>
        </w:tc>
        <w:tc>
          <w:tcPr>
            <w:tcW w:w="446" w:type="pct"/>
            <w:tcMar>
              <w:left w:w="85" w:type="dxa"/>
              <w:right w:w="57" w:type="dxa"/>
            </w:tcMar>
          </w:tcPr>
          <w:p w14:paraId="273CDA8C" w14:textId="77777777" w:rsidR="00C355E9" w:rsidRPr="001A7F2E" w:rsidRDefault="00324184" w:rsidP="001A7F2E">
            <w:pPr>
              <w:pStyle w:val="TableText"/>
            </w:pPr>
            <w:r w:rsidRPr="001A7F2E">
              <w:t>3.7</w:t>
            </w:r>
          </w:p>
        </w:tc>
        <w:tc>
          <w:tcPr>
            <w:tcW w:w="645" w:type="pct"/>
            <w:shd w:val="clear" w:color="auto" w:fill="auto"/>
            <w:tcMar>
              <w:left w:w="85" w:type="dxa"/>
              <w:right w:w="57" w:type="dxa"/>
            </w:tcMar>
          </w:tcPr>
          <w:p w14:paraId="273CDA8D"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A8E" w14:textId="77777777" w:rsidR="00C355E9" w:rsidRPr="001A7F2E" w:rsidRDefault="00324184" w:rsidP="001A7F2E">
            <w:pPr>
              <w:pStyle w:val="TableText"/>
            </w:pPr>
            <w:r w:rsidRPr="001A7F2E">
              <w:t>Gorski &amp; Nugegoda (2006)</w:t>
            </w:r>
          </w:p>
        </w:tc>
      </w:tr>
      <w:tr w:rsidR="00091AEB" w14:paraId="273CDA9C" w14:textId="77777777" w:rsidTr="00D85C45">
        <w:trPr>
          <w:cantSplit/>
        </w:trPr>
        <w:tc>
          <w:tcPr>
            <w:tcW w:w="447" w:type="pct"/>
            <w:shd w:val="clear" w:color="auto" w:fill="auto"/>
            <w:tcMar>
              <w:left w:w="85" w:type="dxa"/>
              <w:right w:w="57" w:type="dxa"/>
            </w:tcMar>
          </w:tcPr>
          <w:p w14:paraId="273CDA90" w14:textId="77777777" w:rsidR="00C355E9" w:rsidRPr="001A7F2E" w:rsidRDefault="00324184" w:rsidP="001A7F2E">
            <w:pPr>
              <w:pStyle w:val="TableText"/>
            </w:pPr>
            <w:r w:rsidRPr="001A7F2E">
              <w:t>Crustacean</w:t>
            </w:r>
          </w:p>
        </w:tc>
        <w:tc>
          <w:tcPr>
            <w:tcW w:w="644" w:type="pct"/>
            <w:shd w:val="clear" w:color="auto" w:fill="auto"/>
            <w:tcMar>
              <w:left w:w="85" w:type="dxa"/>
              <w:right w:w="57" w:type="dxa"/>
            </w:tcMar>
          </w:tcPr>
          <w:p w14:paraId="273CDA91" w14:textId="77777777" w:rsidR="00C355E9" w:rsidRPr="001A7F2E" w:rsidRDefault="00324184" w:rsidP="001A7F2E">
            <w:pPr>
              <w:pStyle w:val="TableText"/>
            </w:pPr>
            <w:r w:rsidRPr="00F23917">
              <w:rPr>
                <w:rStyle w:val="Emphasis"/>
              </w:rPr>
              <w:t>Moina mongolica</w:t>
            </w:r>
            <w:r w:rsidRPr="001A7F2E">
              <w:t xml:space="preserve"> </w:t>
            </w:r>
          </w:p>
        </w:tc>
        <w:tc>
          <w:tcPr>
            <w:tcW w:w="397" w:type="pct"/>
            <w:shd w:val="clear" w:color="auto" w:fill="auto"/>
            <w:tcMar>
              <w:left w:w="85" w:type="dxa"/>
              <w:right w:w="57" w:type="dxa"/>
            </w:tcMar>
          </w:tcPr>
          <w:p w14:paraId="273CDA92" w14:textId="77777777" w:rsidR="00C355E9" w:rsidRPr="001A7F2E" w:rsidRDefault="00324184" w:rsidP="001A7F2E">
            <w:pPr>
              <w:pStyle w:val="TableText"/>
            </w:pPr>
            <w:r w:rsidRPr="001A7F2E">
              <w:t>Neonate</w:t>
            </w:r>
          </w:p>
        </w:tc>
        <w:tc>
          <w:tcPr>
            <w:tcW w:w="298" w:type="pct"/>
            <w:tcMar>
              <w:left w:w="85" w:type="dxa"/>
              <w:right w:w="57" w:type="dxa"/>
            </w:tcMar>
          </w:tcPr>
          <w:p w14:paraId="273CDA93" w14:textId="77777777" w:rsidR="00C355E9" w:rsidRPr="001A7F2E" w:rsidRDefault="00324184" w:rsidP="001A7F2E">
            <w:pPr>
              <w:pStyle w:val="TableText"/>
            </w:pPr>
            <w:r w:rsidRPr="001A7F2E">
              <w:t>21</w:t>
            </w:r>
          </w:p>
        </w:tc>
        <w:tc>
          <w:tcPr>
            <w:tcW w:w="397" w:type="pct"/>
            <w:tcMar>
              <w:left w:w="28" w:type="dxa"/>
              <w:right w:w="0" w:type="dxa"/>
            </w:tcMar>
          </w:tcPr>
          <w:p w14:paraId="273CDA94" w14:textId="77777777" w:rsidR="00C355E9" w:rsidRPr="001A7F2E" w:rsidRDefault="00324184" w:rsidP="001A7F2E">
            <w:pPr>
              <w:pStyle w:val="TableText"/>
            </w:pPr>
            <w:r w:rsidRPr="001A7F2E">
              <w:t>Reproduction</w:t>
            </w:r>
          </w:p>
        </w:tc>
        <w:tc>
          <w:tcPr>
            <w:tcW w:w="348" w:type="pct"/>
            <w:shd w:val="clear" w:color="auto" w:fill="auto"/>
            <w:tcMar>
              <w:left w:w="85" w:type="dxa"/>
              <w:right w:w="57" w:type="dxa"/>
            </w:tcMar>
          </w:tcPr>
          <w:p w14:paraId="273CDA95" w14:textId="77777777" w:rsidR="00C355E9" w:rsidRPr="001A7F2E" w:rsidRDefault="00324184" w:rsidP="001A7F2E">
            <w:pPr>
              <w:pStyle w:val="TableText"/>
            </w:pPr>
            <w:r w:rsidRPr="001A7F2E">
              <w:t>EC20</w:t>
            </w:r>
          </w:p>
        </w:tc>
        <w:tc>
          <w:tcPr>
            <w:tcW w:w="248" w:type="pct"/>
            <w:tcMar>
              <w:left w:w="85" w:type="dxa"/>
              <w:right w:w="57" w:type="dxa"/>
            </w:tcMar>
          </w:tcPr>
          <w:p w14:paraId="273CDA96" w14:textId="77777777" w:rsidR="00C355E9" w:rsidRPr="001A7F2E" w:rsidRDefault="00324184" w:rsidP="001A7F2E">
            <w:pPr>
              <w:pStyle w:val="TableText"/>
            </w:pPr>
            <w:r w:rsidRPr="001A7F2E">
              <w:t>10</w:t>
            </w:r>
          </w:p>
        </w:tc>
        <w:tc>
          <w:tcPr>
            <w:tcW w:w="248" w:type="pct"/>
            <w:tcMar>
              <w:left w:w="85" w:type="dxa"/>
              <w:right w:w="57" w:type="dxa"/>
            </w:tcMar>
          </w:tcPr>
          <w:p w14:paraId="273CDA97" w14:textId="77777777" w:rsidR="00C355E9" w:rsidRPr="001A7F2E" w:rsidRDefault="00324184" w:rsidP="001A7F2E">
            <w:pPr>
              <w:pStyle w:val="TableText"/>
            </w:pPr>
            <w:r w:rsidRPr="001A7F2E">
              <w:t>20</w:t>
            </w:r>
          </w:p>
        </w:tc>
        <w:tc>
          <w:tcPr>
            <w:tcW w:w="347" w:type="pct"/>
            <w:tcMar>
              <w:left w:w="85" w:type="dxa"/>
              <w:right w:w="57" w:type="dxa"/>
            </w:tcMar>
          </w:tcPr>
          <w:p w14:paraId="273CDA98" w14:textId="77777777" w:rsidR="00C355E9" w:rsidRPr="001A7F2E" w:rsidRDefault="00324184" w:rsidP="001A7F2E">
            <w:pPr>
              <w:pStyle w:val="TableText"/>
            </w:pPr>
            <w:r w:rsidRPr="001A7F2E">
              <w:t>3.8</w:t>
            </w:r>
          </w:p>
        </w:tc>
        <w:tc>
          <w:tcPr>
            <w:tcW w:w="446" w:type="pct"/>
            <w:tcMar>
              <w:left w:w="85" w:type="dxa"/>
              <w:right w:w="57" w:type="dxa"/>
            </w:tcMar>
          </w:tcPr>
          <w:p w14:paraId="273CDA99" w14:textId="77777777" w:rsidR="00C355E9" w:rsidRPr="001A7F2E" w:rsidRDefault="00324184" w:rsidP="001A7F2E">
            <w:pPr>
              <w:pStyle w:val="TableText"/>
            </w:pPr>
            <w:r w:rsidRPr="001A7F2E">
              <w:t>3.8</w:t>
            </w:r>
          </w:p>
        </w:tc>
        <w:tc>
          <w:tcPr>
            <w:tcW w:w="645" w:type="pct"/>
            <w:shd w:val="clear" w:color="auto" w:fill="auto"/>
            <w:tcMar>
              <w:left w:w="85" w:type="dxa"/>
              <w:right w:w="57" w:type="dxa"/>
            </w:tcMar>
          </w:tcPr>
          <w:p w14:paraId="273CDA9A" w14:textId="77777777" w:rsidR="00C355E9" w:rsidRPr="001A7F2E" w:rsidRDefault="00324184" w:rsidP="001A7F2E">
            <w:pPr>
              <w:pStyle w:val="TableText"/>
            </w:pPr>
            <w:r w:rsidRPr="001A7F2E">
              <w:t>Salinity &lt;25</w:t>
            </w:r>
            <w:r w:rsidR="003F599F" w:rsidRPr="009907F5">
              <w:t>‰</w:t>
            </w:r>
          </w:p>
        </w:tc>
        <w:tc>
          <w:tcPr>
            <w:tcW w:w="535" w:type="pct"/>
            <w:tcMar>
              <w:left w:w="85" w:type="dxa"/>
              <w:right w:w="57" w:type="dxa"/>
            </w:tcMar>
          </w:tcPr>
          <w:p w14:paraId="273CDA9B" w14:textId="77777777" w:rsidR="00C355E9" w:rsidRPr="001A7F2E" w:rsidRDefault="00324184" w:rsidP="001A7F2E">
            <w:pPr>
              <w:pStyle w:val="TableText"/>
            </w:pPr>
            <w:r w:rsidRPr="001A7F2E">
              <w:t>Wang et al. (2007a)</w:t>
            </w:r>
          </w:p>
        </w:tc>
      </w:tr>
      <w:tr w:rsidR="00091AEB" w14:paraId="273CDAA9" w14:textId="77777777" w:rsidTr="00D85C45">
        <w:trPr>
          <w:cantSplit/>
        </w:trPr>
        <w:tc>
          <w:tcPr>
            <w:tcW w:w="447" w:type="pct"/>
            <w:shd w:val="clear" w:color="auto" w:fill="auto"/>
            <w:tcMar>
              <w:left w:w="85" w:type="dxa"/>
              <w:right w:w="57" w:type="dxa"/>
            </w:tcMar>
          </w:tcPr>
          <w:p w14:paraId="273CDA9D" w14:textId="77777777" w:rsidR="00C355E9" w:rsidRPr="001A7F2E" w:rsidRDefault="00324184" w:rsidP="001A7F2E">
            <w:pPr>
              <w:pStyle w:val="TableText"/>
            </w:pPr>
            <w:r w:rsidRPr="001A7F2E">
              <w:t>Echinoderm</w:t>
            </w:r>
          </w:p>
        </w:tc>
        <w:tc>
          <w:tcPr>
            <w:tcW w:w="644" w:type="pct"/>
            <w:shd w:val="clear" w:color="auto" w:fill="auto"/>
            <w:tcMar>
              <w:left w:w="85" w:type="dxa"/>
              <w:right w:w="57" w:type="dxa"/>
            </w:tcMar>
          </w:tcPr>
          <w:p w14:paraId="273CDA9E" w14:textId="77777777" w:rsidR="00C355E9" w:rsidRPr="001A7F2E" w:rsidRDefault="00324184" w:rsidP="001A7F2E">
            <w:pPr>
              <w:pStyle w:val="TableText"/>
            </w:pPr>
            <w:r w:rsidRPr="00F23917">
              <w:rPr>
                <w:rStyle w:val="Emphasis"/>
              </w:rPr>
              <w:t>Centrostephanus rodgersii</w:t>
            </w:r>
            <w:r w:rsidRPr="001A7F2E">
              <w:t xml:space="preserve"> </w:t>
            </w:r>
          </w:p>
        </w:tc>
        <w:tc>
          <w:tcPr>
            <w:tcW w:w="397" w:type="pct"/>
            <w:shd w:val="clear" w:color="auto" w:fill="auto"/>
            <w:tcMar>
              <w:left w:w="85" w:type="dxa"/>
              <w:right w:w="57" w:type="dxa"/>
            </w:tcMar>
          </w:tcPr>
          <w:p w14:paraId="273CDA9F" w14:textId="77777777" w:rsidR="00C355E9" w:rsidRPr="001A7F2E" w:rsidRDefault="00324184" w:rsidP="001A7F2E">
            <w:pPr>
              <w:pStyle w:val="TableText"/>
            </w:pPr>
            <w:r w:rsidRPr="001A7F2E">
              <w:t>Sperm</w:t>
            </w:r>
          </w:p>
        </w:tc>
        <w:tc>
          <w:tcPr>
            <w:tcW w:w="298" w:type="pct"/>
            <w:tcMar>
              <w:left w:w="85" w:type="dxa"/>
              <w:right w:w="57" w:type="dxa"/>
            </w:tcMar>
          </w:tcPr>
          <w:p w14:paraId="273CDAA0" w14:textId="77777777" w:rsidR="00C355E9" w:rsidRPr="001A7F2E" w:rsidRDefault="00324184" w:rsidP="001A7F2E">
            <w:pPr>
              <w:pStyle w:val="TableText"/>
            </w:pPr>
            <w:r w:rsidRPr="001A7F2E">
              <w:t>0.055</w:t>
            </w:r>
          </w:p>
        </w:tc>
        <w:tc>
          <w:tcPr>
            <w:tcW w:w="397" w:type="pct"/>
            <w:tcMar>
              <w:left w:w="28" w:type="dxa"/>
              <w:right w:w="0" w:type="dxa"/>
            </w:tcMar>
          </w:tcPr>
          <w:p w14:paraId="273CDAA1" w14:textId="77777777" w:rsidR="00C355E9" w:rsidRPr="001A7F2E" w:rsidRDefault="00324184" w:rsidP="001A7F2E">
            <w:pPr>
              <w:pStyle w:val="TableText"/>
            </w:pPr>
            <w:r w:rsidRPr="001A7F2E">
              <w:t>Fertilisation</w:t>
            </w:r>
          </w:p>
        </w:tc>
        <w:tc>
          <w:tcPr>
            <w:tcW w:w="348" w:type="pct"/>
            <w:shd w:val="clear" w:color="auto" w:fill="auto"/>
            <w:tcMar>
              <w:left w:w="85" w:type="dxa"/>
              <w:right w:w="57" w:type="dxa"/>
            </w:tcMar>
          </w:tcPr>
          <w:p w14:paraId="273CDAA2" w14:textId="77777777" w:rsidR="00C355E9" w:rsidRPr="001A7F2E" w:rsidRDefault="00324184" w:rsidP="001A7F2E">
            <w:pPr>
              <w:pStyle w:val="TableText"/>
            </w:pPr>
            <w:r w:rsidRPr="001A7F2E">
              <w:t>NOEC</w:t>
            </w:r>
          </w:p>
        </w:tc>
        <w:tc>
          <w:tcPr>
            <w:tcW w:w="248" w:type="pct"/>
            <w:tcMar>
              <w:left w:w="85" w:type="dxa"/>
              <w:right w:w="57" w:type="dxa"/>
            </w:tcMar>
          </w:tcPr>
          <w:p w14:paraId="273CDAA3" w14:textId="77777777" w:rsidR="00C355E9" w:rsidRPr="001A7F2E" w:rsidRDefault="00324184" w:rsidP="001A7F2E">
            <w:pPr>
              <w:pStyle w:val="TableText"/>
            </w:pPr>
            <w:r w:rsidRPr="001A7F2E">
              <w:t>35.5</w:t>
            </w:r>
          </w:p>
        </w:tc>
        <w:tc>
          <w:tcPr>
            <w:tcW w:w="248" w:type="pct"/>
            <w:tcMar>
              <w:left w:w="85" w:type="dxa"/>
              <w:right w:w="57" w:type="dxa"/>
            </w:tcMar>
          </w:tcPr>
          <w:p w14:paraId="273CDAA4" w14:textId="77777777" w:rsidR="00C355E9" w:rsidRPr="001A7F2E" w:rsidRDefault="00324184" w:rsidP="001A7F2E">
            <w:pPr>
              <w:pStyle w:val="TableText"/>
            </w:pPr>
            <w:r w:rsidRPr="001A7F2E">
              <w:t>20</w:t>
            </w:r>
          </w:p>
        </w:tc>
        <w:tc>
          <w:tcPr>
            <w:tcW w:w="347" w:type="pct"/>
            <w:tcMar>
              <w:left w:w="85" w:type="dxa"/>
              <w:right w:w="57" w:type="dxa"/>
            </w:tcMar>
          </w:tcPr>
          <w:p w14:paraId="273CDAA5" w14:textId="77777777" w:rsidR="00C355E9" w:rsidRPr="001A7F2E" w:rsidRDefault="00324184" w:rsidP="001A7F2E">
            <w:pPr>
              <w:pStyle w:val="TableText"/>
            </w:pPr>
            <w:r w:rsidRPr="001A7F2E">
              <w:t>4</w:t>
            </w:r>
          </w:p>
        </w:tc>
        <w:tc>
          <w:tcPr>
            <w:tcW w:w="446" w:type="pct"/>
            <w:tcMar>
              <w:left w:w="85" w:type="dxa"/>
              <w:right w:w="57" w:type="dxa"/>
            </w:tcMar>
          </w:tcPr>
          <w:p w14:paraId="273CDAA6" w14:textId="77777777" w:rsidR="00C355E9" w:rsidRPr="001A7F2E" w:rsidRDefault="00324184" w:rsidP="001A7F2E">
            <w:pPr>
              <w:pStyle w:val="TableText"/>
            </w:pPr>
            <w:r w:rsidRPr="001A7F2E">
              <w:t>4</w:t>
            </w:r>
          </w:p>
        </w:tc>
        <w:tc>
          <w:tcPr>
            <w:tcW w:w="645" w:type="pct"/>
            <w:shd w:val="clear" w:color="auto" w:fill="auto"/>
            <w:tcMar>
              <w:left w:w="85" w:type="dxa"/>
              <w:right w:w="57" w:type="dxa"/>
            </w:tcMar>
          </w:tcPr>
          <w:p w14:paraId="273CDAA7"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AA8" w14:textId="77777777" w:rsidR="00C355E9" w:rsidRPr="001A7F2E" w:rsidRDefault="00324184" w:rsidP="001A7F2E">
            <w:pPr>
              <w:pStyle w:val="TableText"/>
            </w:pPr>
            <w:r w:rsidRPr="001A7F2E">
              <w:t>King (1999)</w:t>
            </w:r>
          </w:p>
        </w:tc>
      </w:tr>
      <w:tr w:rsidR="00091AEB" w14:paraId="273CDAB6" w14:textId="77777777" w:rsidTr="00D85C45">
        <w:trPr>
          <w:cantSplit/>
        </w:trPr>
        <w:tc>
          <w:tcPr>
            <w:tcW w:w="447" w:type="pct"/>
            <w:shd w:val="clear" w:color="auto" w:fill="auto"/>
            <w:tcMar>
              <w:left w:w="85" w:type="dxa"/>
              <w:right w:w="57" w:type="dxa"/>
            </w:tcMar>
          </w:tcPr>
          <w:p w14:paraId="273CDAAA" w14:textId="77777777" w:rsidR="00C355E9" w:rsidRPr="001A7F2E" w:rsidRDefault="00324184" w:rsidP="001A7F2E">
            <w:pPr>
              <w:pStyle w:val="TableText"/>
            </w:pPr>
            <w:r w:rsidRPr="001A7F2E">
              <w:t xml:space="preserve">Red </w:t>
            </w:r>
            <w:r w:rsidR="0031376E">
              <w:t>macro</w:t>
            </w:r>
            <w:r w:rsidRPr="001A7F2E">
              <w:t>alga</w:t>
            </w:r>
          </w:p>
        </w:tc>
        <w:tc>
          <w:tcPr>
            <w:tcW w:w="644" w:type="pct"/>
            <w:shd w:val="clear" w:color="auto" w:fill="auto"/>
            <w:tcMar>
              <w:left w:w="85" w:type="dxa"/>
              <w:right w:w="57" w:type="dxa"/>
            </w:tcMar>
          </w:tcPr>
          <w:p w14:paraId="273CDAAB" w14:textId="77777777" w:rsidR="00C355E9" w:rsidRPr="00F23917" w:rsidRDefault="00324184" w:rsidP="001A7F2E">
            <w:pPr>
              <w:pStyle w:val="TableText"/>
              <w:rPr>
                <w:rStyle w:val="Emphasis"/>
              </w:rPr>
            </w:pPr>
            <w:r w:rsidRPr="00F23917">
              <w:rPr>
                <w:rStyle w:val="Emphasis"/>
              </w:rPr>
              <w:t>Ceramium tenuicorne</w:t>
            </w:r>
          </w:p>
        </w:tc>
        <w:tc>
          <w:tcPr>
            <w:tcW w:w="397" w:type="pct"/>
            <w:shd w:val="clear" w:color="auto" w:fill="auto"/>
            <w:tcMar>
              <w:left w:w="85" w:type="dxa"/>
              <w:right w:w="57" w:type="dxa"/>
            </w:tcMar>
          </w:tcPr>
          <w:p w14:paraId="273CDAAC" w14:textId="77777777" w:rsidR="00C355E9" w:rsidRPr="001A7F2E" w:rsidRDefault="00324184" w:rsidP="001A7F2E">
            <w:pPr>
              <w:pStyle w:val="TableText"/>
            </w:pPr>
            <w:r>
              <w:t>–</w:t>
            </w:r>
          </w:p>
        </w:tc>
        <w:tc>
          <w:tcPr>
            <w:tcW w:w="298" w:type="pct"/>
            <w:tcMar>
              <w:left w:w="85" w:type="dxa"/>
              <w:right w:w="57" w:type="dxa"/>
            </w:tcMar>
          </w:tcPr>
          <w:p w14:paraId="273CDAAD" w14:textId="77777777" w:rsidR="00C355E9" w:rsidRPr="001A7F2E" w:rsidRDefault="00324184" w:rsidP="001A7F2E">
            <w:pPr>
              <w:pStyle w:val="TableText"/>
            </w:pPr>
            <w:r w:rsidRPr="001A7F2E">
              <w:t>7</w:t>
            </w:r>
          </w:p>
        </w:tc>
        <w:tc>
          <w:tcPr>
            <w:tcW w:w="397" w:type="pct"/>
            <w:tcMar>
              <w:left w:w="28" w:type="dxa"/>
              <w:right w:w="0" w:type="dxa"/>
            </w:tcMar>
          </w:tcPr>
          <w:p w14:paraId="273CDAAE" w14:textId="77777777" w:rsidR="00C355E9" w:rsidRPr="001A7F2E" w:rsidRDefault="00324184" w:rsidP="001A7F2E">
            <w:pPr>
              <w:pStyle w:val="TableText"/>
            </w:pPr>
            <w:r w:rsidRPr="001A7F2E">
              <w:t>Growth</w:t>
            </w:r>
          </w:p>
        </w:tc>
        <w:tc>
          <w:tcPr>
            <w:tcW w:w="348" w:type="pct"/>
            <w:shd w:val="clear" w:color="auto" w:fill="auto"/>
            <w:tcMar>
              <w:left w:w="85" w:type="dxa"/>
              <w:right w:w="57" w:type="dxa"/>
            </w:tcMar>
          </w:tcPr>
          <w:p w14:paraId="273CDAAF" w14:textId="77777777" w:rsidR="00C355E9" w:rsidRPr="001A7F2E" w:rsidRDefault="00324184" w:rsidP="001A7F2E">
            <w:pPr>
              <w:pStyle w:val="TableText"/>
            </w:pPr>
            <w:r w:rsidRPr="001A7F2E">
              <w:t>EC20</w:t>
            </w:r>
          </w:p>
        </w:tc>
        <w:tc>
          <w:tcPr>
            <w:tcW w:w="248" w:type="pct"/>
            <w:tcMar>
              <w:left w:w="85" w:type="dxa"/>
              <w:right w:w="57" w:type="dxa"/>
            </w:tcMar>
          </w:tcPr>
          <w:p w14:paraId="273CDAB0" w14:textId="77777777" w:rsidR="00C355E9" w:rsidRPr="001A7F2E" w:rsidRDefault="00324184" w:rsidP="001A7F2E">
            <w:pPr>
              <w:pStyle w:val="TableText"/>
            </w:pPr>
            <w:r w:rsidRPr="001A7F2E">
              <w:t>7</w:t>
            </w:r>
          </w:p>
        </w:tc>
        <w:tc>
          <w:tcPr>
            <w:tcW w:w="248" w:type="pct"/>
            <w:tcMar>
              <w:left w:w="85" w:type="dxa"/>
              <w:right w:w="57" w:type="dxa"/>
            </w:tcMar>
          </w:tcPr>
          <w:p w14:paraId="273CDAB1" w14:textId="77777777" w:rsidR="00C355E9" w:rsidRPr="001A7F2E" w:rsidRDefault="00324184" w:rsidP="001A7F2E">
            <w:pPr>
              <w:pStyle w:val="TableText"/>
            </w:pPr>
            <w:r w:rsidRPr="001A7F2E">
              <w:t>22</w:t>
            </w:r>
          </w:p>
        </w:tc>
        <w:tc>
          <w:tcPr>
            <w:tcW w:w="347" w:type="pct"/>
            <w:tcMar>
              <w:left w:w="85" w:type="dxa"/>
              <w:right w:w="57" w:type="dxa"/>
            </w:tcMar>
          </w:tcPr>
          <w:p w14:paraId="273CDAB2" w14:textId="77777777" w:rsidR="00C355E9" w:rsidRPr="001A7F2E" w:rsidRDefault="00324184" w:rsidP="001A7F2E">
            <w:pPr>
              <w:pStyle w:val="TableText"/>
            </w:pPr>
            <w:r w:rsidRPr="001A7F2E">
              <w:t>4</w:t>
            </w:r>
          </w:p>
        </w:tc>
        <w:tc>
          <w:tcPr>
            <w:tcW w:w="446" w:type="pct"/>
            <w:tcMar>
              <w:left w:w="85" w:type="dxa"/>
              <w:right w:w="57" w:type="dxa"/>
            </w:tcMar>
          </w:tcPr>
          <w:p w14:paraId="273CDAB3" w14:textId="77777777" w:rsidR="00C355E9" w:rsidRPr="001A7F2E" w:rsidRDefault="00324184" w:rsidP="001A7F2E">
            <w:pPr>
              <w:pStyle w:val="TableText"/>
            </w:pPr>
            <w:r w:rsidRPr="001A7F2E">
              <w:t>4</w:t>
            </w:r>
          </w:p>
        </w:tc>
        <w:tc>
          <w:tcPr>
            <w:tcW w:w="645" w:type="pct"/>
            <w:shd w:val="clear" w:color="auto" w:fill="auto"/>
            <w:tcMar>
              <w:left w:w="85" w:type="dxa"/>
              <w:right w:w="57" w:type="dxa"/>
            </w:tcMar>
          </w:tcPr>
          <w:p w14:paraId="273CDAB4" w14:textId="77777777" w:rsidR="00C355E9" w:rsidRPr="001A7F2E" w:rsidRDefault="00324184" w:rsidP="001A7F2E">
            <w:pPr>
              <w:pStyle w:val="TableText"/>
            </w:pPr>
            <w:r w:rsidRPr="001A7F2E">
              <w:t>Salinity &lt;25</w:t>
            </w:r>
            <w:r w:rsidR="003F599F" w:rsidRPr="009907F5">
              <w:t>‰</w:t>
            </w:r>
          </w:p>
        </w:tc>
        <w:tc>
          <w:tcPr>
            <w:tcW w:w="535" w:type="pct"/>
            <w:tcMar>
              <w:left w:w="85" w:type="dxa"/>
              <w:right w:w="57" w:type="dxa"/>
            </w:tcMar>
          </w:tcPr>
          <w:p w14:paraId="273CDAB5" w14:textId="77777777" w:rsidR="00C355E9" w:rsidRPr="001A7F2E" w:rsidRDefault="00324184" w:rsidP="001A7F2E">
            <w:pPr>
              <w:pStyle w:val="TableText"/>
            </w:pPr>
            <w:r w:rsidRPr="001A7F2E">
              <w:t>Ytreberg et al. (2010)</w:t>
            </w:r>
          </w:p>
        </w:tc>
      </w:tr>
      <w:tr w:rsidR="00091AEB" w14:paraId="273CDAC3" w14:textId="77777777" w:rsidTr="00D85C45">
        <w:trPr>
          <w:cantSplit/>
        </w:trPr>
        <w:tc>
          <w:tcPr>
            <w:tcW w:w="447" w:type="pct"/>
            <w:shd w:val="clear" w:color="auto" w:fill="auto"/>
            <w:tcMar>
              <w:left w:w="85" w:type="dxa"/>
              <w:right w:w="57" w:type="dxa"/>
            </w:tcMar>
          </w:tcPr>
          <w:p w14:paraId="273CDAB7" w14:textId="77777777" w:rsidR="00C355E9" w:rsidRPr="001A7F2E" w:rsidRDefault="00324184" w:rsidP="001A7F2E">
            <w:pPr>
              <w:pStyle w:val="TableText"/>
            </w:pPr>
            <w:r w:rsidRPr="001A7F2E">
              <w:t>Diatom</w:t>
            </w:r>
          </w:p>
        </w:tc>
        <w:tc>
          <w:tcPr>
            <w:tcW w:w="644" w:type="pct"/>
            <w:shd w:val="clear" w:color="auto" w:fill="auto"/>
            <w:tcMar>
              <w:left w:w="85" w:type="dxa"/>
              <w:right w:w="57" w:type="dxa"/>
            </w:tcMar>
          </w:tcPr>
          <w:p w14:paraId="273CDAB8" w14:textId="77777777" w:rsidR="00C355E9" w:rsidRPr="00F23917" w:rsidRDefault="00324184" w:rsidP="001A7F2E">
            <w:pPr>
              <w:pStyle w:val="TableText"/>
              <w:rPr>
                <w:rStyle w:val="Emphasis"/>
              </w:rPr>
            </w:pPr>
            <w:r w:rsidRPr="00F23917">
              <w:rPr>
                <w:rStyle w:val="Emphasis"/>
              </w:rPr>
              <w:t>Nitzschia paleacea</w:t>
            </w:r>
          </w:p>
        </w:tc>
        <w:tc>
          <w:tcPr>
            <w:tcW w:w="397" w:type="pct"/>
            <w:shd w:val="clear" w:color="auto" w:fill="auto"/>
            <w:tcMar>
              <w:left w:w="85" w:type="dxa"/>
              <w:right w:w="57" w:type="dxa"/>
            </w:tcMar>
          </w:tcPr>
          <w:p w14:paraId="273CDAB9" w14:textId="77777777" w:rsidR="00C355E9" w:rsidRPr="001A7F2E" w:rsidRDefault="00324184" w:rsidP="001A7F2E">
            <w:pPr>
              <w:pStyle w:val="TableText"/>
            </w:pPr>
            <w:r>
              <w:t>Exponential</w:t>
            </w:r>
            <w:r w:rsidRPr="001A7F2E">
              <w:t xml:space="preserve"> growth</w:t>
            </w:r>
          </w:p>
        </w:tc>
        <w:tc>
          <w:tcPr>
            <w:tcW w:w="298" w:type="pct"/>
            <w:tcMar>
              <w:left w:w="85" w:type="dxa"/>
              <w:right w:w="57" w:type="dxa"/>
            </w:tcMar>
          </w:tcPr>
          <w:p w14:paraId="273CDABA" w14:textId="77777777" w:rsidR="00C355E9" w:rsidRPr="001A7F2E" w:rsidRDefault="00324184" w:rsidP="001A7F2E">
            <w:pPr>
              <w:pStyle w:val="TableText"/>
            </w:pPr>
            <w:r w:rsidRPr="001A7F2E">
              <w:t>2</w:t>
            </w:r>
          </w:p>
        </w:tc>
        <w:tc>
          <w:tcPr>
            <w:tcW w:w="397" w:type="pct"/>
            <w:tcMar>
              <w:left w:w="28" w:type="dxa"/>
              <w:right w:w="0" w:type="dxa"/>
            </w:tcMar>
          </w:tcPr>
          <w:p w14:paraId="273CDABB" w14:textId="77777777" w:rsidR="00C355E9" w:rsidRPr="001A7F2E" w:rsidRDefault="00324184" w:rsidP="001A7F2E">
            <w:pPr>
              <w:pStyle w:val="TableText"/>
            </w:pPr>
            <w:r w:rsidRPr="001A7F2E">
              <w:t>Population growth rate</w:t>
            </w:r>
          </w:p>
        </w:tc>
        <w:tc>
          <w:tcPr>
            <w:tcW w:w="348" w:type="pct"/>
            <w:shd w:val="clear" w:color="auto" w:fill="auto"/>
            <w:tcMar>
              <w:left w:w="85" w:type="dxa"/>
              <w:right w:w="57" w:type="dxa"/>
            </w:tcMar>
          </w:tcPr>
          <w:p w14:paraId="273CDABC" w14:textId="77777777" w:rsidR="00C355E9" w:rsidRPr="001A7F2E" w:rsidRDefault="00324184" w:rsidP="001A7F2E">
            <w:pPr>
              <w:pStyle w:val="TableText"/>
            </w:pPr>
            <w:r w:rsidRPr="001A7F2E">
              <w:t>EC50</w:t>
            </w:r>
          </w:p>
        </w:tc>
        <w:tc>
          <w:tcPr>
            <w:tcW w:w="248" w:type="pct"/>
            <w:tcMar>
              <w:left w:w="85" w:type="dxa"/>
              <w:right w:w="57" w:type="dxa"/>
            </w:tcMar>
          </w:tcPr>
          <w:p w14:paraId="273CDABD" w14:textId="77777777" w:rsidR="00C355E9" w:rsidRPr="001A7F2E" w:rsidRDefault="00324184" w:rsidP="001A7F2E">
            <w:pPr>
              <w:pStyle w:val="TableText"/>
            </w:pPr>
            <w:r>
              <w:t>–</w:t>
            </w:r>
          </w:p>
        </w:tc>
        <w:tc>
          <w:tcPr>
            <w:tcW w:w="248" w:type="pct"/>
            <w:tcMar>
              <w:left w:w="85" w:type="dxa"/>
              <w:right w:w="57" w:type="dxa"/>
            </w:tcMar>
          </w:tcPr>
          <w:p w14:paraId="273CDABE" w14:textId="77777777" w:rsidR="00C355E9" w:rsidRPr="001A7F2E" w:rsidRDefault="00324184" w:rsidP="001A7F2E">
            <w:pPr>
              <w:pStyle w:val="TableText"/>
            </w:pPr>
            <w:r w:rsidRPr="001A7F2E">
              <w:t>21</w:t>
            </w:r>
          </w:p>
        </w:tc>
        <w:tc>
          <w:tcPr>
            <w:tcW w:w="347" w:type="pct"/>
            <w:tcMar>
              <w:left w:w="85" w:type="dxa"/>
              <w:right w:w="57" w:type="dxa"/>
            </w:tcMar>
          </w:tcPr>
          <w:p w14:paraId="273CDABF" w14:textId="77777777" w:rsidR="00C355E9" w:rsidRPr="001A7F2E" w:rsidRDefault="00324184" w:rsidP="001A7F2E">
            <w:pPr>
              <w:pStyle w:val="TableText"/>
            </w:pPr>
            <w:r w:rsidRPr="001A7F2E">
              <w:t>23</w:t>
            </w:r>
          </w:p>
        </w:tc>
        <w:tc>
          <w:tcPr>
            <w:tcW w:w="446" w:type="pct"/>
            <w:tcMar>
              <w:left w:w="85" w:type="dxa"/>
              <w:right w:w="57" w:type="dxa"/>
            </w:tcMar>
          </w:tcPr>
          <w:p w14:paraId="273CDAC0" w14:textId="77777777" w:rsidR="00C355E9" w:rsidRPr="001A7F2E" w:rsidRDefault="00324184" w:rsidP="001A7F2E">
            <w:pPr>
              <w:pStyle w:val="TableText"/>
            </w:pPr>
            <w:r w:rsidRPr="001A7F2E">
              <w:t>4.6</w:t>
            </w:r>
          </w:p>
        </w:tc>
        <w:tc>
          <w:tcPr>
            <w:tcW w:w="645" w:type="pct"/>
            <w:shd w:val="clear" w:color="auto" w:fill="auto"/>
            <w:tcMar>
              <w:left w:w="85" w:type="dxa"/>
              <w:right w:w="57" w:type="dxa"/>
            </w:tcMar>
          </w:tcPr>
          <w:p w14:paraId="273CDAC1" w14:textId="77777777" w:rsidR="00C355E9" w:rsidRPr="001A7F2E" w:rsidRDefault="00324184" w:rsidP="001A7F2E">
            <w:pPr>
              <w:pStyle w:val="TableText"/>
            </w:pPr>
            <w:r w:rsidRPr="001A7F2E">
              <w:t>No EC10/NOEC data</w:t>
            </w:r>
          </w:p>
        </w:tc>
        <w:tc>
          <w:tcPr>
            <w:tcW w:w="535" w:type="pct"/>
            <w:tcMar>
              <w:left w:w="85" w:type="dxa"/>
              <w:right w:w="57" w:type="dxa"/>
            </w:tcMar>
          </w:tcPr>
          <w:p w14:paraId="273CDAC2" w14:textId="77777777" w:rsidR="00C355E9" w:rsidRPr="001A7F2E" w:rsidRDefault="00324184" w:rsidP="001A7F2E">
            <w:pPr>
              <w:pStyle w:val="TableText"/>
            </w:pPr>
            <w:r w:rsidRPr="001A7F2E">
              <w:t>Franklin et al. (2001)</w:t>
            </w:r>
          </w:p>
        </w:tc>
      </w:tr>
      <w:tr w:rsidR="00091AEB" w14:paraId="273CDAD0" w14:textId="77777777" w:rsidTr="00D85C45">
        <w:trPr>
          <w:cantSplit/>
        </w:trPr>
        <w:tc>
          <w:tcPr>
            <w:tcW w:w="447" w:type="pct"/>
            <w:shd w:val="clear" w:color="auto" w:fill="auto"/>
            <w:tcMar>
              <w:left w:w="85" w:type="dxa"/>
              <w:right w:w="57" w:type="dxa"/>
            </w:tcMar>
          </w:tcPr>
          <w:p w14:paraId="273CDAC4" w14:textId="77777777" w:rsidR="00C355E9" w:rsidRPr="001A7F2E" w:rsidRDefault="00324184" w:rsidP="001A7F2E">
            <w:pPr>
              <w:pStyle w:val="TableText"/>
            </w:pPr>
            <w:r w:rsidRPr="001A7F2E">
              <w:t>Annelid</w:t>
            </w:r>
          </w:p>
        </w:tc>
        <w:tc>
          <w:tcPr>
            <w:tcW w:w="644" w:type="pct"/>
            <w:shd w:val="clear" w:color="auto" w:fill="auto"/>
            <w:tcMar>
              <w:left w:w="85" w:type="dxa"/>
              <w:right w:w="57" w:type="dxa"/>
            </w:tcMar>
          </w:tcPr>
          <w:p w14:paraId="273CDAC5" w14:textId="77777777" w:rsidR="00C355E9" w:rsidRPr="00F23917" w:rsidRDefault="00324184" w:rsidP="001A7F2E">
            <w:pPr>
              <w:pStyle w:val="TableText"/>
              <w:rPr>
                <w:rStyle w:val="Emphasis"/>
              </w:rPr>
            </w:pPr>
            <w:r w:rsidRPr="00161044">
              <w:rPr>
                <w:rStyle w:val="Emphasis"/>
              </w:rPr>
              <w:t xml:space="preserve">Galeolaria </w:t>
            </w:r>
            <w:r w:rsidRPr="00F23917">
              <w:rPr>
                <w:rStyle w:val="Emphasis"/>
              </w:rPr>
              <w:t>caespitosa</w:t>
            </w:r>
          </w:p>
        </w:tc>
        <w:tc>
          <w:tcPr>
            <w:tcW w:w="397" w:type="pct"/>
            <w:shd w:val="clear" w:color="auto" w:fill="auto"/>
            <w:tcMar>
              <w:left w:w="85" w:type="dxa"/>
              <w:right w:w="57" w:type="dxa"/>
            </w:tcMar>
          </w:tcPr>
          <w:p w14:paraId="273CDAC6" w14:textId="77777777" w:rsidR="00C355E9" w:rsidRPr="001A7F2E" w:rsidRDefault="00324184" w:rsidP="001A7F2E">
            <w:pPr>
              <w:pStyle w:val="TableText"/>
            </w:pPr>
            <w:r w:rsidRPr="001A7F2E">
              <w:t>Gamete</w:t>
            </w:r>
          </w:p>
        </w:tc>
        <w:tc>
          <w:tcPr>
            <w:tcW w:w="298" w:type="pct"/>
            <w:tcMar>
              <w:left w:w="85" w:type="dxa"/>
              <w:right w:w="57" w:type="dxa"/>
            </w:tcMar>
          </w:tcPr>
          <w:p w14:paraId="273CDAC7" w14:textId="77777777" w:rsidR="00C355E9" w:rsidRPr="001A7F2E" w:rsidRDefault="00324184" w:rsidP="001A7F2E">
            <w:pPr>
              <w:pStyle w:val="TableText"/>
            </w:pPr>
            <w:r w:rsidRPr="001A7F2E">
              <w:t>2</w:t>
            </w:r>
          </w:p>
        </w:tc>
        <w:tc>
          <w:tcPr>
            <w:tcW w:w="397" w:type="pct"/>
            <w:tcMar>
              <w:left w:w="28" w:type="dxa"/>
              <w:right w:w="0" w:type="dxa"/>
            </w:tcMar>
          </w:tcPr>
          <w:p w14:paraId="273CDAC8"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AC9" w14:textId="77777777" w:rsidR="00C355E9" w:rsidRPr="001A7F2E" w:rsidRDefault="00324184" w:rsidP="001A7F2E">
            <w:pPr>
              <w:pStyle w:val="TableText"/>
            </w:pPr>
            <w:r w:rsidRPr="001A7F2E">
              <w:t>EC50</w:t>
            </w:r>
          </w:p>
        </w:tc>
        <w:tc>
          <w:tcPr>
            <w:tcW w:w="248" w:type="pct"/>
            <w:tcMar>
              <w:left w:w="85" w:type="dxa"/>
              <w:right w:w="57" w:type="dxa"/>
            </w:tcMar>
          </w:tcPr>
          <w:p w14:paraId="273CDACA" w14:textId="77777777" w:rsidR="00C355E9" w:rsidRPr="001A7F2E" w:rsidRDefault="00324184" w:rsidP="001A7F2E">
            <w:pPr>
              <w:pStyle w:val="TableText"/>
            </w:pPr>
            <w:r w:rsidRPr="001A7F2E">
              <w:t>32</w:t>
            </w:r>
            <w:r w:rsidR="006A6386">
              <w:t>–</w:t>
            </w:r>
            <w:r w:rsidRPr="001A7F2E">
              <w:t>35</w:t>
            </w:r>
          </w:p>
        </w:tc>
        <w:tc>
          <w:tcPr>
            <w:tcW w:w="248" w:type="pct"/>
            <w:tcMar>
              <w:left w:w="85" w:type="dxa"/>
              <w:right w:w="57" w:type="dxa"/>
            </w:tcMar>
          </w:tcPr>
          <w:p w14:paraId="273CDACB" w14:textId="77777777" w:rsidR="00C355E9" w:rsidRPr="001A7F2E" w:rsidRDefault="00324184" w:rsidP="001A7F2E">
            <w:pPr>
              <w:pStyle w:val="TableText"/>
            </w:pPr>
            <w:r w:rsidRPr="001A7F2E">
              <w:t>16</w:t>
            </w:r>
            <w:r w:rsidR="006A6386">
              <w:t>–</w:t>
            </w:r>
            <w:r w:rsidRPr="001A7F2E">
              <w:t>18</w:t>
            </w:r>
          </w:p>
        </w:tc>
        <w:tc>
          <w:tcPr>
            <w:tcW w:w="347" w:type="pct"/>
            <w:tcMar>
              <w:left w:w="85" w:type="dxa"/>
              <w:right w:w="57" w:type="dxa"/>
            </w:tcMar>
          </w:tcPr>
          <w:p w14:paraId="273CDACC" w14:textId="77777777" w:rsidR="00C355E9" w:rsidRPr="001A7F2E" w:rsidRDefault="00324184" w:rsidP="001A7F2E">
            <w:pPr>
              <w:pStyle w:val="TableText"/>
            </w:pPr>
            <w:r w:rsidRPr="001A7F2E">
              <w:t>23</w:t>
            </w:r>
          </w:p>
        </w:tc>
        <w:tc>
          <w:tcPr>
            <w:tcW w:w="446" w:type="pct"/>
            <w:tcMar>
              <w:left w:w="85" w:type="dxa"/>
              <w:right w:w="57" w:type="dxa"/>
            </w:tcMar>
          </w:tcPr>
          <w:p w14:paraId="273CDACD" w14:textId="77777777" w:rsidR="00C355E9" w:rsidRPr="001A7F2E" w:rsidRDefault="00324184" w:rsidP="001A7F2E">
            <w:pPr>
              <w:pStyle w:val="TableText"/>
            </w:pPr>
            <w:r w:rsidRPr="001A7F2E">
              <w:t>4.6</w:t>
            </w:r>
          </w:p>
        </w:tc>
        <w:tc>
          <w:tcPr>
            <w:tcW w:w="645" w:type="pct"/>
            <w:shd w:val="clear" w:color="auto" w:fill="auto"/>
            <w:tcMar>
              <w:left w:w="85" w:type="dxa"/>
              <w:right w:w="57" w:type="dxa"/>
            </w:tcMar>
          </w:tcPr>
          <w:p w14:paraId="273CDACE" w14:textId="77777777" w:rsidR="00C355E9" w:rsidRPr="001A7F2E" w:rsidRDefault="00324184" w:rsidP="001A7F2E">
            <w:pPr>
              <w:pStyle w:val="TableText"/>
            </w:pPr>
            <w:r w:rsidRPr="001A7F2E">
              <w:t>No EC10/NOEC data</w:t>
            </w:r>
          </w:p>
        </w:tc>
        <w:tc>
          <w:tcPr>
            <w:tcW w:w="535" w:type="pct"/>
            <w:tcMar>
              <w:left w:w="85" w:type="dxa"/>
              <w:right w:w="57" w:type="dxa"/>
            </w:tcMar>
          </w:tcPr>
          <w:p w14:paraId="273CDACF" w14:textId="77777777" w:rsidR="00C355E9" w:rsidRPr="001A7F2E" w:rsidRDefault="00324184" w:rsidP="001A7F2E">
            <w:pPr>
              <w:pStyle w:val="TableText"/>
            </w:pPr>
            <w:r w:rsidRPr="001A7F2E">
              <w:t>Ross &amp; Bidwell (2001)</w:t>
            </w:r>
          </w:p>
        </w:tc>
      </w:tr>
      <w:tr w:rsidR="00091AEB" w14:paraId="273CDADD" w14:textId="77777777" w:rsidTr="00D85C45">
        <w:trPr>
          <w:cantSplit/>
        </w:trPr>
        <w:tc>
          <w:tcPr>
            <w:tcW w:w="447" w:type="pct"/>
            <w:shd w:val="clear" w:color="auto" w:fill="auto"/>
            <w:tcMar>
              <w:left w:w="85" w:type="dxa"/>
              <w:right w:w="57" w:type="dxa"/>
            </w:tcMar>
          </w:tcPr>
          <w:p w14:paraId="273CDAD1" w14:textId="77777777" w:rsidR="00C355E9" w:rsidRPr="001A7F2E" w:rsidRDefault="00324184" w:rsidP="001A7F2E">
            <w:pPr>
              <w:pStyle w:val="TableText"/>
            </w:pPr>
            <w:r w:rsidRPr="001A7F2E">
              <w:t xml:space="preserve">Red </w:t>
            </w:r>
            <w:r w:rsidR="004C61C7">
              <w:t>macro</w:t>
            </w:r>
            <w:r w:rsidRPr="001A7F2E">
              <w:t>alga</w:t>
            </w:r>
          </w:p>
        </w:tc>
        <w:tc>
          <w:tcPr>
            <w:tcW w:w="644" w:type="pct"/>
            <w:shd w:val="clear" w:color="auto" w:fill="auto"/>
            <w:tcMar>
              <w:left w:w="85" w:type="dxa"/>
              <w:right w:w="57" w:type="dxa"/>
            </w:tcMar>
          </w:tcPr>
          <w:p w14:paraId="273CDAD2" w14:textId="77777777" w:rsidR="00C355E9" w:rsidRPr="00F23917" w:rsidRDefault="00324184" w:rsidP="001A7F2E">
            <w:pPr>
              <w:pStyle w:val="TableText"/>
              <w:rPr>
                <w:rStyle w:val="Emphasis"/>
              </w:rPr>
            </w:pPr>
            <w:r w:rsidRPr="00F23917">
              <w:rPr>
                <w:rStyle w:val="Emphasis"/>
              </w:rPr>
              <w:t>Champia parvula</w:t>
            </w:r>
          </w:p>
        </w:tc>
        <w:tc>
          <w:tcPr>
            <w:tcW w:w="397" w:type="pct"/>
            <w:shd w:val="clear" w:color="auto" w:fill="auto"/>
            <w:tcMar>
              <w:left w:w="85" w:type="dxa"/>
              <w:right w:w="57" w:type="dxa"/>
            </w:tcMar>
          </w:tcPr>
          <w:p w14:paraId="273CDAD3" w14:textId="77777777" w:rsidR="00C355E9" w:rsidRPr="001A7F2E" w:rsidRDefault="00324184" w:rsidP="001A7F2E">
            <w:pPr>
              <w:pStyle w:val="TableText"/>
            </w:pPr>
            <w:r>
              <w:t>–</w:t>
            </w:r>
          </w:p>
        </w:tc>
        <w:tc>
          <w:tcPr>
            <w:tcW w:w="298" w:type="pct"/>
            <w:tcMar>
              <w:left w:w="85" w:type="dxa"/>
              <w:right w:w="57" w:type="dxa"/>
            </w:tcMar>
          </w:tcPr>
          <w:p w14:paraId="273CDAD4" w14:textId="77777777" w:rsidR="00C355E9" w:rsidRPr="001A7F2E" w:rsidRDefault="00324184" w:rsidP="001A7F2E">
            <w:pPr>
              <w:pStyle w:val="TableText"/>
            </w:pPr>
            <w:r w:rsidRPr="001A7F2E">
              <w:t>14</w:t>
            </w:r>
          </w:p>
        </w:tc>
        <w:tc>
          <w:tcPr>
            <w:tcW w:w="397" w:type="pct"/>
            <w:tcMar>
              <w:left w:w="28" w:type="dxa"/>
              <w:right w:w="0" w:type="dxa"/>
            </w:tcMar>
          </w:tcPr>
          <w:p w14:paraId="273CDAD5" w14:textId="77777777" w:rsidR="00C355E9" w:rsidRPr="001A7F2E" w:rsidRDefault="00324184" w:rsidP="001A7F2E">
            <w:pPr>
              <w:pStyle w:val="TableText"/>
            </w:pPr>
            <w:r w:rsidRPr="001A7F2E">
              <w:t>Reproduction</w:t>
            </w:r>
          </w:p>
        </w:tc>
        <w:tc>
          <w:tcPr>
            <w:tcW w:w="348" w:type="pct"/>
            <w:shd w:val="clear" w:color="auto" w:fill="auto"/>
            <w:tcMar>
              <w:left w:w="85" w:type="dxa"/>
              <w:right w:w="57" w:type="dxa"/>
            </w:tcMar>
          </w:tcPr>
          <w:p w14:paraId="273CDAD6" w14:textId="77777777" w:rsidR="00C355E9" w:rsidRPr="001A7F2E" w:rsidRDefault="00324184" w:rsidP="001A7F2E">
            <w:pPr>
              <w:pStyle w:val="TableText"/>
            </w:pPr>
            <w:r w:rsidRPr="001A7F2E">
              <w:t>MATC</w:t>
            </w:r>
          </w:p>
        </w:tc>
        <w:tc>
          <w:tcPr>
            <w:tcW w:w="248" w:type="pct"/>
            <w:tcMar>
              <w:left w:w="85" w:type="dxa"/>
              <w:right w:w="57" w:type="dxa"/>
            </w:tcMar>
          </w:tcPr>
          <w:p w14:paraId="273CDAD7" w14:textId="77777777" w:rsidR="00C355E9" w:rsidRPr="001A7F2E" w:rsidRDefault="00324184" w:rsidP="001A7F2E">
            <w:pPr>
              <w:pStyle w:val="TableText"/>
            </w:pPr>
            <w:r w:rsidRPr="001A7F2E">
              <w:t>30</w:t>
            </w:r>
          </w:p>
        </w:tc>
        <w:tc>
          <w:tcPr>
            <w:tcW w:w="248" w:type="pct"/>
            <w:tcMar>
              <w:left w:w="85" w:type="dxa"/>
              <w:right w:w="57" w:type="dxa"/>
            </w:tcMar>
          </w:tcPr>
          <w:p w14:paraId="273CDAD8" w14:textId="77777777" w:rsidR="00C355E9" w:rsidRPr="001A7F2E" w:rsidRDefault="00324184" w:rsidP="001A7F2E">
            <w:pPr>
              <w:pStyle w:val="TableText"/>
            </w:pPr>
            <w:r w:rsidRPr="001A7F2E">
              <w:t>20</w:t>
            </w:r>
            <w:r w:rsidR="006A6386">
              <w:t>–</w:t>
            </w:r>
            <w:r w:rsidRPr="001A7F2E">
              <w:t>22</w:t>
            </w:r>
          </w:p>
        </w:tc>
        <w:tc>
          <w:tcPr>
            <w:tcW w:w="347" w:type="pct"/>
            <w:tcMar>
              <w:left w:w="85" w:type="dxa"/>
              <w:right w:w="57" w:type="dxa"/>
            </w:tcMar>
          </w:tcPr>
          <w:p w14:paraId="273CDAD9" w14:textId="77777777" w:rsidR="00C355E9" w:rsidRPr="001A7F2E" w:rsidRDefault="00324184" w:rsidP="001A7F2E">
            <w:pPr>
              <w:pStyle w:val="TableText"/>
            </w:pPr>
            <w:r w:rsidRPr="001A7F2E">
              <w:t>5.1</w:t>
            </w:r>
          </w:p>
        </w:tc>
        <w:tc>
          <w:tcPr>
            <w:tcW w:w="446" w:type="pct"/>
            <w:tcMar>
              <w:left w:w="85" w:type="dxa"/>
              <w:right w:w="57" w:type="dxa"/>
            </w:tcMar>
          </w:tcPr>
          <w:p w14:paraId="273CDADA" w14:textId="77777777" w:rsidR="00C355E9" w:rsidRPr="001A7F2E" w:rsidRDefault="00324184" w:rsidP="001A7F2E">
            <w:pPr>
              <w:pStyle w:val="TableText"/>
            </w:pPr>
            <w:r w:rsidRPr="001A7F2E">
              <w:t>5.1</w:t>
            </w:r>
          </w:p>
        </w:tc>
        <w:tc>
          <w:tcPr>
            <w:tcW w:w="645" w:type="pct"/>
            <w:shd w:val="clear" w:color="auto" w:fill="auto"/>
            <w:tcMar>
              <w:left w:w="85" w:type="dxa"/>
              <w:right w:w="57" w:type="dxa"/>
            </w:tcMar>
          </w:tcPr>
          <w:p w14:paraId="273CDADB" w14:textId="77777777" w:rsidR="00C355E9" w:rsidRPr="001A7F2E" w:rsidRDefault="00324184" w:rsidP="001A7F2E">
            <w:pPr>
              <w:pStyle w:val="TableText"/>
            </w:pPr>
            <w:r w:rsidRPr="001A7F2E">
              <w:t>No EC10/NOEC data</w:t>
            </w:r>
          </w:p>
        </w:tc>
        <w:tc>
          <w:tcPr>
            <w:tcW w:w="535" w:type="pct"/>
            <w:tcMar>
              <w:left w:w="85" w:type="dxa"/>
              <w:right w:w="57" w:type="dxa"/>
            </w:tcMar>
          </w:tcPr>
          <w:p w14:paraId="273CDADC" w14:textId="77777777" w:rsidR="00C355E9" w:rsidRPr="001A7F2E" w:rsidRDefault="00324184" w:rsidP="001A7F2E">
            <w:pPr>
              <w:pStyle w:val="TableText"/>
            </w:pPr>
            <w:r w:rsidRPr="001A7F2E">
              <w:t>Steele &amp; Thursby (1983)</w:t>
            </w:r>
          </w:p>
        </w:tc>
      </w:tr>
      <w:tr w:rsidR="00091AEB" w14:paraId="273CDAEA" w14:textId="77777777" w:rsidTr="00D85C45">
        <w:trPr>
          <w:cantSplit/>
        </w:trPr>
        <w:tc>
          <w:tcPr>
            <w:tcW w:w="447" w:type="pct"/>
            <w:shd w:val="clear" w:color="auto" w:fill="auto"/>
            <w:tcMar>
              <w:left w:w="85" w:type="dxa"/>
              <w:right w:w="57" w:type="dxa"/>
            </w:tcMar>
          </w:tcPr>
          <w:p w14:paraId="273CDADE" w14:textId="77777777" w:rsidR="00C355E9" w:rsidRPr="001A7F2E" w:rsidRDefault="00324184" w:rsidP="001A7F2E">
            <w:pPr>
              <w:pStyle w:val="TableText"/>
            </w:pPr>
            <w:r>
              <w:t>Amphipod</w:t>
            </w:r>
            <w:r w:rsidR="00F52B48">
              <w:t xml:space="preserve"> </w:t>
            </w:r>
          </w:p>
        </w:tc>
        <w:tc>
          <w:tcPr>
            <w:tcW w:w="644" w:type="pct"/>
            <w:shd w:val="clear" w:color="auto" w:fill="auto"/>
            <w:tcMar>
              <w:left w:w="85" w:type="dxa"/>
              <w:right w:w="57" w:type="dxa"/>
            </w:tcMar>
          </w:tcPr>
          <w:p w14:paraId="273CDADF" w14:textId="77777777" w:rsidR="00C355E9" w:rsidRPr="001A7F2E" w:rsidRDefault="00324184" w:rsidP="001A7F2E">
            <w:pPr>
              <w:pStyle w:val="TableText"/>
            </w:pPr>
            <w:r w:rsidRPr="00F23917">
              <w:rPr>
                <w:rStyle w:val="Emphasis"/>
              </w:rPr>
              <w:t>Allorchestes compressa</w:t>
            </w:r>
            <w:r w:rsidRPr="001A7F2E">
              <w:t xml:space="preserve"> </w:t>
            </w:r>
          </w:p>
        </w:tc>
        <w:tc>
          <w:tcPr>
            <w:tcW w:w="397" w:type="pct"/>
            <w:shd w:val="clear" w:color="auto" w:fill="auto"/>
            <w:tcMar>
              <w:left w:w="85" w:type="dxa"/>
              <w:right w:w="57" w:type="dxa"/>
            </w:tcMar>
          </w:tcPr>
          <w:p w14:paraId="273CDAE0" w14:textId="77777777" w:rsidR="00C355E9" w:rsidRPr="001A7F2E" w:rsidRDefault="00324184" w:rsidP="001A7F2E">
            <w:pPr>
              <w:pStyle w:val="TableText"/>
            </w:pPr>
            <w:r w:rsidRPr="001A7F2E">
              <w:t>Juvenile</w:t>
            </w:r>
          </w:p>
        </w:tc>
        <w:tc>
          <w:tcPr>
            <w:tcW w:w="298" w:type="pct"/>
            <w:tcMar>
              <w:left w:w="85" w:type="dxa"/>
              <w:right w:w="57" w:type="dxa"/>
            </w:tcMar>
          </w:tcPr>
          <w:p w14:paraId="273CDAE1" w14:textId="77777777" w:rsidR="00C355E9" w:rsidRPr="001A7F2E" w:rsidRDefault="00324184" w:rsidP="001A7F2E">
            <w:pPr>
              <w:pStyle w:val="TableText"/>
            </w:pPr>
            <w:r w:rsidRPr="001A7F2E">
              <w:t>28</w:t>
            </w:r>
          </w:p>
        </w:tc>
        <w:tc>
          <w:tcPr>
            <w:tcW w:w="397" w:type="pct"/>
            <w:tcMar>
              <w:left w:w="28" w:type="dxa"/>
              <w:right w:w="0" w:type="dxa"/>
            </w:tcMar>
          </w:tcPr>
          <w:p w14:paraId="273CDAE2" w14:textId="77777777" w:rsidR="00C355E9" w:rsidRPr="001A7F2E" w:rsidRDefault="00324184" w:rsidP="001A7F2E">
            <w:pPr>
              <w:pStyle w:val="TableText"/>
            </w:pPr>
            <w:r w:rsidRPr="001A7F2E">
              <w:t>Growth</w:t>
            </w:r>
          </w:p>
        </w:tc>
        <w:tc>
          <w:tcPr>
            <w:tcW w:w="348" w:type="pct"/>
            <w:shd w:val="clear" w:color="auto" w:fill="auto"/>
            <w:tcMar>
              <w:left w:w="85" w:type="dxa"/>
              <w:right w:w="57" w:type="dxa"/>
            </w:tcMar>
          </w:tcPr>
          <w:p w14:paraId="273CDAE3" w14:textId="77777777" w:rsidR="00C355E9" w:rsidRPr="001A7F2E" w:rsidRDefault="00324184" w:rsidP="001A7F2E">
            <w:pPr>
              <w:pStyle w:val="TableText"/>
            </w:pPr>
            <w:r w:rsidRPr="001A7F2E">
              <w:t>MEC</w:t>
            </w:r>
          </w:p>
        </w:tc>
        <w:tc>
          <w:tcPr>
            <w:tcW w:w="248" w:type="pct"/>
            <w:tcMar>
              <w:left w:w="85" w:type="dxa"/>
              <w:right w:w="57" w:type="dxa"/>
            </w:tcMar>
          </w:tcPr>
          <w:p w14:paraId="273CDAE4" w14:textId="77777777" w:rsidR="00C355E9" w:rsidRPr="001A7F2E" w:rsidRDefault="00324184" w:rsidP="001A7F2E">
            <w:pPr>
              <w:pStyle w:val="TableText"/>
            </w:pPr>
            <w:r w:rsidRPr="001A7F2E">
              <w:t>31</w:t>
            </w:r>
          </w:p>
        </w:tc>
        <w:tc>
          <w:tcPr>
            <w:tcW w:w="248" w:type="pct"/>
            <w:tcMar>
              <w:left w:w="85" w:type="dxa"/>
              <w:right w:w="57" w:type="dxa"/>
            </w:tcMar>
          </w:tcPr>
          <w:p w14:paraId="273CDAE5" w14:textId="77777777" w:rsidR="00C355E9" w:rsidRPr="001A7F2E" w:rsidRDefault="00324184" w:rsidP="001A7F2E">
            <w:pPr>
              <w:pStyle w:val="TableText"/>
            </w:pPr>
            <w:r w:rsidRPr="001A7F2E">
              <w:t>19</w:t>
            </w:r>
          </w:p>
        </w:tc>
        <w:tc>
          <w:tcPr>
            <w:tcW w:w="347" w:type="pct"/>
            <w:tcMar>
              <w:left w:w="85" w:type="dxa"/>
              <w:right w:w="57" w:type="dxa"/>
            </w:tcMar>
          </w:tcPr>
          <w:p w14:paraId="273CDAE6" w14:textId="77777777" w:rsidR="00C355E9" w:rsidRPr="001A7F2E" w:rsidRDefault="00324184" w:rsidP="001A7F2E">
            <w:pPr>
              <w:pStyle w:val="TableText"/>
            </w:pPr>
            <w:r w:rsidRPr="001A7F2E">
              <w:t>5.2</w:t>
            </w:r>
          </w:p>
        </w:tc>
        <w:tc>
          <w:tcPr>
            <w:tcW w:w="446" w:type="pct"/>
            <w:tcMar>
              <w:left w:w="85" w:type="dxa"/>
              <w:right w:w="57" w:type="dxa"/>
            </w:tcMar>
          </w:tcPr>
          <w:p w14:paraId="273CDAE7" w14:textId="77777777" w:rsidR="00C355E9" w:rsidRPr="001A7F2E" w:rsidRDefault="00324184" w:rsidP="001A7F2E">
            <w:pPr>
              <w:pStyle w:val="TableText"/>
            </w:pPr>
            <w:r w:rsidRPr="001A7F2E">
              <w:t>5.2</w:t>
            </w:r>
          </w:p>
        </w:tc>
        <w:tc>
          <w:tcPr>
            <w:tcW w:w="645" w:type="pct"/>
            <w:shd w:val="clear" w:color="auto" w:fill="auto"/>
            <w:tcMar>
              <w:left w:w="85" w:type="dxa"/>
              <w:right w:w="57" w:type="dxa"/>
            </w:tcMar>
          </w:tcPr>
          <w:p w14:paraId="273CDAE8" w14:textId="77777777" w:rsidR="00C355E9" w:rsidRPr="001A7F2E" w:rsidRDefault="00324184" w:rsidP="001A7F2E">
            <w:pPr>
              <w:pStyle w:val="TableText"/>
            </w:pPr>
            <w:r w:rsidRPr="001A7F2E">
              <w:t>No EC10/NOEC data</w:t>
            </w:r>
          </w:p>
        </w:tc>
        <w:tc>
          <w:tcPr>
            <w:tcW w:w="535" w:type="pct"/>
            <w:tcMar>
              <w:left w:w="85" w:type="dxa"/>
              <w:right w:w="57" w:type="dxa"/>
            </w:tcMar>
          </w:tcPr>
          <w:p w14:paraId="273CDAE9" w14:textId="77777777" w:rsidR="00C355E9" w:rsidRPr="001A7F2E" w:rsidRDefault="00324184" w:rsidP="001A7F2E">
            <w:pPr>
              <w:pStyle w:val="TableText"/>
            </w:pPr>
            <w:r w:rsidRPr="001A7F2E">
              <w:t>Ahsanullah &amp; Williams (1991)</w:t>
            </w:r>
          </w:p>
        </w:tc>
      </w:tr>
      <w:tr w:rsidR="00091AEB" w14:paraId="273CDAF7" w14:textId="77777777" w:rsidTr="00D85C45">
        <w:trPr>
          <w:cantSplit/>
        </w:trPr>
        <w:tc>
          <w:tcPr>
            <w:tcW w:w="447" w:type="pct"/>
            <w:shd w:val="clear" w:color="auto" w:fill="auto"/>
            <w:tcMar>
              <w:left w:w="85" w:type="dxa"/>
              <w:right w:w="57" w:type="dxa"/>
            </w:tcMar>
          </w:tcPr>
          <w:p w14:paraId="273CDAEB" w14:textId="77777777" w:rsidR="00C355E9" w:rsidRPr="001A7F2E" w:rsidRDefault="00324184" w:rsidP="001A7F2E">
            <w:pPr>
              <w:pStyle w:val="TableText"/>
            </w:pPr>
            <w:r w:rsidRPr="001A7F2E">
              <w:t>Mollusc</w:t>
            </w:r>
          </w:p>
        </w:tc>
        <w:tc>
          <w:tcPr>
            <w:tcW w:w="644" w:type="pct"/>
            <w:shd w:val="clear" w:color="auto" w:fill="auto"/>
            <w:tcMar>
              <w:left w:w="85" w:type="dxa"/>
              <w:right w:w="57" w:type="dxa"/>
            </w:tcMar>
          </w:tcPr>
          <w:p w14:paraId="273CDAEC" w14:textId="77777777" w:rsidR="00C355E9" w:rsidRPr="001A7F2E" w:rsidRDefault="00324184" w:rsidP="001A7F2E">
            <w:pPr>
              <w:pStyle w:val="TableText"/>
            </w:pPr>
            <w:r w:rsidRPr="00F23917">
              <w:rPr>
                <w:rStyle w:val="Emphasis"/>
              </w:rPr>
              <w:t>Mytilus edulis</w:t>
            </w:r>
            <w:r w:rsidRPr="001A7F2E">
              <w:t xml:space="preserve"> </w:t>
            </w:r>
          </w:p>
        </w:tc>
        <w:tc>
          <w:tcPr>
            <w:tcW w:w="397" w:type="pct"/>
            <w:shd w:val="clear" w:color="auto" w:fill="auto"/>
            <w:tcMar>
              <w:left w:w="85" w:type="dxa"/>
              <w:right w:w="57" w:type="dxa"/>
            </w:tcMar>
          </w:tcPr>
          <w:p w14:paraId="273CDAED" w14:textId="77777777" w:rsidR="00C355E9" w:rsidRPr="001A7F2E" w:rsidRDefault="00324184" w:rsidP="001A7F2E">
            <w:pPr>
              <w:pStyle w:val="TableText"/>
            </w:pPr>
            <w:r w:rsidRPr="001A7F2E">
              <w:t>Embryo</w:t>
            </w:r>
          </w:p>
        </w:tc>
        <w:tc>
          <w:tcPr>
            <w:tcW w:w="298" w:type="pct"/>
            <w:tcMar>
              <w:left w:w="85" w:type="dxa"/>
              <w:right w:w="57" w:type="dxa"/>
            </w:tcMar>
          </w:tcPr>
          <w:p w14:paraId="273CDAEE" w14:textId="77777777" w:rsidR="00C355E9" w:rsidRPr="001A7F2E" w:rsidRDefault="00324184" w:rsidP="001A7F2E">
            <w:pPr>
              <w:pStyle w:val="TableText"/>
            </w:pPr>
            <w:r w:rsidRPr="001A7F2E">
              <w:t>2</w:t>
            </w:r>
          </w:p>
        </w:tc>
        <w:tc>
          <w:tcPr>
            <w:tcW w:w="397" w:type="pct"/>
            <w:tcMar>
              <w:left w:w="28" w:type="dxa"/>
              <w:right w:w="0" w:type="dxa"/>
            </w:tcMar>
          </w:tcPr>
          <w:p w14:paraId="273CDAEF"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AF0" w14:textId="77777777" w:rsidR="00C355E9" w:rsidRPr="001A7F2E" w:rsidRDefault="00324184" w:rsidP="001A7F2E">
            <w:pPr>
              <w:pStyle w:val="TableText"/>
            </w:pPr>
            <w:r w:rsidRPr="001A7F2E">
              <w:t>IC10</w:t>
            </w:r>
          </w:p>
        </w:tc>
        <w:tc>
          <w:tcPr>
            <w:tcW w:w="248" w:type="pct"/>
            <w:tcMar>
              <w:left w:w="85" w:type="dxa"/>
              <w:right w:w="57" w:type="dxa"/>
            </w:tcMar>
          </w:tcPr>
          <w:p w14:paraId="273CDAF1" w14:textId="77777777" w:rsidR="00C355E9" w:rsidRPr="001A7F2E" w:rsidRDefault="00324184" w:rsidP="001A7F2E">
            <w:pPr>
              <w:pStyle w:val="TableText"/>
            </w:pPr>
            <w:r w:rsidRPr="001A7F2E">
              <w:t>20</w:t>
            </w:r>
          </w:p>
        </w:tc>
        <w:tc>
          <w:tcPr>
            <w:tcW w:w="248" w:type="pct"/>
            <w:tcMar>
              <w:left w:w="85" w:type="dxa"/>
              <w:right w:w="57" w:type="dxa"/>
            </w:tcMar>
          </w:tcPr>
          <w:p w14:paraId="273CDAF2" w14:textId="77777777" w:rsidR="00C355E9" w:rsidRPr="001A7F2E" w:rsidRDefault="00324184" w:rsidP="001A7F2E">
            <w:pPr>
              <w:pStyle w:val="TableText"/>
            </w:pPr>
            <w:r>
              <w:t>–</w:t>
            </w:r>
          </w:p>
        </w:tc>
        <w:tc>
          <w:tcPr>
            <w:tcW w:w="347" w:type="pct"/>
            <w:tcMar>
              <w:left w:w="85" w:type="dxa"/>
              <w:right w:w="57" w:type="dxa"/>
            </w:tcMar>
          </w:tcPr>
          <w:p w14:paraId="273CDAF3" w14:textId="77777777" w:rsidR="00C355E9" w:rsidRPr="001A7F2E" w:rsidRDefault="00324184" w:rsidP="001A7F2E">
            <w:pPr>
              <w:pStyle w:val="TableText"/>
            </w:pPr>
            <w:r w:rsidRPr="001A7F2E">
              <w:t>16</w:t>
            </w:r>
          </w:p>
        </w:tc>
        <w:tc>
          <w:tcPr>
            <w:tcW w:w="446" w:type="pct"/>
            <w:tcMar>
              <w:left w:w="85" w:type="dxa"/>
              <w:right w:w="57" w:type="dxa"/>
            </w:tcMar>
          </w:tcPr>
          <w:p w14:paraId="273CDAF4" w14:textId="77777777" w:rsidR="00C355E9" w:rsidRPr="001A7F2E" w:rsidRDefault="00324184" w:rsidP="001A7F2E">
            <w:pPr>
              <w:pStyle w:val="TableText"/>
            </w:pPr>
            <w:r w:rsidRPr="001A7F2E">
              <w:t>6.6</w:t>
            </w:r>
          </w:p>
        </w:tc>
        <w:tc>
          <w:tcPr>
            <w:tcW w:w="645" w:type="pct"/>
            <w:shd w:val="clear" w:color="auto" w:fill="auto"/>
            <w:tcMar>
              <w:left w:w="85" w:type="dxa"/>
              <w:right w:w="57" w:type="dxa"/>
            </w:tcMar>
          </w:tcPr>
          <w:p w14:paraId="273CDAF5" w14:textId="77777777" w:rsidR="00C355E9" w:rsidRPr="001A7F2E" w:rsidRDefault="00324184" w:rsidP="001A7F2E">
            <w:pPr>
              <w:pStyle w:val="TableText"/>
            </w:pPr>
            <w:r w:rsidRPr="001A7F2E">
              <w:t>Salinity &lt;25</w:t>
            </w:r>
            <w:r w:rsidR="003F599F" w:rsidRPr="009907F5">
              <w:t>‰</w:t>
            </w:r>
          </w:p>
        </w:tc>
        <w:tc>
          <w:tcPr>
            <w:tcW w:w="535" w:type="pct"/>
            <w:tcMar>
              <w:left w:w="85" w:type="dxa"/>
              <w:right w:w="57" w:type="dxa"/>
            </w:tcMar>
          </w:tcPr>
          <w:p w14:paraId="273CDAF6" w14:textId="77777777" w:rsidR="00C355E9" w:rsidRPr="001A7F2E" w:rsidRDefault="00324184" w:rsidP="001A7F2E">
            <w:pPr>
              <w:pStyle w:val="TableText"/>
            </w:pPr>
            <w:r w:rsidRPr="001A7F2E">
              <w:t>CH2M HILL (1999)</w:t>
            </w:r>
          </w:p>
        </w:tc>
      </w:tr>
      <w:tr w:rsidR="00091AEB" w14:paraId="273CDB04" w14:textId="77777777" w:rsidTr="00D85C45">
        <w:trPr>
          <w:cantSplit/>
        </w:trPr>
        <w:tc>
          <w:tcPr>
            <w:tcW w:w="447" w:type="pct"/>
            <w:shd w:val="clear" w:color="auto" w:fill="auto"/>
            <w:tcMar>
              <w:left w:w="85" w:type="dxa"/>
              <w:right w:w="57" w:type="dxa"/>
            </w:tcMar>
          </w:tcPr>
          <w:p w14:paraId="273CDAF8" w14:textId="77777777" w:rsidR="00C355E9" w:rsidRPr="001A7F2E" w:rsidRDefault="00324184" w:rsidP="001A7F2E">
            <w:pPr>
              <w:pStyle w:val="TableText"/>
            </w:pPr>
            <w:r w:rsidRPr="001A7F2E">
              <w:t xml:space="preserve">Green </w:t>
            </w:r>
            <w:r w:rsidR="006C6C88">
              <w:t>macro</w:t>
            </w:r>
            <w:r w:rsidRPr="001A7F2E">
              <w:t>alga</w:t>
            </w:r>
          </w:p>
        </w:tc>
        <w:tc>
          <w:tcPr>
            <w:tcW w:w="644" w:type="pct"/>
            <w:shd w:val="clear" w:color="auto" w:fill="auto"/>
            <w:tcMar>
              <w:left w:w="85" w:type="dxa"/>
              <w:right w:w="57" w:type="dxa"/>
            </w:tcMar>
          </w:tcPr>
          <w:p w14:paraId="273CDAF9" w14:textId="77777777" w:rsidR="00C355E9" w:rsidRPr="001A7F2E" w:rsidRDefault="00324184" w:rsidP="001A7F2E">
            <w:pPr>
              <w:pStyle w:val="TableText"/>
            </w:pPr>
            <w:r w:rsidRPr="00F23917">
              <w:rPr>
                <w:rStyle w:val="Emphasis"/>
              </w:rPr>
              <w:t>Ulva reticulata</w:t>
            </w:r>
            <w:r w:rsidRPr="001A7F2E">
              <w:t xml:space="preserve"> </w:t>
            </w:r>
          </w:p>
        </w:tc>
        <w:tc>
          <w:tcPr>
            <w:tcW w:w="397" w:type="pct"/>
            <w:shd w:val="clear" w:color="auto" w:fill="auto"/>
            <w:tcMar>
              <w:left w:w="85" w:type="dxa"/>
              <w:right w:w="57" w:type="dxa"/>
            </w:tcMar>
          </w:tcPr>
          <w:p w14:paraId="273CDAFA" w14:textId="77777777" w:rsidR="00C355E9" w:rsidRPr="001A7F2E" w:rsidRDefault="00324184" w:rsidP="001A7F2E">
            <w:pPr>
              <w:pStyle w:val="TableText"/>
            </w:pPr>
            <w:r>
              <w:t>–</w:t>
            </w:r>
          </w:p>
        </w:tc>
        <w:tc>
          <w:tcPr>
            <w:tcW w:w="298" w:type="pct"/>
            <w:tcMar>
              <w:left w:w="85" w:type="dxa"/>
              <w:right w:w="57" w:type="dxa"/>
            </w:tcMar>
          </w:tcPr>
          <w:p w14:paraId="273CDAFB" w14:textId="77777777" w:rsidR="00C355E9" w:rsidRPr="001A7F2E" w:rsidRDefault="00324184" w:rsidP="001A7F2E">
            <w:pPr>
              <w:pStyle w:val="TableText"/>
            </w:pPr>
            <w:r w:rsidRPr="001A7F2E">
              <w:t>7</w:t>
            </w:r>
          </w:p>
        </w:tc>
        <w:tc>
          <w:tcPr>
            <w:tcW w:w="397" w:type="pct"/>
            <w:tcMar>
              <w:left w:w="28" w:type="dxa"/>
              <w:right w:w="0" w:type="dxa"/>
            </w:tcMar>
          </w:tcPr>
          <w:p w14:paraId="273CDAFC"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AFD" w14:textId="77777777" w:rsidR="00C355E9" w:rsidRPr="001A7F2E" w:rsidRDefault="00324184" w:rsidP="001A7F2E">
            <w:pPr>
              <w:pStyle w:val="TableText"/>
            </w:pPr>
            <w:r w:rsidRPr="001A7F2E">
              <w:t>NOEC</w:t>
            </w:r>
          </w:p>
        </w:tc>
        <w:tc>
          <w:tcPr>
            <w:tcW w:w="248" w:type="pct"/>
            <w:tcMar>
              <w:left w:w="85" w:type="dxa"/>
              <w:right w:w="57" w:type="dxa"/>
            </w:tcMar>
          </w:tcPr>
          <w:p w14:paraId="273CDAFE" w14:textId="77777777" w:rsidR="00C355E9" w:rsidRPr="001A7F2E" w:rsidRDefault="00324184" w:rsidP="001A7F2E">
            <w:pPr>
              <w:pStyle w:val="TableText"/>
            </w:pPr>
            <w:r w:rsidRPr="001A7F2E">
              <w:t>20</w:t>
            </w:r>
            <w:r w:rsidR="006A6386">
              <w:t>–</w:t>
            </w:r>
            <w:r w:rsidRPr="001A7F2E">
              <w:t>40</w:t>
            </w:r>
          </w:p>
        </w:tc>
        <w:tc>
          <w:tcPr>
            <w:tcW w:w="248" w:type="pct"/>
            <w:tcMar>
              <w:left w:w="85" w:type="dxa"/>
              <w:right w:w="57" w:type="dxa"/>
            </w:tcMar>
          </w:tcPr>
          <w:p w14:paraId="273CDAFF" w14:textId="77777777" w:rsidR="00C355E9" w:rsidRPr="001A7F2E" w:rsidRDefault="00324184" w:rsidP="001A7F2E">
            <w:pPr>
              <w:pStyle w:val="TableText"/>
            </w:pPr>
            <w:r w:rsidRPr="001A7F2E">
              <w:t>20</w:t>
            </w:r>
          </w:p>
        </w:tc>
        <w:tc>
          <w:tcPr>
            <w:tcW w:w="347" w:type="pct"/>
            <w:tcMar>
              <w:left w:w="85" w:type="dxa"/>
              <w:right w:w="57" w:type="dxa"/>
            </w:tcMar>
          </w:tcPr>
          <w:p w14:paraId="273CDB00" w14:textId="77777777" w:rsidR="00C355E9" w:rsidRPr="001A7F2E" w:rsidRDefault="00324184" w:rsidP="001A7F2E">
            <w:pPr>
              <w:pStyle w:val="TableText"/>
            </w:pPr>
            <w:r w:rsidRPr="001A7F2E">
              <w:t>8.7</w:t>
            </w:r>
          </w:p>
        </w:tc>
        <w:tc>
          <w:tcPr>
            <w:tcW w:w="446" w:type="pct"/>
            <w:tcMar>
              <w:left w:w="85" w:type="dxa"/>
              <w:right w:w="57" w:type="dxa"/>
            </w:tcMar>
          </w:tcPr>
          <w:p w14:paraId="273CDB01" w14:textId="77777777" w:rsidR="00C355E9" w:rsidRPr="001A7F2E" w:rsidRDefault="00324184" w:rsidP="001A7F2E">
            <w:pPr>
              <w:pStyle w:val="TableText"/>
            </w:pPr>
            <w:r w:rsidRPr="001A7F2E">
              <w:t>8.7</w:t>
            </w:r>
          </w:p>
        </w:tc>
        <w:tc>
          <w:tcPr>
            <w:tcW w:w="645" w:type="pct"/>
            <w:shd w:val="clear" w:color="auto" w:fill="auto"/>
            <w:tcMar>
              <w:left w:w="85" w:type="dxa"/>
              <w:right w:w="57" w:type="dxa"/>
            </w:tcMar>
          </w:tcPr>
          <w:p w14:paraId="273CDB02"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B03" w14:textId="77777777" w:rsidR="00C355E9" w:rsidRPr="001A7F2E" w:rsidRDefault="00324184" w:rsidP="001A7F2E">
            <w:pPr>
              <w:pStyle w:val="TableText"/>
            </w:pPr>
            <w:r w:rsidRPr="001A7F2E">
              <w:t>Mamboya et al. (2009)</w:t>
            </w:r>
          </w:p>
        </w:tc>
      </w:tr>
      <w:tr w:rsidR="00091AEB" w14:paraId="273CDB11" w14:textId="77777777" w:rsidTr="00D85C45">
        <w:trPr>
          <w:cantSplit/>
        </w:trPr>
        <w:tc>
          <w:tcPr>
            <w:tcW w:w="447" w:type="pct"/>
            <w:shd w:val="clear" w:color="auto" w:fill="auto"/>
            <w:tcMar>
              <w:left w:w="85" w:type="dxa"/>
              <w:right w:w="57" w:type="dxa"/>
            </w:tcMar>
          </w:tcPr>
          <w:p w14:paraId="273CDB05" w14:textId="77777777" w:rsidR="00C355E9" w:rsidRPr="001A7F2E" w:rsidRDefault="00324184" w:rsidP="001A7F2E">
            <w:pPr>
              <w:pStyle w:val="TableText"/>
            </w:pPr>
            <w:r w:rsidRPr="001A7F2E">
              <w:t>Diatom</w:t>
            </w:r>
          </w:p>
        </w:tc>
        <w:tc>
          <w:tcPr>
            <w:tcW w:w="644" w:type="pct"/>
            <w:shd w:val="clear" w:color="auto" w:fill="auto"/>
            <w:tcMar>
              <w:left w:w="85" w:type="dxa"/>
              <w:right w:w="57" w:type="dxa"/>
            </w:tcMar>
          </w:tcPr>
          <w:p w14:paraId="273CDB06" w14:textId="77777777" w:rsidR="00C355E9" w:rsidRPr="00F23917" w:rsidRDefault="00324184" w:rsidP="001A7F2E">
            <w:pPr>
              <w:pStyle w:val="TableText"/>
              <w:rPr>
                <w:rStyle w:val="Emphasis"/>
              </w:rPr>
            </w:pPr>
            <w:r w:rsidRPr="00F23917">
              <w:rPr>
                <w:rStyle w:val="Emphasis"/>
              </w:rPr>
              <w:t>Skeletonema costatum</w:t>
            </w:r>
          </w:p>
        </w:tc>
        <w:tc>
          <w:tcPr>
            <w:tcW w:w="397" w:type="pct"/>
            <w:shd w:val="clear" w:color="auto" w:fill="auto"/>
            <w:tcMar>
              <w:left w:w="85" w:type="dxa"/>
              <w:right w:w="57" w:type="dxa"/>
            </w:tcMar>
          </w:tcPr>
          <w:p w14:paraId="273CDB07" w14:textId="77777777" w:rsidR="00C355E9" w:rsidRPr="001A7F2E" w:rsidRDefault="00324184" w:rsidP="001A7F2E">
            <w:pPr>
              <w:pStyle w:val="TableText"/>
            </w:pPr>
            <w:r>
              <w:t>Exponential</w:t>
            </w:r>
            <w:r w:rsidRPr="001A7F2E">
              <w:t xml:space="preserve"> growth</w:t>
            </w:r>
          </w:p>
        </w:tc>
        <w:tc>
          <w:tcPr>
            <w:tcW w:w="298" w:type="pct"/>
            <w:tcMar>
              <w:left w:w="85" w:type="dxa"/>
              <w:right w:w="57" w:type="dxa"/>
            </w:tcMar>
          </w:tcPr>
          <w:p w14:paraId="273CDB08" w14:textId="77777777" w:rsidR="00C355E9" w:rsidRPr="001A7F2E" w:rsidRDefault="00324184" w:rsidP="001A7F2E">
            <w:pPr>
              <w:pStyle w:val="TableText"/>
            </w:pPr>
            <w:r w:rsidRPr="001A7F2E">
              <w:t>4</w:t>
            </w:r>
          </w:p>
        </w:tc>
        <w:tc>
          <w:tcPr>
            <w:tcW w:w="397" w:type="pct"/>
            <w:tcMar>
              <w:left w:w="28" w:type="dxa"/>
              <w:right w:w="0" w:type="dxa"/>
            </w:tcMar>
          </w:tcPr>
          <w:p w14:paraId="273CDB09" w14:textId="77777777" w:rsidR="00C355E9" w:rsidRPr="001A7F2E" w:rsidRDefault="00324184" w:rsidP="001A7F2E">
            <w:pPr>
              <w:pStyle w:val="TableText"/>
            </w:pPr>
            <w:r w:rsidRPr="001A7F2E">
              <w:t>Population growth rate</w:t>
            </w:r>
          </w:p>
        </w:tc>
        <w:tc>
          <w:tcPr>
            <w:tcW w:w="348" w:type="pct"/>
            <w:shd w:val="clear" w:color="auto" w:fill="auto"/>
            <w:tcMar>
              <w:left w:w="85" w:type="dxa"/>
              <w:right w:w="57" w:type="dxa"/>
            </w:tcMar>
          </w:tcPr>
          <w:p w14:paraId="273CDB0A" w14:textId="77777777" w:rsidR="00C355E9" w:rsidRPr="001A7F2E" w:rsidRDefault="00324184" w:rsidP="001A7F2E">
            <w:pPr>
              <w:pStyle w:val="TableText"/>
            </w:pPr>
            <w:r w:rsidRPr="001A7F2E">
              <w:t>EC10</w:t>
            </w:r>
          </w:p>
        </w:tc>
        <w:tc>
          <w:tcPr>
            <w:tcW w:w="248" w:type="pct"/>
            <w:tcMar>
              <w:left w:w="85" w:type="dxa"/>
              <w:right w:w="57" w:type="dxa"/>
            </w:tcMar>
          </w:tcPr>
          <w:p w14:paraId="273CDB0B" w14:textId="77777777" w:rsidR="00C355E9" w:rsidRPr="001A7F2E" w:rsidRDefault="00324184" w:rsidP="001A7F2E">
            <w:pPr>
              <w:pStyle w:val="TableText"/>
            </w:pPr>
            <w:r w:rsidRPr="001A7F2E">
              <w:t>33</w:t>
            </w:r>
          </w:p>
        </w:tc>
        <w:tc>
          <w:tcPr>
            <w:tcW w:w="248" w:type="pct"/>
            <w:tcMar>
              <w:left w:w="85" w:type="dxa"/>
              <w:right w:w="57" w:type="dxa"/>
            </w:tcMar>
          </w:tcPr>
          <w:p w14:paraId="273CDB0C" w14:textId="77777777" w:rsidR="00C355E9" w:rsidRPr="001A7F2E" w:rsidRDefault="00324184" w:rsidP="001A7F2E">
            <w:pPr>
              <w:pStyle w:val="TableText"/>
            </w:pPr>
            <w:r w:rsidRPr="001A7F2E">
              <w:t>25</w:t>
            </w:r>
          </w:p>
        </w:tc>
        <w:tc>
          <w:tcPr>
            <w:tcW w:w="347" w:type="pct"/>
            <w:tcMar>
              <w:left w:w="85" w:type="dxa"/>
              <w:right w:w="57" w:type="dxa"/>
            </w:tcMar>
          </w:tcPr>
          <w:p w14:paraId="273CDB0D" w14:textId="77777777" w:rsidR="00C355E9" w:rsidRPr="001A7F2E" w:rsidRDefault="00324184" w:rsidP="001A7F2E">
            <w:pPr>
              <w:pStyle w:val="TableText"/>
            </w:pPr>
            <w:r w:rsidRPr="001A7F2E">
              <w:t>9.1</w:t>
            </w:r>
          </w:p>
        </w:tc>
        <w:tc>
          <w:tcPr>
            <w:tcW w:w="446" w:type="pct"/>
            <w:tcMar>
              <w:left w:w="85" w:type="dxa"/>
              <w:right w:w="57" w:type="dxa"/>
            </w:tcMar>
          </w:tcPr>
          <w:p w14:paraId="273CDB0E" w14:textId="77777777" w:rsidR="00C355E9" w:rsidRPr="001A7F2E" w:rsidRDefault="00324184" w:rsidP="001A7F2E">
            <w:pPr>
              <w:pStyle w:val="TableText"/>
            </w:pPr>
            <w:r w:rsidRPr="001A7F2E">
              <w:t>9.1</w:t>
            </w:r>
          </w:p>
        </w:tc>
        <w:tc>
          <w:tcPr>
            <w:tcW w:w="645" w:type="pct"/>
            <w:shd w:val="clear" w:color="auto" w:fill="auto"/>
            <w:tcMar>
              <w:left w:w="85" w:type="dxa"/>
              <w:right w:w="57" w:type="dxa"/>
            </w:tcMar>
          </w:tcPr>
          <w:p w14:paraId="273CDB0F"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B10" w14:textId="77777777" w:rsidR="00C355E9" w:rsidRPr="001A7F2E" w:rsidRDefault="00324184" w:rsidP="001A7F2E">
            <w:pPr>
              <w:pStyle w:val="TableText"/>
            </w:pPr>
            <w:r w:rsidRPr="001A7F2E">
              <w:t>Fisher &amp; Frood (1980)</w:t>
            </w:r>
          </w:p>
        </w:tc>
      </w:tr>
      <w:tr w:rsidR="00091AEB" w14:paraId="273CDB1E" w14:textId="77777777" w:rsidTr="00D85C45">
        <w:trPr>
          <w:cantSplit/>
        </w:trPr>
        <w:tc>
          <w:tcPr>
            <w:tcW w:w="447" w:type="pct"/>
            <w:shd w:val="clear" w:color="auto" w:fill="auto"/>
            <w:tcMar>
              <w:left w:w="85" w:type="dxa"/>
              <w:right w:w="57" w:type="dxa"/>
            </w:tcMar>
          </w:tcPr>
          <w:p w14:paraId="273CDB12" w14:textId="77777777" w:rsidR="00C355E9" w:rsidRPr="001A7F2E" w:rsidRDefault="00324184" w:rsidP="001A7F2E">
            <w:pPr>
              <w:pStyle w:val="TableText"/>
            </w:pPr>
            <w:r w:rsidRPr="001A7F2E">
              <w:t>Platyhelminth</w:t>
            </w:r>
          </w:p>
        </w:tc>
        <w:tc>
          <w:tcPr>
            <w:tcW w:w="644" w:type="pct"/>
            <w:shd w:val="clear" w:color="auto" w:fill="auto"/>
            <w:tcMar>
              <w:left w:w="85" w:type="dxa"/>
              <w:right w:w="57" w:type="dxa"/>
            </w:tcMar>
          </w:tcPr>
          <w:p w14:paraId="273CDB13" w14:textId="77777777" w:rsidR="00C355E9" w:rsidRPr="00F23917" w:rsidRDefault="00324184" w:rsidP="001A7F2E">
            <w:pPr>
              <w:pStyle w:val="TableText"/>
              <w:rPr>
                <w:rStyle w:val="Emphasis"/>
              </w:rPr>
            </w:pPr>
            <w:r w:rsidRPr="00F23917">
              <w:rPr>
                <w:rStyle w:val="Emphasis"/>
              </w:rPr>
              <w:t>Stylochus pygmaeus</w:t>
            </w:r>
          </w:p>
        </w:tc>
        <w:tc>
          <w:tcPr>
            <w:tcW w:w="397" w:type="pct"/>
            <w:shd w:val="clear" w:color="auto" w:fill="auto"/>
            <w:tcMar>
              <w:left w:w="85" w:type="dxa"/>
              <w:right w:w="57" w:type="dxa"/>
            </w:tcMar>
          </w:tcPr>
          <w:p w14:paraId="273CDB14" w14:textId="77777777" w:rsidR="00C355E9" w:rsidRPr="001A7F2E" w:rsidRDefault="00324184" w:rsidP="001A7F2E">
            <w:pPr>
              <w:pStyle w:val="TableText"/>
            </w:pPr>
            <w:r w:rsidRPr="001A7F2E">
              <w:t>Adult</w:t>
            </w:r>
          </w:p>
        </w:tc>
        <w:tc>
          <w:tcPr>
            <w:tcW w:w="298" w:type="pct"/>
            <w:tcMar>
              <w:left w:w="85" w:type="dxa"/>
              <w:right w:w="57" w:type="dxa"/>
            </w:tcMar>
          </w:tcPr>
          <w:p w14:paraId="273CDB15" w14:textId="77777777" w:rsidR="00C355E9" w:rsidRPr="001A7F2E" w:rsidRDefault="00324184" w:rsidP="001A7F2E">
            <w:pPr>
              <w:pStyle w:val="TableText"/>
            </w:pPr>
            <w:r w:rsidRPr="001A7F2E">
              <w:t>10</w:t>
            </w:r>
          </w:p>
        </w:tc>
        <w:tc>
          <w:tcPr>
            <w:tcW w:w="397" w:type="pct"/>
            <w:tcMar>
              <w:left w:w="28" w:type="dxa"/>
              <w:right w:w="0" w:type="dxa"/>
            </w:tcMar>
          </w:tcPr>
          <w:p w14:paraId="273CDB16" w14:textId="77777777" w:rsidR="00C355E9" w:rsidRPr="001A7F2E" w:rsidRDefault="00324184" w:rsidP="001A7F2E">
            <w:pPr>
              <w:pStyle w:val="TableText"/>
            </w:pPr>
            <w:r w:rsidRPr="001A7F2E">
              <w:t>Reproduction</w:t>
            </w:r>
          </w:p>
        </w:tc>
        <w:tc>
          <w:tcPr>
            <w:tcW w:w="348" w:type="pct"/>
            <w:shd w:val="clear" w:color="auto" w:fill="auto"/>
            <w:tcMar>
              <w:left w:w="85" w:type="dxa"/>
              <w:right w:w="57" w:type="dxa"/>
            </w:tcMar>
          </w:tcPr>
          <w:p w14:paraId="273CDB17" w14:textId="77777777" w:rsidR="00C355E9" w:rsidRPr="001A7F2E" w:rsidRDefault="00324184" w:rsidP="001A7F2E">
            <w:pPr>
              <w:pStyle w:val="TableText"/>
            </w:pPr>
            <w:r w:rsidRPr="001A7F2E">
              <w:t>LOEC</w:t>
            </w:r>
          </w:p>
        </w:tc>
        <w:tc>
          <w:tcPr>
            <w:tcW w:w="248" w:type="pct"/>
            <w:tcMar>
              <w:left w:w="85" w:type="dxa"/>
              <w:right w:w="57" w:type="dxa"/>
            </w:tcMar>
          </w:tcPr>
          <w:p w14:paraId="273CDB18" w14:textId="77777777" w:rsidR="00C355E9" w:rsidRPr="001A7F2E" w:rsidRDefault="00324184" w:rsidP="001A7F2E">
            <w:pPr>
              <w:pStyle w:val="TableText"/>
            </w:pPr>
            <w:r w:rsidRPr="001A7F2E">
              <w:t>34</w:t>
            </w:r>
          </w:p>
        </w:tc>
        <w:tc>
          <w:tcPr>
            <w:tcW w:w="248" w:type="pct"/>
            <w:tcMar>
              <w:left w:w="85" w:type="dxa"/>
              <w:right w:w="57" w:type="dxa"/>
            </w:tcMar>
          </w:tcPr>
          <w:p w14:paraId="273CDB19" w14:textId="77777777" w:rsidR="00C355E9" w:rsidRPr="001A7F2E" w:rsidRDefault="00324184" w:rsidP="001A7F2E">
            <w:pPr>
              <w:pStyle w:val="TableText"/>
            </w:pPr>
            <w:r w:rsidRPr="001A7F2E">
              <w:t>23</w:t>
            </w:r>
            <w:r w:rsidR="006A6386">
              <w:t>–</w:t>
            </w:r>
            <w:r w:rsidRPr="001A7F2E">
              <w:t>24</w:t>
            </w:r>
          </w:p>
        </w:tc>
        <w:tc>
          <w:tcPr>
            <w:tcW w:w="347" w:type="pct"/>
            <w:tcMar>
              <w:left w:w="85" w:type="dxa"/>
              <w:right w:w="57" w:type="dxa"/>
            </w:tcMar>
          </w:tcPr>
          <w:p w14:paraId="273CDB1A" w14:textId="77777777" w:rsidR="00C355E9" w:rsidRPr="001A7F2E" w:rsidRDefault="00324184" w:rsidP="001A7F2E">
            <w:pPr>
              <w:pStyle w:val="TableText"/>
            </w:pPr>
            <w:r>
              <w:t>10</w:t>
            </w:r>
          </w:p>
        </w:tc>
        <w:tc>
          <w:tcPr>
            <w:tcW w:w="446" w:type="pct"/>
            <w:tcMar>
              <w:left w:w="85" w:type="dxa"/>
              <w:right w:w="57" w:type="dxa"/>
            </w:tcMar>
          </w:tcPr>
          <w:p w14:paraId="273CDB1B" w14:textId="77777777" w:rsidR="00C355E9" w:rsidRPr="001A7F2E" w:rsidRDefault="00324184" w:rsidP="001A7F2E">
            <w:pPr>
              <w:pStyle w:val="TableText"/>
            </w:pPr>
            <w:r w:rsidRPr="001A7F2E">
              <w:t>9.5</w:t>
            </w:r>
          </w:p>
        </w:tc>
        <w:tc>
          <w:tcPr>
            <w:tcW w:w="645" w:type="pct"/>
            <w:shd w:val="clear" w:color="auto" w:fill="auto"/>
            <w:tcMar>
              <w:left w:w="85" w:type="dxa"/>
              <w:right w:w="57" w:type="dxa"/>
            </w:tcMar>
          </w:tcPr>
          <w:p w14:paraId="273CDB1C" w14:textId="77777777" w:rsidR="00C355E9" w:rsidRPr="001A7F2E" w:rsidRDefault="00324184" w:rsidP="001A7F2E">
            <w:pPr>
              <w:pStyle w:val="TableText"/>
            </w:pPr>
            <w:r w:rsidRPr="001A7F2E">
              <w:t>No EC10/NOEC data</w:t>
            </w:r>
          </w:p>
        </w:tc>
        <w:tc>
          <w:tcPr>
            <w:tcW w:w="535" w:type="pct"/>
            <w:tcMar>
              <w:left w:w="85" w:type="dxa"/>
              <w:right w:w="57" w:type="dxa"/>
            </w:tcMar>
          </w:tcPr>
          <w:p w14:paraId="273CDB1D" w14:textId="77777777" w:rsidR="00C355E9" w:rsidRPr="001A7F2E" w:rsidRDefault="00324184" w:rsidP="001A7F2E">
            <w:pPr>
              <w:pStyle w:val="TableText"/>
            </w:pPr>
            <w:r w:rsidRPr="001A7F2E">
              <w:t>Lee &amp; Johnston (2007)</w:t>
            </w:r>
          </w:p>
        </w:tc>
      </w:tr>
      <w:tr w:rsidR="00091AEB" w14:paraId="273CDB2B" w14:textId="77777777" w:rsidTr="00D85C45">
        <w:trPr>
          <w:cantSplit/>
        </w:trPr>
        <w:tc>
          <w:tcPr>
            <w:tcW w:w="447" w:type="pct"/>
            <w:shd w:val="clear" w:color="auto" w:fill="auto"/>
            <w:tcMar>
              <w:left w:w="85" w:type="dxa"/>
              <w:right w:w="57" w:type="dxa"/>
            </w:tcMar>
          </w:tcPr>
          <w:p w14:paraId="273CDB1F" w14:textId="77777777" w:rsidR="00C355E9" w:rsidRPr="001A7F2E" w:rsidRDefault="00324184" w:rsidP="001A7F2E">
            <w:pPr>
              <w:pStyle w:val="TableText"/>
            </w:pPr>
            <w:r>
              <w:t>Brown microalga</w:t>
            </w:r>
          </w:p>
        </w:tc>
        <w:tc>
          <w:tcPr>
            <w:tcW w:w="644" w:type="pct"/>
            <w:shd w:val="clear" w:color="auto" w:fill="auto"/>
            <w:tcMar>
              <w:left w:w="85" w:type="dxa"/>
              <w:right w:w="57" w:type="dxa"/>
            </w:tcMar>
          </w:tcPr>
          <w:p w14:paraId="273CDB20" w14:textId="77777777" w:rsidR="00C355E9" w:rsidRPr="00F23917" w:rsidRDefault="00324184" w:rsidP="001A7F2E">
            <w:pPr>
              <w:pStyle w:val="TableText"/>
              <w:rPr>
                <w:rStyle w:val="Emphasis"/>
              </w:rPr>
            </w:pPr>
            <w:r w:rsidRPr="00F23917">
              <w:rPr>
                <w:rStyle w:val="Emphasis"/>
              </w:rPr>
              <w:t>Rhodomonas salina</w:t>
            </w:r>
          </w:p>
        </w:tc>
        <w:tc>
          <w:tcPr>
            <w:tcW w:w="397" w:type="pct"/>
            <w:shd w:val="clear" w:color="auto" w:fill="auto"/>
            <w:tcMar>
              <w:left w:w="85" w:type="dxa"/>
              <w:right w:w="57" w:type="dxa"/>
            </w:tcMar>
          </w:tcPr>
          <w:p w14:paraId="273CDB21" w14:textId="77777777" w:rsidR="00C355E9" w:rsidRPr="001A7F2E" w:rsidRDefault="00324184" w:rsidP="001A7F2E">
            <w:pPr>
              <w:pStyle w:val="TableText"/>
            </w:pPr>
            <w:r>
              <w:t>Exponential</w:t>
            </w:r>
            <w:r w:rsidRPr="001A7F2E">
              <w:t xml:space="preserve"> growth</w:t>
            </w:r>
          </w:p>
        </w:tc>
        <w:tc>
          <w:tcPr>
            <w:tcW w:w="298" w:type="pct"/>
            <w:tcMar>
              <w:left w:w="85" w:type="dxa"/>
              <w:right w:w="57" w:type="dxa"/>
            </w:tcMar>
          </w:tcPr>
          <w:p w14:paraId="273CDB22" w14:textId="77777777" w:rsidR="00C355E9" w:rsidRPr="001A7F2E" w:rsidRDefault="00324184" w:rsidP="001A7F2E">
            <w:pPr>
              <w:pStyle w:val="TableText"/>
            </w:pPr>
            <w:r w:rsidRPr="001A7F2E">
              <w:t>3</w:t>
            </w:r>
          </w:p>
        </w:tc>
        <w:tc>
          <w:tcPr>
            <w:tcW w:w="397" w:type="pct"/>
            <w:tcMar>
              <w:left w:w="28" w:type="dxa"/>
              <w:right w:w="0" w:type="dxa"/>
            </w:tcMar>
          </w:tcPr>
          <w:p w14:paraId="273CDB23"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B24" w14:textId="77777777" w:rsidR="00C355E9" w:rsidRPr="001A7F2E" w:rsidRDefault="00324184" w:rsidP="001A7F2E">
            <w:pPr>
              <w:pStyle w:val="TableText"/>
            </w:pPr>
            <w:r w:rsidRPr="001A7F2E">
              <w:t>EC50</w:t>
            </w:r>
          </w:p>
        </w:tc>
        <w:tc>
          <w:tcPr>
            <w:tcW w:w="248" w:type="pct"/>
            <w:tcMar>
              <w:left w:w="85" w:type="dxa"/>
              <w:right w:w="57" w:type="dxa"/>
            </w:tcMar>
          </w:tcPr>
          <w:p w14:paraId="273CDB25" w14:textId="77777777" w:rsidR="00C355E9" w:rsidRPr="001A7F2E" w:rsidRDefault="00324184" w:rsidP="001A7F2E">
            <w:pPr>
              <w:pStyle w:val="TableText"/>
            </w:pPr>
            <w:r>
              <w:t>–</w:t>
            </w:r>
          </w:p>
        </w:tc>
        <w:tc>
          <w:tcPr>
            <w:tcW w:w="248" w:type="pct"/>
            <w:tcMar>
              <w:left w:w="85" w:type="dxa"/>
              <w:right w:w="57" w:type="dxa"/>
            </w:tcMar>
          </w:tcPr>
          <w:p w14:paraId="273CDB26" w14:textId="77777777" w:rsidR="00C355E9" w:rsidRPr="001A7F2E" w:rsidRDefault="00324184" w:rsidP="001A7F2E">
            <w:pPr>
              <w:pStyle w:val="TableText"/>
            </w:pPr>
            <w:r w:rsidRPr="001A7F2E">
              <w:t>20</w:t>
            </w:r>
          </w:p>
        </w:tc>
        <w:tc>
          <w:tcPr>
            <w:tcW w:w="347" w:type="pct"/>
            <w:tcMar>
              <w:left w:w="85" w:type="dxa"/>
              <w:right w:w="57" w:type="dxa"/>
            </w:tcMar>
          </w:tcPr>
          <w:p w14:paraId="273CDB27" w14:textId="77777777" w:rsidR="00C355E9" w:rsidRPr="001A7F2E" w:rsidRDefault="00324184" w:rsidP="001A7F2E">
            <w:pPr>
              <w:pStyle w:val="TableText"/>
            </w:pPr>
            <w:r w:rsidRPr="001A7F2E">
              <w:t>48</w:t>
            </w:r>
          </w:p>
        </w:tc>
        <w:tc>
          <w:tcPr>
            <w:tcW w:w="446" w:type="pct"/>
            <w:tcMar>
              <w:left w:w="85" w:type="dxa"/>
              <w:right w:w="57" w:type="dxa"/>
            </w:tcMar>
          </w:tcPr>
          <w:p w14:paraId="273CDB28" w14:textId="77777777" w:rsidR="00C355E9" w:rsidRPr="001A7F2E" w:rsidRDefault="00324184" w:rsidP="001A7F2E">
            <w:pPr>
              <w:pStyle w:val="TableText"/>
            </w:pPr>
            <w:r w:rsidRPr="001A7F2E">
              <w:t>9.6</w:t>
            </w:r>
          </w:p>
        </w:tc>
        <w:tc>
          <w:tcPr>
            <w:tcW w:w="645" w:type="pct"/>
            <w:shd w:val="clear" w:color="auto" w:fill="auto"/>
            <w:tcMar>
              <w:left w:w="85" w:type="dxa"/>
              <w:right w:w="57" w:type="dxa"/>
            </w:tcMar>
          </w:tcPr>
          <w:p w14:paraId="273CDB29" w14:textId="77777777" w:rsidR="00C355E9" w:rsidRPr="001A7F2E" w:rsidRDefault="00324184" w:rsidP="001A7F2E">
            <w:pPr>
              <w:pStyle w:val="TableText"/>
            </w:pPr>
            <w:r w:rsidRPr="001A7F2E">
              <w:t>No EC10/NOEC data</w:t>
            </w:r>
          </w:p>
        </w:tc>
        <w:tc>
          <w:tcPr>
            <w:tcW w:w="535" w:type="pct"/>
            <w:tcMar>
              <w:left w:w="85" w:type="dxa"/>
              <w:right w:w="57" w:type="dxa"/>
            </w:tcMar>
          </w:tcPr>
          <w:p w14:paraId="273CDB2A" w14:textId="77777777" w:rsidR="00C355E9" w:rsidRPr="001A7F2E" w:rsidRDefault="00324184" w:rsidP="001A7F2E">
            <w:pPr>
              <w:pStyle w:val="TableText"/>
            </w:pPr>
            <w:r w:rsidRPr="001A7F2E">
              <w:t>Debelius et al. (2009)</w:t>
            </w:r>
          </w:p>
        </w:tc>
      </w:tr>
      <w:tr w:rsidR="00091AEB" w14:paraId="273CDB38" w14:textId="77777777" w:rsidTr="00D85C45">
        <w:trPr>
          <w:cantSplit/>
        </w:trPr>
        <w:tc>
          <w:tcPr>
            <w:tcW w:w="447" w:type="pct"/>
            <w:shd w:val="clear" w:color="auto" w:fill="auto"/>
            <w:tcMar>
              <w:left w:w="85" w:type="dxa"/>
              <w:right w:w="57" w:type="dxa"/>
            </w:tcMar>
          </w:tcPr>
          <w:p w14:paraId="273CDB2C" w14:textId="77777777" w:rsidR="00C355E9" w:rsidRPr="001A7F2E" w:rsidRDefault="00324184" w:rsidP="001A7F2E">
            <w:pPr>
              <w:pStyle w:val="TableText"/>
            </w:pPr>
            <w:r w:rsidRPr="001A7F2E">
              <w:t>Sponge</w:t>
            </w:r>
          </w:p>
        </w:tc>
        <w:tc>
          <w:tcPr>
            <w:tcW w:w="644" w:type="pct"/>
            <w:shd w:val="clear" w:color="auto" w:fill="auto"/>
            <w:tcMar>
              <w:left w:w="85" w:type="dxa"/>
              <w:right w:w="57" w:type="dxa"/>
            </w:tcMar>
          </w:tcPr>
          <w:p w14:paraId="273CDB2D" w14:textId="77777777" w:rsidR="00C355E9" w:rsidRPr="001A7F2E" w:rsidRDefault="00324184" w:rsidP="001A7F2E">
            <w:pPr>
              <w:pStyle w:val="TableText"/>
            </w:pPr>
            <w:r w:rsidRPr="00F23917">
              <w:rPr>
                <w:rStyle w:val="Emphasis"/>
              </w:rPr>
              <w:t>Halichondria panacea</w:t>
            </w:r>
            <w:r w:rsidRPr="001A7F2E">
              <w:t xml:space="preserve"> </w:t>
            </w:r>
          </w:p>
        </w:tc>
        <w:tc>
          <w:tcPr>
            <w:tcW w:w="397" w:type="pct"/>
            <w:shd w:val="clear" w:color="auto" w:fill="auto"/>
            <w:tcMar>
              <w:left w:w="85" w:type="dxa"/>
              <w:right w:w="57" w:type="dxa"/>
            </w:tcMar>
          </w:tcPr>
          <w:p w14:paraId="273CDB2E" w14:textId="77777777" w:rsidR="00C355E9" w:rsidRPr="001A7F2E" w:rsidRDefault="00324184" w:rsidP="001A7F2E">
            <w:pPr>
              <w:pStyle w:val="TableText"/>
            </w:pPr>
            <w:r>
              <w:t>–</w:t>
            </w:r>
          </w:p>
        </w:tc>
        <w:tc>
          <w:tcPr>
            <w:tcW w:w="298" w:type="pct"/>
            <w:tcMar>
              <w:left w:w="85" w:type="dxa"/>
              <w:right w:w="57" w:type="dxa"/>
            </w:tcMar>
          </w:tcPr>
          <w:p w14:paraId="273CDB2F" w14:textId="77777777" w:rsidR="00C355E9" w:rsidRPr="001A7F2E" w:rsidRDefault="00324184" w:rsidP="001A7F2E">
            <w:pPr>
              <w:pStyle w:val="TableText"/>
            </w:pPr>
            <w:r w:rsidRPr="001A7F2E">
              <w:t>80</w:t>
            </w:r>
          </w:p>
        </w:tc>
        <w:tc>
          <w:tcPr>
            <w:tcW w:w="397" w:type="pct"/>
            <w:tcMar>
              <w:left w:w="28" w:type="dxa"/>
              <w:right w:w="0" w:type="dxa"/>
            </w:tcMar>
          </w:tcPr>
          <w:p w14:paraId="273CDB30"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B31" w14:textId="77777777" w:rsidR="00C355E9" w:rsidRPr="001A7F2E" w:rsidRDefault="00324184" w:rsidP="001A7F2E">
            <w:pPr>
              <w:pStyle w:val="TableText"/>
            </w:pPr>
            <w:r w:rsidRPr="001A7F2E">
              <w:t>NOEC</w:t>
            </w:r>
          </w:p>
        </w:tc>
        <w:tc>
          <w:tcPr>
            <w:tcW w:w="248" w:type="pct"/>
            <w:tcMar>
              <w:left w:w="85" w:type="dxa"/>
              <w:right w:w="57" w:type="dxa"/>
            </w:tcMar>
          </w:tcPr>
          <w:p w14:paraId="273CDB32" w14:textId="77777777" w:rsidR="00C355E9" w:rsidRPr="001A7F2E" w:rsidRDefault="00324184" w:rsidP="001A7F2E">
            <w:pPr>
              <w:pStyle w:val="TableText"/>
            </w:pPr>
            <w:r>
              <w:t>–</w:t>
            </w:r>
          </w:p>
        </w:tc>
        <w:tc>
          <w:tcPr>
            <w:tcW w:w="248" w:type="pct"/>
            <w:tcMar>
              <w:left w:w="85" w:type="dxa"/>
              <w:right w:w="57" w:type="dxa"/>
            </w:tcMar>
          </w:tcPr>
          <w:p w14:paraId="273CDB33" w14:textId="77777777" w:rsidR="00C355E9" w:rsidRPr="001A7F2E" w:rsidRDefault="00324184" w:rsidP="001A7F2E">
            <w:pPr>
              <w:pStyle w:val="TableText"/>
            </w:pPr>
            <w:r>
              <w:t>–</w:t>
            </w:r>
          </w:p>
        </w:tc>
        <w:tc>
          <w:tcPr>
            <w:tcW w:w="347" w:type="pct"/>
            <w:tcMar>
              <w:left w:w="85" w:type="dxa"/>
              <w:right w:w="57" w:type="dxa"/>
            </w:tcMar>
          </w:tcPr>
          <w:p w14:paraId="273CDB34" w14:textId="77777777" w:rsidR="00C355E9" w:rsidRPr="001A7F2E" w:rsidRDefault="00324184" w:rsidP="001A7F2E">
            <w:pPr>
              <w:pStyle w:val="TableText"/>
            </w:pPr>
            <w:r w:rsidRPr="001A7F2E">
              <w:t>9.9</w:t>
            </w:r>
          </w:p>
        </w:tc>
        <w:tc>
          <w:tcPr>
            <w:tcW w:w="446" w:type="pct"/>
            <w:tcMar>
              <w:left w:w="85" w:type="dxa"/>
              <w:right w:w="57" w:type="dxa"/>
            </w:tcMar>
          </w:tcPr>
          <w:p w14:paraId="273CDB35" w14:textId="77777777" w:rsidR="00C355E9" w:rsidRPr="001A7F2E" w:rsidRDefault="00324184" w:rsidP="001A7F2E">
            <w:pPr>
              <w:pStyle w:val="TableText"/>
            </w:pPr>
            <w:r w:rsidRPr="001A7F2E">
              <w:t>9.9</w:t>
            </w:r>
          </w:p>
        </w:tc>
        <w:tc>
          <w:tcPr>
            <w:tcW w:w="645" w:type="pct"/>
            <w:shd w:val="clear" w:color="auto" w:fill="auto"/>
            <w:tcMar>
              <w:left w:w="85" w:type="dxa"/>
              <w:right w:w="57" w:type="dxa"/>
            </w:tcMar>
          </w:tcPr>
          <w:p w14:paraId="273CDB36" w14:textId="77777777" w:rsidR="00C355E9" w:rsidRPr="001A7F2E" w:rsidRDefault="00324184" w:rsidP="001A7F2E">
            <w:pPr>
              <w:pStyle w:val="TableText"/>
            </w:pPr>
            <w:r w:rsidRPr="001A7F2E">
              <w:t>DOC 2.4</w:t>
            </w:r>
            <w:r w:rsidR="00CF1C27">
              <w:t>–</w:t>
            </w:r>
            <w:r w:rsidRPr="001A7F2E">
              <w:t>6.8</w:t>
            </w:r>
            <w:r w:rsidR="00CF1C27">
              <w:t> </w:t>
            </w:r>
            <w:r w:rsidRPr="001A7F2E">
              <w:t>mg/L</w:t>
            </w:r>
          </w:p>
        </w:tc>
        <w:tc>
          <w:tcPr>
            <w:tcW w:w="535" w:type="pct"/>
            <w:tcMar>
              <w:left w:w="85" w:type="dxa"/>
              <w:right w:w="57" w:type="dxa"/>
            </w:tcMar>
          </w:tcPr>
          <w:p w14:paraId="273CDB37" w14:textId="77777777" w:rsidR="00C355E9" w:rsidRPr="001A7F2E" w:rsidRDefault="00324184" w:rsidP="001A7F2E">
            <w:pPr>
              <w:pStyle w:val="TableText"/>
            </w:pPr>
            <w:r w:rsidRPr="001A7F2E">
              <w:t>Foekema et al. (2015)</w:t>
            </w:r>
          </w:p>
        </w:tc>
      </w:tr>
      <w:tr w:rsidR="00091AEB" w14:paraId="273CDB45" w14:textId="77777777" w:rsidTr="00D85C45">
        <w:trPr>
          <w:cantSplit/>
        </w:trPr>
        <w:tc>
          <w:tcPr>
            <w:tcW w:w="447" w:type="pct"/>
            <w:shd w:val="clear" w:color="auto" w:fill="auto"/>
            <w:tcMar>
              <w:left w:w="85" w:type="dxa"/>
              <w:right w:w="57" w:type="dxa"/>
            </w:tcMar>
          </w:tcPr>
          <w:p w14:paraId="273CDB39" w14:textId="77777777" w:rsidR="00C355E9" w:rsidRPr="001A7F2E" w:rsidRDefault="00324184" w:rsidP="001A7F2E">
            <w:pPr>
              <w:pStyle w:val="TableText"/>
            </w:pPr>
            <w:r w:rsidRPr="001A7F2E">
              <w:t>Diatom</w:t>
            </w:r>
          </w:p>
        </w:tc>
        <w:tc>
          <w:tcPr>
            <w:tcW w:w="644" w:type="pct"/>
            <w:shd w:val="clear" w:color="auto" w:fill="auto"/>
            <w:tcMar>
              <w:left w:w="85" w:type="dxa"/>
              <w:right w:w="57" w:type="dxa"/>
            </w:tcMar>
          </w:tcPr>
          <w:p w14:paraId="273CDB3A" w14:textId="77777777" w:rsidR="00C355E9" w:rsidRPr="00F23917" w:rsidRDefault="00324184" w:rsidP="001A7F2E">
            <w:pPr>
              <w:pStyle w:val="TableText"/>
              <w:rPr>
                <w:rStyle w:val="Emphasis"/>
              </w:rPr>
            </w:pPr>
            <w:r w:rsidRPr="00F23917">
              <w:rPr>
                <w:rStyle w:val="Emphasis"/>
              </w:rPr>
              <w:t>Entomoneis punctulata</w:t>
            </w:r>
          </w:p>
        </w:tc>
        <w:tc>
          <w:tcPr>
            <w:tcW w:w="397" w:type="pct"/>
            <w:shd w:val="clear" w:color="auto" w:fill="auto"/>
            <w:tcMar>
              <w:left w:w="85" w:type="dxa"/>
              <w:right w:w="57" w:type="dxa"/>
            </w:tcMar>
          </w:tcPr>
          <w:p w14:paraId="273CDB3B" w14:textId="77777777" w:rsidR="00C355E9" w:rsidRPr="001A7F2E" w:rsidRDefault="00324184" w:rsidP="001A7F2E">
            <w:pPr>
              <w:pStyle w:val="TableText"/>
            </w:pPr>
            <w:r>
              <w:t>Exponential</w:t>
            </w:r>
            <w:r w:rsidRPr="001A7F2E">
              <w:t xml:space="preserve"> growth</w:t>
            </w:r>
          </w:p>
        </w:tc>
        <w:tc>
          <w:tcPr>
            <w:tcW w:w="298" w:type="pct"/>
            <w:tcMar>
              <w:left w:w="85" w:type="dxa"/>
              <w:right w:w="57" w:type="dxa"/>
            </w:tcMar>
          </w:tcPr>
          <w:p w14:paraId="273CDB3C" w14:textId="77777777" w:rsidR="00C355E9" w:rsidRPr="001A7F2E" w:rsidRDefault="00324184" w:rsidP="001A7F2E">
            <w:pPr>
              <w:pStyle w:val="TableText"/>
            </w:pPr>
            <w:r w:rsidRPr="001A7F2E">
              <w:t>3</w:t>
            </w:r>
          </w:p>
        </w:tc>
        <w:tc>
          <w:tcPr>
            <w:tcW w:w="397" w:type="pct"/>
            <w:tcMar>
              <w:left w:w="28" w:type="dxa"/>
              <w:right w:w="0" w:type="dxa"/>
            </w:tcMar>
          </w:tcPr>
          <w:p w14:paraId="273CDB3D"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B3E" w14:textId="77777777" w:rsidR="00C355E9" w:rsidRPr="001A7F2E" w:rsidRDefault="00324184" w:rsidP="001A7F2E">
            <w:pPr>
              <w:pStyle w:val="TableText"/>
            </w:pPr>
            <w:r w:rsidRPr="001A7F2E">
              <w:t>NOEC</w:t>
            </w:r>
          </w:p>
        </w:tc>
        <w:tc>
          <w:tcPr>
            <w:tcW w:w="248" w:type="pct"/>
            <w:tcMar>
              <w:left w:w="85" w:type="dxa"/>
              <w:right w:w="57" w:type="dxa"/>
            </w:tcMar>
          </w:tcPr>
          <w:p w14:paraId="273CDB3F" w14:textId="77777777" w:rsidR="00C355E9" w:rsidRPr="001A7F2E" w:rsidRDefault="00324184" w:rsidP="001A7F2E">
            <w:pPr>
              <w:pStyle w:val="TableText"/>
            </w:pPr>
            <w:r w:rsidRPr="001A7F2E">
              <w:t>34</w:t>
            </w:r>
          </w:p>
        </w:tc>
        <w:tc>
          <w:tcPr>
            <w:tcW w:w="248" w:type="pct"/>
            <w:tcMar>
              <w:left w:w="85" w:type="dxa"/>
              <w:right w:w="57" w:type="dxa"/>
            </w:tcMar>
          </w:tcPr>
          <w:p w14:paraId="273CDB40" w14:textId="77777777" w:rsidR="00C355E9" w:rsidRPr="001A7F2E" w:rsidRDefault="00324184" w:rsidP="001A7F2E">
            <w:pPr>
              <w:pStyle w:val="TableText"/>
            </w:pPr>
            <w:r w:rsidRPr="001A7F2E">
              <w:t>21</w:t>
            </w:r>
          </w:p>
        </w:tc>
        <w:tc>
          <w:tcPr>
            <w:tcW w:w="347" w:type="pct"/>
            <w:tcMar>
              <w:left w:w="85" w:type="dxa"/>
              <w:right w:w="57" w:type="dxa"/>
            </w:tcMar>
          </w:tcPr>
          <w:p w14:paraId="273CDB41" w14:textId="77777777" w:rsidR="00C355E9" w:rsidRPr="001A7F2E" w:rsidRDefault="00324184" w:rsidP="001A7F2E">
            <w:pPr>
              <w:pStyle w:val="TableText"/>
            </w:pPr>
            <w:r w:rsidRPr="001A7F2E">
              <w:t>10</w:t>
            </w:r>
          </w:p>
        </w:tc>
        <w:tc>
          <w:tcPr>
            <w:tcW w:w="446" w:type="pct"/>
            <w:tcMar>
              <w:left w:w="85" w:type="dxa"/>
              <w:right w:w="57" w:type="dxa"/>
            </w:tcMar>
          </w:tcPr>
          <w:p w14:paraId="273CDB42" w14:textId="77777777" w:rsidR="00C355E9" w:rsidRPr="001A7F2E" w:rsidRDefault="00324184" w:rsidP="001A7F2E">
            <w:pPr>
              <w:pStyle w:val="TableText"/>
            </w:pPr>
            <w:r w:rsidRPr="001A7F2E">
              <w:t>10</w:t>
            </w:r>
          </w:p>
        </w:tc>
        <w:tc>
          <w:tcPr>
            <w:tcW w:w="645" w:type="pct"/>
            <w:shd w:val="clear" w:color="auto" w:fill="auto"/>
            <w:tcMar>
              <w:left w:w="85" w:type="dxa"/>
              <w:right w:w="57" w:type="dxa"/>
            </w:tcMar>
          </w:tcPr>
          <w:p w14:paraId="273CDB43" w14:textId="77777777" w:rsidR="00C355E9" w:rsidRPr="001A7F2E" w:rsidRDefault="00324184" w:rsidP="001A7F2E">
            <w:pPr>
              <w:pStyle w:val="TableText"/>
            </w:pPr>
            <w:r w:rsidRPr="001A7F2E">
              <w:t xml:space="preserve">No copper </w:t>
            </w:r>
            <w:r w:rsidRPr="001A7F2E">
              <w:t>measurement</w:t>
            </w:r>
          </w:p>
        </w:tc>
        <w:tc>
          <w:tcPr>
            <w:tcW w:w="535" w:type="pct"/>
            <w:tcMar>
              <w:left w:w="85" w:type="dxa"/>
              <w:right w:w="57" w:type="dxa"/>
            </w:tcMar>
          </w:tcPr>
          <w:p w14:paraId="273CDB44" w14:textId="77777777" w:rsidR="00C355E9" w:rsidRPr="001A7F2E" w:rsidRDefault="00324184" w:rsidP="001A7F2E">
            <w:pPr>
              <w:pStyle w:val="TableText"/>
            </w:pPr>
            <w:r w:rsidRPr="001A7F2E">
              <w:t>Stauber (1995)</w:t>
            </w:r>
          </w:p>
        </w:tc>
      </w:tr>
      <w:tr w:rsidR="00091AEB" w14:paraId="273CDB52" w14:textId="77777777" w:rsidTr="00D85C45">
        <w:trPr>
          <w:cantSplit/>
        </w:trPr>
        <w:tc>
          <w:tcPr>
            <w:tcW w:w="447" w:type="pct"/>
            <w:shd w:val="clear" w:color="auto" w:fill="auto"/>
            <w:tcMar>
              <w:left w:w="85" w:type="dxa"/>
              <w:right w:w="57" w:type="dxa"/>
            </w:tcMar>
          </w:tcPr>
          <w:p w14:paraId="273CDB46" w14:textId="77777777" w:rsidR="00C355E9" w:rsidRPr="001A7F2E" w:rsidRDefault="00324184" w:rsidP="001A7F2E">
            <w:pPr>
              <w:pStyle w:val="TableText"/>
            </w:pPr>
            <w:r w:rsidRPr="001A7F2E">
              <w:t>Diatom</w:t>
            </w:r>
          </w:p>
        </w:tc>
        <w:tc>
          <w:tcPr>
            <w:tcW w:w="644" w:type="pct"/>
            <w:shd w:val="clear" w:color="auto" w:fill="auto"/>
            <w:tcMar>
              <w:left w:w="85" w:type="dxa"/>
              <w:right w:w="57" w:type="dxa"/>
            </w:tcMar>
          </w:tcPr>
          <w:p w14:paraId="273CDB47" w14:textId="77777777" w:rsidR="00C355E9" w:rsidRPr="00F23917" w:rsidRDefault="00324184" w:rsidP="001A7F2E">
            <w:pPr>
              <w:pStyle w:val="TableText"/>
              <w:rPr>
                <w:rStyle w:val="Emphasis"/>
              </w:rPr>
            </w:pPr>
            <w:r w:rsidRPr="00F23917">
              <w:rPr>
                <w:rStyle w:val="Emphasis"/>
              </w:rPr>
              <w:t>Nitzschia bilobata</w:t>
            </w:r>
          </w:p>
        </w:tc>
        <w:tc>
          <w:tcPr>
            <w:tcW w:w="397" w:type="pct"/>
            <w:shd w:val="clear" w:color="auto" w:fill="auto"/>
            <w:tcMar>
              <w:left w:w="85" w:type="dxa"/>
              <w:right w:w="57" w:type="dxa"/>
            </w:tcMar>
          </w:tcPr>
          <w:p w14:paraId="273CDB48" w14:textId="77777777" w:rsidR="00C355E9" w:rsidRPr="001A7F2E" w:rsidRDefault="00324184" w:rsidP="001A7F2E">
            <w:pPr>
              <w:pStyle w:val="TableText"/>
            </w:pPr>
            <w:r>
              <w:t>Exponential</w:t>
            </w:r>
            <w:r w:rsidRPr="001A7F2E">
              <w:t xml:space="preserve"> growth</w:t>
            </w:r>
          </w:p>
        </w:tc>
        <w:tc>
          <w:tcPr>
            <w:tcW w:w="298" w:type="pct"/>
            <w:tcMar>
              <w:left w:w="85" w:type="dxa"/>
              <w:right w:w="57" w:type="dxa"/>
            </w:tcMar>
          </w:tcPr>
          <w:p w14:paraId="273CDB49" w14:textId="77777777" w:rsidR="00C355E9" w:rsidRPr="001A7F2E" w:rsidRDefault="00324184" w:rsidP="001A7F2E">
            <w:pPr>
              <w:pStyle w:val="TableText"/>
            </w:pPr>
            <w:r w:rsidRPr="001A7F2E">
              <w:t>3</w:t>
            </w:r>
          </w:p>
        </w:tc>
        <w:tc>
          <w:tcPr>
            <w:tcW w:w="397" w:type="pct"/>
            <w:tcMar>
              <w:left w:w="28" w:type="dxa"/>
              <w:right w:w="0" w:type="dxa"/>
            </w:tcMar>
          </w:tcPr>
          <w:p w14:paraId="273CDB4A"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B4B" w14:textId="77777777" w:rsidR="00C355E9" w:rsidRPr="001A7F2E" w:rsidRDefault="00324184" w:rsidP="001A7F2E">
            <w:pPr>
              <w:pStyle w:val="TableText"/>
            </w:pPr>
            <w:r w:rsidRPr="001A7F2E">
              <w:t>NOEC</w:t>
            </w:r>
          </w:p>
        </w:tc>
        <w:tc>
          <w:tcPr>
            <w:tcW w:w="248" w:type="pct"/>
            <w:tcMar>
              <w:left w:w="85" w:type="dxa"/>
              <w:right w:w="57" w:type="dxa"/>
            </w:tcMar>
          </w:tcPr>
          <w:p w14:paraId="273CDB4C" w14:textId="77777777" w:rsidR="00C355E9" w:rsidRPr="001A7F2E" w:rsidRDefault="00324184" w:rsidP="001A7F2E">
            <w:pPr>
              <w:pStyle w:val="TableText"/>
            </w:pPr>
            <w:r w:rsidRPr="001A7F2E">
              <w:t>34</w:t>
            </w:r>
          </w:p>
        </w:tc>
        <w:tc>
          <w:tcPr>
            <w:tcW w:w="248" w:type="pct"/>
            <w:tcMar>
              <w:left w:w="85" w:type="dxa"/>
              <w:right w:w="57" w:type="dxa"/>
            </w:tcMar>
          </w:tcPr>
          <w:p w14:paraId="273CDB4D" w14:textId="77777777" w:rsidR="00C355E9" w:rsidRPr="001A7F2E" w:rsidRDefault="00324184" w:rsidP="001A7F2E">
            <w:pPr>
              <w:pStyle w:val="TableText"/>
            </w:pPr>
            <w:r w:rsidRPr="001A7F2E">
              <w:t>21</w:t>
            </w:r>
          </w:p>
        </w:tc>
        <w:tc>
          <w:tcPr>
            <w:tcW w:w="347" w:type="pct"/>
            <w:tcMar>
              <w:left w:w="85" w:type="dxa"/>
              <w:right w:w="57" w:type="dxa"/>
            </w:tcMar>
          </w:tcPr>
          <w:p w14:paraId="273CDB4E" w14:textId="77777777" w:rsidR="00C355E9" w:rsidRPr="001A7F2E" w:rsidRDefault="00324184" w:rsidP="001A7F2E">
            <w:pPr>
              <w:pStyle w:val="TableText"/>
            </w:pPr>
            <w:r w:rsidRPr="001A7F2E">
              <w:t>10</w:t>
            </w:r>
          </w:p>
        </w:tc>
        <w:tc>
          <w:tcPr>
            <w:tcW w:w="446" w:type="pct"/>
            <w:tcMar>
              <w:left w:w="85" w:type="dxa"/>
              <w:right w:w="57" w:type="dxa"/>
            </w:tcMar>
          </w:tcPr>
          <w:p w14:paraId="273CDB4F" w14:textId="77777777" w:rsidR="00C355E9" w:rsidRPr="001A7F2E" w:rsidRDefault="00324184" w:rsidP="001A7F2E">
            <w:pPr>
              <w:pStyle w:val="TableText"/>
            </w:pPr>
            <w:r w:rsidRPr="001A7F2E">
              <w:t>10</w:t>
            </w:r>
          </w:p>
        </w:tc>
        <w:tc>
          <w:tcPr>
            <w:tcW w:w="645" w:type="pct"/>
            <w:shd w:val="clear" w:color="auto" w:fill="auto"/>
            <w:tcMar>
              <w:left w:w="85" w:type="dxa"/>
              <w:right w:w="57" w:type="dxa"/>
            </w:tcMar>
          </w:tcPr>
          <w:p w14:paraId="273CDB50"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B51" w14:textId="77777777" w:rsidR="00C355E9" w:rsidRPr="001A7F2E" w:rsidRDefault="00324184" w:rsidP="001A7F2E">
            <w:pPr>
              <w:pStyle w:val="TableText"/>
            </w:pPr>
            <w:r w:rsidRPr="001A7F2E">
              <w:t>Stauber (1995)</w:t>
            </w:r>
          </w:p>
        </w:tc>
      </w:tr>
      <w:tr w:rsidR="00091AEB" w14:paraId="273CDB5F" w14:textId="77777777" w:rsidTr="00D85C45">
        <w:trPr>
          <w:cantSplit/>
        </w:trPr>
        <w:tc>
          <w:tcPr>
            <w:tcW w:w="447" w:type="pct"/>
            <w:shd w:val="clear" w:color="auto" w:fill="auto"/>
            <w:tcMar>
              <w:left w:w="85" w:type="dxa"/>
              <w:right w:w="57" w:type="dxa"/>
            </w:tcMar>
          </w:tcPr>
          <w:p w14:paraId="273CDB53" w14:textId="77777777" w:rsidR="00C355E9" w:rsidRPr="001A7F2E" w:rsidRDefault="00324184" w:rsidP="001A7F2E">
            <w:pPr>
              <w:pStyle w:val="TableText"/>
            </w:pPr>
            <w:r w:rsidRPr="001A7F2E">
              <w:t>Cnidaria</w:t>
            </w:r>
            <w:r w:rsidR="00E95FBC">
              <w:t>n</w:t>
            </w:r>
          </w:p>
        </w:tc>
        <w:tc>
          <w:tcPr>
            <w:tcW w:w="644" w:type="pct"/>
            <w:shd w:val="clear" w:color="auto" w:fill="auto"/>
            <w:tcMar>
              <w:left w:w="85" w:type="dxa"/>
              <w:right w:w="57" w:type="dxa"/>
            </w:tcMar>
          </w:tcPr>
          <w:p w14:paraId="273CDB54" w14:textId="77777777" w:rsidR="00C355E9" w:rsidRPr="001A7F2E" w:rsidRDefault="00324184" w:rsidP="001A7F2E">
            <w:pPr>
              <w:pStyle w:val="TableText"/>
            </w:pPr>
            <w:r w:rsidRPr="00F23917">
              <w:rPr>
                <w:rStyle w:val="Emphasis"/>
              </w:rPr>
              <w:t>Goniastrea retiformis</w:t>
            </w:r>
          </w:p>
        </w:tc>
        <w:tc>
          <w:tcPr>
            <w:tcW w:w="397" w:type="pct"/>
            <w:shd w:val="clear" w:color="auto" w:fill="auto"/>
            <w:tcMar>
              <w:left w:w="85" w:type="dxa"/>
              <w:right w:w="57" w:type="dxa"/>
            </w:tcMar>
          </w:tcPr>
          <w:p w14:paraId="273CDB55" w14:textId="77777777" w:rsidR="00C355E9" w:rsidRPr="001A7F2E" w:rsidRDefault="00324184" w:rsidP="001A7F2E">
            <w:pPr>
              <w:pStyle w:val="TableText"/>
            </w:pPr>
            <w:r w:rsidRPr="001A7F2E">
              <w:t>Gamete</w:t>
            </w:r>
          </w:p>
        </w:tc>
        <w:tc>
          <w:tcPr>
            <w:tcW w:w="298" w:type="pct"/>
            <w:tcMar>
              <w:left w:w="85" w:type="dxa"/>
              <w:right w:w="57" w:type="dxa"/>
            </w:tcMar>
          </w:tcPr>
          <w:p w14:paraId="273CDB56" w14:textId="77777777" w:rsidR="00C355E9" w:rsidRPr="001A7F2E" w:rsidRDefault="00324184" w:rsidP="001A7F2E">
            <w:pPr>
              <w:pStyle w:val="TableText"/>
            </w:pPr>
            <w:r w:rsidRPr="001A7F2E">
              <w:t>0.23</w:t>
            </w:r>
          </w:p>
        </w:tc>
        <w:tc>
          <w:tcPr>
            <w:tcW w:w="397" w:type="pct"/>
            <w:tcMar>
              <w:left w:w="28" w:type="dxa"/>
              <w:right w:w="0" w:type="dxa"/>
            </w:tcMar>
          </w:tcPr>
          <w:p w14:paraId="273CDB57" w14:textId="77777777" w:rsidR="00C355E9" w:rsidRPr="001A7F2E" w:rsidRDefault="00324184" w:rsidP="001A7F2E">
            <w:pPr>
              <w:pStyle w:val="TableText"/>
            </w:pPr>
            <w:r>
              <w:t>Fertilisation</w:t>
            </w:r>
          </w:p>
        </w:tc>
        <w:tc>
          <w:tcPr>
            <w:tcW w:w="348" w:type="pct"/>
            <w:shd w:val="clear" w:color="auto" w:fill="auto"/>
            <w:tcMar>
              <w:left w:w="85" w:type="dxa"/>
              <w:right w:w="57" w:type="dxa"/>
            </w:tcMar>
          </w:tcPr>
          <w:p w14:paraId="273CDB58" w14:textId="77777777" w:rsidR="00C355E9" w:rsidRPr="001A7F2E" w:rsidRDefault="00324184" w:rsidP="001A7F2E">
            <w:pPr>
              <w:pStyle w:val="TableText"/>
            </w:pPr>
            <w:r w:rsidRPr="001A7F2E">
              <w:t>NOEC</w:t>
            </w:r>
          </w:p>
        </w:tc>
        <w:tc>
          <w:tcPr>
            <w:tcW w:w="248" w:type="pct"/>
            <w:tcMar>
              <w:left w:w="85" w:type="dxa"/>
              <w:right w:w="57" w:type="dxa"/>
            </w:tcMar>
          </w:tcPr>
          <w:p w14:paraId="273CDB59" w14:textId="77777777" w:rsidR="00C355E9" w:rsidRPr="001A7F2E" w:rsidRDefault="00324184" w:rsidP="001A7F2E">
            <w:pPr>
              <w:pStyle w:val="TableText"/>
            </w:pPr>
            <w:r>
              <w:t>–</w:t>
            </w:r>
          </w:p>
        </w:tc>
        <w:tc>
          <w:tcPr>
            <w:tcW w:w="248" w:type="pct"/>
            <w:tcMar>
              <w:left w:w="85" w:type="dxa"/>
              <w:right w:w="57" w:type="dxa"/>
            </w:tcMar>
          </w:tcPr>
          <w:p w14:paraId="273CDB5A" w14:textId="77777777" w:rsidR="00C355E9" w:rsidRPr="001A7F2E" w:rsidRDefault="00324184" w:rsidP="001A7F2E">
            <w:pPr>
              <w:pStyle w:val="TableText"/>
            </w:pPr>
            <w:r>
              <w:t>–</w:t>
            </w:r>
          </w:p>
        </w:tc>
        <w:tc>
          <w:tcPr>
            <w:tcW w:w="347" w:type="pct"/>
            <w:tcMar>
              <w:left w:w="85" w:type="dxa"/>
              <w:right w:w="57" w:type="dxa"/>
            </w:tcMar>
          </w:tcPr>
          <w:p w14:paraId="273CDB5B" w14:textId="77777777" w:rsidR="00C355E9" w:rsidRPr="001A7F2E" w:rsidRDefault="00324184" w:rsidP="001A7F2E">
            <w:pPr>
              <w:pStyle w:val="TableText"/>
            </w:pPr>
            <w:r w:rsidRPr="001A7F2E">
              <w:t>10</w:t>
            </w:r>
          </w:p>
        </w:tc>
        <w:tc>
          <w:tcPr>
            <w:tcW w:w="446" w:type="pct"/>
            <w:tcMar>
              <w:left w:w="85" w:type="dxa"/>
              <w:right w:w="57" w:type="dxa"/>
            </w:tcMar>
          </w:tcPr>
          <w:p w14:paraId="273CDB5C" w14:textId="77777777" w:rsidR="00C355E9" w:rsidRPr="001A7F2E" w:rsidRDefault="00324184" w:rsidP="001A7F2E">
            <w:pPr>
              <w:pStyle w:val="TableText"/>
            </w:pPr>
            <w:r w:rsidRPr="001A7F2E">
              <w:t>10</w:t>
            </w:r>
          </w:p>
        </w:tc>
        <w:tc>
          <w:tcPr>
            <w:tcW w:w="645" w:type="pct"/>
            <w:shd w:val="clear" w:color="auto" w:fill="auto"/>
            <w:tcMar>
              <w:left w:w="85" w:type="dxa"/>
              <w:right w:w="57" w:type="dxa"/>
            </w:tcMar>
          </w:tcPr>
          <w:p w14:paraId="273CDB5D"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B5E" w14:textId="77777777" w:rsidR="00C355E9" w:rsidRPr="001A7F2E" w:rsidRDefault="00324184" w:rsidP="001A7F2E">
            <w:pPr>
              <w:pStyle w:val="TableText"/>
            </w:pPr>
            <w:r w:rsidRPr="001A7F2E">
              <w:t>Reichelt-Brushett &amp; Harrison (2005)</w:t>
            </w:r>
          </w:p>
        </w:tc>
      </w:tr>
      <w:tr w:rsidR="00091AEB" w14:paraId="273CDB6C" w14:textId="77777777" w:rsidTr="00D85C45">
        <w:trPr>
          <w:cantSplit/>
        </w:trPr>
        <w:tc>
          <w:tcPr>
            <w:tcW w:w="447" w:type="pct"/>
            <w:shd w:val="clear" w:color="auto" w:fill="auto"/>
            <w:tcMar>
              <w:left w:w="85" w:type="dxa"/>
              <w:right w:w="57" w:type="dxa"/>
            </w:tcMar>
          </w:tcPr>
          <w:p w14:paraId="273CDB60" w14:textId="77777777" w:rsidR="00C355E9" w:rsidRPr="001A7F2E" w:rsidRDefault="00324184" w:rsidP="001A7F2E">
            <w:pPr>
              <w:pStyle w:val="TableText"/>
            </w:pPr>
            <w:r w:rsidRPr="001A7F2E">
              <w:t>Crustacean</w:t>
            </w:r>
          </w:p>
        </w:tc>
        <w:tc>
          <w:tcPr>
            <w:tcW w:w="644" w:type="pct"/>
            <w:shd w:val="clear" w:color="auto" w:fill="auto"/>
            <w:tcMar>
              <w:left w:w="85" w:type="dxa"/>
              <w:right w:w="57" w:type="dxa"/>
            </w:tcMar>
          </w:tcPr>
          <w:p w14:paraId="273CDB61" w14:textId="77777777" w:rsidR="00C355E9" w:rsidRPr="001A7F2E" w:rsidRDefault="00324184" w:rsidP="001A7F2E">
            <w:pPr>
              <w:pStyle w:val="TableText"/>
            </w:pPr>
            <w:r w:rsidRPr="00F23917">
              <w:rPr>
                <w:rStyle w:val="Emphasis"/>
              </w:rPr>
              <w:t>Moina mongolica</w:t>
            </w:r>
            <w:r w:rsidRPr="001A7F2E">
              <w:t xml:space="preserve"> </w:t>
            </w:r>
          </w:p>
        </w:tc>
        <w:tc>
          <w:tcPr>
            <w:tcW w:w="397" w:type="pct"/>
            <w:shd w:val="clear" w:color="auto" w:fill="auto"/>
            <w:tcMar>
              <w:left w:w="85" w:type="dxa"/>
              <w:right w:w="57" w:type="dxa"/>
            </w:tcMar>
          </w:tcPr>
          <w:p w14:paraId="273CDB62" w14:textId="77777777" w:rsidR="00C355E9" w:rsidRPr="001A7F2E" w:rsidRDefault="00324184" w:rsidP="001A7F2E">
            <w:pPr>
              <w:pStyle w:val="TableText"/>
            </w:pPr>
            <w:r w:rsidRPr="001A7F2E">
              <w:t>Neonate</w:t>
            </w:r>
          </w:p>
        </w:tc>
        <w:tc>
          <w:tcPr>
            <w:tcW w:w="298" w:type="pct"/>
            <w:tcMar>
              <w:left w:w="85" w:type="dxa"/>
              <w:right w:w="57" w:type="dxa"/>
            </w:tcMar>
          </w:tcPr>
          <w:p w14:paraId="273CDB63" w14:textId="77777777" w:rsidR="00C355E9" w:rsidRPr="001A7F2E" w:rsidRDefault="00324184" w:rsidP="001A7F2E">
            <w:pPr>
              <w:pStyle w:val="TableText"/>
            </w:pPr>
            <w:r w:rsidRPr="001A7F2E">
              <w:t>21</w:t>
            </w:r>
          </w:p>
        </w:tc>
        <w:tc>
          <w:tcPr>
            <w:tcW w:w="397" w:type="pct"/>
            <w:tcMar>
              <w:left w:w="28" w:type="dxa"/>
              <w:right w:w="0" w:type="dxa"/>
            </w:tcMar>
          </w:tcPr>
          <w:p w14:paraId="273CDB64"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B65" w14:textId="77777777" w:rsidR="00C355E9" w:rsidRPr="001A7F2E" w:rsidRDefault="00324184" w:rsidP="001A7F2E">
            <w:pPr>
              <w:pStyle w:val="TableText"/>
            </w:pPr>
            <w:r w:rsidRPr="001A7F2E">
              <w:t>EC20</w:t>
            </w:r>
          </w:p>
        </w:tc>
        <w:tc>
          <w:tcPr>
            <w:tcW w:w="248" w:type="pct"/>
            <w:tcMar>
              <w:left w:w="85" w:type="dxa"/>
              <w:right w:w="57" w:type="dxa"/>
            </w:tcMar>
          </w:tcPr>
          <w:p w14:paraId="273CDB66" w14:textId="77777777" w:rsidR="00C355E9" w:rsidRPr="001A7F2E" w:rsidRDefault="00324184" w:rsidP="001A7F2E">
            <w:pPr>
              <w:pStyle w:val="TableText"/>
            </w:pPr>
            <w:r w:rsidRPr="001A7F2E">
              <w:t>10</w:t>
            </w:r>
          </w:p>
        </w:tc>
        <w:tc>
          <w:tcPr>
            <w:tcW w:w="248" w:type="pct"/>
            <w:tcMar>
              <w:left w:w="85" w:type="dxa"/>
              <w:right w:w="57" w:type="dxa"/>
            </w:tcMar>
          </w:tcPr>
          <w:p w14:paraId="273CDB67" w14:textId="77777777" w:rsidR="00C355E9" w:rsidRPr="001A7F2E" w:rsidRDefault="00324184" w:rsidP="001A7F2E">
            <w:pPr>
              <w:pStyle w:val="TableText"/>
            </w:pPr>
            <w:r w:rsidRPr="001A7F2E">
              <w:t>20</w:t>
            </w:r>
          </w:p>
        </w:tc>
        <w:tc>
          <w:tcPr>
            <w:tcW w:w="347" w:type="pct"/>
            <w:tcMar>
              <w:left w:w="85" w:type="dxa"/>
              <w:right w:w="57" w:type="dxa"/>
            </w:tcMar>
          </w:tcPr>
          <w:p w14:paraId="273CDB68" w14:textId="77777777" w:rsidR="00C355E9" w:rsidRPr="001A7F2E" w:rsidRDefault="00324184" w:rsidP="001A7F2E">
            <w:pPr>
              <w:pStyle w:val="TableText"/>
            </w:pPr>
            <w:r w:rsidRPr="001A7F2E">
              <w:t>12</w:t>
            </w:r>
          </w:p>
        </w:tc>
        <w:tc>
          <w:tcPr>
            <w:tcW w:w="446" w:type="pct"/>
            <w:tcMar>
              <w:left w:w="85" w:type="dxa"/>
              <w:right w:w="57" w:type="dxa"/>
            </w:tcMar>
          </w:tcPr>
          <w:p w14:paraId="273CDB69" w14:textId="77777777" w:rsidR="00C355E9" w:rsidRPr="001A7F2E" w:rsidRDefault="00324184" w:rsidP="001A7F2E">
            <w:pPr>
              <w:pStyle w:val="TableText"/>
            </w:pPr>
            <w:r w:rsidRPr="001A7F2E">
              <w:t>12</w:t>
            </w:r>
          </w:p>
        </w:tc>
        <w:tc>
          <w:tcPr>
            <w:tcW w:w="645" w:type="pct"/>
            <w:shd w:val="clear" w:color="auto" w:fill="auto"/>
            <w:tcMar>
              <w:left w:w="85" w:type="dxa"/>
              <w:right w:w="57" w:type="dxa"/>
            </w:tcMar>
          </w:tcPr>
          <w:p w14:paraId="273CDB6A" w14:textId="77777777" w:rsidR="00C355E9" w:rsidRPr="001A7F2E" w:rsidRDefault="00324184" w:rsidP="001A7F2E">
            <w:pPr>
              <w:pStyle w:val="TableText"/>
            </w:pPr>
            <w:r w:rsidRPr="001A7F2E">
              <w:t>Salinity &lt;25</w:t>
            </w:r>
            <w:r w:rsidR="003F599F" w:rsidRPr="009907F5">
              <w:t>‰</w:t>
            </w:r>
          </w:p>
        </w:tc>
        <w:tc>
          <w:tcPr>
            <w:tcW w:w="535" w:type="pct"/>
            <w:tcMar>
              <w:left w:w="85" w:type="dxa"/>
              <w:right w:w="57" w:type="dxa"/>
            </w:tcMar>
          </w:tcPr>
          <w:p w14:paraId="273CDB6B" w14:textId="77777777" w:rsidR="00C355E9" w:rsidRPr="001A7F2E" w:rsidRDefault="00324184" w:rsidP="001A7F2E">
            <w:pPr>
              <w:pStyle w:val="TableText"/>
            </w:pPr>
            <w:r w:rsidRPr="001A7F2E">
              <w:t>Wang et al. (2007a)</w:t>
            </w:r>
          </w:p>
        </w:tc>
      </w:tr>
      <w:tr w:rsidR="00091AEB" w14:paraId="273CDB79" w14:textId="77777777" w:rsidTr="00D85C45">
        <w:trPr>
          <w:cantSplit/>
        </w:trPr>
        <w:tc>
          <w:tcPr>
            <w:tcW w:w="447" w:type="pct"/>
            <w:shd w:val="clear" w:color="auto" w:fill="auto"/>
            <w:tcMar>
              <w:left w:w="85" w:type="dxa"/>
              <w:right w:w="57" w:type="dxa"/>
            </w:tcMar>
          </w:tcPr>
          <w:p w14:paraId="273CDB6D" w14:textId="77777777" w:rsidR="00C355E9" w:rsidRPr="001A7F2E" w:rsidRDefault="00324184" w:rsidP="001A7F2E">
            <w:pPr>
              <w:pStyle w:val="TableText"/>
            </w:pPr>
            <w:r w:rsidRPr="001A7F2E">
              <w:t>Echinoderm</w:t>
            </w:r>
          </w:p>
        </w:tc>
        <w:tc>
          <w:tcPr>
            <w:tcW w:w="644" w:type="pct"/>
            <w:shd w:val="clear" w:color="auto" w:fill="auto"/>
            <w:tcMar>
              <w:left w:w="85" w:type="dxa"/>
              <w:right w:w="57" w:type="dxa"/>
            </w:tcMar>
          </w:tcPr>
          <w:p w14:paraId="273CDB6E" w14:textId="77777777" w:rsidR="00C355E9" w:rsidRPr="001A7F2E" w:rsidRDefault="00324184" w:rsidP="001A7F2E">
            <w:pPr>
              <w:pStyle w:val="TableText"/>
            </w:pPr>
            <w:r w:rsidRPr="00F23917">
              <w:rPr>
                <w:rStyle w:val="Emphasis"/>
              </w:rPr>
              <w:t>Heliocidaris erythrogramma</w:t>
            </w:r>
            <w:r w:rsidRPr="001A7F2E">
              <w:t xml:space="preserve"> </w:t>
            </w:r>
          </w:p>
        </w:tc>
        <w:tc>
          <w:tcPr>
            <w:tcW w:w="397" w:type="pct"/>
            <w:shd w:val="clear" w:color="auto" w:fill="auto"/>
            <w:tcMar>
              <w:left w:w="85" w:type="dxa"/>
              <w:right w:w="57" w:type="dxa"/>
            </w:tcMar>
          </w:tcPr>
          <w:p w14:paraId="273CDB6F" w14:textId="77777777" w:rsidR="00C355E9" w:rsidRPr="001A7F2E" w:rsidRDefault="00324184" w:rsidP="001A7F2E">
            <w:pPr>
              <w:pStyle w:val="TableText"/>
            </w:pPr>
            <w:r w:rsidRPr="001A7F2E">
              <w:t>Larva</w:t>
            </w:r>
          </w:p>
        </w:tc>
        <w:tc>
          <w:tcPr>
            <w:tcW w:w="298" w:type="pct"/>
            <w:tcMar>
              <w:left w:w="85" w:type="dxa"/>
              <w:right w:w="57" w:type="dxa"/>
            </w:tcMar>
          </w:tcPr>
          <w:p w14:paraId="273CDB70" w14:textId="77777777" w:rsidR="00C355E9" w:rsidRPr="001A7F2E" w:rsidRDefault="00324184" w:rsidP="001A7F2E">
            <w:pPr>
              <w:pStyle w:val="TableText"/>
            </w:pPr>
            <w:r w:rsidRPr="001A7F2E">
              <w:t>6</w:t>
            </w:r>
          </w:p>
        </w:tc>
        <w:tc>
          <w:tcPr>
            <w:tcW w:w="397" w:type="pct"/>
            <w:tcMar>
              <w:left w:w="28" w:type="dxa"/>
              <w:right w:w="0" w:type="dxa"/>
            </w:tcMar>
          </w:tcPr>
          <w:p w14:paraId="273CDB71"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B72" w14:textId="77777777" w:rsidR="00C355E9" w:rsidRPr="001A7F2E" w:rsidRDefault="00324184" w:rsidP="001A7F2E">
            <w:pPr>
              <w:pStyle w:val="TableText"/>
            </w:pPr>
            <w:r w:rsidRPr="001A7F2E">
              <w:t>NOEC</w:t>
            </w:r>
          </w:p>
        </w:tc>
        <w:tc>
          <w:tcPr>
            <w:tcW w:w="248" w:type="pct"/>
            <w:tcMar>
              <w:left w:w="85" w:type="dxa"/>
              <w:right w:w="57" w:type="dxa"/>
            </w:tcMar>
          </w:tcPr>
          <w:p w14:paraId="273CDB73" w14:textId="77777777" w:rsidR="00C355E9" w:rsidRPr="001A7F2E" w:rsidRDefault="00324184" w:rsidP="001A7F2E">
            <w:pPr>
              <w:pStyle w:val="TableText"/>
            </w:pPr>
            <w:r w:rsidRPr="001A7F2E">
              <w:t>35.5</w:t>
            </w:r>
          </w:p>
        </w:tc>
        <w:tc>
          <w:tcPr>
            <w:tcW w:w="248" w:type="pct"/>
            <w:tcMar>
              <w:left w:w="85" w:type="dxa"/>
              <w:right w:w="57" w:type="dxa"/>
            </w:tcMar>
          </w:tcPr>
          <w:p w14:paraId="273CDB74" w14:textId="77777777" w:rsidR="00C355E9" w:rsidRPr="001A7F2E" w:rsidRDefault="00324184" w:rsidP="001A7F2E">
            <w:pPr>
              <w:pStyle w:val="TableText"/>
            </w:pPr>
            <w:r w:rsidRPr="001A7F2E">
              <w:t>20</w:t>
            </w:r>
          </w:p>
        </w:tc>
        <w:tc>
          <w:tcPr>
            <w:tcW w:w="347" w:type="pct"/>
            <w:tcMar>
              <w:left w:w="85" w:type="dxa"/>
              <w:right w:w="57" w:type="dxa"/>
            </w:tcMar>
          </w:tcPr>
          <w:p w14:paraId="273CDB75" w14:textId="77777777" w:rsidR="00C355E9" w:rsidRPr="001A7F2E" w:rsidRDefault="00324184" w:rsidP="001A7F2E">
            <w:pPr>
              <w:pStyle w:val="TableText"/>
            </w:pPr>
            <w:r w:rsidRPr="001A7F2E">
              <w:t>13</w:t>
            </w:r>
          </w:p>
        </w:tc>
        <w:tc>
          <w:tcPr>
            <w:tcW w:w="446" w:type="pct"/>
            <w:tcMar>
              <w:left w:w="85" w:type="dxa"/>
              <w:right w:w="57" w:type="dxa"/>
            </w:tcMar>
          </w:tcPr>
          <w:p w14:paraId="273CDB76" w14:textId="77777777" w:rsidR="00C355E9" w:rsidRPr="001A7F2E" w:rsidRDefault="00324184" w:rsidP="001A7F2E">
            <w:pPr>
              <w:pStyle w:val="TableText"/>
            </w:pPr>
            <w:r w:rsidRPr="001A7F2E">
              <w:t>13</w:t>
            </w:r>
          </w:p>
        </w:tc>
        <w:tc>
          <w:tcPr>
            <w:tcW w:w="645" w:type="pct"/>
            <w:shd w:val="clear" w:color="auto" w:fill="auto"/>
            <w:tcMar>
              <w:left w:w="85" w:type="dxa"/>
              <w:right w:w="57" w:type="dxa"/>
            </w:tcMar>
          </w:tcPr>
          <w:p w14:paraId="273CDB77"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B78" w14:textId="77777777" w:rsidR="00C355E9" w:rsidRPr="001A7F2E" w:rsidRDefault="00324184" w:rsidP="001A7F2E">
            <w:pPr>
              <w:pStyle w:val="TableText"/>
            </w:pPr>
            <w:r w:rsidRPr="001A7F2E">
              <w:t>King (1999)</w:t>
            </w:r>
          </w:p>
        </w:tc>
      </w:tr>
      <w:tr w:rsidR="00091AEB" w14:paraId="273CDB86" w14:textId="77777777" w:rsidTr="00D85C45">
        <w:trPr>
          <w:cantSplit/>
        </w:trPr>
        <w:tc>
          <w:tcPr>
            <w:tcW w:w="447" w:type="pct"/>
            <w:shd w:val="clear" w:color="auto" w:fill="auto"/>
            <w:tcMar>
              <w:left w:w="85" w:type="dxa"/>
              <w:right w:w="57" w:type="dxa"/>
            </w:tcMar>
          </w:tcPr>
          <w:p w14:paraId="273CDB7A" w14:textId="77777777" w:rsidR="00C355E9" w:rsidRPr="001A7F2E" w:rsidRDefault="00324184" w:rsidP="001A7F2E">
            <w:pPr>
              <w:pStyle w:val="TableText"/>
            </w:pPr>
            <w:r w:rsidRPr="001A7F2E">
              <w:t>Crustacean</w:t>
            </w:r>
          </w:p>
        </w:tc>
        <w:tc>
          <w:tcPr>
            <w:tcW w:w="644" w:type="pct"/>
            <w:shd w:val="clear" w:color="auto" w:fill="auto"/>
            <w:tcMar>
              <w:left w:w="85" w:type="dxa"/>
              <w:right w:w="57" w:type="dxa"/>
            </w:tcMar>
          </w:tcPr>
          <w:p w14:paraId="273CDB7B" w14:textId="77777777" w:rsidR="00C355E9" w:rsidRPr="001A7F2E" w:rsidRDefault="00324184" w:rsidP="001A7F2E">
            <w:pPr>
              <w:pStyle w:val="TableText"/>
            </w:pPr>
            <w:r w:rsidRPr="00F23917">
              <w:rPr>
                <w:rStyle w:val="Emphasis"/>
              </w:rPr>
              <w:t>Moina mongolica</w:t>
            </w:r>
            <w:r w:rsidRPr="001A7F2E">
              <w:t xml:space="preserve"> </w:t>
            </w:r>
          </w:p>
        </w:tc>
        <w:tc>
          <w:tcPr>
            <w:tcW w:w="397" w:type="pct"/>
            <w:shd w:val="clear" w:color="auto" w:fill="auto"/>
            <w:tcMar>
              <w:left w:w="85" w:type="dxa"/>
              <w:right w:w="57" w:type="dxa"/>
            </w:tcMar>
          </w:tcPr>
          <w:p w14:paraId="273CDB7C" w14:textId="77777777" w:rsidR="00C355E9" w:rsidRPr="001A7F2E" w:rsidRDefault="00324184" w:rsidP="001A7F2E">
            <w:pPr>
              <w:pStyle w:val="TableText"/>
            </w:pPr>
            <w:r w:rsidRPr="001A7F2E">
              <w:t>Neonate</w:t>
            </w:r>
          </w:p>
        </w:tc>
        <w:tc>
          <w:tcPr>
            <w:tcW w:w="298" w:type="pct"/>
            <w:tcMar>
              <w:left w:w="85" w:type="dxa"/>
              <w:right w:w="57" w:type="dxa"/>
            </w:tcMar>
          </w:tcPr>
          <w:p w14:paraId="273CDB7D" w14:textId="77777777" w:rsidR="00C355E9" w:rsidRPr="001A7F2E" w:rsidRDefault="00324184" w:rsidP="001A7F2E">
            <w:pPr>
              <w:pStyle w:val="TableText"/>
            </w:pPr>
            <w:r w:rsidRPr="001A7F2E">
              <w:t>21</w:t>
            </w:r>
          </w:p>
        </w:tc>
        <w:tc>
          <w:tcPr>
            <w:tcW w:w="397" w:type="pct"/>
            <w:tcMar>
              <w:left w:w="28" w:type="dxa"/>
              <w:right w:w="0" w:type="dxa"/>
            </w:tcMar>
          </w:tcPr>
          <w:p w14:paraId="273CDB7E" w14:textId="77777777" w:rsidR="00C355E9" w:rsidRPr="001A7F2E" w:rsidRDefault="00324184" w:rsidP="001A7F2E">
            <w:pPr>
              <w:pStyle w:val="TableText"/>
            </w:pPr>
            <w:r w:rsidRPr="001A7F2E">
              <w:t>Mortality</w:t>
            </w:r>
          </w:p>
        </w:tc>
        <w:tc>
          <w:tcPr>
            <w:tcW w:w="348" w:type="pct"/>
            <w:shd w:val="clear" w:color="auto" w:fill="auto"/>
            <w:tcMar>
              <w:left w:w="85" w:type="dxa"/>
              <w:right w:w="57" w:type="dxa"/>
            </w:tcMar>
          </w:tcPr>
          <w:p w14:paraId="273CDB7F" w14:textId="77777777" w:rsidR="00C355E9" w:rsidRPr="001A7F2E" w:rsidRDefault="00324184" w:rsidP="001A7F2E">
            <w:pPr>
              <w:pStyle w:val="TableText"/>
            </w:pPr>
            <w:r w:rsidRPr="001A7F2E">
              <w:t>EC20</w:t>
            </w:r>
          </w:p>
        </w:tc>
        <w:tc>
          <w:tcPr>
            <w:tcW w:w="248" w:type="pct"/>
            <w:tcMar>
              <w:left w:w="85" w:type="dxa"/>
              <w:right w:w="57" w:type="dxa"/>
            </w:tcMar>
          </w:tcPr>
          <w:p w14:paraId="273CDB80" w14:textId="77777777" w:rsidR="00C355E9" w:rsidRPr="001A7F2E" w:rsidRDefault="00324184" w:rsidP="001A7F2E">
            <w:pPr>
              <w:pStyle w:val="TableText"/>
            </w:pPr>
            <w:r w:rsidRPr="001A7F2E">
              <w:t>10</w:t>
            </w:r>
          </w:p>
        </w:tc>
        <w:tc>
          <w:tcPr>
            <w:tcW w:w="248" w:type="pct"/>
            <w:tcMar>
              <w:left w:w="85" w:type="dxa"/>
              <w:right w:w="57" w:type="dxa"/>
            </w:tcMar>
          </w:tcPr>
          <w:p w14:paraId="273CDB81" w14:textId="77777777" w:rsidR="00C355E9" w:rsidRPr="001A7F2E" w:rsidRDefault="00324184" w:rsidP="001A7F2E">
            <w:pPr>
              <w:pStyle w:val="TableText"/>
            </w:pPr>
            <w:r w:rsidRPr="001A7F2E">
              <w:t>20</w:t>
            </w:r>
          </w:p>
        </w:tc>
        <w:tc>
          <w:tcPr>
            <w:tcW w:w="347" w:type="pct"/>
            <w:tcMar>
              <w:left w:w="85" w:type="dxa"/>
              <w:right w:w="57" w:type="dxa"/>
            </w:tcMar>
          </w:tcPr>
          <w:p w14:paraId="273CDB82" w14:textId="77777777" w:rsidR="00C355E9" w:rsidRPr="001A7F2E" w:rsidRDefault="00324184" w:rsidP="001A7F2E">
            <w:pPr>
              <w:pStyle w:val="TableText"/>
            </w:pPr>
            <w:r w:rsidRPr="001A7F2E">
              <w:t>15</w:t>
            </w:r>
          </w:p>
        </w:tc>
        <w:tc>
          <w:tcPr>
            <w:tcW w:w="446" w:type="pct"/>
            <w:tcMar>
              <w:left w:w="85" w:type="dxa"/>
              <w:right w:w="57" w:type="dxa"/>
            </w:tcMar>
          </w:tcPr>
          <w:p w14:paraId="273CDB83" w14:textId="77777777" w:rsidR="00C355E9" w:rsidRPr="001A7F2E" w:rsidRDefault="00324184" w:rsidP="001A7F2E">
            <w:pPr>
              <w:pStyle w:val="TableText"/>
            </w:pPr>
            <w:r w:rsidRPr="001A7F2E">
              <w:t>15</w:t>
            </w:r>
          </w:p>
        </w:tc>
        <w:tc>
          <w:tcPr>
            <w:tcW w:w="645" w:type="pct"/>
            <w:shd w:val="clear" w:color="auto" w:fill="auto"/>
            <w:tcMar>
              <w:left w:w="85" w:type="dxa"/>
              <w:right w:w="57" w:type="dxa"/>
            </w:tcMar>
          </w:tcPr>
          <w:p w14:paraId="273CDB84" w14:textId="77777777" w:rsidR="00C355E9" w:rsidRPr="001A7F2E" w:rsidRDefault="00324184" w:rsidP="001A7F2E">
            <w:pPr>
              <w:pStyle w:val="TableText"/>
            </w:pPr>
            <w:r w:rsidRPr="001A7F2E">
              <w:t>Salinity &lt;25</w:t>
            </w:r>
            <w:r w:rsidR="003F599F" w:rsidRPr="009907F5">
              <w:t>‰</w:t>
            </w:r>
          </w:p>
        </w:tc>
        <w:tc>
          <w:tcPr>
            <w:tcW w:w="535" w:type="pct"/>
            <w:tcMar>
              <w:left w:w="85" w:type="dxa"/>
              <w:right w:w="57" w:type="dxa"/>
            </w:tcMar>
          </w:tcPr>
          <w:p w14:paraId="273CDB85" w14:textId="77777777" w:rsidR="00C355E9" w:rsidRPr="001A7F2E" w:rsidRDefault="00324184" w:rsidP="001A7F2E">
            <w:pPr>
              <w:pStyle w:val="TableText"/>
            </w:pPr>
            <w:r w:rsidRPr="001A7F2E">
              <w:t>Wang et al. (2007a)</w:t>
            </w:r>
          </w:p>
        </w:tc>
      </w:tr>
      <w:tr w:rsidR="00091AEB" w14:paraId="273CDB93" w14:textId="77777777" w:rsidTr="00D85C45">
        <w:trPr>
          <w:cantSplit/>
        </w:trPr>
        <w:tc>
          <w:tcPr>
            <w:tcW w:w="447" w:type="pct"/>
            <w:shd w:val="clear" w:color="auto" w:fill="auto"/>
            <w:tcMar>
              <w:left w:w="85" w:type="dxa"/>
              <w:right w:w="57" w:type="dxa"/>
            </w:tcMar>
          </w:tcPr>
          <w:p w14:paraId="273CDB87" w14:textId="77777777" w:rsidR="00C355E9" w:rsidRPr="001A7F2E" w:rsidRDefault="00324184" w:rsidP="001A7F2E">
            <w:pPr>
              <w:pStyle w:val="TableText"/>
            </w:pPr>
            <w:r>
              <w:t>Ascidian</w:t>
            </w:r>
          </w:p>
        </w:tc>
        <w:tc>
          <w:tcPr>
            <w:tcW w:w="644" w:type="pct"/>
            <w:shd w:val="clear" w:color="auto" w:fill="auto"/>
            <w:tcMar>
              <w:left w:w="85" w:type="dxa"/>
              <w:right w:w="57" w:type="dxa"/>
            </w:tcMar>
          </w:tcPr>
          <w:p w14:paraId="273CDB88" w14:textId="77777777" w:rsidR="00C355E9" w:rsidRPr="001A7F2E" w:rsidRDefault="00324184" w:rsidP="001A7F2E">
            <w:pPr>
              <w:pStyle w:val="TableText"/>
            </w:pPr>
            <w:r w:rsidRPr="00F23917">
              <w:rPr>
                <w:rStyle w:val="Emphasis"/>
              </w:rPr>
              <w:t>Ciona intestinalis</w:t>
            </w:r>
            <w:r w:rsidRPr="001A7F2E">
              <w:t xml:space="preserve"> </w:t>
            </w:r>
          </w:p>
        </w:tc>
        <w:tc>
          <w:tcPr>
            <w:tcW w:w="397" w:type="pct"/>
            <w:shd w:val="clear" w:color="auto" w:fill="auto"/>
            <w:tcMar>
              <w:left w:w="85" w:type="dxa"/>
              <w:right w:w="57" w:type="dxa"/>
            </w:tcMar>
          </w:tcPr>
          <w:p w14:paraId="273CDB89" w14:textId="77777777" w:rsidR="00C355E9" w:rsidRPr="001A7F2E" w:rsidRDefault="00324184" w:rsidP="001A7F2E">
            <w:pPr>
              <w:pStyle w:val="TableText"/>
            </w:pPr>
            <w:r w:rsidRPr="001A7F2E">
              <w:t>Gamete</w:t>
            </w:r>
          </w:p>
        </w:tc>
        <w:tc>
          <w:tcPr>
            <w:tcW w:w="298" w:type="pct"/>
            <w:tcMar>
              <w:left w:w="85" w:type="dxa"/>
              <w:right w:w="57" w:type="dxa"/>
            </w:tcMar>
          </w:tcPr>
          <w:p w14:paraId="273CDB8A" w14:textId="77777777" w:rsidR="00C355E9" w:rsidRPr="001A7F2E" w:rsidRDefault="00324184" w:rsidP="001A7F2E">
            <w:pPr>
              <w:pStyle w:val="TableText"/>
            </w:pPr>
            <w:r w:rsidRPr="001A7F2E">
              <w:t>0.833</w:t>
            </w:r>
          </w:p>
        </w:tc>
        <w:tc>
          <w:tcPr>
            <w:tcW w:w="397" w:type="pct"/>
            <w:tcMar>
              <w:left w:w="28" w:type="dxa"/>
              <w:right w:w="0" w:type="dxa"/>
            </w:tcMar>
          </w:tcPr>
          <w:p w14:paraId="273CDB8B"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B8C" w14:textId="77777777" w:rsidR="00C355E9" w:rsidRPr="001A7F2E" w:rsidRDefault="00324184" w:rsidP="001A7F2E">
            <w:pPr>
              <w:pStyle w:val="TableText"/>
            </w:pPr>
            <w:r w:rsidRPr="001A7F2E">
              <w:t>NOEC</w:t>
            </w:r>
          </w:p>
        </w:tc>
        <w:tc>
          <w:tcPr>
            <w:tcW w:w="248" w:type="pct"/>
            <w:tcMar>
              <w:left w:w="85" w:type="dxa"/>
              <w:right w:w="57" w:type="dxa"/>
            </w:tcMar>
          </w:tcPr>
          <w:p w14:paraId="273CDB8D" w14:textId="77777777" w:rsidR="00C355E9" w:rsidRPr="001A7F2E" w:rsidRDefault="00324184" w:rsidP="001A7F2E">
            <w:pPr>
              <w:pStyle w:val="TableText"/>
            </w:pPr>
            <w:r w:rsidRPr="001A7F2E">
              <w:t>33</w:t>
            </w:r>
          </w:p>
        </w:tc>
        <w:tc>
          <w:tcPr>
            <w:tcW w:w="248" w:type="pct"/>
            <w:tcMar>
              <w:left w:w="85" w:type="dxa"/>
              <w:right w:w="57" w:type="dxa"/>
            </w:tcMar>
          </w:tcPr>
          <w:p w14:paraId="273CDB8E" w14:textId="77777777" w:rsidR="00C355E9" w:rsidRPr="001A7F2E" w:rsidRDefault="00324184" w:rsidP="001A7F2E">
            <w:pPr>
              <w:pStyle w:val="TableText"/>
            </w:pPr>
            <w:r w:rsidRPr="001A7F2E">
              <w:t>20</w:t>
            </w:r>
          </w:p>
        </w:tc>
        <w:tc>
          <w:tcPr>
            <w:tcW w:w="347" w:type="pct"/>
            <w:tcMar>
              <w:left w:w="85" w:type="dxa"/>
              <w:right w:w="57" w:type="dxa"/>
            </w:tcMar>
          </w:tcPr>
          <w:p w14:paraId="273CDB8F" w14:textId="77777777" w:rsidR="00C355E9" w:rsidRPr="001A7F2E" w:rsidRDefault="00324184" w:rsidP="001A7F2E">
            <w:pPr>
              <w:pStyle w:val="TableText"/>
            </w:pPr>
            <w:r w:rsidRPr="001A7F2E">
              <w:t>16</w:t>
            </w:r>
          </w:p>
        </w:tc>
        <w:tc>
          <w:tcPr>
            <w:tcW w:w="446" w:type="pct"/>
            <w:tcMar>
              <w:left w:w="85" w:type="dxa"/>
              <w:right w:w="57" w:type="dxa"/>
            </w:tcMar>
          </w:tcPr>
          <w:p w14:paraId="273CDB90" w14:textId="77777777" w:rsidR="00C355E9" w:rsidRPr="001A7F2E" w:rsidRDefault="00324184" w:rsidP="001A7F2E">
            <w:pPr>
              <w:pStyle w:val="TableText"/>
            </w:pPr>
            <w:r w:rsidRPr="001A7F2E">
              <w:t>16</w:t>
            </w:r>
          </w:p>
        </w:tc>
        <w:tc>
          <w:tcPr>
            <w:tcW w:w="645" w:type="pct"/>
            <w:shd w:val="clear" w:color="auto" w:fill="auto"/>
            <w:tcMar>
              <w:left w:w="85" w:type="dxa"/>
              <w:right w:w="57" w:type="dxa"/>
            </w:tcMar>
          </w:tcPr>
          <w:p w14:paraId="273CDB91"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B92" w14:textId="77777777" w:rsidR="00C355E9" w:rsidRPr="001A7F2E" w:rsidRDefault="00324184" w:rsidP="001A7F2E">
            <w:pPr>
              <w:pStyle w:val="TableText"/>
            </w:pPr>
            <w:r w:rsidRPr="001A7F2E">
              <w:t>Bellas et al. (2004)</w:t>
            </w:r>
          </w:p>
        </w:tc>
      </w:tr>
      <w:tr w:rsidR="00091AEB" w14:paraId="273CDBA0" w14:textId="77777777" w:rsidTr="00D85C45">
        <w:trPr>
          <w:cantSplit/>
        </w:trPr>
        <w:tc>
          <w:tcPr>
            <w:tcW w:w="447" w:type="pct"/>
            <w:shd w:val="clear" w:color="auto" w:fill="auto"/>
            <w:tcMar>
              <w:left w:w="85" w:type="dxa"/>
              <w:right w:w="57" w:type="dxa"/>
            </w:tcMar>
          </w:tcPr>
          <w:p w14:paraId="273CDB94" w14:textId="77777777" w:rsidR="00C355E9" w:rsidRPr="001A7F2E" w:rsidRDefault="00324184" w:rsidP="001A7F2E">
            <w:pPr>
              <w:pStyle w:val="TableText"/>
            </w:pPr>
            <w:r w:rsidRPr="001A7F2E">
              <w:t>Mollusc</w:t>
            </w:r>
          </w:p>
        </w:tc>
        <w:tc>
          <w:tcPr>
            <w:tcW w:w="644" w:type="pct"/>
            <w:shd w:val="clear" w:color="auto" w:fill="auto"/>
            <w:tcMar>
              <w:left w:w="85" w:type="dxa"/>
              <w:right w:w="57" w:type="dxa"/>
            </w:tcMar>
          </w:tcPr>
          <w:p w14:paraId="273CDB95" w14:textId="77777777" w:rsidR="00C355E9" w:rsidRPr="001A7F2E" w:rsidRDefault="00324184" w:rsidP="001A7F2E">
            <w:pPr>
              <w:pStyle w:val="TableText"/>
            </w:pPr>
            <w:r w:rsidRPr="00F23917">
              <w:rPr>
                <w:rStyle w:val="Emphasis"/>
              </w:rPr>
              <w:t>Mytilus edulis</w:t>
            </w:r>
            <w:r w:rsidRPr="001A7F2E">
              <w:t xml:space="preserve"> </w:t>
            </w:r>
          </w:p>
        </w:tc>
        <w:tc>
          <w:tcPr>
            <w:tcW w:w="397" w:type="pct"/>
            <w:shd w:val="clear" w:color="auto" w:fill="auto"/>
            <w:tcMar>
              <w:left w:w="85" w:type="dxa"/>
              <w:right w:w="57" w:type="dxa"/>
            </w:tcMar>
          </w:tcPr>
          <w:p w14:paraId="273CDB96" w14:textId="77777777" w:rsidR="00C355E9" w:rsidRPr="001A7F2E" w:rsidRDefault="00324184" w:rsidP="001A7F2E">
            <w:pPr>
              <w:pStyle w:val="TableText"/>
            </w:pPr>
            <w:r w:rsidRPr="001A7F2E">
              <w:t>Gamete</w:t>
            </w:r>
          </w:p>
        </w:tc>
        <w:tc>
          <w:tcPr>
            <w:tcW w:w="298" w:type="pct"/>
            <w:tcMar>
              <w:left w:w="85" w:type="dxa"/>
              <w:right w:w="57" w:type="dxa"/>
            </w:tcMar>
          </w:tcPr>
          <w:p w14:paraId="273CDB97" w14:textId="77777777" w:rsidR="00C355E9" w:rsidRPr="001A7F2E" w:rsidRDefault="00324184" w:rsidP="001A7F2E">
            <w:pPr>
              <w:pStyle w:val="TableText"/>
            </w:pPr>
            <w:r w:rsidRPr="001A7F2E">
              <w:t>2</w:t>
            </w:r>
          </w:p>
        </w:tc>
        <w:tc>
          <w:tcPr>
            <w:tcW w:w="397" w:type="pct"/>
            <w:tcMar>
              <w:left w:w="28" w:type="dxa"/>
              <w:right w:w="0" w:type="dxa"/>
            </w:tcMar>
          </w:tcPr>
          <w:p w14:paraId="273CDB98"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B99" w14:textId="77777777" w:rsidR="00C355E9" w:rsidRPr="001A7F2E" w:rsidRDefault="00324184" w:rsidP="001A7F2E">
            <w:pPr>
              <w:pStyle w:val="TableText"/>
            </w:pPr>
            <w:r w:rsidRPr="001A7F2E">
              <w:t>EC50</w:t>
            </w:r>
          </w:p>
        </w:tc>
        <w:tc>
          <w:tcPr>
            <w:tcW w:w="248" w:type="pct"/>
            <w:tcMar>
              <w:left w:w="85" w:type="dxa"/>
              <w:right w:w="57" w:type="dxa"/>
            </w:tcMar>
          </w:tcPr>
          <w:p w14:paraId="273CDB9A" w14:textId="77777777" w:rsidR="00C355E9" w:rsidRPr="001A7F2E" w:rsidRDefault="00324184" w:rsidP="001A7F2E">
            <w:pPr>
              <w:pStyle w:val="TableText"/>
            </w:pPr>
            <w:r w:rsidRPr="001A7F2E">
              <w:t>32</w:t>
            </w:r>
            <w:r w:rsidR="001D1DA9">
              <w:t>–</w:t>
            </w:r>
            <w:r w:rsidRPr="001A7F2E">
              <w:t>35</w:t>
            </w:r>
          </w:p>
        </w:tc>
        <w:tc>
          <w:tcPr>
            <w:tcW w:w="248" w:type="pct"/>
            <w:tcMar>
              <w:left w:w="85" w:type="dxa"/>
              <w:right w:w="57" w:type="dxa"/>
            </w:tcMar>
          </w:tcPr>
          <w:p w14:paraId="273CDB9B" w14:textId="77777777" w:rsidR="00C355E9" w:rsidRPr="001A7F2E" w:rsidRDefault="00324184" w:rsidP="001A7F2E">
            <w:pPr>
              <w:pStyle w:val="TableText"/>
            </w:pPr>
            <w:r w:rsidRPr="001A7F2E">
              <w:t>16</w:t>
            </w:r>
            <w:r w:rsidR="001D1DA9">
              <w:t>–</w:t>
            </w:r>
            <w:r w:rsidRPr="001A7F2E">
              <w:t>18</w:t>
            </w:r>
          </w:p>
        </w:tc>
        <w:tc>
          <w:tcPr>
            <w:tcW w:w="347" w:type="pct"/>
            <w:tcMar>
              <w:left w:w="85" w:type="dxa"/>
              <w:right w:w="57" w:type="dxa"/>
            </w:tcMar>
          </w:tcPr>
          <w:p w14:paraId="273CDB9C" w14:textId="77777777" w:rsidR="00C355E9" w:rsidRPr="001A7F2E" w:rsidRDefault="00324184" w:rsidP="001A7F2E">
            <w:pPr>
              <w:pStyle w:val="TableText"/>
            </w:pPr>
            <w:r w:rsidRPr="001A7F2E">
              <w:t>84</w:t>
            </w:r>
          </w:p>
        </w:tc>
        <w:tc>
          <w:tcPr>
            <w:tcW w:w="446" w:type="pct"/>
            <w:tcMar>
              <w:left w:w="85" w:type="dxa"/>
              <w:right w:w="57" w:type="dxa"/>
            </w:tcMar>
          </w:tcPr>
          <w:p w14:paraId="273CDB9D" w14:textId="77777777" w:rsidR="00C355E9" w:rsidRPr="001A7F2E" w:rsidRDefault="00324184" w:rsidP="001A7F2E">
            <w:pPr>
              <w:pStyle w:val="TableText"/>
            </w:pPr>
            <w:r w:rsidRPr="001A7F2E">
              <w:t>17</w:t>
            </w:r>
          </w:p>
        </w:tc>
        <w:tc>
          <w:tcPr>
            <w:tcW w:w="645" w:type="pct"/>
            <w:shd w:val="clear" w:color="auto" w:fill="auto"/>
            <w:tcMar>
              <w:left w:w="85" w:type="dxa"/>
              <w:right w:w="57" w:type="dxa"/>
            </w:tcMar>
          </w:tcPr>
          <w:p w14:paraId="273CDB9E" w14:textId="77777777" w:rsidR="00C355E9" w:rsidRPr="001A7F2E" w:rsidRDefault="00324184" w:rsidP="001A7F2E">
            <w:pPr>
              <w:pStyle w:val="TableText"/>
            </w:pPr>
            <w:r w:rsidRPr="001A7F2E">
              <w:t>EC50 data only</w:t>
            </w:r>
          </w:p>
        </w:tc>
        <w:tc>
          <w:tcPr>
            <w:tcW w:w="535" w:type="pct"/>
            <w:tcMar>
              <w:left w:w="85" w:type="dxa"/>
              <w:right w:w="57" w:type="dxa"/>
            </w:tcMar>
          </w:tcPr>
          <w:p w14:paraId="273CDB9F" w14:textId="77777777" w:rsidR="00C355E9" w:rsidRPr="001A7F2E" w:rsidRDefault="00324184" w:rsidP="001A7F2E">
            <w:pPr>
              <w:pStyle w:val="TableText"/>
            </w:pPr>
            <w:r w:rsidRPr="001A7F2E">
              <w:t>Ross &amp; Bidwell (2001)</w:t>
            </w:r>
          </w:p>
        </w:tc>
      </w:tr>
      <w:tr w:rsidR="00091AEB" w14:paraId="273CDBAD" w14:textId="77777777" w:rsidTr="00D85C45">
        <w:trPr>
          <w:cantSplit/>
        </w:trPr>
        <w:tc>
          <w:tcPr>
            <w:tcW w:w="447" w:type="pct"/>
            <w:shd w:val="clear" w:color="auto" w:fill="auto"/>
            <w:tcMar>
              <w:left w:w="85" w:type="dxa"/>
              <w:right w:w="57" w:type="dxa"/>
            </w:tcMar>
          </w:tcPr>
          <w:p w14:paraId="273CDBA1" w14:textId="77777777" w:rsidR="00C355E9" w:rsidRPr="001A7F2E" w:rsidRDefault="00324184" w:rsidP="001A7F2E">
            <w:pPr>
              <w:pStyle w:val="TableText"/>
            </w:pPr>
            <w:r w:rsidRPr="001A7F2E">
              <w:t>Crustacean</w:t>
            </w:r>
          </w:p>
        </w:tc>
        <w:tc>
          <w:tcPr>
            <w:tcW w:w="644" w:type="pct"/>
            <w:shd w:val="clear" w:color="auto" w:fill="auto"/>
            <w:tcMar>
              <w:left w:w="85" w:type="dxa"/>
              <w:right w:w="57" w:type="dxa"/>
            </w:tcMar>
          </w:tcPr>
          <w:p w14:paraId="273CDBA2" w14:textId="77777777" w:rsidR="00C355E9" w:rsidRPr="001A7F2E" w:rsidRDefault="00324184" w:rsidP="001A7F2E">
            <w:pPr>
              <w:pStyle w:val="TableText"/>
            </w:pPr>
            <w:r w:rsidRPr="00F23917">
              <w:rPr>
                <w:rStyle w:val="Emphasis"/>
              </w:rPr>
              <w:t>Amphibalanus amphitrite</w:t>
            </w:r>
            <w:r w:rsidRPr="001A7F2E">
              <w:t xml:space="preserve"> </w:t>
            </w:r>
          </w:p>
        </w:tc>
        <w:tc>
          <w:tcPr>
            <w:tcW w:w="397" w:type="pct"/>
            <w:shd w:val="clear" w:color="auto" w:fill="auto"/>
            <w:tcMar>
              <w:left w:w="85" w:type="dxa"/>
              <w:right w:w="57" w:type="dxa"/>
            </w:tcMar>
          </w:tcPr>
          <w:p w14:paraId="273CDBA3" w14:textId="77777777" w:rsidR="00C355E9" w:rsidRPr="001A7F2E" w:rsidRDefault="00324184" w:rsidP="001A7F2E">
            <w:pPr>
              <w:pStyle w:val="TableText"/>
            </w:pPr>
            <w:r w:rsidRPr="001A7F2E">
              <w:t>Larva</w:t>
            </w:r>
          </w:p>
        </w:tc>
        <w:tc>
          <w:tcPr>
            <w:tcW w:w="298" w:type="pct"/>
            <w:tcMar>
              <w:left w:w="85" w:type="dxa"/>
              <w:right w:w="57" w:type="dxa"/>
            </w:tcMar>
          </w:tcPr>
          <w:p w14:paraId="273CDBA4" w14:textId="77777777" w:rsidR="00C355E9" w:rsidRPr="001A7F2E" w:rsidRDefault="00324184" w:rsidP="001A7F2E">
            <w:pPr>
              <w:pStyle w:val="TableText"/>
            </w:pPr>
            <w:r w:rsidRPr="001A7F2E">
              <w:t>2</w:t>
            </w:r>
          </w:p>
        </w:tc>
        <w:tc>
          <w:tcPr>
            <w:tcW w:w="397" w:type="pct"/>
            <w:tcMar>
              <w:left w:w="28" w:type="dxa"/>
              <w:right w:w="0" w:type="dxa"/>
            </w:tcMar>
          </w:tcPr>
          <w:p w14:paraId="273CDBA5" w14:textId="77777777" w:rsidR="00C355E9" w:rsidRPr="001A7F2E" w:rsidRDefault="00324184" w:rsidP="001A7F2E">
            <w:pPr>
              <w:pStyle w:val="TableText"/>
            </w:pPr>
            <w:r w:rsidRPr="001A7F2E">
              <w:t>Development</w:t>
            </w:r>
          </w:p>
        </w:tc>
        <w:tc>
          <w:tcPr>
            <w:tcW w:w="348" w:type="pct"/>
            <w:shd w:val="clear" w:color="auto" w:fill="auto"/>
            <w:tcMar>
              <w:left w:w="85" w:type="dxa"/>
              <w:right w:w="57" w:type="dxa"/>
            </w:tcMar>
          </w:tcPr>
          <w:p w14:paraId="273CDBA6" w14:textId="77777777" w:rsidR="00C355E9" w:rsidRPr="001A7F2E" w:rsidRDefault="00324184" w:rsidP="001A7F2E">
            <w:pPr>
              <w:pStyle w:val="TableText"/>
            </w:pPr>
            <w:r w:rsidRPr="001A7F2E">
              <w:t>NOEC</w:t>
            </w:r>
          </w:p>
        </w:tc>
        <w:tc>
          <w:tcPr>
            <w:tcW w:w="248" w:type="pct"/>
            <w:tcMar>
              <w:left w:w="85" w:type="dxa"/>
              <w:right w:w="57" w:type="dxa"/>
            </w:tcMar>
          </w:tcPr>
          <w:p w14:paraId="273CDBA7" w14:textId="77777777" w:rsidR="00C355E9" w:rsidRPr="001A7F2E" w:rsidRDefault="00324184" w:rsidP="001A7F2E">
            <w:pPr>
              <w:pStyle w:val="TableText"/>
            </w:pPr>
            <w:r w:rsidRPr="001A7F2E">
              <w:t>34</w:t>
            </w:r>
          </w:p>
        </w:tc>
        <w:tc>
          <w:tcPr>
            <w:tcW w:w="248" w:type="pct"/>
            <w:tcMar>
              <w:left w:w="85" w:type="dxa"/>
              <w:right w:w="57" w:type="dxa"/>
            </w:tcMar>
          </w:tcPr>
          <w:p w14:paraId="273CDBA8" w14:textId="77777777" w:rsidR="00C355E9" w:rsidRPr="001A7F2E" w:rsidRDefault="00324184" w:rsidP="001A7F2E">
            <w:pPr>
              <w:pStyle w:val="TableText"/>
            </w:pPr>
            <w:r w:rsidRPr="001A7F2E">
              <w:t>24</w:t>
            </w:r>
          </w:p>
        </w:tc>
        <w:tc>
          <w:tcPr>
            <w:tcW w:w="347" w:type="pct"/>
            <w:tcMar>
              <w:left w:w="85" w:type="dxa"/>
              <w:right w:w="57" w:type="dxa"/>
            </w:tcMar>
          </w:tcPr>
          <w:p w14:paraId="273CDBA9" w14:textId="77777777" w:rsidR="00C355E9" w:rsidRPr="001A7F2E" w:rsidRDefault="00324184" w:rsidP="001A7F2E">
            <w:pPr>
              <w:pStyle w:val="TableText"/>
            </w:pPr>
            <w:r w:rsidRPr="001A7F2E">
              <w:t>17</w:t>
            </w:r>
          </w:p>
        </w:tc>
        <w:tc>
          <w:tcPr>
            <w:tcW w:w="446" w:type="pct"/>
            <w:tcMar>
              <w:left w:w="85" w:type="dxa"/>
              <w:right w:w="57" w:type="dxa"/>
            </w:tcMar>
          </w:tcPr>
          <w:p w14:paraId="273CDBAA" w14:textId="77777777" w:rsidR="00C355E9" w:rsidRPr="001A7F2E" w:rsidRDefault="00324184" w:rsidP="001A7F2E">
            <w:pPr>
              <w:pStyle w:val="TableText"/>
            </w:pPr>
            <w:r w:rsidRPr="001A7F2E">
              <w:t>17</w:t>
            </w:r>
          </w:p>
        </w:tc>
        <w:tc>
          <w:tcPr>
            <w:tcW w:w="645" w:type="pct"/>
            <w:shd w:val="clear" w:color="auto" w:fill="auto"/>
            <w:tcMar>
              <w:left w:w="85" w:type="dxa"/>
              <w:right w:w="57" w:type="dxa"/>
            </w:tcMar>
          </w:tcPr>
          <w:p w14:paraId="273CDBAB"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BAC" w14:textId="77777777" w:rsidR="00C355E9" w:rsidRPr="001A7F2E" w:rsidRDefault="00324184" w:rsidP="001A7F2E">
            <w:pPr>
              <w:pStyle w:val="TableText"/>
            </w:pPr>
            <w:r w:rsidRPr="001A7F2E">
              <w:t>Qiu et al. (2005)</w:t>
            </w:r>
          </w:p>
        </w:tc>
      </w:tr>
      <w:tr w:rsidR="00091AEB" w14:paraId="273CDBBA" w14:textId="77777777" w:rsidTr="00D85C45">
        <w:trPr>
          <w:cantSplit/>
        </w:trPr>
        <w:tc>
          <w:tcPr>
            <w:tcW w:w="447" w:type="pct"/>
            <w:shd w:val="clear" w:color="auto" w:fill="auto"/>
            <w:tcMar>
              <w:left w:w="85" w:type="dxa"/>
              <w:right w:w="57" w:type="dxa"/>
            </w:tcMar>
          </w:tcPr>
          <w:p w14:paraId="273CDBAE" w14:textId="77777777" w:rsidR="00C355E9" w:rsidRPr="001A7F2E" w:rsidRDefault="00324184" w:rsidP="001A7F2E">
            <w:pPr>
              <w:pStyle w:val="TableText"/>
            </w:pPr>
            <w:r w:rsidRPr="001A7F2E">
              <w:t>Diatom</w:t>
            </w:r>
          </w:p>
        </w:tc>
        <w:tc>
          <w:tcPr>
            <w:tcW w:w="644" w:type="pct"/>
            <w:shd w:val="clear" w:color="auto" w:fill="auto"/>
            <w:tcMar>
              <w:left w:w="85" w:type="dxa"/>
              <w:right w:w="57" w:type="dxa"/>
            </w:tcMar>
          </w:tcPr>
          <w:p w14:paraId="273CDBAF" w14:textId="77777777" w:rsidR="00C355E9" w:rsidRPr="001A7F2E" w:rsidRDefault="00324184" w:rsidP="001A7F2E">
            <w:pPr>
              <w:pStyle w:val="TableText"/>
            </w:pPr>
            <w:r w:rsidRPr="00F23917">
              <w:rPr>
                <w:rStyle w:val="Emphasis"/>
              </w:rPr>
              <w:t>Chaetoceros</w:t>
            </w:r>
            <w:r w:rsidRPr="001A7F2E">
              <w:t xml:space="preserve"> sp.</w:t>
            </w:r>
          </w:p>
        </w:tc>
        <w:tc>
          <w:tcPr>
            <w:tcW w:w="397" w:type="pct"/>
            <w:shd w:val="clear" w:color="auto" w:fill="auto"/>
            <w:tcMar>
              <w:left w:w="85" w:type="dxa"/>
              <w:right w:w="57" w:type="dxa"/>
            </w:tcMar>
          </w:tcPr>
          <w:p w14:paraId="273CDBB0" w14:textId="77777777" w:rsidR="00C355E9" w:rsidRPr="001A7F2E" w:rsidRDefault="00324184" w:rsidP="001A7F2E">
            <w:pPr>
              <w:pStyle w:val="TableText"/>
            </w:pPr>
            <w:r>
              <w:t>Exponential</w:t>
            </w:r>
            <w:r w:rsidRPr="001A7F2E">
              <w:t xml:space="preserve"> growth</w:t>
            </w:r>
          </w:p>
        </w:tc>
        <w:tc>
          <w:tcPr>
            <w:tcW w:w="298" w:type="pct"/>
            <w:tcMar>
              <w:left w:w="85" w:type="dxa"/>
              <w:right w:w="57" w:type="dxa"/>
            </w:tcMar>
          </w:tcPr>
          <w:p w14:paraId="273CDBB1" w14:textId="77777777" w:rsidR="00C355E9" w:rsidRPr="001A7F2E" w:rsidRDefault="00324184" w:rsidP="001A7F2E">
            <w:pPr>
              <w:pStyle w:val="TableText"/>
            </w:pPr>
            <w:r w:rsidRPr="001A7F2E">
              <w:t>3</w:t>
            </w:r>
          </w:p>
        </w:tc>
        <w:tc>
          <w:tcPr>
            <w:tcW w:w="397" w:type="pct"/>
            <w:tcMar>
              <w:left w:w="28" w:type="dxa"/>
              <w:right w:w="0" w:type="dxa"/>
            </w:tcMar>
          </w:tcPr>
          <w:p w14:paraId="273CDBB2"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BB3" w14:textId="77777777" w:rsidR="00C355E9" w:rsidRPr="001A7F2E" w:rsidRDefault="00324184" w:rsidP="001A7F2E">
            <w:pPr>
              <w:pStyle w:val="TableText"/>
            </w:pPr>
            <w:r w:rsidRPr="001A7F2E">
              <w:t>EC50</w:t>
            </w:r>
          </w:p>
        </w:tc>
        <w:tc>
          <w:tcPr>
            <w:tcW w:w="248" w:type="pct"/>
            <w:tcMar>
              <w:left w:w="85" w:type="dxa"/>
              <w:right w:w="57" w:type="dxa"/>
            </w:tcMar>
          </w:tcPr>
          <w:p w14:paraId="273CDBB4" w14:textId="77777777" w:rsidR="00C355E9" w:rsidRPr="001A7F2E" w:rsidRDefault="00324184" w:rsidP="001A7F2E">
            <w:pPr>
              <w:pStyle w:val="TableText"/>
            </w:pPr>
            <w:r>
              <w:t>–</w:t>
            </w:r>
          </w:p>
        </w:tc>
        <w:tc>
          <w:tcPr>
            <w:tcW w:w="248" w:type="pct"/>
            <w:tcMar>
              <w:left w:w="85" w:type="dxa"/>
              <w:right w:w="57" w:type="dxa"/>
            </w:tcMar>
          </w:tcPr>
          <w:p w14:paraId="273CDBB5" w14:textId="77777777" w:rsidR="00C355E9" w:rsidRPr="001A7F2E" w:rsidRDefault="00324184" w:rsidP="001A7F2E">
            <w:pPr>
              <w:pStyle w:val="TableText"/>
            </w:pPr>
            <w:r w:rsidRPr="001A7F2E">
              <w:t>20</w:t>
            </w:r>
          </w:p>
        </w:tc>
        <w:tc>
          <w:tcPr>
            <w:tcW w:w="347" w:type="pct"/>
            <w:tcMar>
              <w:left w:w="85" w:type="dxa"/>
              <w:right w:w="57" w:type="dxa"/>
            </w:tcMar>
          </w:tcPr>
          <w:p w14:paraId="273CDBB6" w14:textId="77777777" w:rsidR="00C355E9" w:rsidRPr="001A7F2E" w:rsidRDefault="00324184" w:rsidP="001A7F2E">
            <w:pPr>
              <w:pStyle w:val="TableText"/>
            </w:pPr>
            <w:r w:rsidRPr="001A7F2E">
              <w:t>88</w:t>
            </w:r>
          </w:p>
        </w:tc>
        <w:tc>
          <w:tcPr>
            <w:tcW w:w="446" w:type="pct"/>
            <w:tcMar>
              <w:left w:w="85" w:type="dxa"/>
              <w:right w:w="57" w:type="dxa"/>
            </w:tcMar>
          </w:tcPr>
          <w:p w14:paraId="273CDBB7" w14:textId="77777777" w:rsidR="00C355E9" w:rsidRPr="001A7F2E" w:rsidRDefault="00324184" w:rsidP="001A7F2E">
            <w:pPr>
              <w:pStyle w:val="TableText"/>
            </w:pPr>
            <w:r w:rsidRPr="001A7F2E">
              <w:t>18</w:t>
            </w:r>
          </w:p>
        </w:tc>
        <w:tc>
          <w:tcPr>
            <w:tcW w:w="645" w:type="pct"/>
            <w:shd w:val="clear" w:color="auto" w:fill="auto"/>
            <w:tcMar>
              <w:left w:w="85" w:type="dxa"/>
              <w:right w:w="57" w:type="dxa"/>
            </w:tcMar>
          </w:tcPr>
          <w:p w14:paraId="273CDBB8" w14:textId="77777777" w:rsidR="00C355E9" w:rsidRPr="001A7F2E" w:rsidRDefault="00324184" w:rsidP="001A7F2E">
            <w:pPr>
              <w:pStyle w:val="TableText"/>
            </w:pPr>
            <w:r w:rsidRPr="001A7F2E">
              <w:t>No EC10/NOEC data</w:t>
            </w:r>
          </w:p>
        </w:tc>
        <w:tc>
          <w:tcPr>
            <w:tcW w:w="535" w:type="pct"/>
            <w:tcMar>
              <w:left w:w="85" w:type="dxa"/>
              <w:right w:w="57" w:type="dxa"/>
            </w:tcMar>
          </w:tcPr>
          <w:p w14:paraId="273CDBB9" w14:textId="77777777" w:rsidR="00C355E9" w:rsidRPr="001A7F2E" w:rsidRDefault="00324184" w:rsidP="001A7F2E">
            <w:pPr>
              <w:pStyle w:val="TableText"/>
            </w:pPr>
            <w:r w:rsidRPr="001A7F2E">
              <w:t>Debelius et al. (2009)</w:t>
            </w:r>
          </w:p>
        </w:tc>
      </w:tr>
      <w:tr w:rsidR="00091AEB" w14:paraId="273CDBC7" w14:textId="77777777" w:rsidTr="00D85C45">
        <w:trPr>
          <w:cantSplit/>
        </w:trPr>
        <w:tc>
          <w:tcPr>
            <w:tcW w:w="447" w:type="pct"/>
            <w:shd w:val="clear" w:color="auto" w:fill="auto"/>
            <w:tcMar>
              <w:left w:w="85" w:type="dxa"/>
              <w:right w:w="57" w:type="dxa"/>
            </w:tcMar>
          </w:tcPr>
          <w:p w14:paraId="273CDBBB" w14:textId="77777777" w:rsidR="00C355E9" w:rsidRPr="001A7F2E" w:rsidRDefault="00324184" w:rsidP="001A7F2E">
            <w:pPr>
              <w:pStyle w:val="TableText"/>
            </w:pPr>
            <w:r w:rsidRPr="001A7F2E">
              <w:t>Arthropod</w:t>
            </w:r>
          </w:p>
        </w:tc>
        <w:tc>
          <w:tcPr>
            <w:tcW w:w="644" w:type="pct"/>
            <w:shd w:val="clear" w:color="auto" w:fill="auto"/>
            <w:tcMar>
              <w:left w:w="85" w:type="dxa"/>
              <w:right w:w="57" w:type="dxa"/>
            </w:tcMar>
          </w:tcPr>
          <w:p w14:paraId="273CDBBC" w14:textId="77777777" w:rsidR="00C355E9" w:rsidRPr="001A7F2E" w:rsidRDefault="00324184" w:rsidP="001A7F2E">
            <w:pPr>
              <w:pStyle w:val="TableText"/>
            </w:pPr>
            <w:r w:rsidRPr="00F23917">
              <w:rPr>
                <w:rStyle w:val="Emphasis"/>
              </w:rPr>
              <w:t>Allorchestes compressa</w:t>
            </w:r>
            <w:r w:rsidRPr="001A7F2E">
              <w:t xml:space="preserve"> </w:t>
            </w:r>
          </w:p>
        </w:tc>
        <w:tc>
          <w:tcPr>
            <w:tcW w:w="397" w:type="pct"/>
            <w:shd w:val="clear" w:color="auto" w:fill="auto"/>
            <w:tcMar>
              <w:left w:w="85" w:type="dxa"/>
              <w:right w:w="57" w:type="dxa"/>
            </w:tcMar>
          </w:tcPr>
          <w:p w14:paraId="273CDBBD" w14:textId="77777777" w:rsidR="00C355E9" w:rsidRPr="001A7F2E" w:rsidRDefault="00324184" w:rsidP="001A7F2E">
            <w:pPr>
              <w:pStyle w:val="TableText"/>
            </w:pPr>
            <w:r w:rsidRPr="001A7F2E">
              <w:t>Juvenile</w:t>
            </w:r>
          </w:p>
        </w:tc>
        <w:tc>
          <w:tcPr>
            <w:tcW w:w="298" w:type="pct"/>
            <w:tcMar>
              <w:left w:w="85" w:type="dxa"/>
              <w:right w:w="57" w:type="dxa"/>
            </w:tcMar>
          </w:tcPr>
          <w:p w14:paraId="273CDBBE" w14:textId="77777777" w:rsidR="00C355E9" w:rsidRPr="001A7F2E" w:rsidRDefault="00324184" w:rsidP="001A7F2E">
            <w:pPr>
              <w:pStyle w:val="TableText"/>
            </w:pPr>
            <w:r w:rsidRPr="001A7F2E">
              <w:t>28</w:t>
            </w:r>
          </w:p>
        </w:tc>
        <w:tc>
          <w:tcPr>
            <w:tcW w:w="397" w:type="pct"/>
            <w:tcMar>
              <w:left w:w="28" w:type="dxa"/>
              <w:right w:w="0" w:type="dxa"/>
            </w:tcMar>
          </w:tcPr>
          <w:p w14:paraId="273CDBBF" w14:textId="77777777" w:rsidR="00C355E9" w:rsidRPr="001A7F2E" w:rsidRDefault="00324184" w:rsidP="001A7F2E">
            <w:pPr>
              <w:pStyle w:val="TableText"/>
            </w:pPr>
            <w:r w:rsidRPr="001A7F2E">
              <w:t>Mortality</w:t>
            </w:r>
          </w:p>
        </w:tc>
        <w:tc>
          <w:tcPr>
            <w:tcW w:w="348" w:type="pct"/>
            <w:shd w:val="clear" w:color="auto" w:fill="auto"/>
            <w:tcMar>
              <w:left w:w="85" w:type="dxa"/>
              <w:right w:w="57" w:type="dxa"/>
            </w:tcMar>
          </w:tcPr>
          <w:p w14:paraId="273CDBC0" w14:textId="77777777" w:rsidR="00C355E9" w:rsidRPr="001A7F2E" w:rsidRDefault="00324184" w:rsidP="001A7F2E">
            <w:pPr>
              <w:pStyle w:val="TableText"/>
            </w:pPr>
            <w:r w:rsidRPr="001A7F2E">
              <w:t>MEC</w:t>
            </w:r>
          </w:p>
        </w:tc>
        <w:tc>
          <w:tcPr>
            <w:tcW w:w="248" w:type="pct"/>
            <w:tcMar>
              <w:left w:w="85" w:type="dxa"/>
              <w:right w:w="57" w:type="dxa"/>
            </w:tcMar>
          </w:tcPr>
          <w:p w14:paraId="273CDBC1" w14:textId="77777777" w:rsidR="00C355E9" w:rsidRPr="001A7F2E" w:rsidRDefault="00324184" w:rsidP="001A7F2E">
            <w:pPr>
              <w:pStyle w:val="TableText"/>
            </w:pPr>
            <w:r w:rsidRPr="001A7F2E">
              <w:t>31</w:t>
            </w:r>
          </w:p>
        </w:tc>
        <w:tc>
          <w:tcPr>
            <w:tcW w:w="248" w:type="pct"/>
            <w:tcMar>
              <w:left w:w="85" w:type="dxa"/>
              <w:right w:w="57" w:type="dxa"/>
            </w:tcMar>
          </w:tcPr>
          <w:p w14:paraId="273CDBC2" w14:textId="77777777" w:rsidR="00C355E9" w:rsidRPr="001A7F2E" w:rsidRDefault="00324184" w:rsidP="001A7F2E">
            <w:pPr>
              <w:pStyle w:val="TableText"/>
            </w:pPr>
            <w:r w:rsidRPr="001A7F2E">
              <w:t>19</w:t>
            </w:r>
          </w:p>
        </w:tc>
        <w:tc>
          <w:tcPr>
            <w:tcW w:w="347" w:type="pct"/>
            <w:tcMar>
              <w:left w:w="85" w:type="dxa"/>
              <w:right w:w="57" w:type="dxa"/>
            </w:tcMar>
          </w:tcPr>
          <w:p w14:paraId="273CDBC3" w14:textId="77777777" w:rsidR="00C355E9" w:rsidRPr="001A7F2E" w:rsidRDefault="00324184" w:rsidP="001A7F2E">
            <w:pPr>
              <w:pStyle w:val="TableText"/>
            </w:pPr>
            <w:r w:rsidRPr="001A7F2E">
              <w:t>24</w:t>
            </w:r>
          </w:p>
        </w:tc>
        <w:tc>
          <w:tcPr>
            <w:tcW w:w="446" w:type="pct"/>
            <w:tcMar>
              <w:left w:w="85" w:type="dxa"/>
              <w:right w:w="57" w:type="dxa"/>
            </w:tcMar>
          </w:tcPr>
          <w:p w14:paraId="273CDBC4" w14:textId="77777777" w:rsidR="00C355E9" w:rsidRPr="001A7F2E" w:rsidRDefault="00324184" w:rsidP="001A7F2E">
            <w:pPr>
              <w:pStyle w:val="TableText"/>
            </w:pPr>
            <w:r w:rsidRPr="001A7F2E">
              <w:t>24</w:t>
            </w:r>
          </w:p>
        </w:tc>
        <w:tc>
          <w:tcPr>
            <w:tcW w:w="645" w:type="pct"/>
            <w:shd w:val="clear" w:color="auto" w:fill="auto"/>
            <w:tcMar>
              <w:left w:w="85" w:type="dxa"/>
              <w:right w:w="57" w:type="dxa"/>
            </w:tcMar>
          </w:tcPr>
          <w:p w14:paraId="273CDBC5" w14:textId="77777777" w:rsidR="00C355E9" w:rsidRPr="001A7F2E" w:rsidRDefault="00324184" w:rsidP="001A7F2E">
            <w:pPr>
              <w:pStyle w:val="TableText"/>
            </w:pPr>
            <w:r w:rsidRPr="001A7F2E">
              <w:t>No EC10/NOEC data</w:t>
            </w:r>
          </w:p>
        </w:tc>
        <w:tc>
          <w:tcPr>
            <w:tcW w:w="535" w:type="pct"/>
            <w:tcMar>
              <w:left w:w="85" w:type="dxa"/>
              <w:right w:w="57" w:type="dxa"/>
            </w:tcMar>
          </w:tcPr>
          <w:p w14:paraId="273CDBC6" w14:textId="77777777" w:rsidR="00C355E9" w:rsidRPr="001A7F2E" w:rsidRDefault="00324184" w:rsidP="001A7F2E">
            <w:pPr>
              <w:pStyle w:val="TableText"/>
            </w:pPr>
            <w:r w:rsidRPr="001A7F2E">
              <w:t>Ahsanullah &amp; Williams (1991)</w:t>
            </w:r>
          </w:p>
        </w:tc>
      </w:tr>
      <w:tr w:rsidR="00091AEB" w14:paraId="273CDBD4" w14:textId="77777777" w:rsidTr="00D85C45">
        <w:trPr>
          <w:cantSplit/>
        </w:trPr>
        <w:tc>
          <w:tcPr>
            <w:tcW w:w="447" w:type="pct"/>
            <w:shd w:val="clear" w:color="auto" w:fill="auto"/>
            <w:tcMar>
              <w:left w:w="85" w:type="dxa"/>
              <w:right w:w="57" w:type="dxa"/>
            </w:tcMar>
          </w:tcPr>
          <w:p w14:paraId="273CDBC8" w14:textId="77777777" w:rsidR="00C355E9" w:rsidRPr="001A7F2E" w:rsidRDefault="00324184" w:rsidP="001A7F2E">
            <w:pPr>
              <w:pStyle w:val="TableText"/>
            </w:pPr>
            <w:r w:rsidRPr="001A7F2E">
              <w:t>Arthropod</w:t>
            </w:r>
          </w:p>
        </w:tc>
        <w:tc>
          <w:tcPr>
            <w:tcW w:w="644" w:type="pct"/>
            <w:shd w:val="clear" w:color="auto" w:fill="auto"/>
            <w:tcMar>
              <w:left w:w="85" w:type="dxa"/>
              <w:right w:w="57" w:type="dxa"/>
            </w:tcMar>
          </w:tcPr>
          <w:p w14:paraId="273CDBC9" w14:textId="77777777" w:rsidR="00C355E9" w:rsidRPr="00F23917" w:rsidRDefault="00324184" w:rsidP="001A7F2E">
            <w:pPr>
              <w:pStyle w:val="TableText"/>
              <w:rPr>
                <w:rStyle w:val="Emphasis"/>
              </w:rPr>
            </w:pPr>
            <w:r w:rsidRPr="00F23917">
              <w:rPr>
                <w:rStyle w:val="Emphasis"/>
              </w:rPr>
              <w:t>Artemia franciscana</w:t>
            </w:r>
          </w:p>
        </w:tc>
        <w:tc>
          <w:tcPr>
            <w:tcW w:w="397" w:type="pct"/>
            <w:shd w:val="clear" w:color="auto" w:fill="auto"/>
            <w:tcMar>
              <w:left w:w="85" w:type="dxa"/>
              <w:right w:w="57" w:type="dxa"/>
            </w:tcMar>
          </w:tcPr>
          <w:p w14:paraId="273CDBCA" w14:textId="77777777" w:rsidR="00C355E9" w:rsidRPr="001A7F2E" w:rsidRDefault="00324184" w:rsidP="001A7F2E">
            <w:pPr>
              <w:pStyle w:val="TableText"/>
            </w:pPr>
            <w:r>
              <w:t>Adult</w:t>
            </w:r>
          </w:p>
        </w:tc>
        <w:tc>
          <w:tcPr>
            <w:tcW w:w="298" w:type="pct"/>
            <w:tcMar>
              <w:left w:w="85" w:type="dxa"/>
              <w:right w:w="57" w:type="dxa"/>
            </w:tcMar>
          </w:tcPr>
          <w:p w14:paraId="273CDBCB" w14:textId="77777777" w:rsidR="00C355E9" w:rsidRPr="001A7F2E" w:rsidRDefault="00324184" w:rsidP="001A7F2E">
            <w:pPr>
              <w:pStyle w:val="TableText"/>
            </w:pPr>
            <w:r w:rsidRPr="001A7F2E">
              <w:t>&gt;40</w:t>
            </w:r>
            <w:r w:rsidR="00463A0F">
              <w:t>–</w:t>
            </w:r>
            <w:r w:rsidRPr="001A7F2E">
              <w:t>&lt;60</w:t>
            </w:r>
          </w:p>
        </w:tc>
        <w:tc>
          <w:tcPr>
            <w:tcW w:w="397" w:type="pct"/>
            <w:tcMar>
              <w:left w:w="28" w:type="dxa"/>
              <w:right w:w="0" w:type="dxa"/>
            </w:tcMar>
          </w:tcPr>
          <w:p w14:paraId="273CDBCC" w14:textId="77777777" w:rsidR="00C355E9" w:rsidRPr="001A7F2E" w:rsidRDefault="00324184" w:rsidP="001A7F2E">
            <w:pPr>
              <w:pStyle w:val="TableText"/>
            </w:pPr>
            <w:r w:rsidRPr="001A7F2E">
              <w:t>Mortality</w:t>
            </w:r>
          </w:p>
        </w:tc>
        <w:tc>
          <w:tcPr>
            <w:tcW w:w="348" w:type="pct"/>
            <w:shd w:val="clear" w:color="auto" w:fill="auto"/>
            <w:tcMar>
              <w:left w:w="85" w:type="dxa"/>
              <w:right w:w="57" w:type="dxa"/>
            </w:tcMar>
          </w:tcPr>
          <w:p w14:paraId="273CDBCD" w14:textId="77777777" w:rsidR="00C355E9" w:rsidRPr="001A7F2E" w:rsidRDefault="00324184" w:rsidP="001A7F2E">
            <w:pPr>
              <w:pStyle w:val="TableText"/>
            </w:pPr>
            <w:r w:rsidRPr="001A7F2E">
              <w:t>NOEL</w:t>
            </w:r>
          </w:p>
        </w:tc>
        <w:tc>
          <w:tcPr>
            <w:tcW w:w="248" w:type="pct"/>
            <w:tcMar>
              <w:left w:w="85" w:type="dxa"/>
              <w:right w:w="57" w:type="dxa"/>
            </w:tcMar>
          </w:tcPr>
          <w:p w14:paraId="273CDBCE" w14:textId="77777777" w:rsidR="00C355E9" w:rsidRPr="001A7F2E" w:rsidRDefault="00324184" w:rsidP="001A7F2E">
            <w:pPr>
              <w:pStyle w:val="TableText"/>
            </w:pPr>
            <w:r w:rsidRPr="001A7F2E">
              <w:t>90</w:t>
            </w:r>
          </w:p>
        </w:tc>
        <w:tc>
          <w:tcPr>
            <w:tcW w:w="248" w:type="pct"/>
            <w:tcMar>
              <w:left w:w="85" w:type="dxa"/>
              <w:right w:w="57" w:type="dxa"/>
            </w:tcMar>
          </w:tcPr>
          <w:p w14:paraId="273CDBCF" w14:textId="77777777" w:rsidR="00C355E9" w:rsidRPr="001A7F2E" w:rsidRDefault="00324184" w:rsidP="001A7F2E">
            <w:pPr>
              <w:pStyle w:val="TableText"/>
            </w:pPr>
            <w:r w:rsidRPr="001A7F2E">
              <w:t>23</w:t>
            </w:r>
          </w:p>
        </w:tc>
        <w:tc>
          <w:tcPr>
            <w:tcW w:w="347" w:type="pct"/>
            <w:tcMar>
              <w:left w:w="85" w:type="dxa"/>
              <w:right w:w="57" w:type="dxa"/>
            </w:tcMar>
          </w:tcPr>
          <w:p w14:paraId="273CDBD0" w14:textId="77777777" w:rsidR="00C355E9" w:rsidRPr="001A7F2E" w:rsidRDefault="00324184" w:rsidP="001A7F2E">
            <w:pPr>
              <w:pStyle w:val="TableText"/>
            </w:pPr>
            <w:r w:rsidRPr="001A7F2E">
              <w:t>25</w:t>
            </w:r>
          </w:p>
        </w:tc>
        <w:tc>
          <w:tcPr>
            <w:tcW w:w="446" w:type="pct"/>
            <w:tcMar>
              <w:left w:w="85" w:type="dxa"/>
              <w:right w:w="57" w:type="dxa"/>
            </w:tcMar>
          </w:tcPr>
          <w:p w14:paraId="273CDBD1" w14:textId="77777777" w:rsidR="00C355E9" w:rsidRPr="001A7F2E" w:rsidRDefault="00324184" w:rsidP="001A7F2E">
            <w:pPr>
              <w:pStyle w:val="TableText"/>
            </w:pPr>
            <w:r w:rsidRPr="001A7F2E">
              <w:t>25</w:t>
            </w:r>
          </w:p>
        </w:tc>
        <w:tc>
          <w:tcPr>
            <w:tcW w:w="645" w:type="pct"/>
            <w:shd w:val="clear" w:color="auto" w:fill="auto"/>
            <w:tcMar>
              <w:left w:w="85" w:type="dxa"/>
              <w:right w:w="57" w:type="dxa"/>
            </w:tcMar>
          </w:tcPr>
          <w:p w14:paraId="273CDBD2" w14:textId="77777777" w:rsidR="00C355E9" w:rsidRPr="001A7F2E" w:rsidRDefault="00324184" w:rsidP="001A7F2E">
            <w:pPr>
              <w:pStyle w:val="TableText"/>
            </w:pPr>
            <w:r w:rsidRPr="001A7F2E">
              <w:t xml:space="preserve">No copper </w:t>
            </w:r>
            <w:r w:rsidRPr="001A7F2E">
              <w:t>measurement</w:t>
            </w:r>
          </w:p>
        </w:tc>
        <w:tc>
          <w:tcPr>
            <w:tcW w:w="535" w:type="pct"/>
            <w:tcMar>
              <w:left w:w="85" w:type="dxa"/>
              <w:right w:w="57" w:type="dxa"/>
            </w:tcMar>
          </w:tcPr>
          <w:p w14:paraId="273CDBD3" w14:textId="77777777" w:rsidR="00C355E9" w:rsidRPr="001A7F2E" w:rsidRDefault="00324184" w:rsidP="001A7F2E">
            <w:pPr>
              <w:pStyle w:val="TableText"/>
            </w:pPr>
            <w:r w:rsidRPr="001A7F2E">
              <w:t>Browne et al. (2002)</w:t>
            </w:r>
          </w:p>
        </w:tc>
      </w:tr>
      <w:tr w:rsidR="00091AEB" w14:paraId="273CDBE1" w14:textId="77777777" w:rsidTr="00D85C45">
        <w:trPr>
          <w:cantSplit/>
        </w:trPr>
        <w:tc>
          <w:tcPr>
            <w:tcW w:w="447" w:type="pct"/>
            <w:shd w:val="clear" w:color="auto" w:fill="auto"/>
            <w:tcMar>
              <w:left w:w="85" w:type="dxa"/>
              <w:right w:w="57" w:type="dxa"/>
            </w:tcMar>
          </w:tcPr>
          <w:p w14:paraId="273CDBD5" w14:textId="77777777" w:rsidR="00C355E9" w:rsidRPr="001A7F2E" w:rsidRDefault="00324184" w:rsidP="001A7F2E">
            <w:pPr>
              <w:pStyle w:val="TableText"/>
            </w:pPr>
            <w:r w:rsidRPr="001A7F2E">
              <w:t>Echinoderm</w:t>
            </w:r>
          </w:p>
        </w:tc>
        <w:tc>
          <w:tcPr>
            <w:tcW w:w="644" w:type="pct"/>
            <w:shd w:val="clear" w:color="auto" w:fill="auto"/>
            <w:tcMar>
              <w:left w:w="85" w:type="dxa"/>
              <w:right w:w="57" w:type="dxa"/>
            </w:tcMar>
          </w:tcPr>
          <w:p w14:paraId="273CDBD6" w14:textId="77777777" w:rsidR="00C355E9" w:rsidRPr="00F23917" w:rsidRDefault="00324184" w:rsidP="001A7F2E">
            <w:pPr>
              <w:pStyle w:val="TableText"/>
              <w:rPr>
                <w:rStyle w:val="Emphasis"/>
              </w:rPr>
            </w:pPr>
            <w:r w:rsidRPr="00F23917">
              <w:rPr>
                <w:rStyle w:val="Emphasis"/>
              </w:rPr>
              <w:t>Tripneustes gratilla</w:t>
            </w:r>
          </w:p>
        </w:tc>
        <w:tc>
          <w:tcPr>
            <w:tcW w:w="397" w:type="pct"/>
            <w:shd w:val="clear" w:color="auto" w:fill="auto"/>
            <w:tcMar>
              <w:left w:w="85" w:type="dxa"/>
              <w:right w:w="57" w:type="dxa"/>
            </w:tcMar>
          </w:tcPr>
          <w:p w14:paraId="273CDBD7" w14:textId="77777777" w:rsidR="00C355E9" w:rsidRPr="001A7F2E" w:rsidRDefault="00324184" w:rsidP="001A7F2E">
            <w:pPr>
              <w:pStyle w:val="TableText"/>
            </w:pPr>
            <w:r w:rsidRPr="001A7F2E">
              <w:t>Gamete</w:t>
            </w:r>
          </w:p>
        </w:tc>
        <w:tc>
          <w:tcPr>
            <w:tcW w:w="298" w:type="pct"/>
            <w:tcMar>
              <w:left w:w="85" w:type="dxa"/>
              <w:right w:w="57" w:type="dxa"/>
            </w:tcMar>
          </w:tcPr>
          <w:p w14:paraId="273CDBD8" w14:textId="77777777" w:rsidR="00C355E9" w:rsidRPr="001A7F2E" w:rsidRDefault="00324184" w:rsidP="001A7F2E">
            <w:pPr>
              <w:pStyle w:val="TableText"/>
            </w:pPr>
            <w:r w:rsidRPr="001A7F2E">
              <w:t>0.25</w:t>
            </w:r>
          </w:p>
        </w:tc>
        <w:tc>
          <w:tcPr>
            <w:tcW w:w="397" w:type="pct"/>
            <w:tcMar>
              <w:left w:w="28" w:type="dxa"/>
              <w:right w:w="0" w:type="dxa"/>
            </w:tcMar>
          </w:tcPr>
          <w:p w14:paraId="273CDBD9" w14:textId="77777777" w:rsidR="00C355E9" w:rsidRPr="001A7F2E" w:rsidRDefault="00324184" w:rsidP="001A7F2E">
            <w:pPr>
              <w:pStyle w:val="TableText"/>
            </w:pPr>
            <w:r>
              <w:t>Fertilisation</w:t>
            </w:r>
          </w:p>
        </w:tc>
        <w:tc>
          <w:tcPr>
            <w:tcW w:w="348" w:type="pct"/>
            <w:shd w:val="clear" w:color="auto" w:fill="auto"/>
            <w:tcMar>
              <w:left w:w="85" w:type="dxa"/>
              <w:right w:w="57" w:type="dxa"/>
            </w:tcMar>
          </w:tcPr>
          <w:p w14:paraId="273CDBDA" w14:textId="77777777" w:rsidR="00C355E9" w:rsidRPr="001A7F2E" w:rsidRDefault="00324184" w:rsidP="001A7F2E">
            <w:pPr>
              <w:pStyle w:val="TableText"/>
            </w:pPr>
            <w:r>
              <w:t>L</w:t>
            </w:r>
            <w:r w:rsidRPr="001A7F2E">
              <w:t>OEC</w:t>
            </w:r>
          </w:p>
        </w:tc>
        <w:tc>
          <w:tcPr>
            <w:tcW w:w="248" w:type="pct"/>
            <w:tcMar>
              <w:left w:w="85" w:type="dxa"/>
              <w:right w:w="57" w:type="dxa"/>
            </w:tcMar>
          </w:tcPr>
          <w:p w14:paraId="273CDBDB" w14:textId="77777777" w:rsidR="00C355E9" w:rsidRPr="001A7F2E" w:rsidRDefault="00324184" w:rsidP="001A7F2E">
            <w:pPr>
              <w:pStyle w:val="TableText"/>
            </w:pPr>
            <w:r w:rsidRPr="001A7F2E">
              <w:t>31</w:t>
            </w:r>
          </w:p>
        </w:tc>
        <w:tc>
          <w:tcPr>
            <w:tcW w:w="248" w:type="pct"/>
            <w:tcMar>
              <w:left w:w="85" w:type="dxa"/>
              <w:right w:w="57" w:type="dxa"/>
            </w:tcMar>
          </w:tcPr>
          <w:p w14:paraId="273CDBDC" w14:textId="77777777" w:rsidR="00C355E9" w:rsidRPr="001A7F2E" w:rsidRDefault="00324184" w:rsidP="001A7F2E">
            <w:pPr>
              <w:pStyle w:val="TableText"/>
            </w:pPr>
            <w:r w:rsidRPr="001A7F2E">
              <w:t>28</w:t>
            </w:r>
          </w:p>
        </w:tc>
        <w:tc>
          <w:tcPr>
            <w:tcW w:w="347" w:type="pct"/>
            <w:tcMar>
              <w:left w:w="85" w:type="dxa"/>
              <w:right w:w="57" w:type="dxa"/>
            </w:tcMar>
          </w:tcPr>
          <w:p w14:paraId="273CDBDD" w14:textId="77777777" w:rsidR="00C355E9" w:rsidRPr="001A7F2E" w:rsidRDefault="00324184" w:rsidP="001A7F2E">
            <w:pPr>
              <w:pStyle w:val="TableText"/>
            </w:pPr>
            <w:r w:rsidRPr="001A7F2E">
              <w:t>25</w:t>
            </w:r>
          </w:p>
        </w:tc>
        <w:tc>
          <w:tcPr>
            <w:tcW w:w="446" w:type="pct"/>
            <w:tcMar>
              <w:left w:w="85" w:type="dxa"/>
              <w:right w:w="57" w:type="dxa"/>
            </w:tcMar>
          </w:tcPr>
          <w:p w14:paraId="273CDBDE" w14:textId="77777777" w:rsidR="00C355E9" w:rsidRPr="001A7F2E" w:rsidRDefault="00324184" w:rsidP="001A7F2E">
            <w:pPr>
              <w:pStyle w:val="TableText"/>
            </w:pPr>
            <w:r>
              <w:t>10</w:t>
            </w:r>
          </w:p>
        </w:tc>
        <w:tc>
          <w:tcPr>
            <w:tcW w:w="645" w:type="pct"/>
            <w:shd w:val="clear" w:color="auto" w:fill="auto"/>
            <w:tcMar>
              <w:left w:w="85" w:type="dxa"/>
              <w:right w:w="57" w:type="dxa"/>
            </w:tcMar>
          </w:tcPr>
          <w:p w14:paraId="273CDBDF"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BE0" w14:textId="77777777" w:rsidR="00C355E9" w:rsidRPr="001A7F2E" w:rsidRDefault="00324184" w:rsidP="001A7F2E">
            <w:pPr>
              <w:pStyle w:val="TableText"/>
            </w:pPr>
            <w:r w:rsidRPr="001A7F2E">
              <w:t>Edullantes &amp; Galapate (2014)</w:t>
            </w:r>
          </w:p>
        </w:tc>
      </w:tr>
      <w:tr w:rsidR="00091AEB" w14:paraId="273CDBEE" w14:textId="77777777" w:rsidTr="00D85C45">
        <w:trPr>
          <w:cantSplit/>
        </w:trPr>
        <w:tc>
          <w:tcPr>
            <w:tcW w:w="447" w:type="pct"/>
            <w:shd w:val="clear" w:color="auto" w:fill="auto"/>
            <w:tcMar>
              <w:left w:w="85" w:type="dxa"/>
              <w:right w:w="57" w:type="dxa"/>
            </w:tcMar>
          </w:tcPr>
          <w:p w14:paraId="273CDBE2" w14:textId="77777777" w:rsidR="00C355E9" w:rsidRPr="001A7F2E" w:rsidRDefault="00324184" w:rsidP="001A7F2E">
            <w:pPr>
              <w:pStyle w:val="TableText"/>
            </w:pPr>
            <w:r w:rsidRPr="001A7F2E">
              <w:t>Ochrophyta</w:t>
            </w:r>
          </w:p>
        </w:tc>
        <w:tc>
          <w:tcPr>
            <w:tcW w:w="644" w:type="pct"/>
            <w:shd w:val="clear" w:color="auto" w:fill="auto"/>
            <w:tcMar>
              <w:left w:w="85" w:type="dxa"/>
              <w:right w:w="57" w:type="dxa"/>
            </w:tcMar>
          </w:tcPr>
          <w:p w14:paraId="273CDBE3" w14:textId="77777777" w:rsidR="00C355E9" w:rsidRPr="00F23917" w:rsidRDefault="00324184" w:rsidP="001A7F2E">
            <w:pPr>
              <w:pStyle w:val="TableText"/>
              <w:rPr>
                <w:rStyle w:val="Emphasis"/>
              </w:rPr>
            </w:pPr>
            <w:r w:rsidRPr="00F23917">
              <w:rPr>
                <w:rStyle w:val="Emphasis"/>
              </w:rPr>
              <w:t>Nannochloropsis gaditana</w:t>
            </w:r>
          </w:p>
        </w:tc>
        <w:tc>
          <w:tcPr>
            <w:tcW w:w="397" w:type="pct"/>
            <w:shd w:val="clear" w:color="auto" w:fill="auto"/>
            <w:tcMar>
              <w:left w:w="85" w:type="dxa"/>
              <w:right w:w="57" w:type="dxa"/>
            </w:tcMar>
          </w:tcPr>
          <w:p w14:paraId="273CDBE4" w14:textId="77777777" w:rsidR="00C355E9" w:rsidRPr="001A7F2E" w:rsidRDefault="00324184" w:rsidP="001A7F2E">
            <w:pPr>
              <w:pStyle w:val="TableText"/>
            </w:pPr>
            <w:r>
              <w:t>Exponential</w:t>
            </w:r>
            <w:r w:rsidRPr="001A7F2E">
              <w:t xml:space="preserve"> growth</w:t>
            </w:r>
          </w:p>
        </w:tc>
        <w:tc>
          <w:tcPr>
            <w:tcW w:w="298" w:type="pct"/>
            <w:tcMar>
              <w:left w:w="85" w:type="dxa"/>
              <w:right w:w="57" w:type="dxa"/>
            </w:tcMar>
          </w:tcPr>
          <w:p w14:paraId="273CDBE5" w14:textId="77777777" w:rsidR="00C355E9" w:rsidRPr="001A7F2E" w:rsidRDefault="00324184" w:rsidP="001A7F2E">
            <w:pPr>
              <w:pStyle w:val="TableText"/>
            </w:pPr>
            <w:r w:rsidRPr="001A7F2E">
              <w:t>3</w:t>
            </w:r>
          </w:p>
        </w:tc>
        <w:tc>
          <w:tcPr>
            <w:tcW w:w="397" w:type="pct"/>
            <w:tcMar>
              <w:left w:w="28" w:type="dxa"/>
              <w:right w:w="0" w:type="dxa"/>
            </w:tcMar>
          </w:tcPr>
          <w:p w14:paraId="273CDBE6"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BE7" w14:textId="77777777" w:rsidR="00C355E9" w:rsidRPr="001A7F2E" w:rsidRDefault="00324184" w:rsidP="001A7F2E">
            <w:pPr>
              <w:pStyle w:val="TableText"/>
            </w:pPr>
            <w:r w:rsidRPr="001A7F2E">
              <w:t>EC50</w:t>
            </w:r>
          </w:p>
        </w:tc>
        <w:tc>
          <w:tcPr>
            <w:tcW w:w="248" w:type="pct"/>
            <w:tcMar>
              <w:left w:w="85" w:type="dxa"/>
              <w:right w:w="57" w:type="dxa"/>
            </w:tcMar>
          </w:tcPr>
          <w:p w14:paraId="273CDBE8" w14:textId="77777777" w:rsidR="00C355E9" w:rsidRPr="001A7F2E" w:rsidRDefault="00324184" w:rsidP="001A7F2E">
            <w:pPr>
              <w:pStyle w:val="TableText"/>
            </w:pPr>
            <w:r>
              <w:t>–</w:t>
            </w:r>
          </w:p>
        </w:tc>
        <w:tc>
          <w:tcPr>
            <w:tcW w:w="248" w:type="pct"/>
            <w:tcMar>
              <w:left w:w="85" w:type="dxa"/>
              <w:right w:w="57" w:type="dxa"/>
            </w:tcMar>
          </w:tcPr>
          <w:p w14:paraId="273CDBE9" w14:textId="77777777" w:rsidR="00C355E9" w:rsidRPr="001A7F2E" w:rsidRDefault="00324184" w:rsidP="001A7F2E">
            <w:pPr>
              <w:pStyle w:val="TableText"/>
            </w:pPr>
            <w:r w:rsidRPr="001A7F2E">
              <w:t>20</w:t>
            </w:r>
          </w:p>
        </w:tc>
        <w:tc>
          <w:tcPr>
            <w:tcW w:w="347" w:type="pct"/>
            <w:tcMar>
              <w:left w:w="85" w:type="dxa"/>
              <w:right w:w="57" w:type="dxa"/>
            </w:tcMar>
          </w:tcPr>
          <w:p w14:paraId="273CDBEA" w14:textId="77777777" w:rsidR="00C355E9" w:rsidRPr="001A7F2E" w:rsidRDefault="00324184" w:rsidP="001A7F2E">
            <w:pPr>
              <w:pStyle w:val="TableText"/>
            </w:pPr>
            <w:r w:rsidRPr="001A7F2E">
              <w:t>137</w:t>
            </w:r>
          </w:p>
        </w:tc>
        <w:tc>
          <w:tcPr>
            <w:tcW w:w="446" w:type="pct"/>
            <w:tcMar>
              <w:left w:w="85" w:type="dxa"/>
              <w:right w:w="57" w:type="dxa"/>
            </w:tcMar>
          </w:tcPr>
          <w:p w14:paraId="273CDBEB" w14:textId="77777777" w:rsidR="00C355E9" w:rsidRPr="001A7F2E" w:rsidRDefault="00324184" w:rsidP="001A7F2E">
            <w:pPr>
              <w:pStyle w:val="TableText"/>
            </w:pPr>
            <w:r w:rsidRPr="001A7F2E">
              <w:t>27</w:t>
            </w:r>
          </w:p>
        </w:tc>
        <w:tc>
          <w:tcPr>
            <w:tcW w:w="645" w:type="pct"/>
            <w:shd w:val="clear" w:color="auto" w:fill="auto"/>
            <w:tcMar>
              <w:left w:w="85" w:type="dxa"/>
              <w:right w:w="57" w:type="dxa"/>
            </w:tcMar>
          </w:tcPr>
          <w:p w14:paraId="273CDBEC" w14:textId="77777777" w:rsidR="00C355E9" w:rsidRPr="001A7F2E" w:rsidRDefault="00324184" w:rsidP="001A7F2E">
            <w:pPr>
              <w:pStyle w:val="TableText"/>
            </w:pPr>
            <w:r w:rsidRPr="001A7F2E">
              <w:t xml:space="preserve">No </w:t>
            </w:r>
            <w:r w:rsidRPr="001A7F2E">
              <w:t>EC10/NOEC data</w:t>
            </w:r>
          </w:p>
        </w:tc>
        <w:tc>
          <w:tcPr>
            <w:tcW w:w="535" w:type="pct"/>
            <w:tcMar>
              <w:left w:w="85" w:type="dxa"/>
              <w:right w:w="57" w:type="dxa"/>
            </w:tcMar>
          </w:tcPr>
          <w:p w14:paraId="273CDBED" w14:textId="77777777" w:rsidR="00C355E9" w:rsidRPr="001A7F2E" w:rsidRDefault="00324184" w:rsidP="001A7F2E">
            <w:pPr>
              <w:pStyle w:val="TableText"/>
            </w:pPr>
            <w:r w:rsidRPr="001A7F2E">
              <w:t>Debelius et al. (2009)</w:t>
            </w:r>
          </w:p>
        </w:tc>
      </w:tr>
      <w:tr w:rsidR="00091AEB" w14:paraId="273CDBFB" w14:textId="77777777" w:rsidTr="00D85C45">
        <w:trPr>
          <w:cantSplit/>
        </w:trPr>
        <w:tc>
          <w:tcPr>
            <w:tcW w:w="447" w:type="pct"/>
            <w:shd w:val="clear" w:color="auto" w:fill="auto"/>
            <w:tcMar>
              <w:left w:w="85" w:type="dxa"/>
              <w:right w:w="57" w:type="dxa"/>
            </w:tcMar>
          </w:tcPr>
          <w:p w14:paraId="273CDBEF" w14:textId="77777777" w:rsidR="00C355E9" w:rsidRPr="001A7F2E" w:rsidRDefault="00324184" w:rsidP="001A7F2E">
            <w:pPr>
              <w:pStyle w:val="TableText"/>
            </w:pPr>
            <w:r w:rsidRPr="001A7F2E">
              <w:t>Fish</w:t>
            </w:r>
          </w:p>
        </w:tc>
        <w:tc>
          <w:tcPr>
            <w:tcW w:w="644" w:type="pct"/>
            <w:shd w:val="clear" w:color="auto" w:fill="auto"/>
            <w:tcMar>
              <w:left w:w="85" w:type="dxa"/>
              <w:right w:w="57" w:type="dxa"/>
            </w:tcMar>
          </w:tcPr>
          <w:p w14:paraId="273CDBF0" w14:textId="77777777" w:rsidR="00C355E9" w:rsidRPr="001A7F2E" w:rsidRDefault="00324184" w:rsidP="001A7F2E">
            <w:pPr>
              <w:pStyle w:val="TableText"/>
            </w:pPr>
            <w:r w:rsidRPr="00F23917">
              <w:rPr>
                <w:rStyle w:val="Emphasis"/>
              </w:rPr>
              <w:t>Morone</w:t>
            </w:r>
            <w:r w:rsidRPr="001A7F2E">
              <w:t xml:space="preserve"> sp. </w:t>
            </w:r>
          </w:p>
        </w:tc>
        <w:tc>
          <w:tcPr>
            <w:tcW w:w="397" w:type="pct"/>
            <w:shd w:val="clear" w:color="auto" w:fill="auto"/>
            <w:tcMar>
              <w:left w:w="85" w:type="dxa"/>
              <w:right w:w="57" w:type="dxa"/>
            </w:tcMar>
          </w:tcPr>
          <w:p w14:paraId="273CDBF1" w14:textId="77777777" w:rsidR="00C355E9" w:rsidRPr="001A7F2E" w:rsidRDefault="00324184" w:rsidP="001A7F2E">
            <w:pPr>
              <w:pStyle w:val="TableText"/>
            </w:pPr>
            <w:r w:rsidRPr="001A7F2E">
              <w:t>Juvenile</w:t>
            </w:r>
          </w:p>
        </w:tc>
        <w:tc>
          <w:tcPr>
            <w:tcW w:w="298" w:type="pct"/>
            <w:tcMar>
              <w:left w:w="85" w:type="dxa"/>
              <w:right w:w="57" w:type="dxa"/>
            </w:tcMar>
          </w:tcPr>
          <w:p w14:paraId="273CDBF2" w14:textId="77777777" w:rsidR="00C355E9" w:rsidRPr="001A7F2E" w:rsidRDefault="00324184" w:rsidP="001A7F2E">
            <w:pPr>
              <w:pStyle w:val="TableText"/>
            </w:pPr>
            <w:r w:rsidRPr="001A7F2E">
              <w:t>42</w:t>
            </w:r>
          </w:p>
        </w:tc>
        <w:tc>
          <w:tcPr>
            <w:tcW w:w="397" w:type="pct"/>
            <w:tcMar>
              <w:left w:w="28" w:type="dxa"/>
              <w:right w:w="0" w:type="dxa"/>
            </w:tcMar>
          </w:tcPr>
          <w:p w14:paraId="273CDBF3" w14:textId="77777777" w:rsidR="00C355E9" w:rsidRPr="001A7F2E" w:rsidRDefault="00324184" w:rsidP="001A7F2E">
            <w:pPr>
              <w:pStyle w:val="TableText"/>
            </w:pPr>
            <w:r w:rsidRPr="001A7F2E">
              <w:t>Growth</w:t>
            </w:r>
          </w:p>
        </w:tc>
        <w:tc>
          <w:tcPr>
            <w:tcW w:w="348" w:type="pct"/>
            <w:shd w:val="clear" w:color="auto" w:fill="auto"/>
            <w:tcMar>
              <w:left w:w="85" w:type="dxa"/>
              <w:right w:w="57" w:type="dxa"/>
            </w:tcMar>
          </w:tcPr>
          <w:p w14:paraId="273CDBF4" w14:textId="77777777" w:rsidR="00C355E9" w:rsidRPr="001A7F2E" w:rsidRDefault="00324184" w:rsidP="001A7F2E">
            <w:pPr>
              <w:pStyle w:val="TableText"/>
            </w:pPr>
            <w:r w:rsidRPr="001A7F2E">
              <w:t>NOEC</w:t>
            </w:r>
          </w:p>
        </w:tc>
        <w:tc>
          <w:tcPr>
            <w:tcW w:w="248" w:type="pct"/>
            <w:tcMar>
              <w:left w:w="85" w:type="dxa"/>
              <w:right w:w="57" w:type="dxa"/>
            </w:tcMar>
          </w:tcPr>
          <w:p w14:paraId="273CDBF5" w14:textId="77777777" w:rsidR="00C355E9" w:rsidRPr="001A7F2E" w:rsidRDefault="00324184" w:rsidP="001A7F2E">
            <w:pPr>
              <w:pStyle w:val="TableText"/>
            </w:pPr>
            <w:r w:rsidRPr="001A7F2E">
              <w:t>13</w:t>
            </w:r>
            <w:r w:rsidR="006A6386">
              <w:t>–</w:t>
            </w:r>
            <w:r w:rsidRPr="001A7F2E">
              <w:t>14</w:t>
            </w:r>
          </w:p>
        </w:tc>
        <w:tc>
          <w:tcPr>
            <w:tcW w:w="248" w:type="pct"/>
            <w:tcMar>
              <w:left w:w="85" w:type="dxa"/>
              <w:right w:w="57" w:type="dxa"/>
            </w:tcMar>
          </w:tcPr>
          <w:p w14:paraId="273CDBF6" w14:textId="77777777" w:rsidR="00C355E9" w:rsidRPr="001A7F2E" w:rsidRDefault="00324184" w:rsidP="001A7F2E">
            <w:pPr>
              <w:pStyle w:val="TableText"/>
            </w:pPr>
            <w:r w:rsidRPr="001A7F2E">
              <w:t>19</w:t>
            </w:r>
            <w:r w:rsidR="006A6386">
              <w:t>–</w:t>
            </w:r>
            <w:r w:rsidRPr="001A7F2E">
              <w:t>25</w:t>
            </w:r>
          </w:p>
        </w:tc>
        <w:tc>
          <w:tcPr>
            <w:tcW w:w="347" w:type="pct"/>
            <w:tcMar>
              <w:left w:w="85" w:type="dxa"/>
              <w:right w:w="57" w:type="dxa"/>
            </w:tcMar>
          </w:tcPr>
          <w:p w14:paraId="273CDBF7" w14:textId="77777777" w:rsidR="00C355E9" w:rsidRPr="001A7F2E" w:rsidRDefault="00324184" w:rsidP="001A7F2E">
            <w:pPr>
              <w:pStyle w:val="TableText"/>
            </w:pPr>
            <w:r w:rsidRPr="001A7F2E">
              <w:t>33</w:t>
            </w:r>
          </w:p>
        </w:tc>
        <w:tc>
          <w:tcPr>
            <w:tcW w:w="446" w:type="pct"/>
            <w:tcMar>
              <w:left w:w="85" w:type="dxa"/>
              <w:right w:w="57" w:type="dxa"/>
            </w:tcMar>
          </w:tcPr>
          <w:p w14:paraId="273CDBF8" w14:textId="77777777" w:rsidR="00C355E9" w:rsidRPr="001A7F2E" w:rsidRDefault="00324184" w:rsidP="001A7F2E">
            <w:pPr>
              <w:pStyle w:val="TableText"/>
            </w:pPr>
            <w:r w:rsidRPr="001A7F2E">
              <w:t>33</w:t>
            </w:r>
          </w:p>
        </w:tc>
        <w:tc>
          <w:tcPr>
            <w:tcW w:w="645" w:type="pct"/>
            <w:shd w:val="clear" w:color="auto" w:fill="auto"/>
            <w:tcMar>
              <w:left w:w="85" w:type="dxa"/>
              <w:right w:w="57" w:type="dxa"/>
            </w:tcMar>
          </w:tcPr>
          <w:p w14:paraId="273CDBF9" w14:textId="77777777" w:rsidR="00C355E9" w:rsidRPr="001A7F2E" w:rsidRDefault="00324184" w:rsidP="001A7F2E">
            <w:pPr>
              <w:pStyle w:val="TableText"/>
            </w:pPr>
            <w:r w:rsidRPr="001A7F2E">
              <w:t>Salinity &lt;25</w:t>
            </w:r>
            <w:r w:rsidR="003F599F" w:rsidRPr="009907F5">
              <w:t>‰</w:t>
            </w:r>
          </w:p>
        </w:tc>
        <w:tc>
          <w:tcPr>
            <w:tcW w:w="535" w:type="pct"/>
            <w:tcMar>
              <w:left w:w="85" w:type="dxa"/>
              <w:right w:w="57" w:type="dxa"/>
            </w:tcMar>
          </w:tcPr>
          <w:p w14:paraId="273CDBFA" w14:textId="77777777" w:rsidR="00C355E9" w:rsidRPr="001A7F2E" w:rsidRDefault="00324184" w:rsidP="001A7F2E">
            <w:pPr>
              <w:pStyle w:val="TableText"/>
            </w:pPr>
            <w:r w:rsidRPr="001A7F2E">
              <w:t>Bielmyer et al. (2005)</w:t>
            </w:r>
          </w:p>
        </w:tc>
      </w:tr>
      <w:tr w:rsidR="00091AEB" w14:paraId="273CDC08" w14:textId="77777777" w:rsidTr="00D85C45">
        <w:trPr>
          <w:cantSplit/>
        </w:trPr>
        <w:tc>
          <w:tcPr>
            <w:tcW w:w="447" w:type="pct"/>
            <w:shd w:val="clear" w:color="auto" w:fill="auto"/>
            <w:tcMar>
              <w:left w:w="85" w:type="dxa"/>
              <w:right w:w="57" w:type="dxa"/>
            </w:tcMar>
          </w:tcPr>
          <w:p w14:paraId="273CDBFC" w14:textId="77777777" w:rsidR="00C355E9" w:rsidRPr="001A7F2E" w:rsidRDefault="00324184" w:rsidP="001A7F2E">
            <w:pPr>
              <w:pStyle w:val="TableText"/>
            </w:pPr>
            <w:r w:rsidRPr="001A7F2E">
              <w:t>Arthropod</w:t>
            </w:r>
          </w:p>
        </w:tc>
        <w:tc>
          <w:tcPr>
            <w:tcW w:w="644" w:type="pct"/>
            <w:shd w:val="clear" w:color="auto" w:fill="auto"/>
            <w:tcMar>
              <w:left w:w="85" w:type="dxa"/>
              <w:right w:w="57" w:type="dxa"/>
            </w:tcMar>
          </w:tcPr>
          <w:p w14:paraId="273CDBFD" w14:textId="77777777" w:rsidR="00C355E9" w:rsidRPr="001A7F2E" w:rsidRDefault="00324184" w:rsidP="001A7F2E">
            <w:pPr>
              <w:pStyle w:val="TableText"/>
            </w:pPr>
            <w:r w:rsidRPr="00F23917">
              <w:rPr>
                <w:rStyle w:val="Emphasis"/>
              </w:rPr>
              <w:t>Callianassa australiensis</w:t>
            </w:r>
            <w:r w:rsidRPr="001A7F2E">
              <w:t xml:space="preserve"> </w:t>
            </w:r>
          </w:p>
        </w:tc>
        <w:tc>
          <w:tcPr>
            <w:tcW w:w="397" w:type="pct"/>
            <w:shd w:val="clear" w:color="auto" w:fill="auto"/>
            <w:tcMar>
              <w:left w:w="85" w:type="dxa"/>
              <w:right w:w="57" w:type="dxa"/>
            </w:tcMar>
          </w:tcPr>
          <w:p w14:paraId="273CDBFE" w14:textId="77777777" w:rsidR="00C355E9" w:rsidRPr="001A7F2E" w:rsidRDefault="00324184" w:rsidP="001A7F2E">
            <w:pPr>
              <w:pStyle w:val="TableText"/>
            </w:pPr>
            <w:r w:rsidRPr="001A7F2E">
              <w:t>Adult</w:t>
            </w:r>
          </w:p>
        </w:tc>
        <w:tc>
          <w:tcPr>
            <w:tcW w:w="298" w:type="pct"/>
            <w:tcMar>
              <w:left w:w="85" w:type="dxa"/>
              <w:right w:w="57" w:type="dxa"/>
            </w:tcMar>
          </w:tcPr>
          <w:p w14:paraId="273CDBFF" w14:textId="77777777" w:rsidR="00C355E9" w:rsidRPr="001A7F2E" w:rsidRDefault="00324184" w:rsidP="001A7F2E">
            <w:pPr>
              <w:pStyle w:val="TableText"/>
            </w:pPr>
            <w:r w:rsidRPr="001A7F2E">
              <w:t>14</w:t>
            </w:r>
          </w:p>
        </w:tc>
        <w:tc>
          <w:tcPr>
            <w:tcW w:w="397" w:type="pct"/>
            <w:tcMar>
              <w:left w:w="28" w:type="dxa"/>
              <w:right w:w="0" w:type="dxa"/>
            </w:tcMar>
          </w:tcPr>
          <w:p w14:paraId="273CDC00" w14:textId="77777777" w:rsidR="00C355E9" w:rsidRPr="001A7F2E" w:rsidRDefault="00324184" w:rsidP="001A7F2E">
            <w:pPr>
              <w:pStyle w:val="TableText"/>
            </w:pPr>
            <w:r w:rsidRPr="001A7F2E">
              <w:t>Immobilisation</w:t>
            </w:r>
          </w:p>
        </w:tc>
        <w:tc>
          <w:tcPr>
            <w:tcW w:w="348" w:type="pct"/>
            <w:shd w:val="clear" w:color="auto" w:fill="auto"/>
            <w:tcMar>
              <w:left w:w="85" w:type="dxa"/>
              <w:right w:w="57" w:type="dxa"/>
            </w:tcMar>
          </w:tcPr>
          <w:p w14:paraId="273CDC01" w14:textId="77777777" w:rsidR="00C355E9" w:rsidRPr="001A7F2E" w:rsidRDefault="00324184" w:rsidP="001A7F2E">
            <w:pPr>
              <w:pStyle w:val="TableText"/>
            </w:pPr>
            <w:r w:rsidRPr="001A7F2E">
              <w:t>EC50</w:t>
            </w:r>
          </w:p>
        </w:tc>
        <w:tc>
          <w:tcPr>
            <w:tcW w:w="248" w:type="pct"/>
            <w:tcMar>
              <w:left w:w="85" w:type="dxa"/>
              <w:right w:w="57" w:type="dxa"/>
            </w:tcMar>
          </w:tcPr>
          <w:p w14:paraId="273CDC02" w14:textId="77777777" w:rsidR="00C355E9" w:rsidRPr="001A7F2E" w:rsidRDefault="00324184" w:rsidP="001A7F2E">
            <w:pPr>
              <w:pStyle w:val="TableText"/>
            </w:pPr>
            <w:r w:rsidRPr="001A7F2E">
              <w:t>34</w:t>
            </w:r>
            <w:r w:rsidR="006A6386">
              <w:t>–</w:t>
            </w:r>
            <w:r w:rsidRPr="001A7F2E">
              <w:t>38</w:t>
            </w:r>
          </w:p>
        </w:tc>
        <w:tc>
          <w:tcPr>
            <w:tcW w:w="248" w:type="pct"/>
            <w:tcMar>
              <w:left w:w="85" w:type="dxa"/>
              <w:right w:w="57" w:type="dxa"/>
            </w:tcMar>
          </w:tcPr>
          <w:p w14:paraId="273CDC03" w14:textId="77777777" w:rsidR="00C355E9" w:rsidRPr="001A7F2E" w:rsidRDefault="00324184" w:rsidP="001A7F2E">
            <w:pPr>
              <w:pStyle w:val="TableText"/>
            </w:pPr>
            <w:r w:rsidRPr="001A7F2E">
              <w:t>18</w:t>
            </w:r>
            <w:r w:rsidR="006A6386">
              <w:t>–</w:t>
            </w:r>
            <w:r w:rsidRPr="001A7F2E">
              <w:t>20</w:t>
            </w:r>
          </w:p>
        </w:tc>
        <w:tc>
          <w:tcPr>
            <w:tcW w:w="347" w:type="pct"/>
            <w:tcMar>
              <w:left w:w="85" w:type="dxa"/>
              <w:right w:w="57" w:type="dxa"/>
            </w:tcMar>
          </w:tcPr>
          <w:p w14:paraId="273CDC04" w14:textId="77777777" w:rsidR="00C355E9" w:rsidRPr="001A7F2E" w:rsidRDefault="00324184" w:rsidP="001A7F2E">
            <w:pPr>
              <w:pStyle w:val="TableText"/>
            </w:pPr>
            <w:r w:rsidRPr="001A7F2E">
              <w:t>190</w:t>
            </w:r>
          </w:p>
        </w:tc>
        <w:tc>
          <w:tcPr>
            <w:tcW w:w="446" w:type="pct"/>
            <w:tcMar>
              <w:left w:w="85" w:type="dxa"/>
              <w:right w:w="57" w:type="dxa"/>
            </w:tcMar>
          </w:tcPr>
          <w:p w14:paraId="273CDC05" w14:textId="77777777" w:rsidR="00C355E9" w:rsidRPr="001A7F2E" w:rsidRDefault="00324184" w:rsidP="001A7F2E">
            <w:pPr>
              <w:pStyle w:val="TableText"/>
            </w:pPr>
            <w:r w:rsidRPr="001A7F2E">
              <w:t>38</w:t>
            </w:r>
          </w:p>
        </w:tc>
        <w:tc>
          <w:tcPr>
            <w:tcW w:w="645" w:type="pct"/>
            <w:shd w:val="clear" w:color="auto" w:fill="auto"/>
            <w:tcMar>
              <w:left w:w="85" w:type="dxa"/>
              <w:right w:w="57" w:type="dxa"/>
            </w:tcMar>
          </w:tcPr>
          <w:p w14:paraId="273CDC06" w14:textId="77777777" w:rsidR="00C355E9" w:rsidRPr="001A7F2E" w:rsidRDefault="00324184" w:rsidP="001A7F2E">
            <w:pPr>
              <w:pStyle w:val="TableText"/>
            </w:pPr>
            <w:r w:rsidRPr="001A7F2E">
              <w:t>No EC10/NOEC data</w:t>
            </w:r>
          </w:p>
        </w:tc>
        <w:tc>
          <w:tcPr>
            <w:tcW w:w="535" w:type="pct"/>
            <w:tcMar>
              <w:left w:w="85" w:type="dxa"/>
              <w:right w:w="57" w:type="dxa"/>
            </w:tcMar>
          </w:tcPr>
          <w:p w14:paraId="273CDC07" w14:textId="77777777" w:rsidR="00C355E9" w:rsidRPr="001A7F2E" w:rsidRDefault="00324184" w:rsidP="001A7F2E">
            <w:pPr>
              <w:pStyle w:val="TableText"/>
            </w:pPr>
            <w:r w:rsidRPr="001A7F2E">
              <w:t>Ahsanullah et al. (1981)</w:t>
            </w:r>
          </w:p>
        </w:tc>
      </w:tr>
      <w:tr w:rsidR="00091AEB" w14:paraId="273CDC15" w14:textId="77777777" w:rsidTr="00D85C45">
        <w:trPr>
          <w:cantSplit/>
        </w:trPr>
        <w:tc>
          <w:tcPr>
            <w:tcW w:w="447" w:type="pct"/>
            <w:shd w:val="clear" w:color="auto" w:fill="auto"/>
            <w:tcMar>
              <w:left w:w="85" w:type="dxa"/>
              <w:right w:w="57" w:type="dxa"/>
            </w:tcMar>
          </w:tcPr>
          <w:p w14:paraId="273CDC09" w14:textId="77777777" w:rsidR="00C355E9" w:rsidRPr="001A7F2E" w:rsidRDefault="00324184" w:rsidP="001A7F2E">
            <w:pPr>
              <w:pStyle w:val="TableText"/>
            </w:pPr>
            <w:r w:rsidRPr="001A7F2E">
              <w:t>Annelid</w:t>
            </w:r>
          </w:p>
        </w:tc>
        <w:tc>
          <w:tcPr>
            <w:tcW w:w="644" w:type="pct"/>
            <w:shd w:val="clear" w:color="auto" w:fill="auto"/>
            <w:tcMar>
              <w:left w:w="85" w:type="dxa"/>
              <w:right w:w="57" w:type="dxa"/>
            </w:tcMar>
          </w:tcPr>
          <w:p w14:paraId="273CDC0A" w14:textId="77777777" w:rsidR="00C355E9" w:rsidRPr="00F23917" w:rsidRDefault="00324184" w:rsidP="001A7F2E">
            <w:pPr>
              <w:pStyle w:val="TableText"/>
              <w:rPr>
                <w:rStyle w:val="Emphasis"/>
              </w:rPr>
            </w:pPr>
            <w:r w:rsidRPr="00F23917">
              <w:rPr>
                <w:rStyle w:val="Emphasis"/>
              </w:rPr>
              <w:t>Capitella capitata</w:t>
            </w:r>
          </w:p>
        </w:tc>
        <w:tc>
          <w:tcPr>
            <w:tcW w:w="397" w:type="pct"/>
            <w:shd w:val="clear" w:color="auto" w:fill="auto"/>
            <w:tcMar>
              <w:left w:w="85" w:type="dxa"/>
              <w:right w:w="57" w:type="dxa"/>
            </w:tcMar>
          </w:tcPr>
          <w:p w14:paraId="273CDC0B" w14:textId="77777777" w:rsidR="00C355E9" w:rsidRPr="001A7F2E" w:rsidRDefault="00324184" w:rsidP="001A7F2E">
            <w:pPr>
              <w:pStyle w:val="TableText"/>
            </w:pPr>
            <w:r w:rsidRPr="001A7F2E">
              <w:t>Adult</w:t>
            </w:r>
          </w:p>
        </w:tc>
        <w:tc>
          <w:tcPr>
            <w:tcW w:w="298" w:type="pct"/>
            <w:tcMar>
              <w:left w:w="85" w:type="dxa"/>
              <w:right w:w="57" w:type="dxa"/>
            </w:tcMar>
          </w:tcPr>
          <w:p w14:paraId="273CDC0C" w14:textId="77777777" w:rsidR="00C355E9" w:rsidRPr="001A7F2E" w:rsidRDefault="00324184" w:rsidP="001A7F2E">
            <w:pPr>
              <w:pStyle w:val="TableText"/>
            </w:pPr>
            <w:r w:rsidRPr="001A7F2E">
              <w:t>28</w:t>
            </w:r>
          </w:p>
        </w:tc>
        <w:tc>
          <w:tcPr>
            <w:tcW w:w="397" w:type="pct"/>
            <w:tcMar>
              <w:left w:w="28" w:type="dxa"/>
              <w:right w:w="0" w:type="dxa"/>
            </w:tcMar>
          </w:tcPr>
          <w:p w14:paraId="273CDC0D" w14:textId="77777777" w:rsidR="00C355E9" w:rsidRPr="001A7F2E" w:rsidRDefault="00324184" w:rsidP="001A7F2E">
            <w:pPr>
              <w:pStyle w:val="TableText"/>
            </w:pPr>
            <w:r w:rsidRPr="001A7F2E">
              <w:t>Mortality</w:t>
            </w:r>
          </w:p>
        </w:tc>
        <w:tc>
          <w:tcPr>
            <w:tcW w:w="348" w:type="pct"/>
            <w:shd w:val="clear" w:color="auto" w:fill="auto"/>
            <w:tcMar>
              <w:left w:w="85" w:type="dxa"/>
              <w:right w:w="57" w:type="dxa"/>
            </w:tcMar>
          </w:tcPr>
          <w:p w14:paraId="273CDC0E" w14:textId="77777777" w:rsidR="00C355E9" w:rsidRPr="001A7F2E" w:rsidRDefault="00324184" w:rsidP="001A7F2E">
            <w:pPr>
              <w:pStyle w:val="TableText"/>
            </w:pPr>
            <w:r w:rsidRPr="001A7F2E">
              <w:t>LC50</w:t>
            </w:r>
          </w:p>
        </w:tc>
        <w:tc>
          <w:tcPr>
            <w:tcW w:w="248" w:type="pct"/>
            <w:tcMar>
              <w:left w:w="85" w:type="dxa"/>
              <w:right w:w="57" w:type="dxa"/>
            </w:tcMar>
          </w:tcPr>
          <w:p w14:paraId="273CDC0F" w14:textId="77777777" w:rsidR="00C355E9" w:rsidRPr="001A7F2E" w:rsidRDefault="00324184" w:rsidP="001A7F2E">
            <w:pPr>
              <w:pStyle w:val="TableText"/>
            </w:pPr>
            <w:r>
              <w:t>–</w:t>
            </w:r>
          </w:p>
        </w:tc>
        <w:tc>
          <w:tcPr>
            <w:tcW w:w="248" w:type="pct"/>
            <w:tcMar>
              <w:left w:w="85" w:type="dxa"/>
              <w:right w:w="57" w:type="dxa"/>
            </w:tcMar>
          </w:tcPr>
          <w:p w14:paraId="273CDC10" w14:textId="77777777" w:rsidR="00C355E9" w:rsidRPr="001A7F2E" w:rsidRDefault="00324184" w:rsidP="001A7F2E">
            <w:pPr>
              <w:pStyle w:val="TableText"/>
            </w:pPr>
            <w:r>
              <w:t>–</w:t>
            </w:r>
          </w:p>
        </w:tc>
        <w:tc>
          <w:tcPr>
            <w:tcW w:w="347" w:type="pct"/>
            <w:tcMar>
              <w:left w:w="85" w:type="dxa"/>
              <w:right w:w="57" w:type="dxa"/>
            </w:tcMar>
          </w:tcPr>
          <w:p w14:paraId="273CDC11" w14:textId="77777777" w:rsidR="00C355E9" w:rsidRPr="001A7F2E" w:rsidRDefault="00324184" w:rsidP="001A7F2E">
            <w:pPr>
              <w:pStyle w:val="TableText"/>
            </w:pPr>
            <w:r w:rsidRPr="001A7F2E">
              <w:t>200</w:t>
            </w:r>
          </w:p>
        </w:tc>
        <w:tc>
          <w:tcPr>
            <w:tcW w:w="446" w:type="pct"/>
            <w:tcMar>
              <w:left w:w="85" w:type="dxa"/>
              <w:right w:w="57" w:type="dxa"/>
            </w:tcMar>
          </w:tcPr>
          <w:p w14:paraId="273CDC12" w14:textId="77777777" w:rsidR="00C355E9" w:rsidRPr="001A7F2E" w:rsidRDefault="00324184" w:rsidP="001A7F2E">
            <w:pPr>
              <w:pStyle w:val="TableText"/>
            </w:pPr>
            <w:r w:rsidRPr="001A7F2E">
              <w:t>40</w:t>
            </w:r>
          </w:p>
        </w:tc>
        <w:tc>
          <w:tcPr>
            <w:tcW w:w="645" w:type="pct"/>
            <w:shd w:val="clear" w:color="auto" w:fill="auto"/>
            <w:tcMar>
              <w:left w:w="85" w:type="dxa"/>
              <w:right w:w="57" w:type="dxa"/>
            </w:tcMar>
          </w:tcPr>
          <w:p w14:paraId="273CDC13" w14:textId="77777777" w:rsidR="00C355E9" w:rsidRPr="001A7F2E" w:rsidRDefault="00324184" w:rsidP="001A7F2E">
            <w:pPr>
              <w:pStyle w:val="TableText"/>
            </w:pPr>
            <w:r w:rsidRPr="001A7F2E">
              <w:t>No copper measurement</w:t>
            </w:r>
            <w:r w:rsidR="00CF1C27">
              <w:t>;</w:t>
            </w:r>
            <w:r w:rsidRPr="001A7F2E">
              <w:t xml:space="preserve"> data from before 1980</w:t>
            </w:r>
          </w:p>
        </w:tc>
        <w:tc>
          <w:tcPr>
            <w:tcW w:w="535" w:type="pct"/>
            <w:tcMar>
              <w:left w:w="85" w:type="dxa"/>
              <w:right w:w="57" w:type="dxa"/>
            </w:tcMar>
          </w:tcPr>
          <w:p w14:paraId="273CDC14" w14:textId="77777777" w:rsidR="00C355E9" w:rsidRPr="001A7F2E" w:rsidRDefault="00324184" w:rsidP="001A7F2E">
            <w:pPr>
              <w:pStyle w:val="TableText"/>
            </w:pPr>
            <w:r w:rsidRPr="001A7F2E">
              <w:t>Reish et al. (1976)</w:t>
            </w:r>
          </w:p>
        </w:tc>
      </w:tr>
      <w:tr w:rsidR="00091AEB" w14:paraId="273CDC22" w14:textId="77777777" w:rsidTr="00D85C45">
        <w:trPr>
          <w:cantSplit/>
        </w:trPr>
        <w:tc>
          <w:tcPr>
            <w:tcW w:w="447" w:type="pct"/>
            <w:shd w:val="clear" w:color="auto" w:fill="auto"/>
            <w:tcMar>
              <w:left w:w="85" w:type="dxa"/>
              <w:right w:w="57" w:type="dxa"/>
            </w:tcMar>
          </w:tcPr>
          <w:p w14:paraId="273CDC16" w14:textId="77777777" w:rsidR="00C355E9" w:rsidRPr="001A7F2E" w:rsidRDefault="00324184" w:rsidP="001A7F2E">
            <w:pPr>
              <w:pStyle w:val="TableText"/>
            </w:pPr>
            <w:r w:rsidRPr="001A7F2E">
              <w:t>Fish</w:t>
            </w:r>
          </w:p>
        </w:tc>
        <w:tc>
          <w:tcPr>
            <w:tcW w:w="644" w:type="pct"/>
            <w:shd w:val="clear" w:color="auto" w:fill="auto"/>
            <w:tcMar>
              <w:left w:w="85" w:type="dxa"/>
              <w:right w:w="57" w:type="dxa"/>
            </w:tcMar>
          </w:tcPr>
          <w:p w14:paraId="273CDC17" w14:textId="77777777" w:rsidR="00C355E9" w:rsidRPr="001A7F2E" w:rsidRDefault="00324184" w:rsidP="001A7F2E">
            <w:pPr>
              <w:pStyle w:val="TableText"/>
            </w:pPr>
            <w:r w:rsidRPr="00F23917">
              <w:rPr>
                <w:rStyle w:val="Emphasis"/>
              </w:rPr>
              <w:t>Morone</w:t>
            </w:r>
            <w:r w:rsidRPr="001A7F2E">
              <w:t xml:space="preserve"> sp. </w:t>
            </w:r>
          </w:p>
        </w:tc>
        <w:tc>
          <w:tcPr>
            <w:tcW w:w="397" w:type="pct"/>
            <w:shd w:val="clear" w:color="auto" w:fill="auto"/>
            <w:tcMar>
              <w:left w:w="85" w:type="dxa"/>
              <w:right w:w="57" w:type="dxa"/>
            </w:tcMar>
          </w:tcPr>
          <w:p w14:paraId="273CDC18" w14:textId="77777777" w:rsidR="00C355E9" w:rsidRPr="001A7F2E" w:rsidRDefault="00324184" w:rsidP="001A7F2E">
            <w:pPr>
              <w:pStyle w:val="TableText"/>
            </w:pPr>
            <w:r w:rsidRPr="001A7F2E">
              <w:t>Juvenile</w:t>
            </w:r>
          </w:p>
        </w:tc>
        <w:tc>
          <w:tcPr>
            <w:tcW w:w="298" w:type="pct"/>
            <w:tcMar>
              <w:left w:w="85" w:type="dxa"/>
              <w:right w:w="57" w:type="dxa"/>
            </w:tcMar>
          </w:tcPr>
          <w:p w14:paraId="273CDC19" w14:textId="77777777" w:rsidR="00C355E9" w:rsidRPr="001A7F2E" w:rsidRDefault="00324184" w:rsidP="001A7F2E">
            <w:pPr>
              <w:pStyle w:val="TableText"/>
            </w:pPr>
            <w:r w:rsidRPr="001A7F2E">
              <w:t>21</w:t>
            </w:r>
          </w:p>
        </w:tc>
        <w:tc>
          <w:tcPr>
            <w:tcW w:w="397" w:type="pct"/>
            <w:tcMar>
              <w:left w:w="28" w:type="dxa"/>
              <w:right w:w="0" w:type="dxa"/>
            </w:tcMar>
          </w:tcPr>
          <w:p w14:paraId="273CDC1A" w14:textId="77777777" w:rsidR="00C355E9" w:rsidRPr="001A7F2E" w:rsidRDefault="00324184" w:rsidP="001A7F2E">
            <w:pPr>
              <w:pStyle w:val="TableText"/>
            </w:pPr>
            <w:r w:rsidRPr="001A7F2E">
              <w:t>Growth</w:t>
            </w:r>
          </w:p>
        </w:tc>
        <w:tc>
          <w:tcPr>
            <w:tcW w:w="348" w:type="pct"/>
            <w:shd w:val="clear" w:color="auto" w:fill="auto"/>
            <w:tcMar>
              <w:left w:w="85" w:type="dxa"/>
              <w:right w:w="57" w:type="dxa"/>
            </w:tcMar>
          </w:tcPr>
          <w:p w14:paraId="273CDC1B" w14:textId="77777777" w:rsidR="00C355E9" w:rsidRPr="001A7F2E" w:rsidRDefault="00324184" w:rsidP="001A7F2E">
            <w:pPr>
              <w:pStyle w:val="TableText"/>
            </w:pPr>
            <w:r w:rsidRPr="001A7F2E">
              <w:t>NOEC</w:t>
            </w:r>
          </w:p>
        </w:tc>
        <w:tc>
          <w:tcPr>
            <w:tcW w:w="248" w:type="pct"/>
            <w:tcMar>
              <w:left w:w="85" w:type="dxa"/>
              <w:right w:w="57" w:type="dxa"/>
            </w:tcMar>
          </w:tcPr>
          <w:p w14:paraId="273CDC1C" w14:textId="77777777" w:rsidR="00C355E9" w:rsidRPr="001A7F2E" w:rsidRDefault="00324184" w:rsidP="001A7F2E">
            <w:pPr>
              <w:pStyle w:val="TableText"/>
            </w:pPr>
            <w:r w:rsidRPr="001A7F2E">
              <w:t>15</w:t>
            </w:r>
          </w:p>
        </w:tc>
        <w:tc>
          <w:tcPr>
            <w:tcW w:w="248" w:type="pct"/>
            <w:tcMar>
              <w:left w:w="85" w:type="dxa"/>
              <w:right w:w="57" w:type="dxa"/>
            </w:tcMar>
          </w:tcPr>
          <w:p w14:paraId="273CDC1D" w14:textId="77777777" w:rsidR="00C355E9" w:rsidRPr="001A7F2E" w:rsidRDefault="00324184" w:rsidP="001A7F2E">
            <w:pPr>
              <w:pStyle w:val="TableText"/>
            </w:pPr>
            <w:r w:rsidRPr="001A7F2E">
              <w:t>19</w:t>
            </w:r>
          </w:p>
        </w:tc>
        <w:tc>
          <w:tcPr>
            <w:tcW w:w="347" w:type="pct"/>
            <w:tcMar>
              <w:left w:w="85" w:type="dxa"/>
              <w:right w:w="57" w:type="dxa"/>
            </w:tcMar>
          </w:tcPr>
          <w:p w14:paraId="273CDC1E" w14:textId="77777777" w:rsidR="00C355E9" w:rsidRPr="001A7F2E" w:rsidRDefault="00324184" w:rsidP="001A7F2E">
            <w:pPr>
              <w:pStyle w:val="TableText"/>
            </w:pPr>
            <w:r w:rsidRPr="001A7F2E">
              <w:t>53</w:t>
            </w:r>
          </w:p>
        </w:tc>
        <w:tc>
          <w:tcPr>
            <w:tcW w:w="446" w:type="pct"/>
            <w:tcMar>
              <w:left w:w="85" w:type="dxa"/>
              <w:right w:w="57" w:type="dxa"/>
            </w:tcMar>
          </w:tcPr>
          <w:p w14:paraId="273CDC1F" w14:textId="77777777" w:rsidR="00C355E9" w:rsidRPr="001A7F2E" w:rsidRDefault="00324184" w:rsidP="001A7F2E">
            <w:pPr>
              <w:pStyle w:val="TableText"/>
            </w:pPr>
            <w:r w:rsidRPr="001A7F2E">
              <w:t>53</w:t>
            </w:r>
          </w:p>
        </w:tc>
        <w:tc>
          <w:tcPr>
            <w:tcW w:w="645" w:type="pct"/>
            <w:shd w:val="clear" w:color="auto" w:fill="auto"/>
            <w:tcMar>
              <w:left w:w="85" w:type="dxa"/>
              <w:right w:w="57" w:type="dxa"/>
            </w:tcMar>
          </w:tcPr>
          <w:p w14:paraId="273CDC20" w14:textId="77777777" w:rsidR="00C355E9" w:rsidRPr="001A7F2E" w:rsidRDefault="00324184" w:rsidP="001A7F2E">
            <w:pPr>
              <w:pStyle w:val="TableText"/>
            </w:pPr>
            <w:r w:rsidRPr="001A7F2E">
              <w:t>Salinity &lt;25</w:t>
            </w:r>
            <w:r w:rsidR="003F599F" w:rsidRPr="009907F5">
              <w:t>‰</w:t>
            </w:r>
          </w:p>
        </w:tc>
        <w:tc>
          <w:tcPr>
            <w:tcW w:w="535" w:type="pct"/>
            <w:tcMar>
              <w:left w:w="85" w:type="dxa"/>
              <w:right w:w="57" w:type="dxa"/>
            </w:tcMar>
          </w:tcPr>
          <w:p w14:paraId="273CDC21" w14:textId="77777777" w:rsidR="00C355E9" w:rsidRPr="001A7F2E" w:rsidRDefault="00324184" w:rsidP="001A7F2E">
            <w:pPr>
              <w:pStyle w:val="TableText"/>
            </w:pPr>
            <w:r w:rsidRPr="001A7F2E">
              <w:t>Bielmyer et al. (2006)</w:t>
            </w:r>
          </w:p>
        </w:tc>
      </w:tr>
      <w:tr w:rsidR="00091AEB" w14:paraId="273CDC2F" w14:textId="77777777" w:rsidTr="00D85C45">
        <w:trPr>
          <w:cantSplit/>
        </w:trPr>
        <w:tc>
          <w:tcPr>
            <w:tcW w:w="447" w:type="pct"/>
            <w:shd w:val="clear" w:color="auto" w:fill="auto"/>
            <w:tcMar>
              <w:left w:w="85" w:type="dxa"/>
              <w:right w:w="57" w:type="dxa"/>
            </w:tcMar>
          </w:tcPr>
          <w:p w14:paraId="273CDC23" w14:textId="77777777" w:rsidR="00C355E9" w:rsidRPr="001A7F2E" w:rsidRDefault="00324184" w:rsidP="001A7F2E">
            <w:pPr>
              <w:pStyle w:val="TableText"/>
            </w:pPr>
            <w:r w:rsidRPr="001A7F2E">
              <w:t>Fish</w:t>
            </w:r>
          </w:p>
        </w:tc>
        <w:tc>
          <w:tcPr>
            <w:tcW w:w="644" w:type="pct"/>
            <w:shd w:val="clear" w:color="auto" w:fill="auto"/>
            <w:tcMar>
              <w:left w:w="85" w:type="dxa"/>
              <w:right w:w="57" w:type="dxa"/>
            </w:tcMar>
          </w:tcPr>
          <w:p w14:paraId="273CDC24" w14:textId="77777777" w:rsidR="00C355E9" w:rsidRPr="001A7F2E" w:rsidRDefault="00324184" w:rsidP="001A7F2E">
            <w:pPr>
              <w:pStyle w:val="TableText"/>
            </w:pPr>
            <w:r w:rsidRPr="00F23917">
              <w:rPr>
                <w:rStyle w:val="Emphasis"/>
              </w:rPr>
              <w:t>Synechogobius hasta</w:t>
            </w:r>
            <w:r w:rsidRPr="001A7F2E">
              <w:t xml:space="preserve"> </w:t>
            </w:r>
          </w:p>
        </w:tc>
        <w:tc>
          <w:tcPr>
            <w:tcW w:w="397" w:type="pct"/>
            <w:shd w:val="clear" w:color="auto" w:fill="auto"/>
            <w:tcMar>
              <w:left w:w="85" w:type="dxa"/>
              <w:right w:w="57" w:type="dxa"/>
            </w:tcMar>
          </w:tcPr>
          <w:p w14:paraId="273CDC25" w14:textId="77777777" w:rsidR="00C355E9" w:rsidRPr="001A7F2E" w:rsidRDefault="00324184" w:rsidP="001A7F2E">
            <w:pPr>
              <w:pStyle w:val="TableText"/>
            </w:pPr>
            <w:r>
              <w:t>–</w:t>
            </w:r>
          </w:p>
        </w:tc>
        <w:tc>
          <w:tcPr>
            <w:tcW w:w="298" w:type="pct"/>
            <w:tcMar>
              <w:left w:w="85" w:type="dxa"/>
              <w:right w:w="57" w:type="dxa"/>
            </w:tcMar>
          </w:tcPr>
          <w:p w14:paraId="273CDC26" w14:textId="77777777" w:rsidR="00C355E9" w:rsidRPr="001A7F2E" w:rsidRDefault="00324184" w:rsidP="001A7F2E">
            <w:pPr>
              <w:pStyle w:val="TableText"/>
            </w:pPr>
            <w:r w:rsidRPr="001A7F2E">
              <w:t>30</w:t>
            </w:r>
          </w:p>
        </w:tc>
        <w:tc>
          <w:tcPr>
            <w:tcW w:w="397" w:type="pct"/>
            <w:tcMar>
              <w:left w:w="28" w:type="dxa"/>
              <w:right w:w="0" w:type="dxa"/>
            </w:tcMar>
          </w:tcPr>
          <w:p w14:paraId="273CDC27" w14:textId="77777777" w:rsidR="00C355E9" w:rsidRPr="001A7F2E" w:rsidRDefault="00324184" w:rsidP="001A7F2E">
            <w:pPr>
              <w:pStyle w:val="TableText"/>
            </w:pPr>
            <w:r w:rsidRPr="001A7F2E">
              <w:t>Growth</w:t>
            </w:r>
          </w:p>
        </w:tc>
        <w:tc>
          <w:tcPr>
            <w:tcW w:w="348" w:type="pct"/>
            <w:shd w:val="clear" w:color="auto" w:fill="auto"/>
            <w:tcMar>
              <w:left w:w="85" w:type="dxa"/>
              <w:right w:w="57" w:type="dxa"/>
            </w:tcMar>
          </w:tcPr>
          <w:p w14:paraId="273CDC28" w14:textId="77777777" w:rsidR="00C355E9" w:rsidRPr="001A7F2E" w:rsidRDefault="00324184" w:rsidP="001A7F2E">
            <w:pPr>
              <w:pStyle w:val="TableText"/>
            </w:pPr>
            <w:r w:rsidRPr="001A7F2E">
              <w:t>NOEC</w:t>
            </w:r>
          </w:p>
        </w:tc>
        <w:tc>
          <w:tcPr>
            <w:tcW w:w="248" w:type="pct"/>
            <w:tcMar>
              <w:left w:w="85" w:type="dxa"/>
              <w:right w:w="57" w:type="dxa"/>
            </w:tcMar>
          </w:tcPr>
          <w:p w14:paraId="273CDC29" w14:textId="77777777" w:rsidR="00C355E9" w:rsidRPr="001A7F2E" w:rsidRDefault="00324184" w:rsidP="001A7F2E">
            <w:pPr>
              <w:pStyle w:val="TableText"/>
            </w:pPr>
            <w:r w:rsidRPr="001A7F2E">
              <w:t>19</w:t>
            </w:r>
            <w:r w:rsidR="006A6386">
              <w:t>–</w:t>
            </w:r>
            <w:r w:rsidRPr="001A7F2E">
              <w:t>20</w:t>
            </w:r>
          </w:p>
        </w:tc>
        <w:tc>
          <w:tcPr>
            <w:tcW w:w="248" w:type="pct"/>
            <w:tcMar>
              <w:left w:w="85" w:type="dxa"/>
              <w:right w:w="57" w:type="dxa"/>
            </w:tcMar>
          </w:tcPr>
          <w:p w14:paraId="273CDC2A" w14:textId="77777777" w:rsidR="00C355E9" w:rsidRPr="001A7F2E" w:rsidRDefault="00324184" w:rsidP="001A7F2E">
            <w:pPr>
              <w:pStyle w:val="TableText"/>
            </w:pPr>
            <w:r w:rsidRPr="001A7F2E">
              <w:t>19</w:t>
            </w:r>
            <w:r w:rsidR="006A6386">
              <w:t>–</w:t>
            </w:r>
            <w:r w:rsidRPr="001A7F2E">
              <w:t>21</w:t>
            </w:r>
          </w:p>
        </w:tc>
        <w:tc>
          <w:tcPr>
            <w:tcW w:w="347" w:type="pct"/>
            <w:tcMar>
              <w:left w:w="85" w:type="dxa"/>
              <w:right w:w="57" w:type="dxa"/>
            </w:tcMar>
          </w:tcPr>
          <w:p w14:paraId="273CDC2B" w14:textId="77777777" w:rsidR="00C355E9" w:rsidRPr="001A7F2E" w:rsidRDefault="00324184" w:rsidP="001A7F2E">
            <w:pPr>
              <w:pStyle w:val="TableText"/>
            </w:pPr>
            <w:r w:rsidRPr="001A7F2E">
              <w:t>57</w:t>
            </w:r>
          </w:p>
        </w:tc>
        <w:tc>
          <w:tcPr>
            <w:tcW w:w="446" w:type="pct"/>
            <w:tcMar>
              <w:left w:w="85" w:type="dxa"/>
              <w:right w:w="57" w:type="dxa"/>
            </w:tcMar>
          </w:tcPr>
          <w:p w14:paraId="273CDC2C" w14:textId="77777777" w:rsidR="00C355E9" w:rsidRPr="001A7F2E" w:rsidRDefault="00324184" w:rsidP="001A7F2E">
            <w:pPr>
              <w:pStyle w:val="TableText"/>
            </w:pPr>
            <w:r w:rsidRPr="001A7F2E">
              <w:t>57</w:t>
            </w:r>
          </w:p>
        </w:tc>
        <w:tc>
          <w:tcPr>
            <w:tcW w:w="645" w:type="pct"/>
            <w:shd w:val="clear" w:color="auto" w:fill="auto"/>
            <w:tcMar>
              <w:left w:w="85" w:type="dxa"/>
              <w:right w:w="57" w:type="dxa"/>
            </w:tcMar>
          </w:tcPr>
          <w:p w14:paraId="273CDC2D" w14:textId="77777777" w:rsidR="00C355E9" w:rsidRPr="001A7F2E" w:rsidRDefault="00324184" w:rsidP="001A7F2E">
            <w:pPr>
              <w:pStyle w:val="TableText"/>
            </w:pPr>
            <w:r w:rsidRPr="001A7F2E">
              <w:t>Salinity &lt;25</w:t>
            </w:r>
            <w:r w:rsidR="003F599F" w:rsidRPr="009907F5">
              <w:t>‰</w:t>
            </w:r>
          </w:p>
        </w:tc>
        <w:tc>
          <w:tcPr>
            <w:tcW w:w="535" w:type="pct"/>
            <w:tcMar>
              <w:left w:w="85" w:type="dxa"/>
              <w:right w:w="57" w:type="dxa"/>
            </w:tcMar>
          </w:tcPr>
          <w:p w14:paraId="273CDC2E" w14:textId="77777777" w:rsidR="00C355E9" w:rsidRPr="001A7F2E" w:rsidRDefault="00324184" w:rsidP="001A7F2E">
            <w:pPr>
              <w:pStyle w:val="TableText"/>
            </w:pPr>
            <w:r w:rsidRPr="001A7F2E">
              <w:t>Chen et al. (2013)</w:t>
            </w:r>
          </w:p>
        </w:tc>
      </w:tr>
      <w:tr w:rsidR="00091AEB" w14:paraId="273CDC3C" w14:textId="77777777" w:rsidTr="00D85C45">
        <w:trPr>
          <w:cantSplit/>
        </w:trPr>
        <w:tc>
          <w:tcPr>
            <w:tcW w:w="447" w:type="pct"/>
            <w:shd w:val="clear" w:color="auto" w:fill="auto"/>
            <w:tcMar>
              <w:left w:w="85" w:type="dxa"/>
              <w:right w:w="57" w:type="dxa"/>
            </w:tcMar>
          </w:tcPr>
          <w:p w14:paraId="273CDC30" w14:textId="77777777" w:rsidR="00C355E9" w:rsidRPr="001A7F2E" w:rsidRDefault="00324184" w:rsidP="001A7F2E">
            <w:pPr>
              <w:pStyle w:val="TableText"/>
            </w:pPr>
            <w:r w:rsidRPr="001A7F2E">
              <w:t>Crustacean</w:t>
            </w:r>
          </w:p>
        </w:tc>
        <w:tc>
          <w:tcPr>
            <w:tcW w:w="644" w:type="pct"/>
            <w:shd w:val="clear" w:color="auto" w:fill="auto"/>
            <w:tcMar>
              <w:left w:w="85" w:type="dxa"/>
              <w:right w:w="57" w:type="dxa"/>
            </w:tcMar>
          </w:tcPr>
          <w:p w14:paraId="273CDC31" w14:textId="77777777" w:rsidR="00C355E9" w:rsidRPr="00F23917" w:rsidRDefault="00324184" w:rsidP="001A7F2E">
            <w:pPr>
              <w:pStyle w:val="TableText"/>
              <w:rPr>
                <w:rStyle w:val="Emphasis"/>
              </w:rPr>
            </w:pPr>
            <w:r w:rsidRPr="00F23917">
              <w:rPr>
                <w:rStyle w:val="Emphasis"/>
              </w:rPr>
              <w:t>Tigriopus angulatus</w:t>
            </w:r>
          </w:p>
        </w:tc>
        <w:tc>
          <w:tcPr>
            <w:tcW w:w="397" w:type="pct"/>
            <w:shd w:val="clear" w:color="auto" w:fill="auto"/>
            <w:tcMar>
              <w:left w:w="85" w:type="dxa"/>
              <w:right w:w="57" w:type="dxa"/>
            </w:tcMar>
          </w:tcPr>
          <w:p w14:paraId="273CDC32" w14:textId="77777777" w:rsidR="00C355E9" w:rsidRPr="001A7F2E" w:rsidRDefault="00324184" w:rsidP="001A7F2E">
            <w:pPr>
              <w:pStyle w:val="TableText"/>
            </w:pPr>
            <w:r w:rsidRPr="001A7F2E">
              <w:t>Larva</w:t>
            </w:r>
          </w:p>
        </w:tc>
        <w:tc>
          <w:tcPr>
            <w:tcW w:w="298" w:type="pct"/>
            <w:tcMar>
              <w:left w:w="85" w:type="dxa"/>
              <w:right w:w="57" w:type="dxa"/>
            </w:tcMar>
          </w:tcPr>
          <w:p w14:paraId="273CDC33" w14:textId="77777777" w:rsidR="00C355E9" w:rsidRPr="001A7F2E" w:rsidRDefault="00324184" w:rsidP="001A7F2E">
            <w:pPr>
              <w:pStyle w:val="TableText"/>
            </w:pPr>
            <w:r w:rsidRPr="001A7F2E">
              <w:t>28</w:t>
            </w:r>
          </w:p>
        </w:tc>
        <w:tc>
          <w:tcPr>
            <w:tcW w:w="397" w:type="pct"/>
            <w:tcMar>
              <w:left w:w="28" w:type="dxa"/>
              <w:right w:w="0" w:type="dxa"/>
            </w:tcMar>
          </w:tcPr>
          <w:p w14:paraId="273CDC34"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C35" w14:textId="77777777" w:rsidR="00C355E9" w:rsidRPr="001A7F2E" w:rsidRDefault="00324184" w:rsidP="001A7F2E">
            <w:pPr>
              <w:pStyle w:val="TableText"/>
            </w:pPr>
            <w:r w:rsidRPr="001A7F2E">
              <w:t>NOEC</w:t>
            </w:r>
          </w:p>
        </w:tc>
        <w:tc>
          <w:tcPr>
            <w:tcW w:w="248" w:type="pct"/>
            <w:tcMar>
              <w:left w:w="85" w:type="dxa"/>
              <w:right w:w="57" w:type="dxa"/>
            </w:tcMar>
          </w:tcPr>
          <w:p w14:paraId="273CDC36" w14:textId="77777777" w:rsidR="00C355E9" w:rsidRPr="001A7F2E" w:rsidRDefault="00324184" w:rsidP="001A7F2E">
            <w:pPr>
              <w:pStyle w:val="TableText"/>
            </w:pPr>
            <w:r w:rsidRPr="001A7F2E">
              <w:t>34</w:t>
            </w:r>
          </w:p>
        </w:tc>
        <w:tc>
          <w:tcPr>
            <w:tcW w:w="248" w:type="pct"/>
            <w:tcMar>
              <w:left w:w="85" w:type="dxa"/>
              <w:right w:w="57" w:type="dxa"/>
            </w:tcMar>
          </w:tcPr>
          <w:p w14:paraId="273CDC37" w14:textId="77777777" w:rsidR="00C355E9" w:rsidRPr="001A7F2E" w:rsidRDefault="00324184" w:rsidP="001A7F2E">
            <w:pPr>
              <w:pStyle w:val="TableText"/>
            </w:pPr>
            <w:r w:rsidRPr="001A7F2E">
              <w:t>20</w:t>
            </w:r>
          </w:p>
        </w:tc>
        <w:tc>
          <w:tcPr>
            <w:tcW w:w="347" w:type="pct"/>
            <w:tcMar>
              <w:left w:w="85" w:type="dxa"/>
              <w:right w:w="57" w:type="dxa"/>
            </w:tcMar>
          </w:tcPr>
          <w:p w14:paraId="273CDC38" w14:textId="77777777" w:rsidR="00C355E9" w:rsidRPr="001A7F2E" w:rsidRDefault="00324184" w:rsidP="001A7F2E">
            <w:pPr>
              <w:pStyle w:val="TableText"/>
            </w:pPr>
            <w:r w:rsidRPr="001A7F2E">
              <w:t>60</w:t>
            </w:r>
          </w:p>
        </w:tc>
        <w:tc>
          <w:tcPr>
            <w:tcW w:w="446" w:type="pct"/>
            <w:tcMar>
              <w:left w:w="85" w:type="dxa"/>
              <w:right w:w="57" w:type="dxa"/>
            </w:tcMar>
          </w:tcPr>
          <w:p w14:paraId="273CDC39" w14:textId="77777777" w:rsidR="00C355E9" w:rsidRPr="001A7F2E" w:rsidRDefault="00324184" w:rsidP="001A7F2E">
            <w:pPr>
              <w:pStyle w:val="TableText"/>
            </w:pPr>
            <w:r w:rsidRPr="001A7F2E">
              <w:t>60</w:t>
            </w:r>
          </w:p>
        </w:tc>
        <w:tc>
          <w:tcPr>
            <w:tcW w:w="645" w:type="pct"/>
            <w:shd w:val="clear" w:color="auto" w:fill="auto"/>
            <w:tcMar>
              <w:left w:w="85" w:type="dxa"/>
              <w:right w:w="57" w:type="dxa"/>
            </w:tcMar>
          </w:tcPr>
          <w:p w14:paraId="273CDC3A" w14:textId="77777777" w:rsidR="00C355E9" w:rsidRPr="001A7F2E" w:rsidRDefault="00324184" w:rsidP="001A7F2E">
            <w:pPr>
              <w:pStyle w:val="TableText"/>
            </w:pPr>
            <w:r w:rsidRPr="001A7F2E">
              <w:t>No measurement of copper</w:t>
            </w:r>
          </w:p>
        </w:tc>
        <w:tc>
          <w:tcPr>
            <w:tcW w:w="535" w:type="pct"/>
            <w:tcMar>
              <w:left w:w="85" w:type="dxa"/>
              <w:right w:w="57" w:type="dxa"/>
            </w:tcMar>
          </w:tcPr>
          <w:p w14:paraId="273CDC3B" w14:textId="77777777" w:rsidR="00C355E9" w:rsidRPr="001A7F2E" w:rsidRDefault="00324184" w:rsidP="001A7F2E">
            <w:pPr>
              <w:pStyle w:val="TableText"/>
            </w:pPr>
            <w:r w:rsidRPr="001A7F2E">
              <w:t>Medina et al. (2008)</w:t>
            </w:r>
          </w:p>
        </w:tc>
      </w:tr>
      <w:tr w:rsidR="00091AEB" w14:paraId="273CDC49" w14:textId="77777777" w:rsidTr="00D85C45">
        <w:trPr>
          <w:cantSplit/>
        </w:trPr>
        <w:tc>
          <w:tcPr>
            <w:tcW w:w="447" w:type="pct"/>
            <w:shd w:val="clear" w:color="auto" w:fill="auto"/>
            <w:tcMar>
              <w:left w:w="85" w:type="dxa"/>
              <w:right w:w="57" w:type="dxa"/>
            </w:tcMar>
          </w:tcPr>
          <w:p w14:paraId="273CDC3D" w14:textId="77777777" w:rsidR="00C355E9" w:rsidRPr="001A7F2E" w:rsidRDefault="00324184" w:rsidP="001A7F2E">
            <w:pPr>
              <w:pStyle w:val="TableText"/>
            </w:pPr>
            <w:r w:rsidRPr="001A7F2E">
              <w:t xml:space="preserve">Green </w:t>
            </w:r>
            <w:r w:rsidR="006C6C88">
              <w:t>micro</w:t>
            </w:r>
            <w:r w:rsidRPr="001A7F2E">
              <w:t>alga</w:t>
            </w:r>
          </w:p>
        </w:tc>
        <w:tc>
          <w:tcPr>
            <w:tcW w:w="644" w:type="pct"/>
            <w:shd w:val="clear" w:color="auto" w:fill="auto"/>
            <w:tcMar>
              <w:left w:w="85" w:type="dxa"/>
              <w:right w:w="57" w:type="dxa"/>
            </w:tcMar>
          </w:tcPr>
          <w:p w14:paraId="273CDC3E" w14:textId="77777777" w:rsidR="00C355E9" w:rsidRPr="00F23917" w:rsidRDefault="00324184" w:rsidP="001A7F2E">
            <w:pPr>
              <w:pStyle w:val="TableText"/>
              <w:rPr>
                <w:rStyle w:val="Emphasis"/>
              </w:rPr>
            </w:pPr>
            <w:r w:rsidRPr="00F23917">
              <w:rPr>
                <w:rStyle w:val="Emphasis"/>
              </w:rPr>
              <w:t>Chlorella vulgaris</w:t>
            </w:r>
          </w:p>
        </w:tc>
        <w:tc>
          <w:tcPr>
            <w:tcW w:w="397" w:type="pct"/>
            <w:shd w:val="clear" w:color="auto" w:fill="auto"/>
            <w:tcMar>
              <w:left w:w="85" w:type="dxa"/>
              <w:right w:w="57" w:type="dxa"/>
            </w:tcMar>
          </w:tcPr>
          <w:p w14:paraId="273CDC3F" w14:textId="77777777" w:rsidR="00C355E9" w:rsidRPr="001A7F2E" w:rsidRDefault="00324184" w:rsidP="001A7F2E">
            <w:pPr>
              <w:pStyle w:val="TableText"/>
            </w:pPr>
            <w:r>
              <w:t>Exponential</w:t>
            </w:r>
            <w:r w:rsidRPr="001A7F2E">
              <w:t xml:space="preserve"> growth</w:t>
            </w:r>
          </w:p>
        </w:tc>
        <w:tc>
          <w:tcPr>
            <w:tcW w:w="298" w:type="pct"/>
            <w:tcMar>
              <w:left w:w="85" w:type="dxa"/>
              <w:right w:w="57" w:type="dxa"/>
            </w:tcMar>
          </w:tcPr>
          <w:p w14:paraId="273CDC40" w14:textId="77777777" w:rsidR="00C355E9" w:rsidRPr="001A7F2E" w:rsidRDefault="00324184" w:rsidP="001A7F2E">
            <w:pPr>
              <w:pStyle w:val="TableText"/>
            </w:pPr>
            <w:r w:rsidRPr="001A7F2E">
              <w:t>9</w:t>
            </w:r>
          </w:p>
        </w:tc>
        <w:tc>
          <w:tcPr>
            <w:tcW w:w="397" w:type="pct"/>
            <w:tcMar>
              <w:left w:w="28" w:type="dxa"/>
              <w:right w:w="0" w:type="dxa"/>
            </w:tcMar>
          </w:tcPr>
          <w:p w14:paraId="273CDC41"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C42" w14:textId="77777777" w:rsidR="00C355E9" w:rsidRPr="001A7F2E" w:rsidRDefault="00324184" w:rsidP="001A7F2E">
            <w:pPr>
              <w:pStyle w:val="TableText"/>
            </w:pPr>
            <w:r w:rsidRPr="001A7F2E">
              <w:t>E</w:t>
            </w:r>
            <w:r w:rsidR="004F658C">
              <w:t>C</w:t>
            </w:r>
            <w:r w:rsidRPr="001A7F2E">
              <w:t>10</w:t>
            </w:r>
          </w:p>
        </w:tc>
        <w:tc>
          <w:tcPr>
            <w:tcW w:w="248" w:type="pct"/>
            <w:tcMar>
              <w:left w:w="85" w:type="dxa"/>
              <w:right w:w="57" w:type="dxa"/>
            </w:tcMar>
          </w:tcPr>
          <w:p w14:paraId="273CDC43" w14:textId="77777777" w:rsidR="00C355E9" w:rsidRPr="001A7F2E" w:rsidRDefault="00324184" w:rsidP="001A7F2E">
            <w:pPr>
              <w:pStyle w:val="TableText"/>
            </w:pPr>
            <w:r w:rsidRPr="001A7F2E">
              <w:t>7.6</w:t>
            </w:r>
          </w:p>
        </w:tc>
        <w:tc>
          <w:tcPr>
            <w:tcW w:w="248" w:type="pct"/>
            <w:tcMar>
              <w:left w:w="85" w:type="dxa"/>
              <w:right w:w="57" w:type="dxa"/>
            </w:tcMar>
          </w:tcPr>
          <w:p w14:paraId="273CDC44" w14:textId="77777777" w:rsidR="00C355E9" w:rsidRPr="001A7F2E" w:rsidRDefault="00324184" w:rsidP="001A7F2E">
            <w:pPr>
              <w:pStyle w:val="TableText"/>
            </w:pPr>
            <w:r w:rsidRPr="001A7F2E">
              <w:t>24</w:t>
            </w:r>
          </w:p>
        </w:tc>
        <w:tc>
          <w:tcPr>
            <w:tcW w:w="347" w:type="pct"/>
            <w:tcMar>
              <w:left w:w="85" w:type="dxa"/>
              <w:right w:w="57" w:type="dxa"/>
            </w:tcMar>
          </w:tcPr>
          <w:p w14:paraId="273CDC45" w14:textId="77777777" w:rsidR="00C355E9" w:rsidRPr="001A7F2E" w:rsidRDefault="00324184" w:rsidP="001A7F2E">
            <w:pPr>
              <w:pStyle w:val="TableText"/>
            </w:pPr>
            <w:r w:rsidRPr="001A7F2E">
              <w:t>94</w:t>
            </w:r>
          </w:p>
        </w:tc>
        <w:tc>
          <w:tcPr>
            <w:tcW w:w="446" w:type="pct"/>
            <w:tcMar>
              <w:left w:w="85" w:type="dxa"/>
              <w:right w:w="57" w:type="dxa"/>
            </w:tcMar>
          </w:tcPr>
          <w:p w14:paraId="273CDC46" w14:textId="77777777" w:rsidR="00C355E9" w:rsidRPr="001A7F2E" w:rsidRDefault="00324184" w:rsidP="001A7F2E">
            <w:pPr>
              <w:pStyle w:val="TableText"/>
            </w:pPr>
            <w:r w:rsidRPr="001A7F2E">
              <w:t>94</w:t>
            </w:r>
          </w:p>
        </w:tc>
        <w:tc>
          <w:tcPr>
            <w:tcW w:w="645" w:type="pct"/>
            <w:shd w:val="clear" w:color="auto" w:fill="auto"/>
            <w:tcMar>
              <w:left w:w="85" w:type="dxa"/>
              <w:right w:w="57" w:type="dxa"/>
            </w:tcMar>
          </w:tcPr>
          <w:p w14:paraId="273CDC47"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C48" w14:textId="77777777" w:rsidR="00C355E9" w:rsidRPr="001A7F2E" w:rsidRDefault="00324184" w:rsidP="001A7F2E">
            <w:pPr>
              <w:pStyle w:val="TableText"/>
            </w:pPr>
            <w:r w:rsidRPr="001A7F2E">
              <w:t>Latala &amp; Surosz (1999)</w:t>
            </w:r>
          </w:p>
        </w:tc>
      </w:tr>
      <w:tr w:rsidR="00091AEB" w14:paraId="273CDC56" w14:textId="77777777" w:rsidTr="00D85C45">
        <w:trPr>
          <w:cantSplit/>
        </w:trPr>
        <w:tc>
          <w:tcPr>
            <w:tcW w:w="447" w:type="pct"/>
            <w:shd w:val="clear" w:color="auto" w:fill="auto"/>
            <w:tcMar>
              <w:left w:w="85" w:type="dxa"/>
              <w:right w:w="57" w:type="dxa"/>
            </w:tcMar>
          </w:tcPr>
          <w:p w14:paraId="273CDC4A" w14:textId="77777777" w:rsidR="00C355E9" w:rsidRPr="001A7F2E" w:rsidRDefault="00324184" w:rsidP="001A7F2E">
            <w:pPr>
              <w:pStyle w:val="TableText"/>
            </w:pPr>
            <w:r w:rsidRPr="001A7F2E">
              <w:t>Diatom</w:t>
            </w:r>
          </w:p>
        </w:tc>
        <w:tc>
          <w:tcPr>
            <w:tcW w:w="644" w:type="pct"/>
            <w:shd w:val="clear" w:color="auto" w:fill="auto"/>
            <w:tcMar>
              <w:left w:w="85" w:type="dxa"/>
              <w:right w:w="57" w:type="dxa"/>
            </w:tcMar>
          </w:tcPr>
          <w:p w14:paraId="273CDC4B" w14:textId="77777777" w:rsidR="00C355E9" w:rsidRPr="00F23917" w:rsidRDefault="00324184" w:rsidP="001A7F2E">
            <w:pPr>
              <w:pStyle w:val="TableText"/>
              <w:rPr>
                <w:rStyle w:val="Emphasis"/>
              </w:rPr>
            </w:pPr>
            <w:r w:rsidRPr="00F23917">
              <w:rPr>
                <w:rStyle w:val="Emphasis"/>
              </w:rPr>
              <w:t>Nitzschia palea</w:t>
            </w:r>
          </w:p>
        </w:tc>
        <w:tc>
          <w:tcPr>
            <w:tcW w:w="397" w:type="pct"/>
            <w:shd w:val="clear" w:color="auto" w:fill="auto"/>
            <w:tcMar>
              <w:left w:w="85" w:type="dxa"/>
              <w:right w:w="57" w:type="dxa"/>
            </w:tcMar>
          </w:tcPr>
          <w:p w14:paraId="273CDC4C" w14:textId="77777777" w:rsidR="00C355E9" w:rsidRPr="001A7F2E" w:rsidRDefault="00324184" w:rsidP="001A7F2E">
            <w:pPr>
              <w:pStyle w:val="TableText"/>
            </w:pPr>
            <w:r>
              <w:t>Exponential</w:t>
            </w:r>
            <w:r w:rsidRPr="001A7F2E">
              <w:t xml:space="preserve"> growth</w:t>
            </w:r>
          </w:p>
        </w:tc>
        <w:tc>
          <w:tcPr>
            <w:tcW w:w="298" w:type="pct"/>
            <w:tcMar>
              <w:left w:w="85" w:type="dxa"/>
              <w:right w:w="57" w:type="dxa"/>
            </w:tcMar>
          </w:tcPr>
          <w:p w14:paraId="273CDC4D" w14:textId="77777777" w:rsidR="00C355E9" w:rsidRPr="001A7F2E" w:rsidRDefault="00324184" w:rsidP="001A7F2E">
            <w:pPr>
              <w:pStyle w:val="TableText"/>
            </w:pPr>
            <w:r w:rsidRPr="001A7F2E">
              <w:t>5</w:t>
            </w:r>
          </w:p>
        </w:tc>
        <w:tc>
          <w:tcPr>
            <w:tcW w:w="397" w:type="pct"/>
            <w:tcMar>
              <w:left w:w="28" w:type="dxa"/>
              <w:right w:w="0" w:type="dxa"/>
            </w:tcMar>
          </w:tcPr>
          <w:p w14:paraId="273CDC4E"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C4F" w14:textId="77777777" w:rsidR="00C355E9" w:rsidRPr="001A7F2E" w:rsidRDefault="00324184" w:rsidP="001A7F2E">
            <w:pPr>
              <w:pStyle w:val="TableText"/>
            </w:pPr>
            <w:r w:rsidRPr="001A7F2E">
              <w:t>NOEC</w:t>
            </w:r>
          </w:p>
        </w:tc>
        <w:tc>
          <w:tcPr>
            <w:tcW w:w="248" w:type="pct"/>
            <w:tcMar>
              <w:left w:w="85" w:type="dxa"/>
              <w:right w:w="57" w:type="dxa"/>
            </w:tcMar>
          </w:tcPr>
          <w:p w14:paraId="273CDC50" w14:textId="77777777" w:rsidR="00C355E9" w:rsidRPr="001A7F2E" w:rsidRDefault="00324184" w:rsidP="001A7F2E">
            <w:pPr>
              <w:pStyle w:val="TableText"/>
            </w:pPr>
            <w:r>
              <w:t>–</w:t>
            </w:r>
          </w:p>
        </w:tc>
        <w:tc>
          <w:tcPr>
            <w:tcW w:w="248" w:type="pct"/>
            <w:tcMar>
              <w:left w:w="85" w:type="dxa"/>
              <w:right w:w="57" w:type="dxa"/>
            </w:tcMar>
          </w:tcPr>
          <w:p w14:paraId="273CDC51" w14:textId="77777777" w:rsidR="00C355E9" w:rsidRPr="001A7F2E" w:rsidRDefault="00324184" w:rsidP="001A7F2E">
            <w:pPr>
              <w:pStyle w:val="TableText"/>
            </w:pPr>
            <w:r w:rsidRPr="001A7F2E">
              <w:t>23</w:t>
            </w:r>
          </w:p>
        </w:tc>
        <w:tc>
          <w:tcPr>
            <w:tcW w:w="347" w:type="pct"/>
            <w:tcMar>
              <w:left w:w="85" w:type="dxa"/>
              <w:right w:w="57" w:type="dxa"/>
            </w:tcMar>
          </w:tcPr>
          <w:p w14:paraId="273CDC52" w14:textId="77777777" w:rsidR="00C355E9" w:rsidRPr="001A7F2E" w:rsidRDefault="00324184" w:rsidP="001A7F2E">
            <w:pPr>
              <w:pStyle w:val="TableText"/>
            </w:pPr>
            <w:r w:rsidRPr="001A7F2E">
              <w:t>95</w:t>
            </w:r>
          </w:p>
        </w:tc>
        <w:tc>
          <w:tcPr>
            <w:tcW w:w="446" w:type="pct"/>
            <w:tcMar>
              <w:left w:w="85" w:type="dxa"/>
              <w:right w:w="57" w:type="dxa"/>
            </w:tcMar>
          </w:tcPr>
          <w:p w14:paraId="273CDC53" w14:textId="77777777" w:rsidR="00C355E9" w:rsidRPr="001A7F2E" w:rsidRDefault="00324184" w:rsidP="001A7F2E">
            <w:pPr>
              <w:pStyle w:val="TableText"/>
            </w:pPr>
            <w:r w:rsidRPr="001A7F2E">
              <w:t>95</w:t>
            </w:r>
          </w:p>
        </w:tc>
        <w:tc>
          <w:tcPr>
            <w:tcW w:w="645" w:type="pct"/>
            <w:shd w:val="clear" w:color="auto" w:fill="auto"/>
            <w:tcMar>
              <w:left w:w="85" w:type="dxa"/>
              <w:right w:w="57" w:type="dxa"/>
            </w:tcMar>
          </w:tcPr>
          <w:p w14:paraId="273CDC54"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C55" w14:textId="77777777" w:rsidR="00C355E9" w:rsidRPr="001A7F2E" w:rsidRDefault="00324184" w:rsidP="001A7F2E">
            <w:pPr>
              <w:pStyle w:val="TableText"/>
            </w:pPr>
            <w:r w:rsidRPr="001A7F2E">
              <w:t>Nguyen-Deroche et al. (2009)</w:t>
            </w:r>
          </w:p>
        </w:tc>
      </w:tr>
      <w:tr w:rsidR="00091AEB" w14:paraId="273CDC63" w14:textId="77777777" w:rsidTr="00D85C45">
        <w:trPr>
          <w:cantSplit/>
        </w:trPr>
        <w:tc>
          <w:tcPr>
            <w:tcW w:w="447" w:type="pct"/>
            <w:shd w:val="clear" w:color="auto" w:fill="auto"/>
            <w:tcMar>
              <w:left w:w="85" w:type="dxa"/>
              <w:right w:w="57" w:type="dxa"/>
            </w:tcMar>
          </w:tcPr>
          <w:p w14:paraId="273CDC57" w14:textId="77777777" w:rsidR="00C355E9" w:rsidRPr="001A7F2E" w:rsidRDefault="00324184" w:rsidP="001A7F2E">
            <w:pPr>
              <w:pStyle w:val="TableText"/>
            </w:pPr>
            <w:r w:rsidRPr="001A7F2E">
              <w:t xml:space="preserve">Green </w:t>
            </w:r>
            <w:r w:rsidR="006C6C88">
              <w:t>micro</w:t>
            </w:r>
            <w:r w:rsidRPr="001A7F2E">
              <w:t>alga</w:t>
            </w:r>
          </w:p>
        </w:tc>
        <w:tc>
          <w:tcPr>
            <w:tcW w:w="644" w:type="pct"/>
            <w:shd w:val="clear" w:color="auto" w:fill="auto"/>
            <w:tcMar>
              <w:left w:w="85" w:type="dxa"/>
              <w:right w:w="57" w:type="dxa"/>
            </w:tcMar>
          </w:tcPr>
          <w:p w14:paraId="273CDC58" w14:textId="77777777" w:rsidR="00C355E9" w:rsidRPr="00F23917" w:rsidRDefault="00324184" w:rsidP="001A7F2E">
            <w:pPr>
              <w:pStyle w:val="TableText"/>
              <w:rPr>
                <w:rStyle w:val="Emphasis"/>
              </w:rPr>
            </w:pPr>
            <w:r w:rsidRPr="00F23917">
              <w:rPr>
                <w:rStyle w:val="Emphasis"/>
              </w:rPr>
              <w:t>Stichococcus bacillaris</w:t>
            </w:r>
          </w:p>
        </w:tc>
        <w:tc>
          <w:tcPr>
            <w:tcW w:w="397" w:type="pct"/>
            <w:shd w:val="clear" w:color="auto" w:fill="auto"/>
            <w:tcMar>
              <w:left w:w="85" w:type="dxa"/>
              <w:right w:w="57" w:type="dxa"/>
            </w:tcMar>
          </w:tcPr>
          <w:p w14:paraId="273CDC59" w14:textId="77777777" w:rsidR="00C355E9" w:rsidRPr="001A7F2E" w:rsidRDefault="00324184" w:rsidP="001A7F2E">
            <w:pPr>
              <w:pStyle w:val="TableText"/>
            </w:pPr>
            <w:r>
              <w:t>–</w:t>
            </w:r>
          </w:p>
        </w:tc>
        <w:tc>
          <w:tcPr>
            <w:tcW w:w="298" w:type="pct"/>
            <w:tcMar>
              <w:left w:w="85" w:type="dxa"/>
              <w:right w:w="57" w:type="dxa"/>
            </w:tcMar>
          </w:tcPr>
          <w:p w14:paraId="273CDC5A" w14:textId="77777777" w:rsidR="00C355E9" w:rsidRPr="001A7F2E" w:rsidRDefault="00324184" w:rsidP="001A7F2E">
            <w:pPr>
              <w:pStyle w:val="TableText"/>
            </w:pPr>
            <w:r w:rsidRPr="001A7F2E">
              <w:t>9</w:t>
            </w:r>
          </w:p>
        </w:tc>
        <w:tc>
          <w:tcPr>
            <w:tcW w:w="397" w:type="pct"/>
            <w:tcMar>
              <w:left w:w="28" w:type="dxa"/>
              <w:right w:w="0" w:type="dxa"/>
            </w:tcMar>
          </w:tcPr>
          <w:p w14:paraId="273CDC5B"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C5C" w14:textId="77777777" w:rsidR="00C355E9" w:rsidRPr="001A7F2E" w:rsidRDefault="00324184" w:rsidP="001A7F2E">
            <w:pPr>
              <w:pStyle w:val="TableText"/>
            </w:pPr>
            <w:r w:rsidRPr="001A7F2E">
              <w:t>E</w:t>
            </w:r>
            <w:r w:rsidR="004F658C">
              <w:t>C</w:t>
            </w:r>
            <w:r w:rsidRPr="001A7F2E">
              <w:t>10</w:t>
            </w:r>
          </w:p>
        </w:tc>
        <w:tc>
          <w:tcPr>
            <w:tcW w:w="248" w:type="pct"/>
            <w:tcMar>
              <w:left w:w="85" w:type="dxa"/>
              <w:right w:w="57" w:type="dxa"/>
            </w:tcMar>
          </w:tcPr>
          <w:p w14:paraId="273CDC5D" w14:textId="77777777" w:rsidR="00C355E9" w:rsidRPr="001A7F2E" w:rsidRDefault="00324184" w:rsidP="001A7F2E">
            <w:pPr>
              <w:pStyle w:val="TableText"/>
            </w:pPr>
            <w:r w:rsidRPr="001A7F2E">
              <w:t>7.6</w:t>
            </w:r>
          </w:p>
        </w:tc>
        <w:tc>
          <w:tcPr>
            <w:tcW w:w="248" w:type="pct"/>
            <w:tcMar>
              <w:left w:w="85" w:type="dxa"/>
              <w:right w:w="57" w:type="dxa"/>
            </w:tcMar>
          </w:tcPr>
          <w:p w14:paraId="273CDC5E" w14:textId="77777777" w:rsidR="00C355E9" w:rsidRPr="001A7F2E" w:rsidRDefault="00324184" w:rsidP="001A7F2E">
            <w:pPr>
              <w:pStyle w:val="TableText"/>
            </w:pPr>
            <w:r w:rsidRPr="001A7F2E">
              <w:t>24</w:t>
            </w:r>
          </w:p>
        </w:tc>
        <w:tc>
          <w:tcPr>
            <w:tcW w:w="347" w:type="pct"/>
            <w:tcMar>
              <w:left w:w="85" w:type="dxa"/>
              <w:right w:w="57" w:type="dxa"/>
            </w:tcMar>
          </w:tcPr>
          <w:p w14:paraId="273CDC5F" w14:textId="77777777" w:rsidR="00C355E9" w:rsidRPr="001A7F2E" w:rsidRDefault="00324184" w:rsidP="001A7F2E">
            <w:pPr>
              <w:pStyle w:val="TableText"/>
            </w:pPr>
            <w:r w:rsidRPr="001A7F2E">
              <w:t>95</w:t>
            </w:r>
          </w:p>
        </w:tc>
        <w:tc>
          <w:tcPr>
            <w:tcW w:w="446" w:type="pct"/>
            <w:tcMar>
              <w:left w:w="85" w:type="dxa"/>
              <w:right w:w="57" w:type="dxa"/>
            </w:tcMar>
          </w:tcPr>
          <w:p w14:paraId="273CDC60" w14:textId="77777777" w:rsidR="00C355E9" w:rsidRPr="001A7F2E" w:rsidRDefault="00324184" w:rsidP="001A7F2E">
            <w:pPr>
              <w:pStyle w:val="TableText"/>
            </w:pPr>
            <w:r w:rsidRPr="001A7F2E">
              <w:t>95</w:t>
            </w:r>
          </w:p>
        </w:tc>
        <w:tc>
          <w:tcPr>
            <w:tcW w:w="645" w:type="pct"/>
            <w:shd w:val="clear" w:color="auto" w:fill="auto"/>
            <w:tcMar>
              <w:left w:w="85" w:type="dxa"/>
              <w:right w:w="57" w:type="dxa"/>
            </w:tcMar>
          </w:tcPr>
          <w:p w14:paraId="273CDC61"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C62" w14:textId="77777777" w:rsidR="00C355E9" w:rsidRPr="001A7F2E" w:rsidRDefault="00324184" w:rsidP="001A7F2E">
            <w:pPr>
              <w:pStyle w:val="TableText"/>
            </w:pPr>
            <w:r w:rsidRPr="001A7F2E">
              <w:t>Latala &amp; Surosz (1999)</w:t>
            </w:r>
          </w:p>
        </w:tc>
      </w:tr>
      <w:tr w:rsidR="00091AEB" w14:paraId="273CDC70" w14:textId="77777777" w:rsidTr="00D85C45">
        <w:trPr>
          <w:cantSplit/>
        </w:trPr>
        <w:tc>
          <w:tcPr>
            <w:tcW w:w="447" w:type="pct"/>
            <w:shd w:val="clear" w:color="auto" w:fill="auto"/>
            <w:tcMar>
              <w:left w:w="85" w:type="dxa"/>
              <w:right w:w="57" w:type="dxa"/>
            </w:tcMar>
          </w:tcPr>
          <w:p w14:paraId="273CDC64" w14:textId="77777777" w:rsidR="00C355E9" w:rsidRPr="001A7F2E" w:rsidRDefault="00324184" w:rsidP="001A7F2E">
            <w:pPr>
              <w:pStyle w:val="TableText"/>
            </w:pPr>
            <w:r w:rsidRPr="001A7F2E">
              <w:t xml:space="preserve">Green </w:t>
            </w:r>
            <w:r w:rsidR="006C6C88">
              <w:t>micro</w:t>
            </w:r>
            <w:r w:rsidRPr="001A7F2E">
              <w:t>alga</w:t>
            </w:r>
          </w:p>
        </w:tc>
        <w:tc>
          <w:tcPr>
            <w:tcW w:w="644" w:type="pct"/>
            <w:shd w:val="clear" w:color="auto" w:fill="auto"/>
            <w:tcMar>
              <w:left w:w="85" w:type="dxa"/>
              <w:right w:w="57" w:type="dxa"/>
            </w:tcMar>
          </w:tcPr>
          <w:p w14:paraId="273CDC65" w14:textId="77777777" w:rsidR="00C355E9" w:rsidRPr="00F23917" w:rsidRDefault="00324184" w:rsidP="001A7F2E">
            <w:pPr>
              <w:pStyle w:val="TableText"/>
              <w:rPr>
                <w:rStyle w:val="Emphasis"/>
              </w:rPr>
            </w:pPr>
            <w:r w:rsidRPr="00F23917">
              <w:rPr>
                <w:rStyle w:val="Emphasis"/>
              </w:rPr>
              <w:t>Chlorella pyrenoidosa</w:t>
            </w:r>
          </w:p>
        </w:tc>
        <w:tc>
          <w:tcPr>
            <w:tcW w:w="397" w:type="pct"/>
            <w:shd w:val="clear" w:color="auto" w:fill="auto"/>
            <w:tcMar>
              <w:left w:w="85" w:type="dxa"/>
              <w:right w:w="57" w:type="dxa"/>
            </w:tcMar>
          </w:tcPr>
          <w:p w14:paraId="273CDC66" w14:textId="77777777" w:rsidR="00C355E9" w:rsidRPr="001A7F2E" w:rsidRDefault="00324184" w:rsidP="001A7F2E">
            <w:pPr>
              <w:pStyle w:val="TableText"/>
            </w:pPr>
            <w:r>
              <w:t>Exponential</w:t>
            </w:r>
            <w:r w:rsidRPr="001A7F2E">
              <w:t xml:space="preserve"> growth</w:t>
            </w:r>
          </w:p>
        </w:tc>
        <w:tc>
          <w:tcPr>
            <w:tcW w:w="298" w:type="pct"/>
            <w:tcMar>
              <w:left w:w="85" w:type="dxa"/>
              <w:right w:w="57" w:type="dxa"/>
            </w:tcMar>
          </w:tcPr>
          <w:p w14:paraId="273CDC67" w14:textId="77777777" w:rsidR="00C355E9" w:rsidRPr="001A7F2E" w:rsidRDefault="00324184" w:rsidP="001A7F2E">
            <w:pPr>
              <w:pStyle w:val="TableText"/>
            </w:pPr>
            <w:r w:rsidRPr="001A7F2E">
              <w:t>4</w:t>
            </w:r>
          </w:p>
        </w:tc>
        <w:tc>
          <w:tcPr>
            <w:tcW w:w="397" w:type="pct"/>
            <w:tcMar>
              <w:left w:w="28" w:type="dxa"/>
              <w:right w:w="0" w:type="dxa"/>
            </w:tcMar>
          </w:tcPr>
          <w:p w14:paraId="273CDC68"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C69" w14:textId="77777777" w:rsidR="00C355E9" w:rsidRPr="001A7F2E" w:rsidRDefault="00324184" w:rsidP="001A7F2E">
            <w:pPr>
              <w:pStyle w:val="TableText"/>
            </w:pPr>
            <w:r w:rsidRPr="001A7F2E">
              <w:t>EC50</w:t>
            </w:r>
          </w:p>
        </w:tc>
        <w:tc>
          <w:tcPr>
            <w:tcW w:w="248" w:type="pct"/>
            <w:tcMar>
              <w:left w:w="85" w:type="dxa"/>
              <w:right w:w="57" w:type="dxa"/>
            </w:tcMar>
          </w:tcPr>
          <w:p w14:paraId="273CDC6A" w14:textId="77777777" w:rsidR="00C355E9" w:rsidRPr="001A7F2E" w:rsidRDefault="00324184" w:rsidP="001A7F2E">
            <w:pPr>
              <w:pStyle w:val="TableText"/>
            </w:pPr>
            <w:r w:rsidRPr="001A7F2E">
              <w:t>10</w:t>
            </w:r>
          </w:p>
        </w:tc>
        <w:tc>
          <w:tcPr>
            <w:tcW w:w="248" w:type="pct"/>
            <w:tcMar>
              <w:left w:w="85" w:type="dxa"/>
              <w:right w:w="57" w:type="dxa"/>
            </w:tcMar>
          </w:tcPr>
          <w:p w14:paraId="273CDC6B" w14:textId="77777777" w:rsidR="00C355E9" w:rsidRPr="001A7F2E" w:rsidRDefault="00324184" w:rsidP="001A7F2E">
            <w:pPr>
              <w:pStyle w:val="TableText"/>
            </w:pPr>
            <w:r w:rsidRPr="001A7F2E">
              <w:t>20</w:t>
            </w:r>
          </w:p>
        </w:tc>
        <w:tc>
          <w:tcPr>
            <w:tcW w:w="347" w:type="pct"/>
            <w:tcMar>
              <w:left w:w="85" w:type="dxa"/>
              <w:right w:w="57" w:type="dxa"/>
            </w:tcMar>
          </w:tcPr>
          <w:p w14:paraId="273CDC6C" w14:textId="77777777" w:rsidR="00C355E9" w:rsidRPr="001A7F2E" w:rsidRDefault="00324184" w:rsidP="001A7F2E">
            <w:pPr>
              <w:pStyle w:val="TableText"/>
            </w:pPr>
            <w:r w:rsidRPr="001A7F2E">
              <w:t>510</w:t>
            </w:r>
          </w:p>
        </w:tc>
        <w:tc>
          <w:tcPr>
            <w:tcW w:w="446" w:type="pct"/>
            <w:tcMar>
              <w:left w:w="85" w:type="dxa"/>
              <w:right w:w="57" w:type="dxa"/>
            </w:tcMar>
          </w:tcPr>
          <w:p w14:paraId="273CDC6D" w14:textId="77777777" w:rsidR="00C355E9" w:rsidRPr="001A7F2E" w:rsidRDefault="00324184" w:rsidP="001A7F2E">
            <w:pPr>
              <w:pStyle w:val="TableText"/>
            </w:pPr>
            <w:r w:rsidRPr="001A7F2E">
              <w:t>101</w:t>
            </w:r>
          </w:p>
        </w:tc>
        <w:tc>
          <w:tcPr>
            <w:tcW w:w="645" w:type="pct"/>
            <w:shd w:val="clear" w:color="auto" w:fill="auto"/>
            <w:tcMar>
              <w:left w:w="85" w:type="dxa"/>
              <w:right w:w="57" w:type="dxa"/>
            </w:tcMar>
          </w:tcPr>
          <w:p w14:paraId="273CDC6E"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C6F" w14:textId="77777777" w:rsidR="00C355E9" w:rsidRPr="001A7F2E" w:rsidRDefault="00324184" w:rsidP="001A7F2E">
            <w:pPr>
              <w:pStyle w:val="TableText"/>
            </w:pPr>
            <w:r w:rsidRPr="001A7F2E">
              <w:t>Wang et al. (2007b)</w:t>
            </w:r>
          </w:p>
        </w:tc>
      </w:tr>
      <w:tr w:rsidR="00091AEB" w14:paraId="273CDC7D" w14:textId="77777777" w:rsidTr="00D85C45">
        <w:trPr>
          <w:cantSplit/>
        </w:trPr>
        <w:tc>
          <w:tcPr>
            <w:tcW w:w="447" w:type="pct"/>
            <w:shd w:val="clear" w:color="auto" w:fill="auto"/>
            <w:tcMar>
              <w:left w:w="85" w:type="dxa"/>
              <w:right w:w="57" w:type="dxa"/>
            </w:tcMar>
          </w:tcPr>
          <w:p w14:paraId="273CDC71" w14:textId="77777777" w:rsidR="00C355E9" w:rsidRPr="001A7F2E" w:rsidRDefault="00324184" w:rsidP="001A7F2E">
            <w:pPr>
              <w:pStyle w:val="TableText"/>
            </w:pPr>
            <w:r w:rsidRPr="001A7F2E">
              <w:t xml:space="preserve">Green </w:t>
            </w:r>
            <w:r w:rsidR="006C6C88">
              <w:t>micro</w:t>
            </w:r>
            <w:r w:rsidRPr="001A7F2E">
              <w:t>alga</w:t>
            </w:r>
          </w:p>
        </w:tc>
        <w:tc>
          <w:tcPr>
            <w:tcW w:w="644" w:type="pct"/>
            <w:shd w:val="clear" w:color="auto" w:fill="auto"/>
            <w:tcMar>
              <w:left w:w="85" w:type="dxa"/>
              <w:right w:w="57" w:type="dxa"/>
            </w:tcMar>
          </w:tcPr>
          <w:p w14:paraId="273CDC72" w14:textId="77777777" w:rsidR="00C355E9" w:rsidRPr="00F23917" w:rsidRDefault="00324184" w:rsidP="001A7F2E">
            <w:pPr>
              <w:pStyle w:val="TableText"/>
              <w:rPr>
                <w:rStyle w:val="Emphasis"/>
              </w:rPr>
            </w:pPr>
            <w:r w:rsidRPr="00F23917">
              <w:rPr>
                <w:rStyle w:val="Emphasis"/>
              </w:rPr>
              <w:t>Oocystis submarina</w:t>
            </w:r>
          </w:p>
        </w:tc>
        <w:tc>
          <w:tcPr>
            <w:tcW w:w="397" w:type="pct"/>
            <w:shd w:val="clear" w:color="auto" w:fill="auto"/>
            <w:tcMar>
              <w:left w:w="85" w:type="dxa"/>
              <w:right w:w="57" w:type="dxa"/>
            </w:tcMar>
          </w:tcPr>
          <w:p w14:paraId="273CDC73" w14:textId="77777777" w:rsidR="00C355E9" w:rsidRPr="001A7F2E" w:rsidRDefault="00324184" w:rsidP="001A7F2E">
            <w:pPr>
              <w:pStyle w:val="TableText"/>
            </w:pPr>
            <w:r>
              <w:t>–</w:t>
            </w:r>
          </w:p>
        </w:tc>
        <w:tc>
          <w:tcPr>
            <w:tcW w:w="298" w:type="pct"/>
            <w:tcMar>
              <w:left w:w="85" w:type="dxa"/>
              <w:right w:w="57" w:type="dxa"/>
            </w:tcMar>
          </w:tcPr>
          <w:p w14:paraId="273CDC74" w14:textId="77777777" w:rsidR="00C355E9" w:rsidRPr="001A7F2E" w:rsidRDefault="00324184" w:rsidP="001A7F2E">
            <w:pPr>
              <w:pStyle w:val="TableText"/>
            </w:pPr>
            <w:r w:rsidRPr="001A7F2E">
              <w:t>9</w:t>
            </w:r>
          </w:p>
        </w:tc>
        <w:tc>
          <w:tcPr>
            <w:tcW w:w="397" w:type="pct"/>
            <w:tcMar>
              <w:left w:w="28" w:type="dxa"/>
              <w:right w:w="0" w:type="dxa"/>
            </w:tcMar>
          </w:tcPr>
          <w:p w14:paraId="273CDC75" w14:textId="77777777" w:rsidR="00C355E9" w:rsidRPr="001A7F2E" w:rsidRDefault="00324184" w:rsidP="001A7F2E">
            <w:pPr>
              <w:pStyle w:val="TableText"/>
            </w:pPr>
            <w:r w:rsidRPr="001A7F2E">
              <w:t>Population</w:t>
            </w:r>
          </w:p>
        </w:tc>
        <w:tc>
          <w:tcPr>
            <w:tcW w:w="348" w:type="pct"/>
            <w:shd w:val="clear" w:color="auto" w:fill="auto"/>
            <w:tcMar>
              <w:left w:w="85" w:type="dxa"/>
              <w:right w:w="57" w:type="dxa"/>
            </w:tcMar>
          </w:tcPr>
          <w:p w14:paraId="273CDC76" w14:textId="77777777" w:rsidR="00C355E9" w:rsidRPr="001A7F2E" w:rsidRDefault="00324184" w:rsidP="001A7F2E">
            <w:pPr>
              <w:pStyle w:val="TableText"/>
            </w:pPr>
            <w:r w:rsidRPr="001A7F2E">
              <w:t>E</w:t>
            </w:r>
            <w:r w:rsidR="008042E7">
              <w:t>C</w:t>
            </w:r>
            <w:r w:rsidRPr="001A7F2E">
              <w:t>10</w:t>
            </w:r>
          </w:p>
        </w:tc>
        <w:tc>
          <w:tcPr>
            <w:tcW w:w="248" w:type="pct"/>
            <w:tcMar>
              <w:left w:w="85" w:type="dxa"/>
              <w:right w:w="57" w:type="dxa"/>
            </w:tcMar>
          </w:tcPr>
          <w:p w14:paraId="273CDC77" w14:textId="77777777" w:rsidR="00C355E9" w:rsidRPr="001A7F2E" w:rsidRDefault="00324184" w:rsidP="001A7F2E">
            <w:pPr>
              <w:pStyle w:val="TableText"/>
            </w:pPr>
            <w:r w:rsidRPr="001A7F2E">
              <w:t>7.6</w:t>
            </w:r>
          </w:p>
        </w:tc>
        <w:tc>
          <w:tcPr>
            <w:tcW w:w="248" w:type="pct"/>
            <w:tcMar>
              <w:left w:w="85" w:type="dxa"/>
              <w:right w:w="57" w:type="dxa"/>
            </w:tcMar>
          </w:tcPr>
          <w:p w14:paraId="273CDC78" w14:textId="77777777" w:rsidR="00C355E9" w:rsidRPr="001A7F2E" w:rsidRDefault="00324184" w:rsidP="001A7F2E">
            <w:pPr>
              <w:pStyle w:val="TableText"/>
            </w:pPr>
            <w:r w:rsidRPr="001A7F2E">
              <w:t>24</w:t>
            </w:r>
          </w:p>
        </w:tc>
        <w:tc>
          <w:tcPr>
            <w:tcW w:w="347" w:type="pct"/>
            <w:tcMar>
              <w:left w:w="85" w:type="dxa"/>
              <w:right w:w="57" w:type="dxa"/>
            </w:tcMar>
          </w:tcPr>
          <w:p w14:paraId="273CDC79" w14:textId="77777777" w:rsidR="00C355E9" w:rsidRPr="001A7F2E" w:rsidRDefault="00324184" w:rsidP="001A7F2E">
            <w:pPr>
              <w:pStyle w:val="TableText"/>
            </w:pPr>
            <w:r w:rsidRPr="001A7F2E">
              <w:t>123</w:t>
            </w:r>
          </w:p>
        </w:tc>
        <w:tc>
          <w:tcPr>
            <w:tcW w:w="446" w:type="pct"/>
            <w:tcMar>
              <w:left w:w="85" w:type="dxa"/>
              <w:right w:w="57" w:type="dxa"/>
            </w:tcMar>
          </w:tcPr>
          <w:p w14:paraId="273CDC7A" w14:textId="77777777" w:rsidR="00C355E9" w:rsidRPr="001A7F2E" w:rsidRDefault="00324184" w:rsidP="001A7F2E">
            <w:pPr>
              <w:pStyle w:val="TableText"/>
            </w:pPr>
            <w:r w:rsidRPr="001A7F2E">
              <w:t>123</w:t>
            </w:r>
          </w:p>
        </w:tc>
        <w:tc>
          <w:tcPr>
            <w:tcW w:w="645" w:type="pct"/>
            <w:shd w:val="clear" w:color="auto" w:fill="auto"/>
            <w:tcMar>
              <w:left w:w="85" w:type="dxa"/>
              <w:right w:w="57" w:type="dxa"/>
            </w:tcMar>
          </w:tcPr>
          <w:p w14:paraId="273CDC7B"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C7C" w14:textId="77777777" w:rsidR="00C355E9" w:rsidRPr="001A7F2E" w:rsidRDefault="00324184" w:rsidP="001A7F2E">
            <w:pPr>
              <w:pStyle w:val="TableText"/>
            </w:pPr>
            <w:r w:rsidRPr="001A7F2E">
              <w:t>Latala &amp; Surosz (1999)</w:t>
            </w:r>
          </w:p>
        </w:tc>
      </w:tr>
      <w:tr w:rsidR="00091AEB" w14:paraId="273CDC8A" w14:textId="77777777" w:rsidTr="00D85C45">
        <w:trPr>
          <w:cantSplit/>
        </w:trPr>
        <w:tc>
          <w:tcPr>
            <w:tcW w:w="447" w:type="pct"/>
            <w:shd w:val="clear" w:color="auto" w:fill="auto"/>
            <w:tcMar>
              <w:left w:w="85" w:type="dxa"/>
              <w:right w:w="57" w:type="dxa"/>
            </w:tcMar>
          </w:tcPr>
          <w:p w14:paraId="273CDC7E" w14:textId="77777777" w:rsidR="00C355E9" w:rsidRPr="001A7F2E" w:rsidRDefault="00324184" w:rsidP="001A7F2E">
            <w:pPr>
              <w:pStyle w:val="TableText"/>
            </w:pPr>
            <w:r w:rsidRPr="001A7F2E">
              <w:t>Mollusc</w:t>
            </w:r>
          </w:p>
        </w:tc>
        <w:tc>
          <w:tcPr>
            <w:tcW w:w="644" w:type="pct"/>
            <w:shd w:val="clear" w:color="auto" w:fill="auto"/>
            <w:tcMar>
              <w:left w:w="85" w:type="dxa"/>
              <w:right w:w="57" w:type="dxa"/>
            </w:tcMar>
          </w:tcPr>
          <w:p w14:paraId="273CDC7F" w14:textId="77777777" w:rsidR="00C355E9" w:rsidRPr="00F23917" w:rsidRDefault="00324184" w:rsidP="001A7F2E">
            <w:pPr>
              <w:pStyle w:val="TableText"/>
              <w:rPr>
                <w:rStyle w:val="Emphasis"/>
              </w:rPr>
            </w:pPr>
            <w:r w:rsidRPr="00F23917">
              <w:rPr>
                <w:rStyle w:val="Emphasis"/>
              </w:rPr>
              <w:t>Scutus breviculus</w:t>
            </w:r>
          </w:p>
        </w:tc>
        <w:tc>
          <w:tcPr>
            <w:tcW w:w="397" w:type="pct"/>
            <w:shd w:val="clear" w:color="auto" w:fill="auto"/>
            <w:tcMar>
              <w:left w:w="85" w:type="dxa"/>
              <w:right w:w="57" w:type="dxa"/>
            </w:tcMar>
          </w:tcPr>
          <w:p w14:paraId="273CDC80" w14:textId="77777777" w:rsidR="00C355E9" w:rsidRPr="001A7F2E" w:rsidRDefault="00324184" w:rsidP="001A7F2E">
            <w:pPr>
              <w:pStyle w:val="TableText"/>
            </w:pPr>
            <w:r w:rsidRPr="001A7F2E">
              <w:t>Adult</w:t>
            </w:r>
          </w:p>
        </w:tc>
        <w:tc>
          <w:tcPr>
            <w:tcW w:w="298" w:type="pct"/>
            <w:tcMar>
              <w:left w:w="85" w:type="dxa"/>
              <w:right w:w="57" w:type="dxa"/>
            </w:tcMar>
          </w:tcPr>
          <w:p w14:paraId="273CDC81" w14:textId="77777777" w:rsidR="00C355E9" w:rsidRPr="001A7F2E" w:rsidRDefault="00324184" w:rsidP="001A7F2E">
            <w:pPr>
              <w:pStyle w:val="TableText"/>
            </w:pPr>
            <w:r w:rsidRPr="001A7F2E">
              <w:t>2</w:t>
            </w:r>
          </w:p>
        </w:tc>
        <w:tc>
          <w:tcPr>
            <w:tcW w:w="397" w:type="pct"/>
            <w:tcMar>
              <w:left w:w="28" w:type="dxa"/>
              <w:right w:w="0" w:type="dxa"/>
            </w:tcMar>
          </w:tcPr>
          <w:p w14:paraId="273CDC82" w14:textId="77777777" w:rsidR="00C355E9" w:rsidRPr="001A7F2E" w:rsidRDefault="00324184" w:rsidP="001A7F2E">
            <w:pPr>
              <w:pStyle w:val="TableText"/>
            </w:pPr>
            <w:r w:rsidRPr="001A7F2E">
              <w:t>Growth</w:t>
            </w:r>
          </w:p>
        </w:tc>
        <w:tc>
          <w:tcPr>
            <w:tcW w:w="348" w:type="pct"/>
            <w:shd w:val="clear" w:color="auto" w:fill="auto"/>
            <w:tcMar>
              <w:left w:w="85" w:type="dxa"/>
              <w:right w:w="57" w:type="dxa"/>
            </w:tcMar>
          </w:tcPr>
          <w:p w14:paraId="273CDC83" w14:textId="77777777" w:rsidR="00C355E9" w:rsidRPr="001A7F2E" w:rsidRDefault="00324184" w:rsidP="001A7F2E">
            <w:pPr>
              <w:pStyle w:val="TableText"/>
            </w:pPr>
            <w:r w:rsidRPr="001A7F2E">
              <w:t>NOEC</w:t>
            </w:r>
          </w:p>
        </w:tc>
        <w:tc>
          <w:tcPr>
            <w:tcW w:w="248" w:type="pct"/>
            <w:tcMar>
              <w:left w:w="85" w:type="dxa"/>
              <w:right w:w="57" w:type="dxa"/>
            </w:tcMar>
          </w:tcPr>
          <w:p w14:paraId="273CDC84" w14:textId="77777777" w:rsidR="00C355E9" w:rsidRPr="001A7F2E" w:rsidRDefault="00324184" w:rsidP="001A7F2E">
            <w:pPr>
              <w:pStyle w:val="TableText"/>
            </w:pPr>
            <w:r w:rsidRPr="001A7F2E">
              <w:t>41</w:t>
            </w:r>
          </w:p>
        </w:tc>
        <w:tc>
          <w:tcPr>
            <w:tcW w:w="248" w:type="pct"/>
            <w:tcMar>
              <w:left w:w="85" w:type="dxa"/>
              <w:right w:w="57" w:type="dxa"/>
            </w:tcMar>
          </w:tcPr>
          <w:p w14:paraId="273CDC85" w14:textId="77777777" w:rsidR="00C355E9" w:rsidRPr="001A7F2E" w:rsidRDefault="00324184" w:rsidP="001A7F2E">
            <w:pPr>
              <w:pStyle w:val="TableText"/>
            </w:pPr>
            <w:r w:rsidRPr="001A7F2E">
              <w:t>13</w:t>
            </w:r>
          </w:p>
        </w:tc>
        <w:tc>
          <w:tcPr>
            <w:tcW w:w="347" w:type="pct"/>
            <w:tcMar>
              <w:left w:w="85" w:type="dxa"/>
              <w:right w:w="57" w:type="dxa"/>
            </w:tcMar>
          </w:tcPr>
          <w:p w14:paraId="273CDC86" w14:textId="77777777" w:rsidR="00C355E9" w:rsidRPr="001A7F2E" w:rsidRDefault="00324184" w:rsidP="001A7F2E">
            <w:pPr>
              <w:pStyle w:val="TableText"/>
            </w:pPr>
            <w:r w:rsidRPr="001A7F2E">
              <w:t>221</w:t>
            </w:r>
          </w:p>
        </w:tc>
        <w:tc>
          <w:tcPr>
            <w:tcW w:w="446" w:type="pct"/>
            <w:tcMar>
              <w:left w:w="85" w:type="dxa"/>
              <w:right w:w="57" w:type="dxa"/>
            </w:tcMar>
          </w:tcPr>
          <w:p w14:paraId="273CDC87" w14:textId="77777777" w:rsidR="00C355E9" w:rsidRPr="001A7F2E" w:rsidRDefault="00324184" w:rsidP="001A7F2E">
            <w:pPr>
              <w:pStyle w:val="TableText"/>
            </w:pPr>
            <w:r w:rsidRPr="001A7F2E">
              <w:t>221</w:t>
            </w:r>
          </w:p>
        </w:tc>
        <w:tc>
          <w:tcPr>
            <w:tcW w:w="645" w:type="pct"/>
            <w:shd w:val="clear" w:color="auto" w:fill="auto"/>
            <w:tcMar>
              <w:left w:w="85" w:type="dxa"/>
              <w:right w:w="57" w:type="dxa"/>
            </w:tcMar>
          </w:tcPr>
          <w:p w14:paraId="273CDC88" w14:textId="77777777" w:rsidR="00C355E9" w:rsidRPr="001A7F2E" w:rsidRDefault="00324184" w:rsidP="001A7F2E">
            <w:pPr>
              <w:pStyle w:val="TableText"/>
            </w:pPr>
            <w:r w:rsidRPr="001A7F2E">
              <w:t>Salinity &gt;36</w:t>
            </w:r>
            <w:r w:rsidR="003F599F" w:rsidRPr="009907F5">
              <w:t>‰</w:t>
            </w:r>
          </w:p>
        </w:tc>
        <w:tc>
          <w:tcPr>
            <w:tcW w:w="535" w:type="pct"/>
            <w:tcMar>
              <w:left w:w="85" w:type="dxa"/>
              <w:right w:w="57" w:type="dxa"/>
            </w:tcMar>
          </w:tcPr>
          <w:p w14:paraId="273CDC89" w14:textId="77777777" w:rsidR="00C355E9" w:rsidRPr="001A7F2E" w:rsidRDefault="00324184" w:rsidP="001A7F2E">
            <w:pPr>
              <w:pStyle w:val="TableText"/>
            </w:pPr>
            <w:r w:rsidRPr="001A7F2E">
              <w:t>Lee et al. (2010)</w:t>
            </w:r>
          </w:p>
        </w:tc>
      </w:tr>
      <w:tr w:rsidR="00091AEB" w14:paraId="273CDC97" w14:textId="77777777" w:rsidTr="00D85C45">
        <w:trPr>
          <w:cantSplit/>
        </w:trPr>
        <w:tc>
          <w:tcPr>
            <w:tcW w:w="447" w:type="pct"/>
            <w:shd w:val="clear" w:color="auto" w:fill="auto"/>
            <w:tcMar>
              <w:left w:w="85" w:type="dxa"/>
              <w:right w:w="57" w:type="dxa"/>
            </w:tcMar>
          </w:tcPr>
          <w:p w14:paraId="273CDC8B" w14:textId="77777777" w:rsidR="00C355E9" w:rsidRPr="001A7F2E" w:rsidRDefault="00324184" w:rsidP="001A7F2E">
            <w:pPr>
              <w:pStyle w:val="TableText"/>
            </w:pPr>
            <w:r w:rsidRPr="001A7F2E">
              <w:t xml:space="preserve">Brown </w:t>
            </w:r>
            <w:r w:rsidR="006C6C88">
              <w:t>macro</w:t>
            </w:r>
            <w:r w:rsidRPr="001A7F2E">
              <w:t>alga</w:t>
            </w:r>
          </w:p>
        </w:tc>
        <w:tc>
          <w:tcPr>
            <w:tcW w:w="644" w:type="pct"/>
            <w:shd w:val="clear" w:color="auto" w:fill="auto"/>
            <w:tcMar>
              <w:left w:w="85" w:type="dxa"/>
              <w:right w:w="57" w:type="dxa"/>
            </w:tcMar>
          </w:tcPr>
          <w:p w14:paraId="273CDC8C" w14:textId="77777777" w:rsidR="00C355E9" w:rsidRPr="001A7F2E" w:rsidRDefault="00324184" w:rsidP="001A7F2E">
            <w:pPr>
              <w:pStyle w:val="TableText"/>
            </w:pPr>
            <w:r w:rsidRPr="00F23917">
              <w:rPr>
                <w:rStyle w:val="Emphasis"/>
              </w:rPr>
              <w:t>Hormosira banksia</w:t>
            </w:r>
            <w:r w:rsidRPr="001A7F2E">
              <w:t xml:space="preserve"> </w:t>
            </w:r>
          </w:p>
        </w:tc>
        <w:tc>
          <w:tcPr>
            <w:tcW w:w="397" w:type="pct"/>
            <w:shd w:val="clear" w:color="auto" w:fill="auto"/>
            <w:tcMar>
              <w:left w:w="85" w:type="dxa"/>
              <w:right w:w="57" w:type="dxa"/>
            </w:tcMar>
          </w:tcPr>
          <w:p w14:paraId="273CDC8D" w14:textId="77777777" w:rsidR="00C355E9" w:rsidRPr="001A7F2E" w:rsidRDefault="00324184" w:rsidP="001A7F2E">
            <w:pPr>
              <w:pStyle w:val="TableText"/>
            </w:pPr>
            <w:r w:rsidRPr="001A7F2E">
              <w:t>Gamete</w:t>
            </w:r>
          </w:p>
        </w:tc>
        <w:tc>
          <w:tcPr>
            <w:tcW w:w="298" w:type="pct"/>
            <w:tcMar>
              <w:left w:w="85" w:type="dxa"/>
              <w:right w:w="57" w:type="dxa"/>
            </w:tcMar>
          </w:tcPr>
          <w:p w14:paraId="273CDC8E" w14:textId="77777777" w:rsidR="00C355E9" w:rsidRPr="001A7F2E" w:rsidRDefault="00324184" w:rsidP="001A7F2E">
            <w:pPr>
              <w:pStyle w:val="TableText"/>
            </w:pPr>
            <w:r w:rsidRPr="001A7F2E">
              <w:t>3</w:t>
            </w:r>
          </w:p>
        </w:tc>
        <w:tc>
          <w:tcPr>
            <w:tcW w:w="397" w:type="pct"/>
            <w:tcMar>
              <w:left w:w="28" w:type="dxa"/>
              <w:right w:w="0" w:type="dxa"/>
            </w:tcMar>
          </w:tcPr>
          <w:p w14:paraId="273CDC8F" w14:textId="77777777" w:rsidR="00C355E9" w:rsidRPr="001A7F2E" w:rsidRDefault="00324184" w:rsidP="001A7F2E">
            <w:pPr>
              <w:pStyle w:val="TableText"/>
            </w:pPr>
            <w:r w:rsidRPr="001A7F2E">
              <w:t>Growth</w:t>
            </w:r>
          </w:p>
        </w:tc>
        <w:tc>
          <w:tcPr>
            <w:tcW w:w="348" w:type="pct"/>
            <w:shd w:val="clear" w:color="auto" w:fill="auto"/>
            <w:tcMar>
              <w:left w:w="85" w:type="dxa"/>
              <w:right w:w="57" w:type="dxa"/>
            </w:tcMar>
          </w:tcPr>
          <w:p w14:paraId="273CDC90" w14:textId="77777777" w:rsidR="00C355E9" w:rsidRPr="001A7F2E" w:rsidRDefault="00324184" w:rsidP="001A7F2E">
            <w:pPr>
              <w:pStyle w:val="TableText"/>
            </w:pPr>
            <w:r w:rsidRPr="001A7F2E">
              <w:t>NOEC</w:t>
            </w:r>
          </w:p>
        </w:tc>
        <w:tc>
          <w:tcPr>
            <w:tcW w:w="248" w:type="pct"/>
            <w:tcMar>
              <w:left w:w="85" w:type="dxa"/>
              <w:right w:w="57" w:type="dxa"/>
            </w:tcMar>
          </w:tcPr>
          <w:p w14:paraId="273CDC91" w14:textId="77777777" w:rsidR="00C355E9" w:rsidRPr="001A7F2E" w:rsidRDefault="00324184" w:rsidP="001A7F2E">
            <w:pPr>
              <w:pStyle w:val="TableText"/>
            </w:pPr>
            <w:r w:rsidRPr="001A7F2E">
              <w:t>34</w:t>
            </w:r>
          </w:p>
        </w:tc>
        <w:tc>
          <w:tcPr>
            <w:tcW w:w="248" w:type="pct"/>
            <w:tcMar>
              <w:left w:w="85" w:type="dxa"/>
              <w:right w:w="57" w:type="dxa"/>
            </w:tcMar>
          </w:tcPr>
          <w:p w14:paraId="273CDC92" w14:textId="77777777" w:rsidR="00C355E9" w:rsidRPr="001A7F2E" w:rsidRDefault="00324184" w:rsidP="001A7F2E">
            <w:pPr>
              <w:pStyle w:val="TableText"/>
            </w:pPr>
            <w:r w:rsidRPr="001A7F2E">
              <w:t>15</w:t>
            </w:r>
          </w:p>
        </w:tc>
        <w:tc>
          <w:tcPr>
            <w:tcW w:w="347" w:type="pct"/>
            <w:tcMar>
              <w:left w:w="85" w:type="dxa"/>
              <w:right w:w="57" w:type="dxa"/>
            </w:tcMar>
          </w:tcPr>
          <w:p w14:paraId="273CDC93" w14:textId="77777777" w:rsidR="00C355E9" w:rsidRPr="001A7F2E" w:rsidRDefault="00324184" w:rsidP="001A7F2E">
            <w:pPr>
              <w:pStyle w:val="TableText"/>
            </w:pPr>
            <w:r w:rsidRPr="001A7F2E">
              <w:t>500</w:t>
            </w:r>
          </w:p>
        </w:tc>
        <w:tc>
          <w:tcPr>
            <w:tcW w:w="446" w:type="pct"/>
            <w:tcMar>
              <w:left w:w="85" w:type="dxa"/>
              <w:right w:w="57" w:type="dxa"/>
            </w:tcMar>
          </w:tcPr>
          <w:p w14:paraId="273CDC94" w14:textId="77777777" w:rsidR="00C355E9" w:rsidRPr="001A7F2E" w:rsidRDefault="00324184" w:rsidP="001A7F2E">
            <w:pPr>
              <w:pStyle w:val="TableText"/>
            </w:pPr>
            <w:r w:rsidRPr="001A7F2E">
              <w:t>500</w:t>
            </w:r>
          </w:p>
        </w:tc>
        <w:tc>
          <w:tcPr>
            <w:tcW w:w="645" w:type="pct"/>
            <w:shd w:val="clear" w:color="auto" w:fill="auto"/>
            <w:tcMar>
              <w:left w:w="85" w:type="dxa"/>
              <w:right w:w="57" w:type="dxa"/>
            </w:tcMar>
          </w:tcPr>
          <w:p w14:paraId="273CDC95" w14:textId="77777777" w:rsidR="00C355E9" w:rsidRPr="001A7F2E" w:rsidRDefault="00324184" w:rsidP="001A7F2E">
            <w:pPr>
              <w:pStyle w:val="TableText"/>
            </w:pPr>
            <w:r w:rsidRPr="001A7F2E">
              <w:t>No copper measurement</w:t>
            </w:r>
          </w:p>
        </w:tc>
        <w:tc>
          <w:tcPr>
            <w:tcW w:w="535" w:type="pct"/>
            <w:tcMar>
              <w:left w:w="85" w:type="dxa"/>
              <w:right w:w="57" w:type="dxa"/>
            </w:tcMar>
          </w:tcPr>
          <w:p w14:paraId="273CDC96" w14:textId="77777777" w:rsidR="00C355E9" w:rsidRPr="001A7F2E" w:rsidRDefault="00324184" w:rsidP="001A7F2E">
            <w:pPr>
              <w:pStyle w:val="TableText"/>
            </w:pPr>
            <w:r w:rsidRPr="001A7F2E">
              <w:t>Kevekordes (2001)</w:t>
            </w:r>
          </w:p>
        </w:tc>
      </w:tr>
      <w:tr w:rsidR="00091AEB" w14:paraId="273CDCA4" w14:textId="77777777" w:rsidTr="00D85C45">
        <w:trPr>
          <w:cantSplit/>
          <w:trHeight w:val="149"/>
        </w:trPr>
        <w:tc>
          <w:tcPr>
            <w:tcW w:w="447" w:type="pct"/>
            <w:tcBorders>
              <w:bottom w:val="single" w:sz="4" w:space="0" w:color="auto"/>
            </w:tcBorders>
            <w:shd w:val="clear" w:color="auto" w:fill="auto"/>
            <w:tcMar>
              <w:left w:w="85" w:type="dxa"/>
              <w:right w:w="57" w:type="dxa"/>
            </w:tcMar>
          </w:tcPr>
          <w:p w14:paraId="273CDC98" w14:textId="77777777" w:rsidR="00C355E9" w:rsidRPr="001A7F2E" w:rsidRDefault="00324184" w:rsidP="001A7F2E">
            <w:pPr>
              <w:pStyle w:val="TableText"/>
            </w:pPr>
            <w:r w:rsidRPr="001A7F2E">
              <w:t>Diatom</w:t>
            </w:r>
          </w:p>
        </w:tc>
        <w:tc>
          <w:tcPr>
            <w:tcW w:w="644" w:type="pct"/>
            <w:tcBorders>
              <w:bottom w:val="single" w:sz="4" w:space="0" w:color="auto"/>
            </w:tcBorders>
            <w:shd w:val="clear" w:color="auto" w:fill="auto"/>
            <w:tcMar>
              <w:left w:w="85" w:type="dxa"/>
              <w:right w:w="57" w:type="dxa"/>
            </w:tcMar>
          </w:tcPr>
          <w:p w14:paraId="273CDC99" w14:textId="77777777" w:rsidR="00C355E9" w:rsidRPr="00F23917" w:rsidRDefault="00324184" w:rsidP="001A7F2E">
            <w:pPr>
              <w:pStyle w:val="TableText"/>
              <w:rPr>
                <w:rStyle w:val="Emphasis"/>
              </w:rPr>
            </w:pPr>
            <w:r w:rsidRPr="00F23917">
              <w:rPr>
                <w:rStyle w:val="Emphasis"/>
              </w:rPr>
              <w:t>Thalassiosira pseudonana</w:t>
            </w:r>
          </w:p>
        </w:tc>
        <w:tc>
          <w:tcPr>
            <w:tcW w:w="397" w:type="pct"/>
            <w:tcBorders>
              <w:bottom w:val="single" w:sz="4" w:space="0" w:color="auto"/>
            </w:tcBorders>
            <w:shd w:val="clear" w:color="auto" w:fill="auto"/>
            <w:tcMar>
              <w:left w:w="85" w:type="dxa"/>
              <w:right w:w="57" w:type="dxa"/>
            </w:tcMar>
          </w:tcPr>
          <w:p w14:paraId="273CDC9A" w14:textId="77777777" w:rsidR="00C355E9" w:rsidRPr="001A7F2E" w:rsidRDefault="00324184" w:rsidP="001A7F2E">
            <w:pPr>
              <w:pStyle w:val="TableText"/>
            </w:pPr>
            <w:r>
              <w:t>–</w:t>
            </w:r>
          </w:p>
        </w:tc>
        <w:tc>
          <w:tcPr>
            <w:tcW w:w="298" w:type="pct"/>
            <w:tcBorders>
              <w:bottom w:val="single" w:sz="4" w:space="0" w:color="auto"/>
            </w:tcBorders>
            <w:tcMar>
              <w:left w:w="85" w:type="dxa"/>
              <w:right w:w="57" w:type="dxa"/>
            </w:tcMar>
          </w:tcPr>
          <w:p w14:paraId="273CDC9B" w14:textId="77777777" w:rsidR="00C355E9" w:rsidRPr="001A7F2E" w:rsidRDefault="00324184" w:rsidP="001A7F2E">
            <w:pPr>
              <w:pStyle w:val="TableText"/>
            </w:pPr>
            <w:r w:rsidRPr="001A7F2E">
              <w:t>4</w:t>
            </w:r>
          </w:p>
        </w:tc>
        <w:tc>
          <w:tcPr>
            <w:tcW w:w="397" w:type="pct"/>
            <w:tcBorders>
              <w:bottom w:val="single" w:sz="4" w:space="0" w:color="auto"/>
            </w:tcBorders>
            <w:tcMar>
              <w:left w:w="28" w:type="dxa"/>
              <w:right w:w="0" w:type="dxa"/>
            </w:tcMar>
          </w:tcPr>
          <w:p w14:paraId="273CDC9C" w14:textId="77777777" w:rsidR="00C355E9" w:rsidRPr="001A7F2E" w:rsidRDefault="00324184" w:rsidP="001A7F2E">
            <w:pPr>
              <w:pStyle w:val="TableText"/>
            </w:pPr>
            <w:r w:rsidRPr="001A7F2E">
              <w:t>Population</w:t>
            </w:r>
          </w:p>
        </w:tc>
        <w:tc>
          <w:tcPr>
            <w:tcW w:w="348" w:type="pct"/>
            <w:tcBorders>
              <w:bottom w:val="single" w:sz="4" w:space="0" w:color="auto"/>
            </w:tcBorders>
            <w:shd w:val="clear" w:color="auto" w:fill="auto"/>
            <w:tcMar>
              <w:left w:w="85" w:type="dxa"/>
              <w:right w:w="57" w:type="dxa"/>
            </w:tcMar>
          </w:tcPr>
          <w:p w14:paraId="273CDC9D" w14:textId="77777777" w:rsidR="00C355E9" w:rsidRPr="001A7F2E" w:rsidRDefault="00324184" w:rsidP="001A7F2E">
            <w:pPr>
              <w:pStyle w:val="TableText"/>
            </w:pPr>
            <w:r w:rsidRPr="001A7F2E">
              <w:t>EC10</w:t>
            </w:r>
          </w:p>
        </w:tc>
        <w:tc>
          <w:tcPr>
            <w:tcW w:w="248" w:type="pct"/>
            <w:tcBorders>
              <w:bottom w:val="single" w:sz="4" w:space="0" w:color="auto"/>
            </w:tcBorders>
            <w:tcMar>
              <w:left w:w="85" w:type="dxa"/>
              <w:right w:w="57" w:type="dxa"/>
            </w:tcMar>
          </w:tcPr>
          <w:p w14:paraId="273CDC9E" w14:textId="77777777" w:rsidR="00C355E9" w:rsidRPr="001A7F2E" w:rsidRDefault="00324184" w:rsidP="001A7F2E">
            <w:pPr>
              <w:pStyle w:val="TableText"/>
            </w:pPr>
            <w:r w:rsidRPr="001A7F2E">
              <w:t>33</w:t>
            </w:r>
          </w:p>
        </w:tc>
        <w:tc>
          <w:tcPr>
            <w:tcW w:w="248" w:type="pct"/>
            <w:tcBorders>
              <w:bottom w:val="single" w:sz="4" w:space="0" w:color="auto"/>
            </w:tcBorders>
            <w:tcMar>
              <w:left w:w="85" w:type="dxa"/>
              <w:right w:w="57" w:type="dxa"/>
            </w:tcMar>
          </w:tcPr>
          <w:p w14:paraId="273CDC9F" w14:textId="77777777" w:rsidR="00C355E9" w:rsidRPr="001A7F2E" w:rsidRDefault="00324184" w:rsidP="001A7F2E">
            <w:pPr>
              <w:pStyle w:val="TableText"/>
            </w:pPr>
            <w:r w:rsidRPr="001A7F2E">
              <w:t>25</w:t>
            </w:r>
          </w:p>
        </w:tc>
        <w:tc>
          <w:tcPr>
            <w:tcW w:w="347" w:type="pct"/>
            <w:tcBorders>
              <w:bottom w:val="single" w:sz="4" w:space="0" w:color="auto"/>
            </w:tcBorders>
            <w:tcMar>
              <w:left w:w="85" w:type="dxa"/>
              <w:right w:w="57" w:type="dxa"/>
            </w:tcMar>
          </w:tcPr>
          <w:p w14:paraId="273CDCA0" w14:textId="77777777" w:rsidR="00C355E9" w:rsidRPr="001A7F2E" w:rsidRDefault="00324184" w:rsidP="001A7F2E">
            <w:pPr>
              <w:pStyle w:val="TableText"/>
            </w:pPr>
            <w:r w:rsidRPr="001A7F2E">
              <w:t>550</w:t>
            </w:r>
          </w:p>
        </w:tc>
        <w:tc>
          <w:tcPr>
            <w:tcW w:w="446" w:type="pct"/>
            <w:tcBorders>
              <w:bottom w:val="single" w:sz="4" w:space="0" w:color="auto"/>
            </w:tcBorders>
            <w:tcMar>
              <w:left w:w="85" w:type="dxa"/>
              <w:right w:w="57" w:type="dxa"/>
            </w:tcMar>
          </w:tcPr>
          <w:p w14:paraId="273CDCA1" w14:textId="77777777" w:rsidR="00C355E9" w:rsidRPr="001A7F2E" w:rsidRDefault="00324184" w:rsidP="001A7F2E">
            <w:pPr>
              <w:pStyle w:val="TableText"/>
            </w:pPr>
            <w:r w:rsidRPr="001A7F2E">
              <w:t>550</w:t>
            </w:r>
          </w:p>
        </w:tc>
        <w:tc>
          <w:tcPr>
            <w:tcW w:w="645" w:type="pct"/>
            <w:tcBorders>
              <w:bottom w:val="single" w:sz="4" w:space="0" w:color="auto"/>
            </w:tcBorders>
            <w:shd w:val="clear" w:color="auto" w:fill="auto"/>
            <w:tcMar>
              <w:left w:w="85" w:type="dxa"/>
              <w:right w:w="57" w:type="dxa"/>
            </w:tcMar>
          </w:tcPr>
          <w:p w14:paraId="273CDCA2" w14:textId="77777777" w:rsidR="00C355E9" w:rsidRPr="001A7F2E" w:rsidRDefault="00324184" w:rsidP="001A7F2E">
            <w:pPr>
              <w:pStyle w:val="TableText"/>
            </w:pPr>
            <w:r w:rsidRPr="001A7F2E">
              <w:t>No copper measurement</w:t>
            </w:r>
          </w:p>
        </w:tc>
        <w:tc>
          <w:tcPr>
            <w:tcW w:w="535" w:type="pct"/>
            <w:tcBorders>
              <w:bottom w:val="single" w:sz="4" w:space="0" w:color="auto"/>
            </w:tcBorders>
            <w:tcMar>
              <w:left w:w="85" w:type="dxa"/>
              <w:right w:w="57" w:type="dxa"/>
            </w:tcMar>
          </w:tcPr>
          <w:p w14:paraId="273CDCA3" w14:textId="77777777" w:rsidR="00C355E9" w:rsidRPr="001A7F2E" w:rsidRDefault="00324184" w:rsidP="001A7F2E">
            <w:pPr>
              <w:pStyle w:val="TableText"/>
            </w:pPr>
            <w:r w:rsidRPr="001A7F2E">
              <w:t>Nguyen-Deroche et al. (2009)</w:t>
            </w:r>
          </w:p>
        </w:tc>
      </w:tr>
      <w:tr w:rsidR="00091AEB" w14:paraId="273CDCB1" w14:textId="77777777" w:rsidTr="00D85C45">
        <w:trPr>
          <w:cantSplit/>
        </w:trPr>
        <w:tc>
          <w:tcPr>
            <w:tcW w:w="447" w:type="pct"/>
            <w:tcBorders>
              <w:bottom w:val="single" w:sz="12" w:space="0" w:color="auto"/>
            </w:tcBorders>
            <w:shd w:val="clear" w:color="auto" w:fill="auto"/>
            <w:tcMar>
              <w:left w:w="85" w:type="dxa"/>
              <w:right w:w="57" w:type="dxa"/>
            </w:tcMar>
          </w:tcPr>
          <w:p w14:paraId="273CDCA5" w14:textId="77777777" w:rsidR="00C355E9" w:rsidRPr="001A7F2E" w:rsidRDefault="00324184" w:rsidP="001A7F2E">
            <w:pPr>
              <w:pStyle w:val="TableText"/>
            </w:pPr>
            <w:r w:rsidRPr="001A7F2E">
              <w:t>Diatom</w:t>
            </w:r>
          </w:p>
        </w:tc>
        <w:tc>
          <w:tcPr>
            <w:tcW w:w="644" w:type="pct"/>
            <w:tcBorders>
              <w:bottom w:val="single" w:sz="12" w:space="0" w:color="auto"/>
            </w:tcBorders>
            <w:shd w:val="clear" w:color="auto" w:fill="auto"/>
            <w:tcMar>
              <w:left w:w="85" w:type="dxa"/>
              <w:right w:w="57" w:type="dxa"/>
            </w:tcMar>
          </w:tcPr>
          <w:p w14:paraId="273CDCA6" w14:textId="77777777" w:rsidR="00C355E9" w:rsidRPr="001A7F2E" w:rsidRDefault="00324184" w:rsidP="001A7F2E">
            <w:pPr>
              <w:pStyle w:val="TableText"/>
            </w:pPr>
            <w:r w:rsidRPr="00F23917">
              <w:rPr>
                <w:rStyle w:val="Emphasis"/>
              </w:rPr>
              <w:t>Cylindrotheca</w:t>
            </w:r>
            <w:r w:rsidRPr="001A7F2E">
              <w:t xml:space="preserve"> sp.</w:t>
            </w:r>
          </w:p>
        </w:tc>
        <w:tc>
          <w:tcPr>
            <w:tcW w:w="397" w:type="pct"/>
            <w:tcBorders>
              <w:bottom w:val="single" w:sz="12" w:space="0" w:color="auto"/>
            </w:tcBorders>
            <w:shd w:val="clear" w:color="auto" w:fill="auto"/>
            <w:tcMar>
              <w:left w:w="85" w:type="dxa"/>
              <w:right w:w="57" w:type="dxa"/>
            </w:tcMar>
          </w:tcPr>
          <w:p w14:paraId="273CDCA7" w14:textId="77777777" w:rsidR="00C355E9" w:rsidRPr="001A7F2E" w:rsidRDefault="00324184" w:rsidP="001A7F2E">
            <w:pPr>
              <w:pStyle w:val="TableText"/>
            </w:pPr>
            <w:r>
              <w:t>Exponential</w:t>
            </w:r>
            <w:r w:rsidRPr="001A7F2E">
              <w:t xml:space="preserve"> growth</w:t>
            </w:r>
          </w:p>
        </w:tc>
        <w:tc>
          <w:tcPr>
            <w:tcW w:w="298" w:type="pct"/>
            <w:tcBorders>
              <w:bottom w:val="single" w:sz="12" w:space="0" w:color="auto"/>
            </w:tcBorders>
            <w:tcMar>
              <w:left w:w="85" w:type="dxa"/>
              <w:right w:w="57" w:type="dxa"/>
            </w:tcMar>
          </w:tcPr>
          <w:p w14:paraId="273CDCA8" w14:textId="77777777" w:rsidR="00C355E9" w:rsidRPr="001A7F2E" w:rsidRDefault="00324184" w:rsidP="001A7F2E">
            <w:pPr>
              <w:pStyle w:val="TableText"/>
            </w:pPr>
            <w:r w:rsidRPr="001A7F2E">
              <w:t>3</w:t>
            </w:r>
          </w:p>
        </w:tc>
        <w:tc>
          <w:tcPr>
            <w:tcW w:w="397" w:type="pct"/>
            <w:tcBorders>
              <w:bottom w:val="single" w:sz="12" w:space="0" w:color="auto"/>
            </w:tcBorders>
            <w:tcMar>
              <w:left w:w="28" w:type="dxa"/>
              <w:right w:w="0" w:type="dxa"/>
            </w:tcMar>
          </w:tcPr>
          <w:p w14:paraId="273CDCA9" w14:textId="77777777" w:rsidR="00C355E9" w:rsidRPr="001A7F2E" w:rsidRDefault="00324184" w:rsidP="001A7F2E">
            <w:pPr>
              <w:pStyle w:val="TableText"/>
            </w:pPr>
            <w:r w:rsidRPr="001A7F2E">
              <w:t>Population</w:t>
            </w:r>
          </w:p>
        </w:tc>
        <w:tc>
          <w:tcPr>
            <w:tcW w:w="348" w:type="pct"/>
            <w:tcBorders>
              <w:bottom w:val="single" w:sz="12" w:space="0" w:color="auto"/>
            </w:tcBorders>
            <w:shd w:val="clear" w:color="auto" w:fill="auto"/>
            <w:tcMar>
              <w:left w:w="85" w:type="dxa"/>
              <w:right w:w="57" w:type="dxa"/>
            </w:tcMar>
          </w:tcPr>
          <w:p w14:paraId="273CDCAA" w14:textId="77777777" w:rsidR="00C355E9" w:rsidRPr="001A7F2E" w:rsidRDefault="00324184" w:rsidP="001A7F2E">
            <w:pPr>
              <w:pStyle w:val="TableText"/>
            </w:pPr>
            <w:r w:rsidRPr="001A7F2E">
              <w:t>IC50</w:t>
            </w:r>
          </w:p>
        </w:tc>
        <w:tc>
          <w:tcPr>
            <w:tcW w:w="248" w:type="pct"/>
            <w:tcBorders>
              <w:bottom w:val="single" w:sz="12" w:space="0" w:color="auto"/>
            </w:tcBorders>
            <w:tcMar>
              <w:left w:w="85" w:type="dxa"/>
              <w:right w:w="57" w:type="dxa"/>
            </w:tcMar>
          </w:tcPr>
          <w:p w14:paraId="273CDCAB" w14:textId="77777777" w:rsidR="00C355E9" w:rsidRPr="001A7F2E" w:rsidRDefault="00324184" w:rsidP="001A7F2E">
            <w:pPr>
              <w:pStyle w:val="TableText"/>
            </w:pPr>
            <w:r>
              <w:t>–</w:t>
            </w:r>
          </w:p>
        </w:tc>
        <w:tc>
          <w:tcPr>
            <w:tcW w:w="248" w:type="pct"/>
            <w:tcBorders>
              <w:bottom w:val="single" w:sz="12" w:space="0" w:color="auto"/>
            </w:tcBorders>
            <w:tcMar>
              <w:left w:w="85" w:type="dxa"/>
              <w:right w:w="57" w:type="dxa"/>
            </w:tcMar>
          </w:tcPr>
          <w:p w14:paraId="273CDCAC" w14:textId="77777777" w:rsidR="00C355E9" w:rsidRPr="001A7F2E" w:rsidRDefault="00324184" w:rsidP="001A7F2E">
            <w:pPr>
              <w:pStyle w:val="TableText"/>
            </w:pPr>
            <w:r w:rsidRPr="001A7F2E">
              <w:t>22</w:t>
            </w:r>
          </w:p>
        </w:tc>
        <w:tc>
          <w:tcPr>
            <w:tcW w:w="347" w:type="pct"/>
            <w:tcBorders>
              <w:bottom w:val="single" w:sz="12" w:space="0" w:color="auto"/>
            </w:tcBorders>
            <w:tcMar>
              <w:left w:w="85" w:type="dxa"/>
              <w:right w:w="57" w:type="dxa"/>
            </w:tcMar>
          </w:tcPr>
          <w:p w14:paraId="273CDCAD" w14:textId="77777777" w:rsidR="00C355E9" w:rsidRPr="001A7F2E" w:rsidRDefault="00324184" w:rsidP="001A7F2E">
            <w:pPr>
              <w:pStyle w:val="TableText"/>
            </w:pPr>
            <w:r w:rsidRPr="001A7F2E">
              <w:t>7</w:t>
            </w:r>
            <w:r w:rsidR="004E3A0C">
              <w:t> </w:t>
            </w:r>
            <w:r w:rsidRPr="001A7F2E">
              <w:t>700</w:t>
            </w:r>
          </w:p>
        </w:tc>
        <w:tc>
          <w:tcPr>
            <w:tcW w:w="446" w:type="pct"/>
            <w:tcBorders>
              <w:bottom w:val="single" w:sz="12" w:space="0" w:color="auto"/>
            </w:tcBorders>
            <w:tcMar>
              <w:left w:w="85" w:type="dxa"/>
              <w:right w:w="57" w:type="dxa"/>
            </w:tcMar>
          </w:tcPr>
          <w:p w14:paraId="273CDCAE" w14:textId="77777777" w:rsidR="00C355E9" w:rsidRPr="001A7F2E" w:rsidRDefault="00324184" w:rsidP="001A7F2E">
            <w:pPr>
              <w:pStyle w:val="TableText"/>
            </w:pPr>
            <w:r w:rsidRPr="001A7F2E">
              <w:t>1</w:t>
            </w:r>
            <w:r w:rsidR="004E3A0C">
              <w:t> </w:t>
            </w:r>
            <w:r w:rsidRPr="001A7F2E">
              <w:t>540</w:t>
            </w:r>
          </w:p>
        </w:tc>
        <w:tc>
          <w:tcPr>
            <w:tcW w:w="645" w:type="pct"/>
            <w:tcBorders>
              <w:bottom w:val="single" w:sz="12" w:space="0" w:color="auto"/>
            </w:tcBorders>
            <w:shd w:val="clear" w:color="auto" w:fill="auto"/>
            <w:tcMar>
              <w:left w:w="85" w:type="dxa"/>
              <w:right w:w="57" w:type="dxa"/>
            </w:tcMar>
          </w:tcPr>
          <w:p w14:paraId="273CDCAF" w14:textId="77777777" w:rsidR="00C355E9" w:rsidRPr="001A7F2E" w:rsidRDefault="00324184" w:rsidP="001A7F2E">
            <w:pPr>
              <w:pStyle w:val="TableText"/>
            </w:pPr>
            <w:r w:rsidRPr="001A7F2E">
              <w:t xml:space="preserve">No </w:t>
            </w:r>
            <w:r w:rsidRPr="001A7F2E">
              <w:t>copper measurement</w:t>
            </w:r>
          </w:p>
        </w:tc>
        <w:tc>
          <w:tcPr>
            <w:tcW w:w="535" w:type="pct"/>
            <w:tcBorders>
              <w:bottom w:val="single" w:sz="12" w:space="0" w:color="auto"/>
            </w:tcBorders>
            <w:tcMar>
              <w:left w:w="85" w:type="dxa"/>
              <w:right w:w="57" w:type="dxa"/>
            </w:tcMar>
          </w:tcPr>
          <w:p w14:paraId="273CDCB0" w14:textId="77777777" w:rsidR="00C355E9" w:rsidRPr="001A7F2E" w:rsidRDefault="00324184" w:rsidP="001A7F2E">
            <w:pPr>
              <w:pStyle w:val="TableText"/>
            </w:pPr>
            <w:r w:rsidRPr="001A7F2E">
              <w:t>Satoh et al. (2005)</w:t>
            </w:r>
          </w:p>
        </w:tc>
      </w:tr>
    </w:tbl>
    <w:p w14:paraId="273CDCB2" w14:textId="77777777" w:rsidR="00B70A49" w:rsidRDefault="00324184" w:rsidP="00D92326">
      <w:pPr>
        <w:pStyle w:val="FigureTableNoteSource"/>
        <w:rPr>
          <w:lang w:eastAsia="ja-JP"/>
        </w:rPr>
      </w:pPr>
      <w:r w:rsidRPr="00D92326">
        <w:rPr>
          <w:rStyle w:val="Strong"/>
        </w:rPr>
        <w:t>a</w:t>
      </w:r>
      <w:r w:rsidRPr="00D92326">
        <w:rPr>
          <w:lang w:eastAsia="ja-JP"/>
        </w:rPr>
        <w:t xml:space="preserve"> </w:t>
      </w:r>
      <w:r>
        <w:rPr>
          <w:lang w:eastAsia="ja-JP"/>
        </w:rPr>
        <w:t xml:space="preserve">Toxicity measures: </w:t>
      </w:r>
    </w:p>
    <w:p w14:paraId="273CDCB3" w14:textId="77777777" w:rsidR="00B70A49" w:rsidRDefault="00324184" w:rsidP="00B70A49">
      <w:pPr>
        <w:pStyle w:val="FigureTableNoteSource"/>
        <w:numPr>
          <w:ilvl w:val="0"/>
          <w:numId w:val="34"/>
        </w:numPr>
        <w:rPr>
          <w:lang w:eastAsia="ja-JP"/>
        </w:rPr>
      </w:pPr>
      <w:r>
        <w:rPr>
          <w:lang w:eastAsia="ja-JP"/>
        </w:rPr>
        <w:t>EC10: 10% effect concentration</w:t>
      </w:r>
    </w:p>
    <w:p w14:paraId="273CDCB4" w14:textId="77777777" w:rsidR="00B70A49" w:rsidRDefault="00324184" w:rsidP="00B70A49">
      <w:pPr>
        <w:pStyle w:val="FigureTableNoteSource"/>
        <w:numPr>
          <w:ilvl w:val="0"/>
          <w:numId w:val="34"/>
        </w:numPr>
        <w:rPr>
          <w:lang w:eastAsia="ja-JP"/>
        </w:rPr>
      </w:pPr>
      <w:r>
        <w:rPr>
          <w:lang w:eastAsia="ja-JP"/>
        </w:rPr>
        <w:t>EC20: 20% effect concentration</w:t>
      </w:r>
    </w:p>
    <w:p w14:paraId="273CDCB5" w14:textId="77777777" w:rsidR="00B70A49" w:rsidRDefault="00324184" w:rsidP="00B70A49">
      <w:pPr>
        <w:pStyle w:val="FigureTableNoteSource"/>
        <w:numPr>
          <w:ilvl w:val="0"/>
          <w:numId w:val="34"/>
        </w:numPr>
        <w:rPr>
          <w:lang w:eastAsia="ja-JP"/>
        </w:rPr>
      </w:pPr>
      <w:r>
        <w:rPr>
          <w:lang w:eastAsia="ja-JP"/>
        </w:rPr>
        <w:t>EC50: median effect concentration</w:t>
      </w:r>
    </w:p>
    <w:p w14:paraId="273CDCB6" w14:textId="77777777" w:rsidR="00B70A49" w:rsidRDefault="00324184" w:rsidP="00B70A49">
      <w:pPr>
        <w:pStyle w:val="FigureTableNoteSource"/>
        <w:numPr>
          <w:ilvl w:val="0"/>
          <w:numId w:val="34"/>
        </w:numPr>
        <w:rPr>
          <w:lang w:eastAsia="ja-JP"/>
        </w:rPr>
      </w:pPr>
      <w:r>
        <w:rPr>
          <w:lang w:eastAsia="ja-JP"/>
        </w:rPr>
        <w:t>IC10: 10% inhibition concentration</w:t>
      </w:r>
    </w:p>
    <w:p w14:paraId="273CDCB7" w14:textId="77777777" w:rsidR="00B70A49" w:rsidRDefault="00324184" w:rsidP="00B70A49">
      <w:pPr>
        <w:pStyle w:val="FigureTableNoteSource"/>
        <w:numPr>
          <w:ilvl w:val="0"/>
          <w:numId w:val="34"/>
        </w:numPr>
        <w:rPr>
          <w:lang w:eastAsia="ja-JP"/>
        </w:rPr>
      </w:pPr>
      <w:r>
        <w:rPr>
          <w:lang w:eastAsia="ja-JP"/>
        </w:rPr>
        <w:t>IC50:</w:t>
      </w:r>
      <w:r>
        <w:rPr>
          <w:lang w:eastAsia="ja-JP"/>
        </w:rPr>
        <w:t xml:space="preserve"> median inhibition concentration</w:t>
      </w:r>
    </w:p>
    <w:p w14:paraId="273CDCB8" w14:textId="77777777" w:rsidR="00B70A49" w:rsidRDefault="00324184" w:rsidP="00B70A49">
      <w:pPr>
        <w:pStyle w:val="FigureTableNoteSource"/>
        <w:numPr>
          <w:ilvl w:val="0"/>
          <w:numId w:val="34"/>
        </w:numPr>
        <w:rPr>
          <w:lang w:eastAsia="ja-JP"/>
        </w:rPr>
      </w:pPr>
      <w:r>
        <w:rPr>
          <w:lang w:eastAsia="ja-JP"/>
        </w:rPr>
        <w:t>LC50: median lethal concentration</w:t>
      </w:r>
    </w:p>
    <w:p w14:paraId="273CDCB9" w14:textId="77777777" w:rsidR="00B70A49" w:rsidRDefault="00324184" w:rsidP="00B70A49">
      <w:pPr>
        <w:pStyle w:val="FigureTableNoteSource"/>
        <w:numPr>
          <w:ilvl w:val="0"/>
          <w:numId w:val="34"/>
        </w:numPr>
        <w:rPr>
          <w:lang w:eastAsia="ja-JP"/>
        </w:rPr>
      </w:pPr>
      <w:r>
        <w:rPr>
          <w:lang w:eastAsia="ja-JP"/>
        </w:rPr>
        <w:t>LOEC: lowest observed effect concentration</w:t>
      </w:r>
    </w:p>
    <w:p w14:paraId="273CDCBA" w14:textId="77777777" w:rsidR="00B70A49" w:rsidRDefault="00324184" w:rsidP="00B70A49">
      <w:pPr>
        <w:pStyle w:val="FigureTableNoteSource"/>
        <w:numPr>
          <w:ilvl w:val="0"/>
          <w:numId w:val="34"/>
        </w:numPr>
        <w:rPr>
          <w:lang w:eastAsia="ja-JP"/>
        </w:rPr>
      </w:pPr>
      <w:r>
        <w:rPr>
          <w:lang w:eastAsia="ja-JP"/>
        </w:rPr>
        <w:t>LOEL: lowest observed effect level</w:t>
      </w:r>
    </w:p>
    <w:p w14:paraId="273CDCBB" w14:textId="77777777" w:rsidR="00B70A49" w:rsidRDefault="00324184" w:rsidP="00B70A49">
      <w:pPr>
        <w:pStyle w:val="FigureTableNoteSource"/>
        <w:numPr>
          <w:ilvl w:val="0"/>
          <w:numId w:val="34"/>
        </w:numPr>
        <w:rPr>
          <w:lang w:eastAsia="ja-JP"/>
        </w:rPr>
      </w:pPr>
      <w:r>
        <w:rPr>
          <w:lang w:eastAsia="ja-JP"/>
        </w:rPr>
        <w:t>MATC: maximum acceptable toxicant concentration</w:t>
      </w:r>
    </w:p>
    <w:p w14:paraId="273CDCBC" w14:textId="77777777" w:rsidR="00B70A49" w:rsidRDefault="00324184" w:rsidP="00B70A49">
      <w:pPr>
        <w:pStyle w:val="FigureTableNoteSource"/>
        <w:numPr>
          <w:ilvl w:val="0"/>
          <w:numId w:val="34"/>
        </w:numPr>
        <w:rPr>
          <w:lang w:eastAsia="ja-JP"/>
        </w:rPr>
      </w:pPr>
      <w:r>
        <w:rPr>
          <w:lang w:eastAsia="ja-JP"/>
        </w:rPr>
        <w:t>MEC: minimum effect concentration</w:t>
      </w:r>
    </w:p>
    <w:p w14:paraId="273CDCBD" w14:textId="77777777" w:rsidR="00B70A49" w:rsidRDefault="00324184" w:rsidP="00B70A49">
      <w:pPr>
        <w:pStyle w:val="FigureTableNoteSource"/>
        <w:numPr>
          <w:ilvl w:val="0"/>
          <w:numId w:val="34"/>
        </w:numPr>
        <w:rPr>
          <w:lang w:eastAsia="ja-JP"/>
        </w:rPr>
      </w:pPr>
      <w:r>
        <w:rPr>
          <w:lang w:eastAsia="ja-JP"/>
        </w:rPr>
        <w:t>NOEC: no observed effect conc</w:t>
      </w:r>
      <w:r>
        <w:rPr>
          <w:lang w:eastAsia="ja-JP"/>
        </w:rPr>
        <w:t>entration</w:t>
      </w:r>
    </w:p>
    <w:p w14:paraId="273CDCBE" w14:textId="77777777" w:rsidR="00C355E9" w:rsidRDefault="00324184" w:rsidP="00B70A49">
      <w:pPr>
        <w:pStyle w:val="FigureTableNoteSource"/>
        <w:numPr>
          <w:ilvl w:val="0"/>
          <w:numId w:val="34"/>
        </w:numPr>
        <w:rPr>
          <w:lang w:eastAsia="ja-JP"/>
        </w:rPr>
      </w:pPr>
      <w:r>
        <w:rPr>
          <w:lang w:eastAsia="ja-JP"/>
        </w:rPr>
        <w:t>NOEL</w:t>
      </w:r>
      <w:r w:rsidR="00B70A49">
        <w:rPr>
          <w:lang w:eastAsia="ja-JP"/>
        </w:rPr>
        <w:t>:</w:t>
      </w:r>
      <w:r>
        <w:rPr>
          <w:lang w:eastAsia="ja-JP"/>
        </w:rPr>
        <w:t xml:space="preserve"> no observed effect level.</w:t>
      </w:r>
    </w:p>
    <w:p w14:paraId="273CDCBF" w14:textId="77777777" w:rsidR="00BB1509" w:rsidRDefault="00BB1509" w:rsidP="00833D94">
      <w:pPr>
        <w:pStyle w:val="FigureTableNoteSource"/>
        <w:rPr>
          <w:rFonts w:asciiTheme="minorHAnsi" w:hAnsiTheme="minorHAnsi"/>
          <w:sz w:val="22"/>
          <w:lang w:eastAsia="ja-JP"/>
        </w:rPr>
      </w:pPr>
    </w:p>
    <w:p w14:paraId="273CDCC0" w14:textId="77777777" w:rsidR="00BB1509" w:rsidRPr="00BB1509" w:rsidRDefault="00BB1509" w:rsidP="00BB1509">
      <w:pPr>
        <w:rPr>
          <w:lang w:eastAsia="ja-JP"/>
        </w:rPr>
      </w:pPr>
    </w:p>
    <w:p w14:paraId="273CDCC1" w14:textId="77777777" w:rsidR="00557389" w:rsidRDefault="00557389" w:rsidP="006402D2">
      <w:pPr>
        <w:rPr>
          <w:highlight w:val="yellow"/>
          <w:lang w:eastAsia="ja-JP"/>
        </w:rPr>
      </w:pPr>
    </w:p>
    <w:p w14:paraId="273CDCC2" w14:textId="77777777" w:rsidR="00833D94" w:rsidRDefault="00833D94" w:rsidP="006402D2">
      <w:pPr>
        <w:rPr>
          <w:highlight w:val="yellow"/>
          <w:lang w:eastAsia="ja-JP"/>
        </w:rPr>
        <w:sectPr w:rsidR="00833D94" w:rsidSect="00BD56AB">
          <w:pgSz w:w="16838" w:h="11906" w:orient="landscape" w:code="9"/>
          <w:pgMar w:top="1418" w:right="1276" w:bottom="1418" w:left="1276" w:header="567" w:footer="284" w:gutter="0"/>
          <w:cols w:space="708"/>
          <w:docGrid w:linePitch="360"/>
        </w:sectPr>
      </w:pPr>
    </w:p>
    <w:p w14:paraId="273CDCC3" w14:textId="77777777" w:rsidR="00557389" w:rsidRDefault="00324184" w:rsidP="00557389">
      <w:pPr>
        <w:pStyle w:val="Heading2"/>
        <w:numPr>
          <w:ilvl w:val="0"/>
          <w:numId w:val="0"/>
        </w:numPr>
      </w:pPr>
      <w:bookmarkStart w:id="82" w:name="_Ref85904186"/>
      <w:bookmarkStart w:id="83" w:name="_Toc89265627"/>
      <w:bookmarkStart w:id="84" w:name="_Toc89268667"/>
      <w:r>
        <w:t xml:space="preserve">Appendix E: Guideline value derivation </w:t>
      </w:r>
      <w:r w:rsidR="002628C1">
        <w:t xml:space="preserve">with </w:t>
      </w:r>
      <w:r>
        <w:t>preferred toxicity estimates only</w:t>
      </w:r>
      <w:bookmarkEnd w:id="82"/>
      <w:bookmarkEnd w:id="83"/>
      <w:bookmarkEnd w:id="84"/>
    </w:p>
    <w:p w14:paraId="273CDCC4" w14:textId="77777777" w:rsidR="007452C5" w:rsidRDefault="00324184" w:rsidP="00641D11">
      <w:pPr>
        <w:rPr>
          <w:lang w:eastAsia="ja-JP"/>
        </w:rPr>
      </w:pPr>
      <w:r>
        <w:rPr>
          <w:lang w:eastAsia="ja-JP"/>
        </w:rPr>
        <w:t xml:space="preserve">Chronic data using the preferred toxicity estimates of EC/IC/LCx where x </w:t>
      </w:r>
      <w:r w:rsidR="002628C1">
        <w:rPr>
          <w:lang w:eastAsia="ja-JP"/>
        </w:rPr>
        <w:t xml:space="preserve">is </w:t>
      </w:r>
      <w:r>
        <w:rPr>
          <w:lang w:eastAsia="ja-JP"/>
        </w:rPr>
        <w:t>≤10, NEC</w:t>
      </w:r>
      <w:r w:rsidR="00E32EA2">
        <w:rPr>
          <w:lang w:eastAsia="ja-JP"/>
        </w:rPr>
        <w:t xml:space="preserve"> </w:t>
      </w:r>
      <w:r>
        <w:rPr>
          <w:lang w:eastAsia="ja-JP"/>
        </w:rPr>
        <w:t>and EC/IC/LC15–20 a</w:t>
      </w:r>
      <w:r>
        <w:rPr>
          <w:lang w:eastAsia="ja-JP"/>
        </w:rPr>
        <w:t>re summari</w:t>
      </w:r>
      <w:r w:rsidR="002628C1">
        <w:rPr>
          <w:lang w:eastAsia="ja-JP"/>
        </w:rPr>
        <w:t>s</w:t>
      </w:r>
      <w:r>
        <w:rPr>
          <w:lang w:eastAsia="ja-JP"/>
        </w:rPr>
        <w:t xml:space="preserve">ed in </w:t>
      </w:r>
      <w:r w:rsidR="00C12A88">
        <w:rPr>
          <w:lang w:eastAsia="ja-JP"/>
        </w:rPr>
        <w:fldChar w:fldCharType="begin"/>
      </w:r>
      <w:r w:rsidR="00C12A88">
        <w:rPr>
          <w:lang w:eastAsia="ja-JP"/>
        </w:rPr>
        <w:instrText xml:space="preserve"> REF _Ref85903785 \h </w:instrText>
      </w:r>
      <w:r w:rsidR="00641D11">
        <w:rPr>
          <w:lang w:eastAsia="ja-JP"/>
        </w:rPr>
        <w:instrText xml:space="preserve"> \* MERGEFORMAT </w:instrText>
      </w:r>
      <w:r w:rsidR="00C12A88">
        <w:rPr>
          <w:lang w:eastAsia="ja-JP"/>
        </w:rPr>
      </w:r>
      <w:r w:rsidR="00C12A88">
        <w:rPr>
          <w:lang w:eastAsia="ja-JP"/>
        </w:rPr>
        <w:fldChar w:fldCharType="separate"/>
      </w:r>
      <w:r w:rsidR="00A41C81">
        <w:t>Table E 1</w:t>
      </w:r>
      <w:r w:rsidR="00C12A88">
        <w:rPr>
          <w:lang w:eastAsia="ja-JP"/>
        </w:rPr>
        <w:fldChar w:fldCharType="end"/>
      </w:r>
      <w:r>
        <w:rPr>
          <w:lang w:eastAsia="ja-JP"/>
        </w:rPr>
        <w:t>. The species sensitivity distribution</w:t>
      </w:r>
      <w:r w:rsidR="00D839F1">
        <w:rPr>
          <w:lang w:eastAsia="ja-JP"/>
        </w:rPr>
        <w:t>(SSD)</w:t>
      </w:r>
      <w:r>
        <w:rPr>
          <w:lang w:eastAsia="ja-JP"/>
        </w:rPr>
        <w:t xml:space="preserve"> based on these data is shown in </w:t>
      </w:r>
      <w:r w:rsidR="006F2BB3">
        <w:rPr>
          <w:lang w:eastAsia="ja-JP"/>
        </w:rPr>
        <w:fldChar w:fldCharType="begin"/>
      </w:r>
      <w:r w:rsidR="006F2BB3">
        <w:rPr>
          <w:lang w:eastAsia="ja-JP"/>
        </w:rPr>
        <w:instrText xml:space="preserve"> REF _Ref85903902 \h </w:instrText>
      </w:r>
      <w:r w:rsidR="00641D11">
        <w:rPr>
          <w:lang w:eastAsia="ja-JP"/>
        </w:rPr>
        <w:instrText xml:space="preserve"> \* MERGEFORMAT </w:instrText>
      </w:r>
      <w:r w:rsidR="006F2BB3">
        <w:rPr>
          <w:lang w:eastAsia="ja-JP"/>
        </w:rPr>
      </w:r>
      <w:r w:rsidR="006F2BB3">
        <w:rPr>
          <w:lang w:eastAsia="ja-JP"/>
        </w:rPr>
        <w:fldChar w:fldCharType="separate"/>
      </w:r>
      <w:r w:rsidR="00A41C81">
        <w:t>Figure E 1</w:t>
      </w:r>
      <w:r w:rsidR="006F2BB3">
        <w:rPr>
          <w:lang w:eastAsia="ja-JP"/>
        </w:rPr>
        <w:fldChar w:fldCharType="end"/>
      </w:r>
      <w:r>
        <w:rPr>
          <w:lang w:eastAsia="ja-JP"/>
        </w:rPr>
        <w:t>. T</w:t>
      </w:r>
      <w:r>
        <w:rPr>
          <w:lang w:eastAsia="ja-JP"/>
        </w:rPr>
        <w:t xml:space="preserve">he fit of the Burr III distribution to these data was good. </w:t>
      </w:r>
    </w:p>
    <w:p w14:paraId="273CDCC5" w14:textId="77777777" w:rsidR="007452C5" w:rsidRDefault="00324184" w:rsidP="00557389">
      <w:pPr>
        <w:rPr>
          <w:lang w:eastAsia="ja-JP"/>
        </w:rPr>
      </w:pPr>
      <w:r>
        <w:rPr>
          <w:lang w:eastAsia="ja-JP"/>
        </w:rPr>
        <w:t xml:space="preserve">Based on the use of chronic data, the number of species included (15 species; classified as </w:t>
      </w:r>
      <w:r w:rsidR="001F2D73">
        <w:rPr>
          <w:lang w:eastAsia="ja-JP"/>
        </w:rPr>
        <w:t>‘</w:t>
      </w:r>
      <w:r>
        <w:rPr>
          <w:lang w:eastAsia="ja-JP"/>
        </w:rPr>
        <w:t>preferred</w:t>
      </w:r>
      <w:r w:rsidR="001F2D73">
        <w:rPr>
          <w:lang w:eastAsia="ja-JP"/>
        </w:rPr>
        <w:t>’</w:t>
      </w:r>
      <w:r>
        <w:rPr>
          <w:lang w:eastAsia="ja-JP"/>
        </w:rPr>
        <w:t xml:space="preserve">) and the good fit of the distribution, </w:t>
      </w:r>
      <w:r w:rsidR="00190F6B">
        <w:rPr>
          <w:lang w:eastAsia="ja-JP"/>
        </w:rPr>
        <w:t>protective concentration (PC</w:t>
      </w:r>
      <w:r w:rsidR="000672CC">
        <w:rPr>
          <w:lang w:eastAsia="ja-JP"/>
        </w:rPr>
        <w:t>)</w:t>
      </w:r>
      <w:r w:rsidR="00190F6B">
        <w:rPr>
          <w:lang w:eastAsia="ja-JP"/>
        </w:rPr>
        <w:t xml:space="preserve"> values</w:t>
      </w:r>
      <w:r>
        <w:rPr>
          <w:lang w:eastAsia="ja-JP"/>
        </w:rPr>
        <w:t xml:space="preserve"> based on these </w:t>
      </w:r>
      <w:r>
        <w:rPr>
          <w:lang w:eastAsia="ja-JP"/>
        </w:rPr>
        <w:t xml:space="preserve">data alone would have very high reliability. </w:t>
      </w:r>
      <w:r w:rsidRPr="0020035E">
        <w:rPr>
          <w:lang w:eastAsia="ja-JP"/>
        </w:rPr>
        <w:t xml:space="preserve">These </w:t>
      </w:r>
      <w:r w:rsidR="00190F6B" w:rsidRPr="0020035E">
        <w:rPr>
          <w:lang w:eastAsia="ja-JP"/>
        </w:rPr>
        <w:t>PC values</w:t>
      </w:r>
      <w:r w:rsidRPr="0020035E">
        <w:rPr>
          <w:lang w:eastAsia="ja-JP"/>
        </w:rPr>
        <w:t xml:space="preserve"> were 0.</w:t>
      </w:r>
      <w:r w:rsidR="0020035E" w:rsidRPr="0020035E">
        <w:rPr>
          <w:lang w:eastAsia="ja-JP"/>
        </w:rPr>
        <w:t>35 </w:t>
      </w:r>
      <w:r w:rsidRPr="0020035E">
        <w:rPr>
          <w:lang w:eastAsia="ja-JP"/>
        </w:rPr>
        <w:t>µg/L, 0.</w:t>
      </w:r>
      <w:r w:rsidR="0020035E" w:rsidRPr="0020035E">
        <w:rPr>
          <w:lang w:eastAsia="ja-JP"/>
        </w:rPr>
        <w:t>62 </w:t>
      </w:r>
      <w:r w:rsidRPr="0020035E">
        <w:rPr>
          <w:lang w:eastAsia="ja-JP"/>
        </w:rPr>
        <w:t xml:space="preserve">µg/L, </w:t>
      </w:r>
      <w:r w:rsidR="0020035E" w:rsidRPr="0020035E">
        <w:rPr>
          <w:lang w:eastAsia="ja-JP"/>
        </w:rPr>
        <w:t>0.9</w:t>
      </w:r>
      <w:r w:rsidRPr="0020035E">
        <w:rPr>
          <w:lang w:eastAsia="ja-JP"/>
        </w:rPr>
        <w:t> µg/L and 1.</w:t>
      </w:r>
      <w:r w:rsidR="0020035E" w:rsidRPr="0020035E">
        <w:rPr>
          <w:lang w:eastAsia="ja-JP"/>
        </w:rPr>
        <w:t>5 </w:t>
      </w:r>
      <w:r w:rsidRPr="0020035E">
        <w:rPr>
          <w:lang w:eastAsia="ja-JP"/>
        </w:rPr>
        <w:t xml:space="preserve">µg/L </w:t>
      </w:r>
      <w:r w:rsidR="00190F6B" w:rsidRPr="0020035E">
        <w:rPr>
          <w:lang w:eastAsia="ja-JP"/>
        </w:rPr>
        <w:t xml:space="preserve">for </w:t>
      </w:r>
      <w:r w:rsidRPr="0020035E">
        <w:rPr>
          <w:lang w:eastAsia="ja-JP"/>
        </w:rPr>
        <w:t xml:space="preserve">99%, 95%, 90% and 80% </w:t>
      </w:r>
      <w:r w:rsidR="00190F6B" w:rsidRPr="0020035E">
        <w:rPr>
          <w:lang w:eastAsia="ja-JP"/>
        </w:rPr>
        <w:t>species</w:t>
      </w:r>
      <w:r w:rsidRPr="0020035E">
        <w:rPr>
          <w:lang w:eastAsia="ja-JP"/>
        </w:rPr>
        <w:t xml:space="preserve"> protection, respectively</w:t>
      </w:r>
      <w:r>
        <w:rPr>
          <w:lang w:eastAsia="ja-JP"/>
        </w:rPr>
        <w:t xml:space="preserve">. </w:t>
      </w:r>
    </w:p>
    <w:p w14:paraId="273CDCC6" w14:textId="77777777" w:rsidR="00557389" w:rsidRDefault="00324184" w:rsidP="00557389">
      <w:pPr>
        <w:rPr>
          <w:lang w:eastAsia="ja-JP"/>
        </w:rPr>
      </w:pPr>
      <w:r>
        <w:rPr>
          <w:lang w:eastAsia="ja-JP"/>
        </w:rPr>
        <w:t xml:space="preserve">However, </w:t>
      </w:r>
      <w:r w:rsidR="00171482">
        <w:rPr>
          <w:lang w:eastAsia="ja-JP"/>
        </w:rPr>
        <w:t>the use</w:t>
      </w:r>
      <w:r>
        <w:rPr>
          <w:lang w:eastAsia="ja-JP"/>
        </w:rPr>
        <w:t xml:space="preserve"> of only </w:t>
      </w:r>
      <w:r w:rsidR="00E32EA2">
        <w:rPr>
          <w:lang w:eastAsia="ja-JP"/>
        </w:rPr>
        <w:t>preferred toxicity estimates</w:t>
      </w:r>
      <w:r>
        <w:rPr>
          <w:lang w:eastAsia="ja-JP"/>
        </w:rPr>
        <w:t xml:space="preserve"> excludes three sensitive unicellular algae for which only NOEC data were available. The </w:t>
      </w:r>
      <w:r w:rsidR="009E0B24">
        <w:rPr>
          <w:lang w:eastAsia="ja-JP"/>
        </w:rPr>
        <w:t xml:space="preserve">PC values </w:t>
      </w:r>
      <w:r>
        <w:rPr>
          <w:lang w:eastAsia="ja-JP"/>
        </w:rPr>
        <w:t>derived from only the preferred data would protect one of these species based on 95% level of protection or above (</w:t>
      </w:r>
      <w:r w:rsidRPr="004550BA">
        <w:rPr>
          <w:rStyle w:val="Emphasis"/>
          <w:lang w:eastAsia="ja-JP"/>
        </w:rPr>
        <w:t>Proteomonas sulcate</w:t>
      </w:r>
      <w:r w:rsidR="00687E36">
        <w:rPr>
          <w:lang w:eastAsia="ja-JP"/>
        </w:rPr>
        <w:t xml:space="preserve">, </w:t>
      </w:r>
      <w:r>
        <w:rPr>
          <w:lang w:eastAsia="ja-JP"/>
        </w:rPr>
        <w:t>converted NOEC 0.8</w:t>
      </w:r>
      <w:r w:rsidR="00687E36">
        <w:rPr>
          <w:lang w:eastAsia="ja-JP"/>
        </w:rPr>
        <w:t> </w:t>
      </w:r>
      <w:r>
        <w:rPr>
          <w:lang w:eastAsia="ja-JP"/>
        </w:rPr>
        <w:t>µg</w:t>
      </w:r>
      <w:r>
        <w:rPr>
          <w:lang w:eastAsia="ja-JP"/>
        </w:rPr>
        <w:t>/L) and would provide no protection for two of the species (</w:t>
      </w:r>
      <w:r w:rsidRPr="004550BA">
        <w:rPr>
          <w:rStyle w:val="Emphasis"/>
          <w:lang w:eastAsia="ja-JP"/>
        </w:rPr>
        <w:t>Minutocellus</w:t>
      </w:r>
      <w:r>
        <w:rPr>
          <w:lang w:eastAsia="ja-JP"/>
        </w:rPr>
        <w:t xml:space="preserve"> </w:t>
      </w:r>
      <w:r w:rsidRPr="004550BA">
        <w:rPr>
          <w:rStyle w:val="Emphasis"/>
          <w:lang w:eastAsia="ja-JP"/>
        </w:rPr>
        <w:t>polymorphus</w:t>
      </w:r>
      <w:r>
        <w:rPr>
          <w:lang w:eastAsia="ja-JP"/>
        </w:rPr>
        <w:t>, NOEC 0.2</w:t>
      </w:r>
      <w:r w:rsidR="00687E36">
        <w:rPr>
          <w:lang w:eastAsia="ja-JP"/>
        </w:rPr>
        <w:t> </w:t>
      </w:r>
      <w:r>
        <w:rPr>
          <w:lang w:eastAsia="ja-JP"/>
        </w:rPr>
        <w:t xml:space="preserve">µg/L; </w:t>
      </w:r>
      <w:r w:rsidRPr="004550BA">
        <w:rPr>
          <w:rStyle w:val="Emphasis"/>
          <w:lang w:eastAsia="ja-JP"/>
        </w:rPr>
        <w:t>Micromonas pusilla</w:t>
      </w:r>
      <w:r>
        <w:rPr>
          <w:lang w:eastAsia="ja-JP"/>
        </w:rPr>
        <w:t>, NOEC 0.3</w:t>
      </w:r>
      <w:r w:rsidR="00687E36">
        <w:rPr>
          <w:lang w:eastAsia="ja-JP"/>
        </w:rPr>
        <w:t> </w:t>
      </w:r>
      <w:r>
        <w:rPr>
          <w:lang w:eastAsia="ja-JP"/>
        </w:rPr>
        <w:t xml:space="preserve">µg/L). </w:t>
      </w:r>
      <w:r w:rsidR="00636248">
        <w:rPr>
          <w:lang w:eastAsia="ja-JP"/>
        </w:rPr>
        <w:t xml:space="preserve">Therefore, </w:t>
      </w:r>
      <w:r w:rsidR="00371D3D">
        <w:rPr>
          <w:lang w:eastAsia="ja-JP"/>
        </w:rPr>
        <w:t>it was deemed necessary to include</w:t>
      </w:r>
      <w:r>
        <w:rPr>
          <w:lang w:eastAsia="ja-JP"/>
        </w:rPr>
        <w:t xml:space="preserve"> </w:t>
      </w:r>
      <w:r w:rsidR="00190F6B">
        <w:rPr>
          <w:lang w:eastAsia="ja-JP"/>
        </w:rPr>
        <w:t xml:space="preserve">non-preferred </w:t>
      </w:r>
      <w:r>
        <w:rPr>
          <w:lang w:eastAsia="ja-JP"/>
        </w:rPr>
        <w:t>data in the DGV derivation to</w:t>
      </w:r>
      <w:r w:rsidR="00636248">
        <w:rPr>
          <w:lang w:eastAsia="ja-JP"/>
        </w:rPr>
        <w:t xml:space="preserve"> </w:t>
      </w:r>
      <w:r w:rsidR="00190F6B">
        <w:rPr>
          <w:lang w:eastAsia="ja-JP"/>
        </w:rPr>
        <w:t xml:space="preserve">ensure </w:t>
      </w:r>
      <w:r w:rsidR="000B6191">
        <w:rPr>
          <w:lang w:eastAsia="ja-JP"/>
        </w:rPr>
        <w:t>that</w:t>
      </w:r>
      <w:r>
        <w:rPr>
          <w:lang w:eastAsia="ja-JP"/>
        </w:rPr>
        <w:t xml:space="preserve"> sensitive species</w:t>
      </w:r>
      <w:r w:rsidR="000B6191">
        <w:rPr>
          <w:lang w:eastAsia="ja-JP"/>
        </w:rPr>
        <w:t xml:space="preserve"> would be sufficiently protected</w:t>
      </w:r>
      <w:r>
        <w:rPr>
          <w:lang w:eastAsia="ja-JP"/>
        </w:rPr>
        <w:t>.</w:t>
      </w:r>
    </w:p>
    <w:p w14:paraId="273CDCC7" w14:textId="77777777" w:rsidR="00557389" w:rsidRPr="00FC53AF" w:rsidRDefault="00324184" w:rsidP="00A37952">
      <w:pPr>
        <w:pStyle w:val="Caption"/>
        <w:rPr>
          <w:lang w:eastAsia="ja-JP"/>
        </w:rPr>
      </w:pPr>
      <w:bookmarkStart w:id="85" w:name="_Ref85903785"/>
      <w:bookmarkStart w:id="86" w:name="_Toc89268640"/>
      <w:r>
        <w:t>Table E </w:t>
      </w:r>
      <w:r w:rsidR="00A41C81">
        <w:fldChar w:fldCharType="begin"/>
      </w:r>
      <w:r>
        <w:instrText xml:space="preserve"> SEQ Table_E \* ARABIC </w:instrText>
      </w:r>
      <w:r w:rsidR="00A41C81">
        <w:fldChar w:fldCharType="separate"/>
      </w:r>
      <w:r w:rsidR="00A41C81">
        <w:rPr>
          <w:noProof/>
        </w:rPr>
        <w:t>1</w:t>
      </w:r>
      <w:r w:rsidR="00A41C81">
        <w:rPr>
          <w:noProof/>
        </w:rPr>
        <w:fldChar w:fldCharType="end"/>
      </w:r>
      <w:bookmarkEnd w:id="85"/>
      <w:r w:rsidRPr="00FC53AF">
        <w:rPr>
          <w:lang w:eastAsia="ja-JP"/>
        </w:rPr>
        <w:t xml:space="preserve"> Summary of preferred chronic toxicity values for </w:t>
      </w:r>
      <w:r w:rsidR="00FD217B">
        <w:rPr>
          <w:lang w:eastAsia="ja-JP"/>
        </w:rPr>
        <w:t xml:space="preserve">dissolved </w:t>
      </w:r>
      <w:r w:rsidRPr="00FC53AF">
        <w:rPr>
          <w:lang w:eastAsia="ja-JP"/>
        </w:rPr>
        <w:t xml:space="preserve">copper </w:t>
      </w:r>
      <w:r w:rsidR="00FD217B">
        <w:rPr>
          <w:lang w:eastAsia="ja-JP"/>
        </w:rPr>
        <w:t xml:space="preserve">in </w:t>
      </w:r>
      <w:r w:rsidRPr="00FC53AF">
        <w:rPr>
          <w:lang w:eastAsia="ja-JP"/>
        </w:rPr>
        <w:t>marine</w:t>
      </w:r>
      <w:r w:rsidR="00FD217B">
        <w:rPr>
          <w:lang w:eastAsia="ja-JP"/>
        </w:rPr>
        <w:t xml:space="preserve"> water</w:t>
      </w:r>
      <w:bookmarkEnd w:id="86"/>
    </w:p>
    <w:tbl>
      <w:tblPr>
        <w:tblW w:w="5000" w:type="pct"/>
        <w:tblBorders>
          <w:top w:val="single" w:sz="4" w:space="0" w:color="auto"/>
          <w:bottom w:val="single" w:sz="4" w:space="0" w:color="auto"/>
          <w:insideH w:val="single" w:sz="4" w:space="0" w:color="auto"/>
        </w:tblBorders>
        <w:tblLook w:val="0200" w:firstRow="0" w:lastRow="0" w:firstColumn="0" w:lastColumn="0" w:noHBand="1" w:noVBand="0"/>
        <w:tblCaption w:val="Summary of preferred chronic toxicity values for dissolved copper in marine water"/>
        <w:tblDescription w:val="Table shows species that have chronic data using preferred toxicity estimates. Table lists the species with additional details such as taxonomic group, life stage, exposure duration (day), toxicity measure (test endpoint), toxicity value (microgram per litre)."/>
      </w:tblPr>
      <w:tblGrid>
        <w:gridCol w:w="1427"/>
        <w:gridCol w:w="1972"/>
        <w:gridCol w:w="1134"/>
        <w:gridCol w:w="996"/>
        <w:gridCol w:w="2409"/>
        <w:gridCol w:w="1132"/>
      </w:tblGrid>
      <w:tr w:rsidR="00091AEB" w14:paraId="273CDCCE" w14:textId="77777777" w:rsidTr="004913D3">
        <w:trPr>
          <w:cantSplit/>
          <w:trHeight w:val="275"/>
          <w:tblHeader/>
        </w:trPr>
        <w:tc>
          <w:tcPr>
            <w:tcW w:w="787" w:type="pct"/>
            <w:tcBorders>
              <w:top w:val="single" w:sz="12" w:space="0" w:color="auto"/>
              <w:bottom w:val="single" w:sz="12" w:space="0" w:color="auto"/>
            </w:tcBorders>
            <w:shd w:val="clear" w:color="auto" w:fill="auto"/>
            <w:tcMar>
              <w:left w:w="85" w:type="dxa"/>
              <w:right w:w="57" w:type="dxa"/>
            </w:tcMar>
          </w:tcPr>
          <w:p w14:paraId="273CDCC8" w14:textId="77777777" w:rsidR="00FC53AF" w:rsidRPr="00574CAC" w:rsidRDefault="00324184" w:rsidP="00DD2C8C">
            <w:pPr>
              <w:pStyle w:val="TableHeading"/>
              <w:spacing w:before="50"/>
            </w:pPr>
            <w:r w:rsidRPr="00574CAC">
              <w:t xml:space="preserve">Taxonomic group </w:t>
            </w:r>
          </w:p>
        </w:tc>
        <w:tc>
          <w:tcPr>
            <w:tcW w:w="1087" w:type="pct"/>
            <w:tcBorders>
              <w:top w:val="single" w:sz="12" w:space="0" w:color="auto"/>
              <w:bottom w:val="single" w:sz="12" w:space="0" w:color="auto"/>
            </w:tcBorders>
            <w:shd w:val="clear" w:color="auto" w:fill="auto"/>
            <w:tcMar>
              <w:left w:w="85" w:type="dxa"/>
              <w:right w:w="57" w:type="dxa"/>
            </w:tcMar>
          </w:tcPr>
          <w:p w14:paraId="273CDCC9" w14:textId="77777777" w:rsidR="00FC53AF" w:rsidRPr="00574CAC" w:rsidRDefault="00324184" w:rsidP="00DD2C8C">
            <w:pPr>
              <w:pStyle w:val="TableHeading"/>
              <w:spacing w:before="50"/>
            </w:pPr>
            <w:r w:rsidRPr="00574CAC">
              <w:t>Species</w:t>
            </w:r>
          </w:p>
        </w:tc>
        <w:tc>
          <w:tcPr>
            <w:tcW w:w="625" w:type="pct"/>
            <w:tcBorders>
              <w:top w:val="single" w:sz="12" w:space="0" w:color="auto"/>
              <w:bottom w:val="single" w:sz="12" w:space="0" w:color="auto"/>
            </w:tcBorders>
            <w:shd w:val="clear" w:color="auto" w:fill="auto"/>
            <w:tcMar>
              <w:left w:w="85" w:type="dxa"/>
              <w:right w:w="57" w:type="dxa"/>
            </w:tcMar>
          </w:tcPr>
          <w:p w14:paraId="273CDCCA" w14:textId="77777777" w:rsidR="00FC53AF" w:rsidRPr="00574CAC" w:rsidRDefault="00324184" w:rsidP="00DD2C8C">
            <w:pPr>
              <w:pStyle w:val="TableHeading"/>
              <w:spacing w:before="50"/>
            </w:pPr>
            <w:r w:rsidRPr="00574CAC">
              <w:t>Life stage</w:t>
            </w:r>
          </w:p>
        </w:tc>
        <w:tc>
          <w:tcPr>
            <w:tcW w:w="549" w:type="pct"/>
            <w:tcBorders>
              <w:top w:val="single" w:sz="12" w:space="0" w:color="auto"/>
              <w:bottom w:val="single" w:sz="12" w:space="0" w:color="auto"/>
            </w:tcBorders>
            <w:shd w:val="clear" w:color="auto" w:fill="auto"/>
            <w:tcMar>
              <w:left w:w="57" w:type="dxa"/>
              <w:right w:w="0" w:type="dxa"/>
            </w:tcMar>
          </w:tcPr>
          <w:p w14:paraId="273CDCCB" w14:textId="77777777" w:rsidR="00FC53AF" w:rsidRPr="00574CAC" w:rsidRDefault="00324184" w:rsidP="00DD2C8C">
            <w:pPr>
              <w:pStyle w:val="TableHeading"/>
              <w:spacing w:before="50"/>
            </w:pPr>
            <w:r w:rsidRPr="00574CAC">
              <w:t>Exposure duration (d)</w:t>
            </w:r>
          </w:p>
        </w:tc>
        <w:tc>
          <w:tcPr>
            <w:tcW w:w="1328" w:type="pct"/>
            <w:tcBorders>
              <w:top w:val="single" w:sz="12" w:space="0" w:color="auto"/>
              <w:bottom w:val="single" w:sz="12" w:space="0" w:color="auto"/>
            </w:tcBorders>
            <w:shd w:val="clear" w:color="auto" w:fill="auto"/>
            <w:tcMar>
              <w:left w:w="57" w:type="dxa"/>
              <w:right w:w="28" w:type="dxa"/>
            </w:tcMar>
          </w:tcPr>
          <w:p w14:paraId="273CDCCC" w14:textId="77777777" w:rsidR="00FC53AF" w:rsidRPr="00574CAC" w:rsidRDefault="00324184" w:rsidP="00DD2C8C">
            <w:pPr>
              <w:pStyle w:val="TableHeading"/>
              <w:spacing w:before="50"/>
            </w:pPr>
            <w:r w:rsidRPr="00574CAC">
              <w:t>Toxicity measure (</w:t>
            </w:r>
            <w:r w:rsidR="00784E26" w:rsidRPr="00574CAC">
              <w:t>test endpoint</w:t>
            </w:r>
            <w:r w:rsidRPr="00574CAC">
              <w:t>)</w:t>
            </w:r>
          </w:p>
        </w:tc>
        <w:tc>
          <w:tcPr>
            <w:tcW w:w="624" w:type="pct"/>
            <w:tcBorders>
              <w:top w:val="single" w:sz="12" w:space="0" w:color="auto"/>
              <w:bottom w:val="single" w:sz="12" w:space="0" w:color="auto"/>
            </w:tcBorders>
            <w:shd w:val="clear" w:color="auto" w:fill="auto"/>
            <w:tcMar>
              <w:left w:w="28" w:type="dxa"/>
              <w:right w:w="0" w:type="dxa"/>
            </w:tcMar>
          </w:tcPr>
          <w:p w14:paraId="273CDCCD" w14:textId="77777777" w:rsidR="00FC53AF" w:rsidRPr="00574CAC" w:rsidRDefault="00324184" w:rsidP="00DD2C8C">
            <w:pPr>
              <w:pStyle w:val="TableHeading"/>
              <w:spacing w:before="50"/>
            </w:pPr>
            <w:r w:rsidRPr="00574CAC">
              <w:t>Toxicity value (µg/L)</w:t>
            </w:r>
          </w:p>
        </w:tc>
      </w:tr>
      <w:tr w:rsidR="00091AEB" w14:paraId="273CDCD5" w14:textId="77777777" w:rsidTr="004913D3">
        <w:trPr>
          <w:cantSplit/>
        </w:trPr>
        <w:tc>
          <w:tcPr>
            <w:tcW w:w="787" w:type="pct"/>
            <w:vMerge w:val="restart"/>
            <w:tcBorders>
              <w:top w:val="single" w:sz="12" w:space="0" w:color="auto"/>
            </w:tcBorders>
            <w:shd w:val="clear" w:color="auto" w:fill="auto"/>
            <w:tcMar>
              <w:left w:w="85" w:type="dxa"/>
              <w:right w:w="57" w:type="dxa"/>
            </w:tcMar>
          </w:tcPr>
          <w:p w14:paraId="273CDCCF" w14:textId="77777777" w:rsidR="00C312C0" w:rsidRPr="00574CAC" w:rsidRDefault="00324184" w:rsidP="00DD2C8C">
            <w:pPr>
              <w:pStyle w:val="TableText"/>
              <w:spacing w:before="50"/>
            </w:pPr>
            <w:r w:rsidRPr="00574CAC">
              <w:t>Diatom</w:t>
            </w:r>
          </w:p>
        </w:tc>
        <w:tc>
          <w:tcPr>
            <w:tcW w:w="1087" w:type="pct"/>
            <w:tcBorders>
              <w:top w:val="single" w:sz="12" w:space="0" w:color="auto"/>
            </w:tcBorders>
            <w:shd w:val="clear" w:color="auto" w:fill="auto"/>
            <w:tcMar>
              <w:left w:w="85" w:type="dxa"/>
              <w:right w:w="57" w:type="dxa"/>
            </w:tcMar>
          </w:tcPr>
          <w:p w14:paraId="273CDCD0" w14:textId="77777777" w:rsidR="00C312C0" w:rsidRPr="00CB5B77" w:rsidRDefault="00324184" w:rsidP="00DD2C8C">
            <w:pPr>
              <w:pStyle w:val="TableText"/>
              <w:spacing w:before="50"/>
              <w:rPr>
                <w:rStyle w:val="Emphasis"/>
              </w:rPr>
            </w:pPr>
            <w:r w:rsidRPr="00CB5B77">
              <w:rPr>
                <w:rStyle w:val="Emphasis"/>
              </w:rPr>
              <w:t>Ceratoneis closterium</w:t>
            </w:r>
          </w:p>
        </w:tc>
        <w:tc>
          <w:tcPr>
            <w:tcW w:w="625" w:type="pct"/>
            <w:tcBorders>
              <w:top w:val="single" w:sz="12" w:space="0" w:color="auto"/>
            </w:tcBorders>
            <w:shd w:val="clear" w:color="auto" w:fill="auto"/>
            <w:tcMar>
              <w:left w:w="85" w:type="dxa"/>
              <w:right w:w="57" w:type="dxa"/>
            </w:tcMar>
          </w:tcPr>
          <w:p w14:paraId="273CDCD1" w14:textId="77777777" w:rsidR="00C312C0" w:rsidRPr="00574CAC" w:rsidRDefault="00324184" w:rsidP="00DD2C8C">
            <w:pPr>
              <w:pStyle w:val="TableText"/>
              <w:spacing w:before="50"/>
            </w:pPr>
            <w:r>
              <w:t xml:space="preserve">Exponential </w:t>
            </w:r>
            <w:r w:rsidRPr="00574CAC">
              <w:t xml:space="preserve">growth </w:t>
            </w:r>
          </w:p>
        </w:tc>
        <w:tc>
          <w:tcPr>
            <w:tcW w:w="549" w:type="pct"/>
            <w:tcBorders>
              <w:top w:val="single" w:sz="12" w:space="0" w:color="auto"/>
            </w:tcBorders>
            <w:shd w:val="clear" w:color="auto" w:fill="auto"/>
            <w:tcMar>
              <w:left w:w="85" w:type="dxa"/>
              <w:right w:w="57" w:type="dxa"/>
            </w:tcMar>
          </w:tcPr>
          <w:p w14:paraId="273CDCD2" w14:textId="77777777" w:rsidR="00C312C0" w:rsidRPr="00574CAC" w:rsidRDefault="00324184" w:rsidP="00DD2C8C">
            <w:pPr>
              <w:pStyle w:val="TableText"/>
              <w:spacing w:before="50"/>
            </w:pPr>
            <w:r w:rsidRPr="00574CAC">
              <w:t>3</w:t>
            </w:r>
          </w:p>
        </w:tc>
        <w:tc>
          <w:tcPr>
            <w:tcW w:w="1328" w:type="pct"/>
            <w:tcBorders>
              <w:top w:val="single" w:sz="12" w:space="0" w:color="auto"/>
            </w:tcBorders>
            <w:shd w:val="clear" w:color="auto" w:fill="auto"/>
            <w:tcMar>
              <w:left w:w="57" w:type="dxa"/>
              <w:right w:w="28" w:type="dxa"/>
            </w:tcMar>
          </w:tcPr>
          <w:p w14:paraId="273CDCD3" w14:textId="77777777" w:rsidR="00C312C0" w:rsidRPr="00574CAC" w:rsidRDefault="00324184" w:rsidP="00DD2C8C">
            <w:pPr>
              <w:pStyle w:val="TableText"/>
              <w:spacing w:before="50"/>
            </w:pPr>
            <w:r w:rsidRPr="00574CAC">
              <w:t>EC10 (Population growth rate)</w:t>
            </w:r>
          </w:p>
        </w:tc>
        <w:tc>
          <w:tcPr>
            <w:tcW w:w="624" w:type="pct"/>
            <w:tcBorders>
              <w:top w:val="single" w:sz="12" w:space="0" w:color="auto"/>
            </w:tcBorders>
            <w:shd w:val="clear" w:color="auto" w:fill="auto"/>
            <w:tcMar>
              <w:left w:w="85" w:type="dxa"/>
              <w:right w:w="57" w:type="dxa"/>
            </w:tcMar>
          </w:tcPr>
          <w:p w14:paraId="273CDCD4" w14:textId="77777777" w:rsidR="00C312C0" w:rsidRPr="00574CAC" w:rsidRDefault="00324184" w:rsidP="00DD2C8C">
            <w:pPr>
              <w:pStyle w:val="TableText"/>
              <w:spacing w:before="50"/>
            </w:pPr>
            <w:r w:rsidRPr="00574CAC">
              <w:t>1.</w:t>
            </w:r>
            <w:r w:rsidR="00016132">
              <w:t>7</w:t>
            </w:r>
          </w:p>
        </w:tc>
      </w:tr>
      <w:tr w:rsidR="00091AEB" w14:paraId="273CDCDC" w14:textId="77777777" w:rsidTr="004913D3">
        <w:trPr>
          <w:cantSplit/>
        </w:trPr>
        <w:tc>
          <w:tcPr>
            <w:tcW w:w="787" w:type="pct"/>
            <w:vMerge/>
            <w:shd w:val="clear" w:color="auto" w:fill="auto"/>
            <w:tcMar>
              <w:left w:w="85" w:type="dxa"/>
              <w:right w:w="57" w:type="dxa"/>
            </w:tcMar>
          </w:tcPr>
          <w:p w14:paraId="273CDCD6" w14:textId="77777777" w:rsidR="00C312C0" w:rsidRPr="00574CAC" w:rsidRDefault="00C312C0" w:rsidP="00DD2C8C">
            <w:pPr>
              <w:pStyle w:val="TableText"/>
              <w:spacing w:before="50"/>
            </w:pPr>
          </w:p>
        </w:tc>
        <w:tc>
          <w:tcPr>
            <w:tcW w:w="1087" w:type="pct"/>
            <w:shd w:val="clear" w:color="auto" w:fill="auto"/>
            <w:tcMar>
              <w:left w:w="85" w:type="dxa"/>
              <w:right w:w="57" w:type="dxa"/>
            </w:tcMar>
          </w:tcPr>
          <w:p w14:paraId="273CDCD7" w14:textId="77777777" w:rsidR="00C312C0" w:rsidRPr="00CB5B77" w:rsidRDefault="00324184" w:rsidP="00DD2C8C">
            <w:pPr>
              <w:pStyle w:val="TableText"/>
              <w:spacing w:before="50"/>
              <w:rPr>
                <w:rStyle w:val="Emphasis"/>
              </w:rPr>
            </w:pPr>
            <w:r w:rsidRPr="00CB5B77">
              <w:rPr>
                <w:rStyle w:val="Emphasis"/>
              </w:rPr>
              <w:t>Entomoneis punctulata</w:t>
            </w:r>
          </w:p>
        </w:tc>
        <w:tc>
          <w:tcPr>
            <w:tcW w:w="625" w:type="pct"/>
            <w:shd w:val="clear" w:color="auto" w:fill="auto"/>
            <w:tcMar>
              <w:left w:w="85" w:type="dxa"/>
              <w:right w:w="57" w:type="dxa"/>
            </w:tcMar>
          </w:tcPr>
          <w:p w14:paraId="273CDCD8" w14:textId="77777777" w:rsidR="00C312C0" w:rsidRPr="00574CAC" w:rsidRDefault="00324184" w:rsidP="00DD2C8C">
            <w:pPr>
              <w:pStyle w:val="TableText"/>
              <w:spacing w:before="50"/>
            </w:pPr>
            <w:r>
              <w:t>Exponential</w:t>
            </w:r>
            <w:r w:rsidRPr="00574CAC">
              <w:t xml:space="preserve"> growth </w:t>
            </w:r>
          </w:p>
        </w:tc>
        <w:tc>
          <w:tcPr>
            <w:tcW w:w="549" w:type="pct"/>
            <w:shd w:val="clear" w:color="auto" w:fill="auto"/>
            <w:tcMar>
              <w:left w:w="85" w:type="dxa"/>
              <w:right w:w="57" w:type="dxa"/>
            </w:tcMar>
          </w:tcPr>
          <w:p w14:paraId="273CDCD9" w14:textId="77777777" w:rsidR="00C312C0" w:rsidRPr="00574CAC" w:rsidRDefault="00324184" w:rsidP="00DD2C8C">
            <w:pPr>
              <w:pStyle w:val="TableText"/>
              <w:spacing w:before="50"/>
            </w:pPr>
            <w:r w:rsidRPr="00574CAC">
              <w:t>3</w:t>
            </w:r>
          </w:p>
        </w:tc>
        <w:tc>
          <w:tcPr>
            <w:tcW w:w="1328" w:type="pct"/>
            <w:shd w:val="clear" w:color="auto" w:fill="auto"/>
            <w:tcMar>
              <w:left w:w="57" w:type="dxa"/>
              <w:right w:w="28" w:type="dxa"/>
            </w:tcMar>
          </w:tcPr>
          <w:p w14:paraId="273CDCDA" w14:textId="77777777" w:rsidR="00C312C0" w:rsidRPr="00574CAC" w:rsidRDefault="00324184" w:rsidP="00DD2C8C">
            <w:pPr>
              <w:pStyle w:val="TableText"/>
              <w:spacing w:before="50"/>
            </w:pPr>
            <w:r w:rsidRPr="00574CAC">
              <w:t>IC10 (Population growth rate)</w:t>
            </w:r>
          </w:p>
        </w:tc>
        <w:tc>
          <w:tcPr>
            <w:tcW w:w="624" w:type="pct"/>
            <w:shd w:val="clear" w:color="auto" w:fill="auto"/>
            <w:tcMar>
              <w:left w:w="85" w:type="dxa"/>
              <w:right w:w="57" w:type="dxa"/>
            </w:tcMar>
          </w:tcPr>
          <w:p w14:paraId="273CDCDB" w14:textId="77777777" w:rsidR="00C312C0" w:rsidRPr="00574CAC" w:rsidRDefault="00324184" w:rsidP="00DD2C8C">
            <w:pPr>
              <w:pStyle w:val="TableText"/>
              <w:spacing w:before="50"/>
            </w:pPr>
            <w:r w:rsidRPr="00574CAC">
              <w:t>1.4</w:t>
            </w:r>
          </w:p>
        </w:tc>
      </w:tr>
      <w:tr w:rsidR="00091AEB" w14:paraId="273CDCE3" w14:textId="77777777" w:rsidTr="004913D3">
        <w:trPr>
          <w:cantSplit/>
        </w:trPr>
        <w:tc>
          <w:tcPr>
            <w:tcW w:w="787" w:type="pct"/>
            <w:vMerge/>
            <w:shd w:val="clear" w:color="auto" w:fill="auto"/>
            <w:tcMar>
              <w:left w:w="85" w:type="dxa"/>
              <w:right w:w="57" w:type="dxa"/>
            </w:tcMar>
          </w:tcPr>
          <w:p w14:paraId="273CDCDD" w14:textId="77777777" w:rsidR="00C312C0" w:rsidRPr="00574CAC" w:rsidRDefault="00C312C0" w:rsidP="00DD2C8C">
            <w:pPr>
              <w:pStyle w:val="TableText"/>
              <w:spacing w:before="50"/>
            </w:pPr>
          </w:p>
        </w:tc>
        <w:tc>
          <w:tcPr>
            <w:tcW w:w="1087" w:type="pct"/>
            <w:shd w:val="clear" w:color="auto" w:fill="auto"/>
            <w:tcMar>
              <w:left w:w="85" w:type="dxa"/>
              <w:right w:w="57" w:type="dxa"/>
            </w:tcMar>
          </w:tcPr>
          <w:p w14:paraId="273CDCDE" w14:textId="77777777" w:rsidR="00C312C0" w:rsidRPr="00CB5B77" w:rsidRDefault="00324184" w:rsidP="00DD2C8C">
            <w:pPr>
              <w:pStyle w:val="TableText"/>
              <w:spacing w:before="50"/>
              <w:rPr>
                <w:rStyle w:val="Emphasis"/>
              </w:rPr>
            </w:pPr>
            <w:r w:rsidRPr="00CB5B77">
              <w:rPr>
                <w:rStyle w:val="Emphasis"/>
              </w:rPr>
              <w:t>Phaeodactylum tricornutum</w:t>
            </w:r>
          </w:p>
        </w:tc>
        <w:tc>
          <w:tcPr>
            <w:tcW w:w="625" w:type="pct"/>
            <w:shd w:val="clear" w:color="auto" w:fill="auto"/>
            <w:tcMar>
              <w:left w:w="85" w:type="dxa"/>
              <w:right w:w="57" w:type="dxa"/>
            </w:tcMar>
          </w:tcPr>
          <w:p w14:paraId="273CDCDF" w14:textId="77777777" w:rsidR="00C312C0" w:rsidRPr="00574CAC" w:rsidRDefault="00324184" w:rsidP="00DD2C8C">
            <w:pPr>
              <w:pStyle w:val="TableText"/>
              <w:spacing w:before="50"/>
            </w:pPr>
            <w:r>
              <w:t>Exponential</w:t>
            </w:r>
            <w:r w:rsidRPr="00574CAC">
              <w:t xml:space="preserve"> growth </w:t>
            </w:r>
          </w:p>
        </w:tc>
        <w:tc>
          <w:tcPr>
            <w:tcW w:w="549" w:type="pct"/>
            <w:shd w:val="clear" w:color="auto" w:fill="auto"/>
            <w:tcMar>
              <w:left w:w="85" w:type="dxa"/>
              <w:right w:w="57" w:type="dxa"/>
            </w:tcMar>
          </w:tcPr>
          <w:p w14:paraId="273CDCE0" w14:textId="77777777" w:rsidR="00C312C0" w:rsidRPr="00574CAC" w:rsidRDefault="00324184" w:rsidP="00DD2C8C">
            <w:pPr>
              <w:pStyle w:val="TableText"/>
              <w:spacing w:before="50"/>
            </w:pPr>
            <w:r w:rsidRPr="00574CAC">
              <w:t>2</w:t>
            </w:r>
            <w:r w:rsidR="001005D9">
              <w:t>–</w:t>
            </w:r>
            <w:r w:rsidRPr="00574CAC">
              <w:t>3</w:t>
            </w:r>
          </w:p>
        </w:tc>
        <w:tc>
          <w:tcPr>
            <w:tcW w:w="1328" w:type="pct"/>
            <w:shd w:val="clear" w:color="auto" w:fill="auto"/>
            <w:tcMar>
              <w:left w:w="57" w:type="dxa"/>
              <w:right w:w="28" w:type="dxa"/>
            </w:tcMar>
          </w:tcPr>
          <w:p w14:paraId="273CDCE1" w14:textId="77777777" w:rsidR="00C312C0" w:rsidRPr="00574CAC" w:rsidRDefault="00324184" w:rsidP="00DD2C8C">
            <w:pPr>
              <w:pStyle w:val="TableText"/>
              <w:spacing w:before="50"/>
            </w:pPr>
            <w:r w:rsidRPr="00574CAC">
              <w:t xml:space="preserve">IC20 </w:t>
            </w:r>
            <w:r w:rsidRPr="00574CAC">
              <w:t>(Population growth rate)</w:t>
            </w:r>
          </w:p>
        </w:tc>
        <w:tc>
          <w:tcPr>
            <w:tcW w:w="624" w:type="pct"/>
            <w:shd w:val="clear" w:color="auto" w:fill="auto"/>
            <w:tcMar>
              <w:left w:w="85" w:type="dxa"/>
              <w:right w:w="57" w:type="dxa"/>
            </w:tcMar>
          </w:tcPr>
          <w:p w14:paraId="273CDCE2" w14:textId="77777777" w:rsidR="00C312C0" w:rsidRPr="00574CAC" w:rsidRDefault="00324184" w:rsidP="00DD2C8C">
            <w:pPr>
              <w:pStyle w:val="TableText"/>
              <w:spacing w:before="50"/>
            </w:pPr>
            <w:r>
              <w:t>0.7</w:t>
            </w:r>
          </w:p>
        </w:tc>
      </w:tr>
      <w:tr w:rsidR="00091AEB" w14:paraId="273CDCEA" w14:textId="77777777" w:rsidTr="004913D3">
        <w:trPr>
          <w:cantSplit/>
        </w:trPr>
        <w:tc>
          <w:tcPr>
            <w:tcW w:w="787" w:type="pct"/>
            <w:shd w:val="clear" w:color="auto" w:fill="auto"/>
            <w:tcMar>
              <w:left w:w="85" w:type="dxa"/>
              <w:right w:w="57" w:type="dxa"/>
            </w:tcMar>
          </w:tcPr>
          <w:p w14:paraId="273CDCE4" w14:textId="77777777" w:rsidR="00FC53AF" w:rsidRPr="00574CAC" w:rsidRDefault="00324184" w:rsidP="00DD2C8C">
            <w:pPr>
              <w:pStyle w:val="TableText"/>
              <w:spacing w:before="50"/>
            </w:pPr>
            <w:r w:rsidRPr="00574CAC">
              <w:t>Blue</w:t>
            </w:r>
            <w:r w:rsidR="009B5479">
              <w:t>–</w:t>
            </w:r>
            <w:r w:rsidRPr="00574CAC">
              <w:t>green alga</w:t>
            </w:r>
          </w:p>
        </w:tc>
        <w:tc>
          <w:tcPr>
            <w:tcW w:w="1087" w:type="pct"/>
            <w:shd w:val="clear" w:color="auto" w:fill="auto"/>
            <w:tcMar>
              <w:left w:w="85" w:type="dxa"/>
              <w:right w:w="57" w:type="dxa"/>
            </w:tcMar>
          </w:tcPr>
          <w:p w14:paraId="273CDCE5" w14:textId="77777777" w:rsidR="00FC53AF" w:rsidRPr="00574CAC" w:rsidRDefault="00324184" w:rsidP="00DD2C8C">
            <w:pPr>
              <w:pStyle w:val="TableText"/>
              <w:spacing w:before="50"/>
            </w:pPr>
            <w:r w:rsidRPr="00CB5B77">
              <w:rPr>
                <w:rStyle w:val="Emphasis"/>
              </w:rPr>
              <w:t>Cyanobium</w:t>
            </w:r>
            <w:r w:rsidRPr="00574CAC">
              <w:t xml:space="preserve"> sp.</w:t>
            </w:r>
          </w:p>
        </w:tc>
        <w:tc>
          <w:tcPr>
            <w:tcW w:w="625" w:type="pct"/>
            <w:shd w:val="clear" w:color="auto" w:fill="auto"/>
            <w:tcMar>
              <w:left w:w="85" w:type="dxa"/>
              <w:right w:w="57" w:type="dxa"/>
            </w:tcMar>
          </w:tcPr>
          <w:p w14:paraId="273CDCE6" w14:textId="77777777" w:rsidR="00FC53AF" w:rsidRPr="00574CAC" w:rsidRDefault="00324184" w:rsidP="00DD2C8C">
            <w:pPr>
              <w:pStyle w:val="TableText"/>
              <w:spacing w:before="50"/>
            </w:pPr>
            <w:r>
              <w:t>Exponential</w:t>
            </w:r>
            <w:r w:rsidRPr="00574CAC">
              <w:t xml:space="preserve"> growth </w:t>
            </w:r>
          </w:p>
        </w:tc>
        <w:tc>
          <w:tcPr>
            <w:tcW w:w="549" w:type="pct"/>
            <w:shd w:val="clear" w:color="auto" w:fill="auto"/>
            <w:tcMar>
              <w:left w:w="85" w:type="dxa"/>
              <w:right w:w="57" w:type="dxa"/>
            </w:tcMar>
          </w:tcPr>
          <w:p w14:paraId="273CDCE7" w14:textId="77777777" w:rsidR="00FC53AF" w:rsidRPr="00574CAC" w:rsidRDefault="00324184" w:rsidP="00DD2C8C">
            <w:pPr>
              <w:pStyle w:val="TableText"/>
              <w:spacing w:before="50"/>
            </w:pPr>
            <w:r w:rsidRPr="00574CAC">
              <w:t>3</w:t>
            </w:r>
          </w:p>
        </w:tc>
        <w:tc>
          <w:tcPr>
            <w:tcW w:w="1328" w:type="pct"/>
            <w:shd w:val="clear" w:color="auto" w:fill="auto"/>
            <w:tcMar>
              <w:left w:w="57" w:type="dxa"/>
              <w:right w:w="28" w:type="dxa"/>
            </w:tcMar>
          </w:tcPr>
          <w:p w14:paraId="273CDCE8" w14:textId="77777777" w:rsidR="00FC53AF" w:rsidRPr="00574CAC" w:rsidRDefault="00324184" w:rsidP="00DD2C8C">
            <w:pPr>
              <w:pStyle w:val="TableText"/>
              <w:spacing w:before="50"/>
            </w:pPr>
            <w:r w:rsidRPr="00574CAC">
              <w:t>EC10 (Population growth rate)</w:t>
            </w:r>
          </w:p>
        </w:tc>
        <w:tc>
          <w:tcPr>
            <w:tcW w:w="624" w:type="pct"/>
            <w:shd w:val="clear" w:color="auto" w:fill="auto"/>
            <w:tcMar>
              <w:left w:w="85" w:type="dxa"/>
              <w:right w:w="57" w:type="dxa"/>
            </w:tcMar>
          </w:tcPr>
          <w:p w14:paraId="273CDCE9" w14:textId="77777777" w:rsidR="00FC53AF" w:rsidRPr="00574CAC" w:rsidRDefault="00324184" w:rsidP="00DD2C8C">
            <w:pPr>
              <w:pStyle w:val="TableText"/>
              <w:spacing w:before="50"/>
            </w:pPr>
            <w:r w:rsidRPr="00574CAC">
              <w:t>300</w:t>
            </w:r>
          </w:p>
        </w:tc>
      </w:tr>
      <w:tr w:rsidR="00091AEB" w14:paraId="273CDCF1" w14:textId="77777777" w:rsidTr="004913D3">
        <w:trPr>
          <w:cantSplit/>
        </w:trPr>
        <w:tc>
          <w:tcPr>
            <w:tcW w:w="787" w:type="pct"/>
            <w:shd w:val="clear" w:color="auto" w:fill="auto"/>
            <w:tcMar>
              <w:left w:w="85" w:type="dxa"/>
              <w:right w:w="57" w:type="dxa"/>
            </w:tcMar>
          </w:tcPr>
          <w:p w14:paraId="273CDCEB" w14:textId="77777777" w:rsidR="00FC53AF" w:rsidRPr="00574CAC" w:rsidRDefault="00324184" w:rsidP="00DD2C8C">
            <w:pPr>
              <w:pStyle w:val="TableText"/>
              <w:spacing w:before="50"/>
            </w:pPr>
            <w:r>
              <w:t>Brown microalga</w:t>
            </w:r>
          </w:p>
        </w:tc>
        <w:tc>
          <w:tcPr>
            <w:tcW w:w="1087" w:type="pct"/>
            <w:shd w:val="clear" w:color="auto" w:fill="auto"/>
            <w:tcMar>
              <w:left w:w="85" w:type="dxa"/>
              <w:right w:w="57" w:type="dxa"/>
            </w:tcMar>
          </w:tcPr>
          <w:p w14:paraId="273CDCEC" w14:textId="77777777" w:rsidR="00FC53AF" w:rsidRPr="00CB5B77" w:rsidRDefault="00324184" w:rsidP="00DD2C8C">
            <w:pPr>
              <w:pStyle w:val="TableText"/>
              <w:spacing w:before="50"/>
              <w:rPr>
                <w:rStyle w:val="Emphasis"/>
              </w:rPr>
            </w:pPr>
            <w:r w:rsidRPr="00CB5B77">
              <w:rPr>
                <w:rStyle w:val="Emphasis"/>
              </w:rPr>
              <w:t>Isochrysis galbana</w:t>
            </w:r>
          </w:p>
        </w:tc>
        <w:tc>
          <w:tcPr>
            <w:tcW w:w="625" w:type="pct"/>
            <w:shd w:val="clear" w:color="auto" w:fill="auto"/>
            <w:tcMar>
              <w:left w:w="85" w:type="dxa"/>
              <w:right w:w="57" w:type="dxa"/>
            </w:tcMar>
          </w:tcPr>
          <w:p w14:paraId="273CDCED" w14:textId="77777777" w:rsidR="00FC53AF" w:rsidRPr="00574CAC" w:rsidRDefault="00324184" w:rsidP="00DD2C8C">
            <w:pPr>
              <w:pStyle w:val="TableText"/>
              <w:spacing w:before="50"/>
            </w:pPr>
            <w:r>
              <w:t>Exponential</w:t>
            </w:r>
            <w:r w:rsidRPr="00574CAC">
              <w:t xml:space="preserve"> growth </w:t>
            </w:r>
          </w:p>
        </w:tc>
        <w:tc>
          <w:tcPr>
            <w:tcW w:w="549" w:type="pct"/>
            <w:shd w:val="clear" w:color="auto" w:fill="auto"/>
            <w:tcMar>
              <w:left w:w="85" w:type="dxa"/>
              <w:right w:w="57" w:type="dxa"/>
            </w:tcMar>
          </w:tcPr>
          <w:p w14:paraId="273CDCEE" w14:textId="77777777" w:rsidR="00FC53AF" w:rsidRPr="00574CAC" w:rsidRDefault="00324184" w:rsidP="00DD2C8C">
            <w:pPr>
              <w:pStyle w:val="TableText"/>
              <w:spacing w:before="50"/>
            </w:pPr>
            <w:r w:rsidRPr="00574CAC">
              <w:t>3</w:t>
            </w:r>
          </w:p>
        </w:tc>
        <w:tc>
          <w:tcPr>
            <w:tcW w:w="1328" w:type="pct"/>
            <w:shd w:val="clear" w:color="auto" w:fill="auto"/>
            <w:tcMar>
              <w:left w:w="57" w:type="dxa"/>
              <w:right w:w="28" w:type="dxa"/>
            </w:tcMar>
          </w:tcPr>
          <w:p w14:paraId="273CDCEF" w14:textId="77777777" w:rsidR="00FC53AF" w:rsidRPr="00574CAC" w:rsidRDefault="00324184" w:rsidP="00DD2C8C">
            <w:pPr>
              <w:pStyle w:val="TableText"/>
              <w:spacing w:before="50"/>
            </w:pPr>
            <w:r w:rsidRPr="00574CAC">
              <w:t>EC10 (Population growth rate)</w:t>
            </w:r>
          </w:p>
        </w:tc>
        <w:tc>
          <w:tcPr>
            <w:tcW w:w="624" w:type="pct"/>
            <w:shd w:val="clear" w:color="auto" w:fill="auto"/>
            <w:tcMar>
              <w:left w:w="85" w:type="dxa"/>
              <w:right w:w="57" w:type="dxa"/>
            </w:tcMar>
          </w:tcPr>
          <w:p w14:paraId="273CDCF0" w14:textId="77777777" w:rsidR="00FC53AF" w:rsidRPr="00574CAC" w:rsidRDefault="00324184" w:rsidP="00DD2C8C">
            <w:pPr>
              <w:pStyle w:val="TableText"/>
              <w:spacing w:before="50"/>
            </w:pPr>
            <w:r w:rsidRPr="00574CAC">
              <w:t>2.6</w:t>
            </w:r>
          </w:p>
        </w:tc>
      </w:tr>
      <w:tr w:rsidR="00091AEB" w14:paraId="273CDCF8" w14:textId="77777777" w:rsidTr="004913D3">
        <w:trPr>
          <w:cantSplit/>
        </w:trPr>
        <w:tc>
          <w:tcPr>
            <w:tcW w:w="787" w:type="pct"/>
            <w:shd w:val="clear" w:color="auto" w:fill="auto"/>
            <w:tcMar>
              <w:left w:w="85" w:type="dxa"/>
              <w:right w:w="57" w:type="dxa"/>
            </w:tcMar>
          </w:tcPr>
          <w:p w14:paraId="273CDCF2" w14:textId="77777777" w:rsidR="00FC53AF" w:rsidRPr="00574CAC" w:rsidRDefault="00324184" w:rsidP="00DD2C8C">
            <w:pPr>
              <w:pStyle w:val="TableText"/>
              <w:spacing w:before="50"/>
            </w:pPr>
            <w:r w:rsidRPr="00574CAC">
              <w:t>Green macroalga</w:t>
            </w:r>
          </w:p>
        </w:tc>
        <w:tc>
          <w:tcPr>
            <w:tcW w:w="1087" w:type="pct"/>
            <w:shd w:val="clear" w:color="auto" w:fill="auto"/>
            <w:tcMar>
              <w:left w:w="85" w:type="dxa"/>
              <w:right w:w="57" w:type="dxa"/>
            </w:tcMar>
          </w:tcPr>
          <w:p w14:paraId="273CDCF3" w14:textId="77777777" w:rsidR="00FC53AF" w:rsidRPr="00574CAC" w:rsidRDefault="00324184" w:rsidP="00DD2C8C">
            <w:pPr>
              <w:pStyle w:val="TableText"/>
              <w:spacing w:before="50"/>
            </w:pPr>
            <w:r w:rsidRPr="00CB5B77">
              <w:rPr>
                <w:rStyle w:val="Emphasis"/>
              </w:rPr>
              <w:t>Ulva lactuca</w:t>
            </w:r>
            <w:r w:rsidRPr="00574CAC">
              <w:t xml:space="preserve"> </w:t>
            </w:r>
          </w:p>
        </w:tc>
        <w:tc>
          <w:tcPr>
            <w:tcW w:w="625" w:type="pct"/>
            <w:shd w:val="clear" w:color="auto" w:fill="auto"/>
            <w:tcMar>
              <w:left w:w="85" w:type="dxa"/>
              <w:right w:w="57" w:type="dxa"/>
            </w:tcMar>
          </w:tcPr>
          <w:p w14:paraId="273CDCF4" w14:textId="77777777" w:rsidR="00FC53AF" w:rsidRPr="00574CAC" w:rsidRDefault="00324184" w:rsidP="00DD2C8C">
            <w:pPr>
              <w:pStyle w:val="TableText"/>
              <w:spacing w:before="50"/>
            </w:pPr>
            <w:r>
              <w:t>Zoos</w:t>
            </w:r>
            <w:r w:rsidRPr="00574CAC">
              <w:t>pore</w:t>
            </w:r>
          </w:p>
        </w:tc>
        <w:tc>
          <w:tcPr>
            <w:tcW w:w="549" w:type="pct"/>
            <w:shd w:val="clear" w:color="auto" w:fill="auto"/>
            <w:tcMar>
              <w:left w:w="85" w:type="dxa"/>
              <w:right w:w="57" w:type="dxa"/>
            </w:tcMar>
          </w:tcPr>
          <w:p w14:paraId="273CDCF5" w14:textId="77777777" w:rsidR="00FC53AF" w:rsidRPr="00574CAC" w:rsidRDefault="00324184" w:rsidP="00DD2C8C">
            <w:pPr>
              <w:pStyle w:val="TableText"/>
              <w:spacing w:before="50"/>
            </w:pPr>
            <w:r w:rsidRPr="00574CAC">
              <w:t>3</w:t>
            </w:r>
          </w:p>
        </w:tc>
        <w:tc>
          <w:tcPr>
            <w:tcW w:w="1328" w:type="pct"/>
            <w:shd w:val="clear" w:color="auto" w:fill="auto"/>
            <w:tcMar>
              <w:left w:w="57" w:type="dxa"/>
              <w:right w:w="28" w:type="dxa"/>
            </w:tcMar>
          </w:tcPr>
          <w:p w14:paraId="273CDCF6" w14:textId="77777777" w:rsidR="00FC53AF" w:rsidRPr="00574CAC" w:rsidRDefault="00324184" w:rsidP="00DD2C8C">
            <w:pPr>
              <w:pStyle w:val="TableText"/>
              <w:spacing w:before="50"/>
            </w:pPr>
            <w:r w:rsidRPr="00574CAC">
              <w:t>EC10 (</w:t>
            </w:r>
            <w:r w:rsidR="00ED3D2B">
              <w:t>S</w:t>
            </w:r>
            <w:r w:rsidRPr="00574CAC">
              <w:t>ettlement and growth)</w:t>
            </w:r>
          </w:p>
        </w:tc>
        <w:tc>
          <w:tcPr>
            <w:tcW w:w="624" w:type="pct"/>
            <w:shd w:val="clear" w:color="auto" w:fill="auto"/>
            <w:tcMar>
              <w:left w:w="85" w:type="dxa"/>
              <w:right w:w="57" w:type="dxa"/>
            </w:tcMar>
          </w:tcPr>
          <w:p w14:paraId="273CDCF7" w14:textId="77777777" w:rsidR="00FC53AF" w:rsidRPr="00574CAC" w:rsidRDefault="00324184" w:rsidP="00DD2C8C">
            <w:pPr>
              <w:pStyle w:val="TableText"/>
              <w:spacing w:before="50"/>
            </w:pPr>
            <w:r w:rsidRPr="00574CAC">
              <w:t>56</w:t>
            </w:r>
          </w:p>
        </w:tc>
      </w:tr>
      <w:tr w:rsidR="00091AEB" w14:paraId="273CDCFF" w14:textId="77777777" w:rsidTr="004913D3">
        <w:trPr>
          <w:cantSplit/>
        </w:trPr>
        <w:tc>
          <w:tcPr>
            <w:tcW w:w="787" w:type="pct"/>
            <w:shd w:val="clear" w:color="auto" w:fill="auto"/>
            <w:tcMar>
              <w:left w:w="85" w:type="dxa"/>
              <w:right w:w="57" w:type="dxa"/>
            </w:tcMar>
          </w:tcPr>
          <w:p w14:paraId="273CDCF9" w14:textId="77777777" w:rsidR="00FC53AF" w:rsidRPr="00574CAC" w:rsidRDefault="00324184" w:rsidP="00DD2C8C">
            <w:pPr>
              <w:pStyle w:val="TableText"/>
              <w:spacing w:before="50"/>
            </w:pPr>
            <w:r w:rsidRPr="00574CAC">
              <w:t xml:space="preserve">Brown </w:t>
            </w:r>
            <w:r w:rsidR="00364B0A">
              <w:t>macro</w:t>
            </w:r>
            <w:r w:rsidR="00C312C0" w:rsidRPr="00574CAC">
              <w:t>alga</w:t>
            </w:r>
          </w:p>
        </w:tc>
        <w:tc>
          <w:tcPr>
            <w:tcW w:w="1087" w:type="pct"/>
            <w:shd w:val="clear" w:color="auto" w:fill="auto"/>
            <w:tcMar>
              <w:left w:w="85" w:type="dxa"/>
              <w:right w:w="57" w:type="dxa"/>
            </w:tcMar>
          </w:tcPr>
          <w:p w14:paraId="273CDCFA" w14:textId="77777777" w:rsidR="00FC53AF" w:rsidRPr="00574CAC" w:rsidRDefault="00324184" w:rsidP="00DD2C8C">
            <w:pPr>
              <w:pStyle w:val="TableText"/>
              <w:spacing w:before="50"/>
            </w:pPr>
            <w:r w:rsidRPr="00CB5B77">
              <w:rPr>
                <w:rStyle w:val="Emphasis"/>
              </w:rPr>
              <w:t>Fucus vesiculosus</w:t>
            </w:r>
            <w:r w:rsidRPr="00574CAC">
              <w:t xml:space="preserve"> </w:t>
            </w:r>
          </w:p>
        </w:tc>
        <w:tc>
          <w:tcPr>
            <w:tcW w:w="625" w:type="pct"/>
            <w:shd w:val="clear" w:color="auto" w:fill="auto"/>
            <w:tcMar>
              <w:left w:w="85" w:type="dxa"/>
              <w:right w:w="57" w:type="dxa"/>
            </w:tcMar>
          </w:tcPr>
          <w:p w14:paraId="273CDCFB" w14:textId="77777777" w:rsidR="00FC53AF" w:rsidRPr="00574CAC" w:rsidRDefault="00324184" w:rsidP="00DD2C8C">
            <w:pPr>
              <w:pStyle w:val="TableText"/>
              <w:spacing w:before="50"/>
            </w:pPr>
            <w:r w:rsidRPr="00574CAC">
              <w:t>Germling</w:t>
            </w:r>
          </w:p>
        </w:tc>
        <w:tc>
          <w:tcPr>
            <w:tcW w:w="549" w:type="pct"/>
            <w:shd w:val="clear" w:color="auto" w:fill="auto"/>
            <w:tcMar>
              <w:left w:w="85" w:type="dxa"/>
              <w:right w:w="57" w:type="dxa"/>
            </w:tcMar>
          </w:tcPr>
          <w:p w14:paraId="273CDCFC" w14:textId="77777777" w:rsidR="00FC53AF" w:rsidRPr="00574CAC" w:rsidRDefault="00324184" w:rsidP="00DD2C8C">
            <w:pPr>
              <w:pStyle w:val="TableText"/>
              <w:spacing w:before="50"/>
            </w:pPr>
            <w:r w:rsidRPr="00574CAC">
              <w:t>14</w:t>
            </w:r>
          </w:p>
        </w:tc>
        <w:tc>
          <w:tcPr>
            <w:tcW w:w="1328" w:type="pct"/>
            <w:shd w:val="clear" w:color="auto" w:fill="auto"/>
            <w:tcMar>
              <w:left w:w="57" w:type="dxa"/>
              <w:right w:w="28" w:type="dxa"/>
            </w:tcMar>
          </w:tcPr>
          <w:p w14:paraId="273CDCFD" w14:textId="77777777" w:rsidR="00FC53AF" w:rsidRPr="00574CAC" w:rsidRDefault="00324184" w:rsidP="00DD2C8C">
            <w:pPr>
              <w:pStyle w:val="TableText"/>
              <w:spacing w:before="50"/>
            </w:pPr>
            <w:r w:rsidRPr="00574CAC">
              <w:t>NEC (Growth)</w:t>
            </w:r>
          </w:p>
        </w:tc>
        <w:tc>
          <w:tcPr>
            <w:tcW w:w="624" w:type="pct"/>
            <w:shd w:val="clear" w:color="auto" w:fill="auto"/>
            <w:tcMar>
              <w:left w:w="85" w:type="dxa"/>
              <w:right w:w="57" w:type="dxa"/>
            </w:tcMar>
          </w:tcPr>
          <w:p w14:paraId="273CDCFE" w14:textId="77777777" w:rsidR="00FC53AF" w:rsidRPr="00574CAC" w:rsidRDefault="00324184" w:rsidP="00DD2C8C">
            <w:pPr>
              <w:pStyle w:val="TableText"/>
              <w:spacing w:before="50"/>
            </w:pPr>
            <w:r w:rsidRPr="00574CAC">
              <w:t>17</w:t>
            </w:r>
          </w:p>
        </w:tc>
      </w:tr>
      <w:tr w:rsidR="00091AEB" w14:paraId="273CDD06" w14:textId="77777777" w:rsidTr="004913D3">
        <w:trPr>
          <w:cantSplit/>
        </w:trPr>
        <w:tc>
          <w:tcPr>
            <w:tcW w:w="787" w:type="pct"/>
            <w:vMerge w:val="restart"/>
            <w:shd w:val="clear" w:color="auto" w:fill="auto"/>
            <w:tcMar>
              <w:left w:w="85" w:type="dxa"/>
              <w:right w:w="57" w:type="dxa"/>
            </w:tcMar>
          </w:tcPr>
          <w:p w14:paraId="273CDD00" w14:textId="77777777" w:rsidR="00C312C0" w:rsidRPr="00574CAC" w:rsidRDefault="00324184" w:rsidP="00DD2C8C">
            <w:pPr>
              <w:pStyle w:val="TableText"/>
              <w:spacing w:before="50"/>
            </w:pPr>
            <w:r w:rsidRPr="00574CAC">
              <w:t>Cnidaria</w:t>
            </w:r>
            <w:r w:rsidR="00DC0C12">
              <w:t>n</w:t>
            </w:r>
          </w:p>
        </w:tc>
        <w:tc>
          <w:tcPr>
            <w:tcW w:w="1087" w:type="pct"/>
            <w:shd w:val="clear" w:color="auto" w:fill="auto"/>
            <w:tcMar>
              <w:left w:w="85" w:type="dxa"/>
              <w:right w:w="57" w:type="dxa"/>
            </w:tcMar>
          </w:tcPr>
          <w:p w14:paraId="273CDD01" w14:textId="77777777" w:rsidR="00C312C0" w:rsidRPr="00CB5B77" w:rsidRDefault="00324184" w:rsidP="00DD2C8C">
            <w:pPr>
              <w:pStyle w:val="TableText"/>
              <w:spacing w:before="50"/>
              <w:rPr>
                <w:rStyle w:val="Emphasis"/>
              </w:rPr>
            </w:pPr>
            <w:r w:rsidRPr="009B5479">
              <w:rPr>
                <w:rStyle w:val="Emphasis"/>
              </w:rPr>
              <w:t>Exaiptasia diaphana</w:t>
            </w:r>
            <w:r w:rsidR="009B5479">
              <w:rPr>
                <w:rStyle w:val="Emphasis"/>
              </w:rPr>
              <w:t xml:space="preserve"> </w:t>
            </w:r>
            <w:r w:rsidR="00FD3D45" w:rsidRPr="009B5479">
              <w:rPr>
                <w:rStyle w:val="Strong"/>
                <w:vertAlign w:val="superscript"/>
              </w:rPr>
              <w:t>a</w:t>
            </w:r>
          </w:p>
        </w:tc>
        <w:tc>
          <w:tcPr>
            <w:tcW w:w="625" w:type="pct"/>
            <w:shd w:val="clear" w:color="auto" w:fill="auto"/>
            <w:tcMar>
              <w:left w:w="85" w:type="dxa"/>
              <w:right w:w="57" w:type="dxa"/>
            </w:tcMar>
          </w:tcPr>
          <w:p w14:paraId="273CDD02" w14:textId="77777777" w:rsidR="00C312C0" w:rsidRPr="00574CAC" w:rsidRDefault="00324184" w:rsidP="00DD2C8C">
            <w:pPr>
              <w:pStyle w:val="TableText"/>
              <w:spacing w:before="50"/>
            </w:pPr>
            <w:r w:rsidRPr="00574CAC">
              <w:t>Adult</w:t>
            </w:r>
          </w:p>
        </w:tc>
        <w:tc>
          <w:tcPr>
            <w:tcW w:w="549" w:type="pct"/>
            <w:shd w:val="clear" w:color="auto" w:fill="auto"/>
            <w:tcMar>
              <w:left w:w="85" w:type="dxa"/>
              <w:right w:w="57" w:type="dxa"/>
            </w:tcMar>
          </w:tcPr>
          <w:p w14:paraId="273CDD03" w14:textId="77777777" w:rsidR="00C312C0" w:rsidRPr="00574CAC" w:rsidRDefault="00324184" w:rsidP="00DD2C8C">
            <w:pPr>
              <w:pStyle w:val="TableText"/>
              <w:spacing w:before="50"/>
            </w:pPr>
            <w:r w:rsidRPr="00574CAC">
              <w:t>28</w:t>
            </w:r>
          </w:p>
        </w:tc>
        <w:tc>
          <w:tcPr>
            <w:tcW w:w="1328" w:type="pct"/>
            <w:shd w:val="clear" w:color="auto" w:fill="auto"/>
            <w:tcMar>
              <w:left w:w="57" w:type="dxa"/>
              <w:right w:w="28" w:type="dxa"/>
            </w:tcMar>
          </w:tcPr>
          <w:p w14:paraId="273CDD04" w14:textId="77777777" w:rsidR="00C312C0" w:rsidRPr="00574CAC" w:rsidRDefault="00324184" w:rsidP="00DD2C8C">
            <w:pPr>
              <w:pStyle w:val="TableText"/>
              <w:spacing w:before="50"/>
            </w:pPr>
            <w:r w:rsidRPr="00574CAC">
              <w:t>EC10 (Reproduction)</w:t>
            </w:r>
          </w:p>
        </w:tc>
        <w:tc>
          <w:tcPr>
            <w:tcW w:w="624" w:type="pct"/>
            <w:shd w:val="clear" w:color="auto" w:fill="auto"/>
            <w:tcMar>
              <w:left w:w="85" w:type="dxa"/>
              <w:right w:w="57" w:type="dxa"/>
            </w:tcMar>
          </w:tcPr>
          <w:p w14:paraId="273CDD05" w14:textId="77777777" w:rsidR="00C312C0" w:rsidRPr="00574CAC" w:rsidRDefault="00324184" w:rsidP="00DD2C8C">
            <w:pPr>
              <w:pStyle w:val="TableText"/>
              <w:spacing w:before="50"/>
            </w:pPr>
            <w:r>
              <w:t>9.8</w:t>
            </w:r>
          </w:p>
        </w:tc>
      </w:tr>
      <w:tr w:rsidR="00091AEB" w14:paraId="273CDD0D" w14:textId="77777777" w:rsidTr="004913D3">
        <w:trPr>
          <w:cantSplit/>
        </w:trPr>
        <w:tc>
          <w:tcPr>
            <w:tcW w:w="787" w:type="pct"/>
            <w:vMerge/>
            <w:shd w:val="clear" w:color="auto" w:fill="auto"/>
            <w:tcMar>
              <w:left w:w="85" w:type="dxa"/>
              <w:right w:w="57" w:type="dxa"/>
            </w:tcMar>
          </w:tcPr>
          <w:p w14:paraId="273CDD07" w14:textId="77777777" w:rsidR="00C312C0" w:rsidRPr="00574CAC" w:rsidRDefault="00C312C0" w:rsidP="00DD2C8C">
            <w:pPr>
              <w:pStyle w:val="TableText"/>
              <w:spacing w:before="50"/>
            </w:pPr>
          </w:p>
        </w:tc>
        <w:tc>
          <w:tcPr>
            <w:tcW w:w="1087" w:type="pct"/>
            <w:shd w:val="clear" w:color="auto" w:fill="auto"/>
            <w:tcMar>
              <w:left w:w="85" w:type="dxa"/>
              <w:right w:w="57" w:type="dxa"/>
            </w:tcMar>
          </w:tcPr>
          <w:p w14:paraId="273CDD08" w14:textId="77777777" w:rsidR="00C312C0" w:rsidRPr="00CB5B77" w:rsidRDefault="00324184" w:rsidP="00DD2C8C">
            <w:pPr>
              <w:pStyle w:val="TableText"/>
              <w:spacing w:before="50"/>
              <w:rPr>
                <w:rStyle w:val="Emphasis"/>
              </w:rPr>
            </w:pPr>
            <w:r w:rsidRPr="00CB5B77">
              <w:rPr>
                <w:rStyle w:val="Emphasis"/>
              </w:rPr>
              <w:t>Platygyra daedalea</w:t>
            </w:r>
          </w:p>
        </w:tc>
        <w:tc>
          <w:tcPr>
            <w:tcW w:w="625" w:type="pct"/>
            <w:shd w:val="clear" w:color="auto" w:fill="auto"/>
            <w:tcMar>
              <w:left w:w="85" w:type="dxa"/>
              <w:right w:w="57" w:type="dxa"/>
            </w:tcMar>
          </w:tcPr>
          <w:p w14:paraId="273CDD09" w14:textId="77777777" w:rsidR="00C312C0" w:rsidRPr="00574CAC" w:rsidRDefault="00324184" w:rsidP="00DD2C8C">
            <w:pPr>
              <w:pStyle w:val="TableText"/>
              <w:spacing w:before="50"/>
            </w:pPr>
            <w:r w:rsidRPr="00574CAC">
              <w:t>Gamete</w:t>
            </w:r>
          </w:p>
        </w:tc>
        <w:tc>
          <w:tcPr>
            <w:tcW w:w="549" w:type="pct"/>
            <w:shd w:val="clear" w:color="auto" w:fill="auto"/>
            <w:tcMar>
              <w:left w:w="85" w:type="dxa"/>
              <w:right w:w="57" w:type="dxa"/>
            </w:tcMar>
          </w:tcPr>
          <w:p w14:paraId="273CDD0A" w14:textId="77777777" w:rsidR="00C312C0" w:rsidRPr="00574CAC" w:rsidRDefault="00324184" w:rsidP="00DD2C8C">
            <w:pPr>
              <w:pStyle w:val="TableText"/>
              <w:spacing w:before="50"/>
            </w:pPr>
            <w:r w:rsidRPr="00574CAC">
              <w:t>0.2</w:t>
            </w:r>
          </w:p>
        </w:tc>
        <w:tc>
          <w:tcPr>
            <w:tcW w:w="1328" w:type="pct"/>
            <w:shd w:val="clear" w:color="auto" w:fill="auto"/>
            <w:tcMar>
              <w:left w:w="57" w:type="dxa"/>
              <w:right w:w="28" w:type="dxa"/>
            </w:tcMar>
          </w:tcPr>
          <w:p w14:paraId="273CDD0B" w14:textId="77777777" w:rsidR="00C312C0" w:rsidRPr="00574CAC" w:rsidRDefault="00324184" w:rsidP="00DD2C8C">
            <w:pPr>
              <w:pStyle w:val="TableText"/>
              <w:spacing w:before="50"/>
            </w:pPr>
            <w:r w:rsidRPr="00574CAC">
              <w:t>EC10 (Fertilisation)</w:t>
            </w:r>
          </w:p>
        </w:tc>
        <w:tc>
          <w:tcPr>
            <w:tcW w:w="624" w:type="pct"/>
            <w:shd w:val="clear" w:color="auto" w:fill="auto"/>
            <w:tcMar>
              <w:left w:w="85" w:type="dxa"/>
              <w:right w:w="57" w:type="dxa"/>
            </w:tcMar>
          </w:tcPr>
          <w:p w14:paraId="273CDD0C" w14:textId="77777777" w:rsidR="00C312C0" w:rsidRPr="00574CAC" w:rsidRDefault="00324184" w:rsidP="00DD2C8C">
            <w:pPr>
              <w:pStyle w:val="TableText"/>
              <w:spacing w:before="50"/>
            </w:pPr>
            <w:r>
              <w:rPr>
                <w:rStyle w:val="CommentReference"/>
              </w:rPr>
              <w:t>1.4</w:t>
            </w:r>
          </w:p>
        </w:tc>
      </w:tr>
      <w:tr w:rsidR="00091AEB" w14:paraId="273CDD14" w14:textId="77777777" w:rsidTr="004913D3">
        <w:trPr>
          <w:cantSplit/>
        </w:trPr>
        <w:tc>
          <w:tcPr>
            <w:tcW w:w="787" w:type="pct"/>
            <w:shd w:val="clear" w:color="auto" w:fill="auto"/>
            <w:tcMar>
              <w:left w:w="85" w:type="dxa"/>
              <w:right w:w="57" w:type="dxa"/>
            </w:tcMar>
          </w:tcPr>
          <w:p w14:paraId="273CDD0E" w14:textId="77777777" w:rsidR="00FC53AF" w:rsidRPr="00574CAC" w:rsidRDefault="00324184" w:rsidP="00DD2C8C">
            <w:pPr>
              <w:pStyle w:val="TableText"/>
              <w:spacing w:before="50"/>
            </w:pPr>
            <w:r w:rsidRPr="00574CAC">
              <w:t>Echinoderm</w:t>
            </w:r>
          </w:p>
        </w:tc>
        <w:tc>
          <w:tcPr>
            <w:tcW w:w="1087" w:type="pct"/>
            <w:shd w:val="clear" w:color="auto" w:fill="auto"/>
            <w:tcMar>
              <w:left w:w="85" w:type="dxa"/>
              <w:right w:w="57" w:type="dxa"/>
            </w:tcMar>
          </w:tcPr>
          <w:p w14:paraId="273CDD0F" w14:textId="77777777" w:rsidR="00FC53AF" w:rsidRPr="00574CAC" w:rsidRDefault="00324184" w:rsidP="00DD2C8C">
            <w:pPr>
              <w:pStyle w:val="TableText"/>
              <w:spacing w:before="50"/>
            </w:pPr>
            <w:r w:rsidRPr="00CB5B77">
              <w:rPr>
                <w:rStyle w:val="Emphasis"/>
              </w:rPr>
              <w:t xml:space="preserve">Evechinus </w:t>
            </w:r>
            <w:r w:rsidRPr="00CB5B77">
              <w:rPr>
                <w:rStyle w:val="Emphasis"/>
              </w:rPr>
              <w:t>chloroticus</w:t>
            </w:r>
          </w:p>
        </w:tc>
        <w:tc>
          <w:tcPr>
            <w:tcW w:w="625" w:type="pct"/>
            <w:shd w:val="clear" w:color="auto" w:fill="auto"/>
            <w:tcMar>
              <w:left w:w="85" w:type="dxa"/>
              <w:right w:w="57" w:type="dxa"/>
            </w:tcMar>
          </w:tcPr>
          <w:p w14:paraId="273CDD10" w14:textId="77777777" w:rsidR="00FC53AF" w:rsidRPr="00574CAC" w:rsidRDefault="00324184" w:rsidP="00DD2C8C">
            <w:pPr>
              <w:pStyle w:val="TableText"/>
              <w:spacing w:before="50"/>
            </w:pPr>
            <w:r w:rsidRPr="00574CAC">
              <w:t>Larva</w:t>
            </w:r>
          </w:p>
        </w:tc>
        <w:tc>
          <w:tcPr>
            <w:tcW w:w="549" w:type="pct"/>
            <w:shd w:val="clear" w:color="auto" w:fill="auto"/>
            <w:tcMar>
              <w:left w:w="85" w:type="dxa"/>
              <w:right w:w="57" w:type="dxa"/>
            </w:tcMar>
          </w:tcPr>
          <w:p w14:paraId="273CDD11" w14:textId="77777777" w:rsidR="00FC53AF" w:rsidRPr="00574CAC" w:rsidRDefault="00324184" w:rsidP="00DD2C8C">
            <w:pPr>
              <w:pStyle w:val="TableText"/>
              <w:spacing w:before="50"/>
            </w:pPr>
            <w:r w:rsidRPr="00574CAC">
              <w:t>3</w:t>
            </w:r>
          </w:p>
        </w:tc>
        <w:tc>
          <w:tcPr>
            <w:tcW w:w="1328" w:type="pct"/>
            <w:shd w:val="clear" w:color="auto" w:fill="auto"/>
            <w:tcMar>
              <w:left w:w="57" w:type="dxa"/>
              <w:right w:w="28" w:type="dxa"/>
            </w:tcMar>
          </w:tcPr>
          <w:p w14:paraId="273CDD12" w14:textId="77777777" w:rsidR="00FC53AF" w:rsidRPr="00574CAC" w:rsidRDefault="00324184" w:rsidP="00DD2C8C">
            <w:pPr>
              <w:pStyle w:val="TableText"/>
              <w:spacing w:before="50"/>
            </w:pPr>
            <w:r w:rsidRPr="00574CAC">
              <w:t>EC10 (Development)</w:t>
            </w:r>
          </w:p>
        </w:tc>
        <w:tc>
          <w:tcPr>
            <w:tcW w:w="624" w:type="pct"/>
            <w:shd w:val="clear" w:color="auto" w:fill="auto"/>
            <w:tcMar>
              <w:left w:w="85" w:type="dxa"/>
              <w:right w:w="57" w:type="dxa"/>
            </w:tcMar>
          </w:tcPr>
          <w:p w14:paraId="273CDD13" w14:textId="77777777" w:rsidR="00FC53AF" w:rsidRPr="00574CAC" w:rsidRDefault="00324184" w:rsidP="00DD2C8C">
            <w:pPr>
              <w:pStyle w:val="TableText"/>
              <w:spacing w:before="50"/>
            </w:pPr>
            <w:r w:rsidRPr="00574CAC">
              <w:t>2.1</w:t>
            </w:r>
          </w:p>
        </w:tc>
      </w:tr>
      <w:tr w:rsidR="00091AEB" w14:paraId="273CDD1B" w14:textId="77777777" w:rsidTr="004913D3">
        <w:trPr>
          <w:cantSplit/>
        </w:trPr>
        <w:tc>
          <w:tcPr>
            <w:tcW w:w="787" w:type="pct"/>
            <w:vMerge w:val="restart"/>
            <w:shd w:val="clear" w:color="auto" w:fill="auto"/>
            <w:tcMar>
              <w:left w:w="85" w:type="dxa"/>
              <w:right w:w="57" w:type="dxa"/>
            </w:tcMar>
          </w:tcPr>
          <w:p w14:paraId="273CDD15" w14:textId="77777777" w:rsidR="00C312C0" w:rsidRPr="00574CAC" w:rsidRDefault="00324184" w:rsidP="00DD2C8C">
            <w:pPr>
              <w:pStyle w:val="TableText"/>
              <w:spacing w:before="50"/>
            </w:pPr>
            <w:r w:rsidRPr="00574CAC">
              <w:t>Mollusc</w:t>
            </w:r>
          </w:p>
        </w:tc>
        <w:tc>
          <w:tcPr>
            <w:tcW w:w="1087" w:type="pct"/>
            <w:shd w:val="clear" w:color="auto" w:fill="auto"/>
            <w:tcMar>
              <w:left w:w="85" w:type="dxa"/>
              <w:right w:w="57" w:type="dxa"/>
            </w:tcMar>
          </w:tcPr>
          <w:p w14:paraId="273CDD16" w14:textId="77777777" w:rsidR="00C312C0" w:rsidRPr="00CB5B77" w:rsidRDefault="00324184" w:rsidP="00DD2C8C">
            <w:pPr>
              <w:pStyle w:val="TableText"/>
              <w:spacing w:before="50"/>
              <w:rPr>
                <w:rStyle w:val="Emphasis"/>
              </w:rPr>
            </w:pPr>
            <w:r w:rsidRPr="00CB5B77">
              <w:rPr>
                <w:rStyle w:val="Emphasis"/>
              </w:rPr>
              <w:t>Amphiblanus amphitrite</w:t>
            </w:r>
          </w:p>
        </w:tc>
        <w:tc>
          <w:tcPr>
            <w:tcW w:w="625" w:type="pct"/>
            <w:shd w:val="clear" w:color="auto" w:fill="auto"/>
            <w:tcMar>
              <w:left w:w="85" w:type="dxa"/>
              <w:right w:w="57" w:type="dxa"/>
            </w:tcMar>
          </w:tcPr>
          <w:p w14:paraId="273CDD17" w14:textId="77777777" w:rsidR="00C312C0" w:rsidRPr="00574CAC" w:rsidRDefault="00324184" w:rsidP="00DD2C8C">
            <w:pPr>
              <w:pStyle w:val="TableText"/>
              <w:spacing w:before="50"/>
            </w:pPr>
            <w:r w:rsidRPr="00574CAC">
              <w:t>Larva</w:t>
            </w:r>
          </w:p>
        </w:tc>
        <w:tc>
          <w:tcPr>
            <w:tcW w:w="549" w:type="pct"/>
            <w:shd w:val="clear" w:color="auto" w:fill="auto"/>
            <w:tcMar>
              <w:left w:w="85" w:type="dxa"/>
              <w:right w:w="57" w:type="dxa"/>
            </w:tcMar>
          </w:tcPr>
          <w:p w14:paraId="273CDD18" w14:textId="77777777" w:rsidR="00C312C0" w:rsidRPr="00574CAC" w:rsidRDefault="00324184" w:rsidP="00DD2C8C">
            <w:pPr>
              <w:pStyle w:val="TableText"/>
              <w:spacing w:before="50"/>
            </w:pPr>
            <w:r w:rsidRPr="00574CAC">
              <w:t>4</w:t>
            </w:r>
          </w:p>
        </w:tc>
        <w:tc>
          <w:tcPr>
            <w:tcW w:w="1328" w:type="pct"/>
            <w:shd w:val="clear" w:color="auto" w:fill="auto"/>
            <w:tcMar>
              <w:left w:w="57" w:type="dxa"/>
              <w:right w:w="28" w:type="dxa"/>
            </w:tcMar>
          </w:tcPr>
          <w:p w14:paraId="273CDD19" w14:textId="77777777" w:rsidR="00C312C0" w:rsidRPr="00574CAC" w:rsidRDefault="00324184" w:rsidP="00DD2C8C">
            <w:pPr>
              <w:pStyle w:val="TableText"/>
              <w:spacing w:before="50"/>
            </w:pPr>
            <w:r w:rsidRPr="00574CAC">
              <w:t>EC10 (</w:t>
            </w:r>
            <w:r w:rsidR="00D67941" w:rsidRPr="00F3726A">
              <w:t>Metamorphosis</w:t>
            </w:r>
            <w:r w:rsidRPr="00574CAC">
              <w:t>)</w:t>
            </w:r>
          </w:p>
        </w:tc>
        <w:tc>
          <w:tcPr>
            <w:tcW w:w="624" w:type="pct"/>
            <w:shd w:val="clear" w:color="auto" w:fill="auto"/>
            <w:tcMar>
              <w:left w:w="85" w:type="dxa"/>
              <w:right w:w="57" w:type="dxa"/>
            </w:tcMar>
          </w:tcPr>
          <w:p w14:paraId="273CDD1A" w14:textId="77777777" w:rsidR="00C312C0" w:rsidRPr="00574CAC" w:rsidRDefault="00324184" w:rsidP="00DD2C8C">
            <w:pPr>
              <w:pStyle w:val="TableText"/>
              <w:spacing w:before="50"/>
            </w:pPr>
            <w:r w:rsidRPr="00574CAC">
              <w:t>28</w:t>
            </w:r>
          </w:p>
        </w:tc>
      </w:tr>
      <w:tr w:rsidR="00091AEB" w14:paraId="273CDD22" w14:textId="77777777" w:rsidTr="004913D3">
        <w:trPr>
          <w:cantSplit/>
        </w:trPr>
        <w:tc>
          <w:tcPr>
            <w:tcW w:w="787" w:type="pct"/>
            <w:vMerge/>
            <w:shd w:val="clear" w:color="auto" w:fill="auto"/>
            <w:tcMar>
              <w:left w:w="85" w:type="dxa"/>
              <w:right w:w="57" w:type="dxa"/>
            </w:tcMar>
          </w:tcPr>
          <w:p w14:paraId="273CDD1C" w14:textId="77777777" w:rsidR="00C312C0" w:rsidRPr="00574CAC" w:rsidRDefault="00C312C0" w:rsidP="00DD2C8C">
            <w:pPr>
              <w:pStyle w:val="TableText"/>
              <w:spacing w:before="50"/>
            </w:pPr>
          </w:p>
        </w:tc>
        <w:tc>
          <w:tcPr>
            <w:tcW w:w="1087" w:type="pct"/>
            <w:shd w:val="clear" w:color="auto" w:fill="auto"/>
            <w:tcMar>
              <w:left w:w="85" w:type="dxa"/>
              <w:right w:w="57" w:type="dxa"/>
            </w:tcMar>
          </w:tcPr>
          <w:p w14:paraId="273CDD1D" w14:textId="77777777" w:rsidR="00C312C0" w:rsidRPr="00574CAC" w:rsidRDefault="00324184" w:rsidP="00DD2C8C">
            <w:pPr>
              <w:pStyle w:val="TableText"/>
              <w:spacing w:before="50"/>
            </w:pPr>
            <w:r w:rsidRPr="00CB5B77">
              <w:rPr>
                <w:rStyle w:val="Emphasis"/>
              </w:rPr>
              <w:t>Haliotis iris</w:t>
            </w:r>
          </w:p>
        </w:tc>
        <w:tc>
          <w:tcPr>
            <w:tcW w:w="625" w:type="pct"/>
            <w:shd w:val="clear" w:color="auto" w:fill="auto"/>
            <w:tcMar>
              <w:left w:w="85" w:type="dxa"/>
              <w:right w:w="57" w:type="dxa"/>
            </w:tcMar>
          </w:tcPr>
          <w:p w14:paraId="273CDD1E" w14:textId="77777777" w:rsidR="00C312C0" w:rsidRPr="00574CAC" w:rsidRDefault="00324184" w:rsidP="00DD2C8C">
            <w:pPr>
              <w:pStyle w:val="TableText"/>
              <w:spacing w:before="50"/>
            </w:pPr>
            <w:r w:rsidRPr="00574CAC">
              <w:t>Larva</w:t>
            </w:r>
          </w:p>
        </w:tc>
        <w:tc>
          <w:tcPr>
            <w:tcW w:w="549" w:type="pct"/>
            <w:shd w:val="clear" w:color="auto" w:fill="auto"/>
            <w:tcMar>
              <w:left w:w="85" w:type="dxa"/>
              <w:right w:w="57" w:type="dxa"/>
            </w:tcMar>
          </w:tcPr>
          <w:p w14:paraId="273CDD1F" w14:textId="77777777" w:rsidR="00C312C0" w:rsidRPr="00574CAC" w:rsidRDefault="00324184" w:rsidP="00DD2C8C">
            <w:pPr>
              <w:pStyle w:val="TableText"/>
              <w:spacing w:before="50"/>
            </w:pPr>
            <w:r w:rsidRPr="00574CAC">
              <w:t>3</w:t>
            </w:r>
          </w:p>
        </w:tc>
        <w:tc>
          <w:tcPr>
            <w:tcW w:w="1328" w:type="pct"/>
            <w:shd w:val="clear" w:color="auto" w:fill="auto"/>
            <w:tcMar>
              <w:left w:w="57" w:type="dxa"/>
              <w:right w:w="28" w:type="dxa"/>
            </w:tcMar>
          </w:tcPr>
          <w:p w14:paraId="273CDD20" w14:textId="77777777" w:rsidR="00C312C0" w:rsidRPr="00574CAC" w:rsidRDefault="00324184" w:rsidP="00DD2C8C">
            <w:pPr>
              <w:pStyle w:val="TableText"/>
              <w:spacing w:before="50"/>
            </w:pPr>
            <w:r w:rsidRPr="00574CAC">
              <w:t>EC10 (Development)</w:t>
            </w:r>
          </w:p>
        </w:tc>
        <w:tc>
          <w:tcPr>
            <w:tcW w:w="624" w:type="pct"/>
            <w:shd w:val="clear" w:color="auto" w:fill="auto"/>
            <w:tcMar>
              <w:left w:w="85" w:type="dxa"/>
              <w:right w:w="57" w:type="dxa"/>
            </w:tcMar>
          </w:tcPr>
          <w:p w14:paraId="273CDD21" w14:textId="77777777" w:rsidR="00C312C0" w:rsidRPr="00574CAC" w:rsidRDefault="00324184" w:rsidP="00DD2C8C">
            <w:pPr>
              <w:pStyle w:val="TableText"/>
              <w:spacing w:before="50"/>
            </w:pPr>
            <w:r w:rsidRPr="00574CAC">
              <w:t>0.7</w:t>
            </w:r>
          </w:p>
        </w:tc>
      </w:tr>
      <w:tr w:rsidR="00091AEB" w14:paraId="273CDD29" w14:textId="77777777" w:rsidTr="004913D3">
        <w:trPr>
          <w:cantSplit/>
        </w:trPr>
        <w:tc>
          <w:tcPr>
            <w:tcW w:w="787" w:type="pct"/>
            <w:vMerge/>
            <w:shd w:val="clear" w:color="auto" w:fill="auto"/>
            <w:tcMar>
              <w:left w:w="85" w:type="dxa"/>
              <w:right w:w="57" w:type="dxa"/>
            </w:tcMar>
          </w:tcPr>
          <w:p w14:paraId="273CDD23" w14:textId="77777777" w:rsidR="00C312C0" w:rsidRPr="00574CAC" w:rsidRDefault="00C312C0" w:rsidP="00DD2C8C">
            <w:pPr>
              <w:pStyle w:val="TableText"/>
              <w:spacing w:before="50"/>
            </w:pPr>
          </w:p>
        </w:tc>
        <w:tc>
          <w:tcPr>
            <w:tcW w:w="1087" w:type="pct"/>
            <w:shd w:val="clear" w:color="auto" w:fill="auto"/>
            <w:tcMar>
              <w:left w:w="85" w:type="dxa"/>
              <w:right w:w="57" w:type="dxa"/>
            </w:tcMar>
          </w:tcPr>
          <w:p w14:paraId="273CDD24" w14:textId="77777777" w:rsidR="00C312C0" w:rsidRPr="00574CAC" w:rsidRDefault="00324184" w:rsidP="00DD2C8C">
            <w:pPr>
              <w:pStyle w:val="TableText"/>
              <w:spacing w:before="50"/>
            </w:pPr>
            <w:r w:rsidRPr="00CB5B77">
              <w:rPr>
                <w:rStyle w:val="Emphasis"/>
              </w:rPr>
              <w:t>Mytilus galloprovincialis</w:t>
            </w:r>
            <w:r w:rsidRPr="00574CAC">
              <w:t xml:space="preserve"> </w:t>
            </w:r>
          </w:p>
        </w:tc>
        <w:tc>
          <w:tcPr>
            <w:tcW w:w="625" w:type="pct"/>
            <w:shd w:val="clear" w:color="auto" w:fill="auto"/>
            <w:tcMar>
              <w:left w:w="85" w:type="dxa"/>
              <w:right w:w="57" w:type="dxa"/>
            </w:tcMar>
          </w:tcPr>
          <w:p w14:paraId="273CDD25" w14:textId="77777777" w:rsidR="00C312C0" w:rsidRPr="00574CAC" w:rsidRDefault="00324184" w:rsidP="00DD2C8C">
            <w:pPr>
              <w:pStyle w:val="TableText"/>
              <w:spacing w:before="50"/>
            </w:pPr>
            <w:r w:rsidRPr="00574CAC">
              <w:t>Embryo</w:t>
            </w:r>
          </w:p>
        </w:tc>
        <w:tc>
          <w:tcPr>
            <w:tcW w:w="549" w:type="pct"/>
            <w:shd w:val="clear" w:color="auto" w:fill="auto"/>
            <w:tcMar>
              <w:left w:w="85" w:type="dxa"/>
              <w:right w:w="57" w:type="dxa"/>
            </w:tcMar>
          </w:tcPr>
          <w:p w14:paraId="273CDD26" w14:textId="77777777" w:rsidR="00C312C0" w:rsidRPr="00574CAC" w:rsidRDefault="00324184" w:rsidP="00DD2C8C">
            <w:pPr>
              <w:pStyle w:val="TableText"/>
              <w:spacing w:before="50"/>
            </w:pPr>
            <w:r w:rsidRPr="00574CAC">
              <w:t>2</w:t>
            </w:r>
          </w:p>
        </w:tc>
        <w:tc>
          <w:tcPr>
            <w:tcW w:w="1328" w:type="pct"/>
            <w:shd w:val="clear" w:color="auto" w:fill="auto"/>
            <w:tcMar>
              <w:left w:w="57" w:type="dxa"/>
              <w:right w:w="28" w:type="dxa"/>
            </w:tcMar>
          </w:tcPr>
          <w:p w14:paraId="273CDD27" w14:textId="77777777" w:rsidR="00C312C0" w:rsidRPr="00574CAC" w:rsidRDefault="00324184" w:rsidP="00DD2C8C">
            <w:pPr>
              <w:pStyle w:val="TableText"/>
              <w:spacing w:before="50"/>
            </w:pPr>
            <w:r w:rsidRPr="00574CAC">
              <w:t>EC10 (Development)</w:t>
            </w:r>
          </w:p>
        </w:tc>
        <w:tc>
          <w:tcPr>
            <w:tcW w:w="624" w:type="pct"/>
            <w:shd w:val="clear" w:color="auto" w:fill="auto"/>
            <w:tcMar>
              <w:left w:w="85" w:type="dxa"/>
              <w:right w:w="57" w:type="dxa"/>
            </w:tcMar>
          </w:tcPr>
          <w:p w14:paraId="273CDD28" w14:textId="77777777" w:rsidR="00C312C0" w:rsidRPr="00574CAC" w:rsidRDefault="00324184" w:rsidP="00DD2C8C">
            <w:pPr>
              <w:pStyle w:val="TableText"/>
              <w:spacing w:before="50"/>
            </w:pPr>
            <w:r w:rsidRPr="00574CAC">
              <w:t>4.8</w:t>
            </w:r>
          </w:p>
        </w:tc>
      </w:tr>
      <w:tr w:rsidR="00091AEB" w14:paraId="273CDD30" w14:textId="77777777" w:rsidTr="004913D3">
        <w:trPr>
          <w:cantSplit/>
        </w:trPr>
        <w:tc>
          <w:tcPr>
            <w:tcW w:w="787" w:type="pct"/>
            <w:vMerge/>
            <w:shd w:val="clear" w:color="auto" w:fill="auto"/>
            <w:tcMar>
              <w:left w:w="85" w:type="dxa"/>
              <w:right w:w="57" w:type="dxa"/>
            </w:tcMar>
          </w:tcPr>
          <w:p w14:paraId="273CDD2A" w14:textId="77777777" w:rsidR="00C312C0" w:rsidRPr="00574CAC" w:rsidRDefault="00C312C0" w:rsidP="00DD2C8C">
            <w:pPr>
              <w:pStyle w:val="TableText"/>
              <w:spacing w:before="50"/>
            </w:pPr>
          </w:p>
        </w:tc>
        <w:tc>
          <w:tcPr>
            <w:tcW w:w="1087" w:type="pct"/>
            <w:tcBorders>
              <w:bottom w:val="single" w:sz="4" w:space="0" w:color="auto"/>
            </w:tcBorders>
            <w:shd w:val="clear" w:color="auto" w:fill="auto"/>
            <w:tcMar>
              <w:left w:w="85" w:type="dxa"/>
              <w:right w:w="57" w:type="dxa"/>
            </w:tcMar>
          </w:tcPr>
          <w:p w14:paraId="273CDD2B" w14:textId="77777777" w:rsidR="00C312C0" w:rsidRPr="00574CAC" w:rsidRDefault="00324184" w:rsidP="00DD2C8C">
            <w:pPr>
              <w:pStyle w:val="TableText"/>
              <w:spacing w:before="50"/>
            </w:pPr>
            <w:r w:rsidRPr="00CB5B77">
              <w:rPr>
                <w:rStyle w:val="Emphasis"/>
              </w:rPr>
              <w:t>Mytilus trossulus</w:t>
            </w:r>
            <w:r w:rsidRPr="00574CAC">
              <w:t xml:space="preserve"> </w:t>
            </w:r>
          </w:p>
        </w:tc>
        <w:tc>
          <w:tcPr>
            <w:tcW w:w="625" w:type="pct"/>
            <w:tcBorders>
              <w:bottom w:val="single" w:sz="4" w:space="0" w:color="auto"/>
            </w:tcBorders>
            <w:shd w:val="clear" w:color="auto" w:fill="auto"/>
            <w:tcMar>
              <w:left w:w="85" w:type="dxa"/>
              <w:right w:w="57" w:type="dxa"/>
            </w:tcMar>
          </w:tcPr>
          <w:p w14:paraId="273CDD2C" w14:textId="77777777" w:rsidR="00C312C0" w:rsidRPr="00574CAC" w:rsidRDefault="00324184" w:rsidP="00DD2C8C">
            <w:pPr>
              <w:pStyle w:val="TableText"/>
              <w:spacing w:before="50"/>
            </w:pPr>
            <w:r w:rsidRPr="00574CAC">
              <w:t>Embryo</w:t>
            </w:r>
          </w:p>
        </w:tc>
        <w:tc>
          <w:tcPr>
            <w:tcW w:w="549" w:type="pct"/>
            <w:tcBorders>
              <w:bottom w:val="single" w:sz="4" w:space="0" w:color="auto"/>
            </w:tcBorders>
            <w:shd w:val="clear" w:color="auto" w:fill="auto"/>
            <w:tcMar>
              <w:left w:w="85" w:type="dxa"/>
              <w:right w:w="57" w:type="dxa"/>
            </w:tcMar>
          </w:tcPr>
          <w:p w14:paraId="273CDD2D" w14:textId="77777777" w:rsidR="00C312C0" w:rsidRPr="00574CAC" w:rsidRDefault="00324184" w:rsidP="00DD2C8C">
            <w:pPr>
              <w:pStyle w:val="TableText"/>
              <w:spacing w:before="50"/>
            </w:pPr>
            <w:r w:rsidRPr="00574CAC">
              <w:t>2</w:t>
            </w:r>
          </w:p>
        </w:tc>
        <w:tc>
          <w:tcPr>
            <w:tcW w:w="1328" w:type="pct"/>
            <w:tcBorders>
              <w:bottom w:val="single" w:sz="4" w:space="0" w:color="auto"/>
            </w:tcBorders>
            <w:shd w:val="clear" w:color="auto" w:fill="auto"/>
            <w:tcMar>
              <w:left w:w="57" w:type="dxa"/>
              <w:right w:w="28" w:type="dxa"/>
            </w:tcMar>
          </w:tcPr>
          <w:p w14:paraId="273CDD2E" w14:textId="77777777" w:rsidR="00C312C0" w:rsidRPr="00574CAC" w:rsidRDefault="00324184" w:rsidP="00DD2C8C">
            <w:pPr>
              <w:pStyle w:val="TableText"/>
              <w:spacing w:before="50"/>
            </w:pPr>
            <w:r w:rsidRPr="00574CAC">
              <w:t xml:space="preserve">EC20 </w:t>
            </w:r>
            <w:r w:rsidRPr="00574CAC">
              <w:t>(Development)</w:t>
            </w:r>
          </w:p>
        </w:tc>
        <w:tc>
          <w:tcPr>
            <w:tcW w:w="624" w:type="pct"/>
            <w:tcBorders>
              <w:bottom w:val="single" w:sz="4" w:space="0" w:color="auto"/>
            </w:tcBorders>
            <w:shd w:val="clear" w:color="auto" w:fill="auto"/>
            <w:tcMar>
              <w:left w:w="85" w:type="dxa"/>
              <w:right w:w="57" w:type="dxa"/>
            </w:tcMar>
          </w:tcPr>
          <w:p w14:paraId="273CDD2F" w14:textId="77777777" w:rsidR="00C312C0" w:rsidRPr="00574CAC" w:rsidRDefault="00324184" w:rsidP="00DD2C8C">
            <w:pPr>
              <w:pStyle w:val="TableText"/>
              <w:spacing w:before="50"/>
            </w:pPr>
            <w:r w:rsidRPr="00574CAC">
              <w:t>5.</w:t>
            </w:r>
            <w:r w:rsidR="00D67941">
              <w:t>6</w:t>
            </w:r>
          </w:p>
        </w:tc>
      </w:tr>
      <w:tr w:rsidR="00091AEB" w14:paraId="273CDD37" w14:textId="77777777" w:rsidTr="004913D3">
        <w:trPr>
          <w:cantSplit/>
        </w:trPr>
        <w:tc>
          <w:tcPr>
            <w:tcW w:w="787" w:type="pct"/>
            <w:vMerge/>
            <w:tcBorders>
              <w:bottom w:val="single" w:sz="12" w:space="0" w:color="auto"/>
            </w:tcBorders>
            <w:shd w:val="clear" w:color="auto" w:fill="auto"/>
            <w:tcMar>
              <w:left w:w="85" w:type="dxa"/>
              <w:right w:w="57" w:type="dxa"/>
            </w:tcMar>
          </w:tcPr>
          <w:p w14:paraId="273CDD31" w14:textId="77777777" w:rsidR="00C312C0" w:rsidRPr="00574CAC" w:rsidRDefault="00C312C0" w:rsidP="00DD2C8C">
            <w:pPr>
              <w:pStyle w:val="TableText"/>
              <w:spacing w:before="50"/>
            </w:pPr>
          </w:p>
        </w:tc>
        <w:tc>
          <w:tcPr>
            <w:tcW w:w="1087" w:type="pct"/>
            <w:tcBorders>
              <w:bottom w:val="single" w:sz="12" w:space="0" w:color="auto"/>
            </w:tcBorders>
            <w:shd w:val="clear" w:color="auto" w:fill="auto"/>
            <w:tcMar>
              <w:left w:w="85" w:type="dxa"/>
              <w:right w:w="57" w:type="dxa"/>
            </w:tcMar>
          </w:tcPr>
          <w:p w14:paraId="273CDD32" w14:textId="77777777" w:rsidR="00C312C0" w:rsidRPr="00574CAC" w:rsidRDefault="00324184" w:rsidP="00DD2C8C">
            <w:pPr>
              <w:pStyle w:val="TableText"/>
              <w:spacing w:before="50"/>
            </w:pPr>
            <w:r w:rsidRPr="00CB5B77">
              <w:rPr>
                <w:rStyle w:val="Emphasis"/>
              </w:rPr>
              <w:t>Saccostrea glomerata</w:t>
            </w:r>
            <w:r w:rsidRPr="00574CAC">
              <w:t xml:space="preserve"> </w:t>
            </w:r>
          </w:p>
        </w:tc>
        <w:tc>
          <w:tcPr>
            <w:tcW w:w="625" w:type="pct"/>
            <w:tcBorders>
              <w:bottom w:val="single" w:sz="12" w:space="0" w:color="auto"/>
            </w:tcBorders>
            <w:shd w:val="clear" w:color="auto" w:fill="auto"/>
            <w:tcMar>
              <w:left w:w="85" w:type="dxa"/>
              <w:right w:w="57" w:type="dxa"/>
            </w:tcMar>
          </w:tcPr>
          <w:p w14:paraId="273CDD33" w14:textId="77777777" w:rsidR="00C312C0" w:rsidRPr="00574CAC" w:rsidRDefault="00324184" w:rsidP="00DD2C8C">
            <w:pPr>
              <w:pStyle w:val="TableText"/>
              <w:spacing w:before="50"/>
            </w:pPr>
            <w:r w:rsidRPr="00574CAC">
              <w:t>Larva</w:t>
            </w:r>
          </w:p>
        </w:tc>
        <w:tc>
          <w:tcPr>
            <w:tcW w:w="549" w:type="pct"/>
            <w:tcBorders>
              <w:bottom w:val="single" w:sz="12" w:space="0" w:color="auto"/>
            </w:tcBorders>
            <w:shd w:val="clear" w:color="auto" w:fill="auto"/>
            <w:tcMar>
              <w:left w:w="85" w:type="dxa"/>
              <w:right w:w="57" w:type="dxa"/>
            </w:tcMar>
          </w:tcPr>
          <w:p w14:paraId="273CDD34" w14:textId="77777777" w:rsidR="00C312C0" w:rsidRPr="00574CAC" w:rsidRDefault="00324184" w:rsidP="00DD2C8C">
            <w:pPr>
              <w:pStyle w:val="TableText"/>
              <w:spacing w:before="50"/>
            </w:pPr>
            <w:r w:rsidRPr="00574CAC">
              <w:t>7</w:t>
            </w:r>
          </w:p>
        </w:tc>
        <w:tc>
          <w:tcPr>
            <w:tcW w:w="1328" w:type="pct"/>
            <w:tcBorders>
              <w:bottom w:val="single" w:sz="12" w:space="0" w:color="auto"/>
            </w:tcBorders>
            <w:shd w:val="clear" w:color="auto" w:fill="auto"/>
            <w:tcMar>
              <w:left w:w="57" w:type="dxa"/>
              <w:right w:w="28" w:type="dxa"/>
            </w:tcMar>
          </w:tcPr>
          <w:p w14:paraId="273CDD35" w14:textId="77777777" w:rsidR="00C312C0" w:rsidRPr="00574CAC" w:rsidRDefault="00324184" w:rsidP="00DD2C8C">
            <w:pPr>
              <w:pStyle w:val="TableText"/>
              <w:spacing w:before="50"/>
            </w:pPr>
            <w:r w:rsidRPr="00574CAC">
              <w:t>LC10 (Mortality)</w:t>
            </w:r>
          </w:p>
        </w:tc>
        <w:tc>
          <w:tcPr>
            <w:tcW w:w="624" w:type="pct"/>
            <w:tcBorders>
              <w:bottom w:val="single" w:sz="12" w:space="0" w:color="auto"/>
            </w:tcBorders>
            <w:shd w:val="clear" w:color="auto" w:fill="auto"/>
            <w:tcMar>
              <w:left w:w="85" w:type="dxa"/>
              <w:right w:w="57" w:type="dxa"/>
            </w:tcMar>
          </w:tcPr>
          <w:p w14:paraId="273CDD36" w14:textId="77777777" w:rsidR="00C312C0" w:rsidRPr="00574CAC" w:rsidRDefault="00324184" w:rsidP="00DD2C8C">
            <w:pPr>
              <w:pStyle w:val="TableText"/>
              <w:spacing w:before="50"/>
            </w:pPr>
            <w:r w:rsidRPr="00574CAC">
              <w:t>70</w:t>
            </w:r>
          </w:p>
        </w:tc>
      </w:tr>
    </w:tbl>
    <w:p w14:paraId="273CDD38" w14:textId="77777777" w:rsidR="004550BA" w:rsidRPr="00D56FC2" w:rsidRDefault="00324184" w:rsidP="00DD2C8C">
      <w:pPr>
        <w:pStyle w:val="FigureTableNoteSource"/>
        <w:spacing w:before="30"/>
        <w:rPr>
          <w:lang w:eastAsia="ja-JP"/>
        </w:rPr>
      </w:pPr>
      <w:r w:rsidRPr="009B5479">
        <w:rPr>
          <w:rStyle w:val="Strong"/>
        </w:rPr>
        <w:t>a</w:t>
      </w:r>
      <w:r w:rsidRPr="00D56FC2">
        <w:t xml:space="preserve"> Formerly </w:t>
      </w:r>
      <w:r w:rsidRPr="00D56FC2">
        <w:rPr>
          <w:rStyle w:val="Emphasis"/>
          <w:szCs w:val="18"/>
        </w:rPr>
        <w:t xml:space="preserve">Aiptasia pulchella </w:t>
      </w:r>
      <w:r w:rsidRPr="00D56FC2">
        <w:rPr>
          <w:lang w:eastAsia="ja-JP"/>
        </w:rPr>
        <w:t xml:space="preserve">and </w:t>
      </w:r>
      <w:r w:rsidRPr="00D56FC2">
        <w:rPr>
          <w:rStyle w:val="Emphasis"/>
          <w:szCs w:val="18"/>
        </w:rPr>
        <w:t>Exaiptasia pallida</w:t>
      </w:r>
      <w:r w:rsidRPr="00D56FC2">
        <w:t>.</w:t>
      </w:r>
    </w:p>
    <w:p w14:paraId="273CDD39" w14:textId="77777777" w:rsidR="00FC53AF" w:rsidRDefault="00324184" w:rsidP="00557389">
      <w:pPr>
        <w:rPr>
          <w:lang w:eastAsia="ja-JP"/>
        </w:rPr>
      </w:pPr>
      <w:r>
        <w:rPr>
          <w:noProof/>
          <w:lang w:eastAsia="ja-JP"/>
        </w:rPr>
        <w:drawing>
          <wp:inline distT="0" distB="0" distL="0" distR="0" wp14:anchorId="273CDE00" wp14:editId="273CDE01">
            <wp:extent cx="4078605" cy="3687288"/>
            <wp:effectExtent l="0" t="0" r="0" b="8890"/>
            <wp:docPr id="18" name="Picture 18" descr="Species sensitivity distribution, preferred chronic data only, dissolved copper in marine water&#10;&#10;Figure is a species sensitivity distribution (SSD) that shows the species with preferred chronic data that are potentially affected by concentrations of dissolved copper (microgram per l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53773" name="Picture 18" descr="Species sensitivity distribution, preferred chronic data only, dissolved copper in marine water&#10;&#10;Figure is a species sensitivity distribution (SSD) that shows the species with preferred chronic data that are potentially affected by concentrations of dissolved copper (microgram per litre)."/>
                    <pic:cNvPicPr/>
                  </pic:nvPicPr>
                  <pic:blipFill>
                    <a:blip r:embed="rId33">
                      <a:extLst>
                        <a:ext uri="{28A0092B-C50C-407E-A947-70E740481C1C}">
                          <a14:useLocalDpi xmlns:a14="http://schemas.microsoft.com/office/drawing/2010/main" val="0"/>
                        </a:ext>
                      </a:extLst>
                    </a:blip>
                    <a:srcRect t="11612" r="5557" b="3006"/>
                    <a:stretch>
                      <a:fillRect/>
                    </a:stretch>
                  </pic:blipFill>
                  <pic:spPr bwMode="auto">
                    <a:xfrm>
                      <a:off x="0" y="0"/>
                      <a:ext cx="4079973" cy="3688525"/>
                    </a:xfrm>
                    <a:prstGeom prst="rect">
                      <a:avLst/>
                    </a:prstGeom>
                    <a:ln>
                      <a:noFill/>
                    </a:ln>
                    <a:extLst>
                      <a:ext uri="{53640926-AAD7-44D8-BBD7-CCE9431645EC}">
                        <a14:shadowObscured xmlns:a14="http://schemas.microsoft.com/office/drawing/2010/main"/>
                      </a:ext>
                    </a:extLst>
                  </pic:spPr>
                </pic:pic>
              </a:graphicData>
            </a:graphic>
          </wp:inline>
        </w:drawing>
      </w:r>
    </w:p>
    <w:p w14:paraId="273CDD3A" w14:textId="77777777" w:rsidR="00FC53AF" w:rsidRDefault="00324184" w:rsidP="001B7218">
      <w:pPr>
        <w:pStyle w:val="Caption"/>
        <w:rPr>
          <w:lang w:eastAsia="ja-JP"/>
        </w:rPr>
      </w:pPr>
      <w:bookmarkStart w:id="87" w:name="_Ref85903902"/>
      <w:bookmarkStart w:id="88" w:name="_Toc89268616"/>
      <w:r>
        <w:t>Figure E </w:t>
      </w:r>
      <w:r w:rsidR="00A41C81">
        <w:fldChar w:fldCharType="begin"/>
      </w:r>
      <w:r>
        <w:instrText xml:space="preserve"> SEQ Figure_E \* ARABIC </w:instrText>
      </w:r>
      <w:r w:rsidR="00A41C81">
        <w:fldChar w:fldCharType="separate"/>
      </w:r>
      <w:r w:rsidR="00A41C81">
        <w:rPr>
          <w:noProof/>
        </w:rPr>
        <w:t>1</w:t>
      </w:r>
      <w:r w:rsidR="00A41C81">
        <w:rPr>
          <w:noProof/>
        </w:rPr>
        <w:fldChar w:fldCharType="end"/>
      </w:r>
      <w:bookmarkEnd w:id="87"/>
      <w:r w:rsidRPr="00FC53AF">
        <w:rPr>
          <w:lang w:eastAsia="ja-JP"/>
        </w:rPr>
        <w:t xml:space="preserve"> </w:t>
      </w:r>
      <w:r w:rsidR="000B22D7">
        <w:rPr>
          <w:lang w:eastAsia="ja-JP"/>
        </w:rPr>
        <w:t>Species sensitivity distribution,</w:t>
      </w:r>
      <w:r w:rsidRPr="00FC53AF">
        <w:rPr>
          <w:lang w:eastAsia="ja-JP"/>
        </w:rPr>
        <w:t xml:space="preserve"> </w:t>
      </w:r>
      <w:r w:rsidR="000B22D7">
        <w:rPr>
          <w:lang w:eastAsia="ja-JP"/>
        </w:rPr>
        <w:t xml:space="preserve">preferred </w:t>
      </w:r>
      <w:r w:rsidRPr="00FC53AF">
        <w:rPr>
          <w:lang w:eastAsia="ja-JP"/>
        </w:rPr>
        <w:t xml:space="preserve">chronic data </w:t>
      </w:r>
      <w:r w:rsidR="000B22D7">
        <w:rPr>
          <w:lang w:eastAsia="ja-JP"/>
        </w:rPr>
        <w:t>only, dissolved copper in marine water</w:t>
      </w:r>
      <w:bookmarkEnd w:id="88"/>
    </w:p>
    <w:p w14:paraId="273CDD3B" w14:textId="77777777" w:rsidR="0086227B" w:rsidRDefault="00324184">
      <w:pPr>
        <w:spacing w:after="0" w:line="240" w:lineRule="auto"/>
        <w:rPr>
          <w:highlight w:val="yellow"/>
          <w:lang w:eastAsia="ja-JP"/>
        </w:rPr>
      </w:pPr>
      <w:r>
        <w:rPr>
          <w:highlight w:val="yellow"/>
          <w:lang w:eastAsia="ja-JP"/>
        </w:rPr>
        <w:br w:type="page"/>
      </w:r>
    </w:p>
    <w:p w14:paraId="273CDD3C" w14:textId="77777777" w:rsidR="0086227B" w:rsidRDefault="00324184" w:rsidP="0068755D">
      <w:pPr>
        <w:pStyle w:val="Heading2"/>
        <w:numPr>
          <w:ilvl w:val="0"/>
          <w:numId w:val="0"/>
        </w:numPr>
      </w:pPr>
      <w:bookmarkStart w:id="89" w:name="_Ref85904248"/>
      <w:bookmarkStart w:id="90" w:name="_Toc89265628"/>
      <w:bookmarkStart w:id="91" w:name="_Toc89268668"/>
      <w:r>
        <w:t xml:space="preserve">Appendix F: </w:t>
      </w:r>
      <w:r w:rsidR="00985E55">
        <w:t>Modality a</w:t>
      </w:r>
      <w:r>
        <w:t xml:space="preserve">ssessment </w:t>
      </w:r>
      <w:r w:rsidR="00985E55">
        <w:t>for copper</w:t>
      </w:r>
      <w:bookmarkEnd w:id="89"/>
      <w:bookmarkEnd w:id="90"/>
      <w:bookmarkEnd w:id="91"/>
    </w:p>
    <w:p w14:paraId="273CDD3D" w14:textId="77777777" w:rsidR="0086227B" w:rsidRDefault="00324184" w:rsidP="00641D11">
      <w:pPr>
        <w:rPr>
          <w:lang w:eastAsia="ja-JP"/>
        </w:rPr>
      </w:pPr>
      <w:r>
        <w:t>A</w:t>
      </w:r>
      <w:r w:rsidR="00EC79C9">
        <w:rPr>
          <w:lang w:eastAsia="ja-JP"/>
        </w:rPr>
        <w:t xml:space="preserve"> modality assessment was undertaken for copper according to the four questions stipulated in </w:t>
      </w:r>
      <w:r>
        <w:rPr>
          <w:lang w:eastAsia="ja-JP"/>
        </w:rPr>
        <w:t>Warne et al. (2018)</w:t>
      </w:r>
      <w:r w:rsidR="00EC79C9">
        <w:rPr>
          <w:lang w:eastAsia="ja-JP"/>
        </w:rPr>
        <w:t>. These questions and their answers are listed as follows</w:t>
      </w:r>
      <w:r>
        <w:rPr>
          <w:lang w:eastAsia="ja-JP"/>
        </w:rPr>
        <w:t>.</w:t>
      </w:r>
    </w:p>
    <w:p w14:paraId="273CDD3E" w14:textId="77777777" w:rsidR="0086227B" w:rsidRDefault="00324184" w:rsidP="000C264C">
      <w:pPr>
        <w:pStyle w:val="Heading5"/>
        <w:rPr>
          <w:lang w:eastAsia="ja-JP"/>
        </w:rPr>
      </w:pPr>
      <w:r>
        <w:rPr>
          <w:lang w:eastAsia="ja-JP"/>
        </w:rPr>
        <w:t>Is there a specific mode o</w:t>
      </w:r>
      <w:r>
        <w:rPr>
          <w:lang w:eastAsia="ja-JP"/>
        </w:rPr>
        <w:t>f action that could result in taxa-specific sensitivity?</w:t>
      </w:r>
    </w:p>
    <w:p w14:paraId="273CDD3F" w14:textId="77777777" w:rsidR="0086227B" w:rsidRDefault="00324184" w:rsidP="0086227B">
      <w:pPr>
        <w:rPr>
          <w:lang w:eastAsia="ja-JP"/>
        </w:rPr>
      </w:pPr>
      <w:r>
        <w:rPr>
          <w:lang w:eastAsia="ja-JP"/>
        </w:rPr>
        <w:t>Yes, there are differences in the mode of action for copper between fish/invertebrates and plants/algae. Copper is a well-known fungicide and herbicide.</w:t>
      </w:r>
    </w:p>
    <w:p w14:paraId="273CDD40" w14:textId="77777777" w:rsidR="0086227B" w:rsidRDefault="00324184" w:rsidP="000C264C">
      <w:pPr>
        <w:pStyle w:val="Heading5"/>
        <w:rPr>
          <w:lang w:eastAsia="ja-JP"/>
        </w:rPr>
      </w:pPr>
      <w:r>
        <w:rPr>
          <w:lang w:eastAsia="ja-JP"/>
        </w:rPr>
        <w:t>Does the dataset suggest bimodality?</w:t>
      </w:r>
    </w:p>
    <w:p w14:paraId="273CDD41" w14:textId="77777777" w:rsidR="004550BA" w:rsidRDefault="00324184" w:rsidP="0086227B">
      <w:pPr>
        <w:rPr>
          <w:lang w:eastAsia="ja-JP"/>
        </w:rPr>
      </w:pPr>
      <w:r>
        <w:rPr>
          <w:lang w:eastAsia="ja-JP"/>
        </w:rPr>
        <w:t xml:space="preserve">A visual </w:t>
      </w:r>
      <w:r>
        <w:rPr>
          <w:lang w:eastAsia="ja-JP"/>
        </w:rPr>
        <w:t xml:space="preserve">assessment of the SSD for the final toxicity dataset (32 species, </w:t>
      </w:r>
      <w:r w:rsidR="00AF4E16">
        <w:rPr>
          <w:lang w:eastAsia="ja-JP"/>
        </w:rPr>
        <w:t>Section </w:t>
      </w:r>
      <w:r w:rsidR="0054170B">
        <w:rPr>
          <w:lang w:eastAsia="ja-JP"/>
        </w:rPr>
        <w:fldChar w:fldCharType="begin"/>
      </w:r>
      <w:r w:rsidR="0054170B">
        <w:rPr>
          <w:lang w:eastAsia="ja-JP"/>
        </w:rPr>
        <w:instrText xml:space="preserve"> REF _Ref85903470 \r \h </w:instrText>
      </w:r>
      <w:r w:rsidR="0054170B">
        <w:rPr>
          <w:lang w:eastAsia="ja-JP"/>
        </w:rPr>
      </w:r>
      <w:r w:rsidR="0054170B">
        <w:rPr>
          <w:lang w:eastAsia="ja-JP"/>
        </w:rPr>
        <w:fldChar w:fldCharType="separate"/>
      </w:r>
      <w:r w:rsidR="00A41C81">
        <w:rPr>
          <w:lang w:eastAsia="ja-JP"/>
        </w:rPr>
        <w:t>4</w:t>
      </w:r>
      <w:r w:rsidR="0054170B">
        <w:rPr>
          <w:lang w:eastAsia="ja-JP"/>
        </w:rPr>
        <w:fldChar w:fldCharType="end"/>
      </w:r>
      <w:r>
        <w:rPr>
          <w:lang w:eastAsia="ja-JP"/>
        </w:rPr>
        <w:t xml:space="preserve">) </w:t>
      </w:r>
      <w:r w:rsidR="000B6191">
        <w:rPr>
          <w:lang w:eastAsia="ja-JP"/>
        </w:rPr>
        <w:t xml:space="preserve">suggested </w:t>
      </w:r>
      <w:r>
        <w:rPr>
          <w:lang w:eastAsia="ja-JP"/>
        </w:rPr>
        <w:t xml:space="preserve">there </w:t>
      </w:r>
      <w:r w:rsidR="000B6191">
        <w:rPr>
          <w:lang w:eastAsia="ja-JP"/>
        </w:rPr>
        <w:t xml:space="preserve">was </w:t>
      </w:r>
      <w:r>
        <w:rPr>
          <w:lang w:eastAsia="ja-JP"/>
        </w:rPr>
        <w:t>bimodality</w:t>
      </w:r>
      <w:r w:rsidR="000B6191">
        <w:rPr>
          <w:lang w:eastAsia="ja-JP"/>
        </w:rPr>
        <w:t>,</w:t>
      </w:r>
      <w:r>
        <w:rPr>
          <w:lang w:eastAsia="ja-JP"/>
        </w:rPr>
        <w:t xml:space="preserve"> with a break in the data between 2.6</w:t>
      </w:r>
      <w:r w:rsidR="00BD3AA8">
        <w:rPr>
          <w:lang w:eastAsia="ja-JP"/>
        </w:rPr>
        <w:t> </w:t>
      </w:r>
      <w:r w:rsidR="00BD3AA8">
        <w:rPr>
          <w:rFonts w:ascii="Calibri" w:hAnsi="Calibri" w:cs="Calibri"/>
          <w:lang w:eastAsia="ja-JP"/>
        </w:rPr>
        <w:t>µ</w:t>
      </w:r>
      <w:r w:rsidR="00BD3AA8">
        <w:rPr>
          <w:lang w:eastAsia="ja-JP"/>
        </w:rPr>
        <w:t>g/L</w:t>
      </w:r>
      <w:r>
        <w:rPr>
          <w:lang w:eastAsia="ja-JP"/>
        </w:rPr>
        <w:t xml:space="preserve"> and 4.</w:t>
      </w:r>
      <w:r w:rsidR="00E42788">
        <w:rPr>
          <w:lang w:eastAsia="ja-JP"/>
        </w:rPr>
        <w:t>1 </w:t>
      </w:r>
      <w:r w:rsidR="00E32EA2">
        <w:rPr>
          <w:rFonts w:ascii="Calibri" w:hAnsi="Calibri" w:cs="Calibri"/>
          <w:lang w:eastAsia="ja-JP"/>
        </w:rPr>
        <w:t>µ</w:t>
      </w:r>
      <w:r w:rsidR="00E32EA2">
        <w:rPr>
          <w:lang w:eastAsia="ja-JP"/>
        </w:rPr>
        <w:t>g/L</w:t>
      </w:r>
      <w:r w:rsidR="005A4EBF">
        <w:rPr>
          <w:lang w:eastAsia="ja-JP"/>
        </w:rPr>
        <w:t>;</w:t>
      </w:r>
      <w:r>
        <w:rPr>
          <w:lang w:eastAsia="ja-JP"/>
        </w:rPr>
        <w:t xml:space="preserve"> this is more visible in a histogram (</w:t>
      </w:r>
      <w:r w:rsidR="006F2BB3">
        <w:rPr>
          <w:lang w:eastAsia="ja-JP"/>
        </w:rPr>
        <w:fldChar w:fldCharType="begin"/>
      </w:r>
      <w:r w:rsidR="006F2BB3">
        <w:rPr>
          <w:lang w:eastAsia="ja-JP"/>
        </w:rPr>
        <w:instrText xml:space="preserve"> REF _Ref85903927 \h </w:instrText>
      </w:r>
      <w:r w:rsidR="006F2BB3">
        <w:rPr>
          <w:lang w:eastAsia="ja-JP"/>
        </w:rPr>
      </w:r>
      <w:r w:rsidR="006F2BB3">
        <w:rPr>
          <w:lang w:eastAsia="ja-JP"/>
        </w:rPr>
        <w:fldChar w:fldCharType="separate"/>
      </w:r>
      <w:r w:rsidR="00A41C81">
        <w:t>Figure F </w:t>
      </w:r>
      <w:r w:rsidR="00A41C81">
        <w:rPr>
          <w:noProof/>
        </w:rPr>
        <w:t>1</w:t>
      </w:r>
      <w:r w:rsidR="006F2BB3">
        <w:rPr>
          <w:lang w:eastAsia="ja-JP"/>
        </w:rPr>
        <w:fldChar w:fldCharType="end"/>
      </w:r>
      <w:r>
        <w:rPr>
          <w:lang w:eastAsia="ja-JP"/>
        </w:rPr>
        <w:t>).</w:t>
      </w:r>
    </w:p>
    <w:p w14:paraId="273CDD42" w14:textId="77777777" w:rsidR="0086227B" w:rsidRDefault="00324184" w:rsidP="000C264C">
      <w:pPr>
        <w:rPr>
          <w:lang w:eastAsia="ja-JP"/>
        </w:rPr>
      </w:pPr>
      <w:r>
        <w:rPr>
          <w:noProof/>
          <w:lang w:eastAsia="ja-JP"/>
        </w:rPr>
        <w:drawing>
          <wp:inline distT="0" distB="0" distL="0" distR="0" wp14:anchorId="273CDE02" wp14:editId="273CDE03">
            <wp:extent cx="4094922" cy="3106268"/>
            <wp:effectExtent l="0" t="0" r="1270" b="0"/>
            <wp:docPr id="11" name="Picture 11" descr="Histogram and density plot of final toxicity dataset&#10;&#10;Histogram of the SSD for the final toxicity dataset (32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86410" name="Picture 11" descr="Histogram and density plot of final toxicity dataset&#10;&#10;Histogram of the SSD for the final toxicity dataset (32 species)."/>
                    <pic:cNvPicPr/>
                  </pic:nvPicPr>
                  <pic:blipFill>
                    <a:blip r:embed="rId34" cstate="print">
                      <a:extLst>
                        <a:ext uri="{28A0092B-C50C-407E-A947-70E740481C1C}">
                          <a14:useLocalDpi xmlns:a14="http://schemas.microsoft.com/office/drawing/2010/main" val="0"/>
                        </a:ext>
                      </a:extLst>
                    </a:blip>
                    <a:srcRect l="1168" t="1182" r="896" b="2259"/>
                    <a:stretch>
                      <a:fillRect/>
                    </a:stretch>
                  </pic:blipFill>
                  <pic:spPr bwMode="auto">
                    <a:xfrm>
                      <a:off x="0" y="0"/>
                      <a:ext cx="4101832" cy="3111510"/>
                    </a:xfrm>
                    <a:prstGeom prst="rect">
                      <a:avLst/>
                    </a:prstGeom>
                    <a:ln>
                      <a:noFill/>
                    </a:ln>
                    <a:extLst>
                      <a:ext uri="{53640926-AAD7-44D8-BBD7-CCE9431645EC}">
                        <a14:shadowObscured xmlns:a14="http://schemas.microsoft.com/office/drawing/2010/main"/>
                      </a:ext>
                    </a:extLst>
                  </pic:spPr>
                </pic:pic>
              </a:graphicData>
            </a:graphic>
          </wp:inline>
        </w:drawing>
      </w:r>
    </w:p>
    <w:p w14:paraId="273CDD43" w14:textId="77777777" w:rsidR="0086227B" w:rsidRDefault="00324184" w:rsidP="00C82D5E">
      <w:pPr>
        <w:pStyle w:val="Caption"/>
        <w:rPr>
          <w:lang w:eastAsia="ja-JP"/>
        </w:rPr>
      </w:pPr>
      <w:bookmarkStart w:id="92" w:name="_Ref85903927"/>
      <w:bookmarkStart w:id="93" w:name="_Toc89268621"/>
      <w:r>
        <w:t>Figure F </w:t>
      </w:r>
      <w:r w:rsidR="00A41C81">
        <w:fldChar w:fldCharType="begin"/>
      </w:r>
      <w:r>
        <w:instrText xml:space="preserve"> SEQ Figure_F \* ARABIC </w:instrText>
      </w:r>
      <w:r w:rsidR="00A41C81">
        <w:fldChar w:fldCharType="separate"/>
      </w:r>
      <w:r w:rsidR="00A41C81">
        <w:rPr>
          <w:noProof/>
        </w:rPr>
        <w:t>1</w:t>
      </w:r>
      <w:r w:rsidR="00A41C81">
        <w:rPr>
          <w:noProof/>
        </w:rPr>
        <w:fldChar w:fldCharType="end"/>
      </w:r>
      <w:bookmarkEnd w:id="92"/>
      <w:r>
        <w:rPr>
          <w:lang w:eastAsia="ja-JP"/>
        </w:rPr>
        <w:t xml:space="preserve"> Histogram and density </w:t>
      </w:r>
      <w:r>
        <w:rPr>
          <w:lang w:eastAsia="ja-JP"/>
        </w:rPr>
        <w:t xml:space="preserve">plot of </w:t>
      </w:r>
      <w:r w:rsidR="005A4EBF">
        <w:rPr>
          <w:lang w:eastAsia="ja-JP"/>
        </w:rPr>
        <w:t xml:space="preserve">final toxicity </w:t>
      </w:r>
      <w:r>
        <w:rPr>
          <w:lang w:eastAsia="ja-JP"/>
        </w:rPr>
        <w:t>dataset</w:t>
      </w:r>
      <w:bookmarkEnd w:id="93"/>
    </w:p>
    <w:p w14:paraId="273CDD44" w14:textId="77777777" w:rsidR="0086227B" w:rsidRDefault="00324184" w:rsidP="0086227B">
      <w:pPr>
        <w:rPr>
          <w:lang w:eastAsia="ja-JP"/>
        </w:rPr>
      </w:pPr>
      <w:r>
        <w:rPr>
          <w:lang w:eastAsia="ja-JP"/>
        </w:rPr>
        <w:t xml:space="preserve">A bimodality coefficient of 0.34 was calculated for the log-transformed dataset. Values between 0.555 and 1 represent bimodal distributions, so the value of 0.34 </w:t>
      </w:r>
      <w:r w:rsidR="000B6191">
        <w:rPr>
          <w:lang w:eastAsia="ja-JP"/>
        </w:rPr>
        <w:t xml:space="preserve">did </w:t>
      </w:r>
      <w:r>
        <w:rPr>
          <w:lang w:eastAsia="ja-JP"/>
        </w:rPr>
        <w:t xml:space="preserve">not indicate bimodality in this dataset. </w:t>
      </w:r>
    </w:p>
    <w:p w14:paraId="273CDD45" w14:textId="77777777" w:rsidR="0086227B" w:rsidRDefault="00324184" w:rsidP="000C264C">
      <w:pPr>
        <w:pStyle w:val="Heading5"/>
        <w:rPr>
          <w:lang w:eastAsia="ja-JP"/>
        </w:rPr>
      </w:pPr>
      <w:r>
        <w:rPr>
          <w:lang w:eastAsia="ja-JP"/>
        </w:rPr>
        <w:t xml:space="preserve">Do the data show </w:t>
      </w:r>
      <w:r>
        <w:rPr>
          <w:lang w:eastAsia="ja-JP"/>
        </w:rPr>
        <w:t>taxa-specific sensitivity (</w:t>
      </w:r>
      <w:r w:rsidR="00EF35CA">
        <w:rPr>
          <w:lang w:eastAsia="ja-JP"/>
        </w:rPr>
        <w:t>i.e</w:t>
      </w:r>
      <w:r w:rsidR="00DB3A6C">
        <w:rPr>
          <w:lang w:eastAsia="ja-JP"/>
        </w:rPr>
        <w:t>.</w:t>
      </w:r>
      <w:r>
        <w:rPr>
          <w:lang w:eastAsia="ja-JP"/>
        </w:rPr>
        <w:t xml:space="preserve"> through distinct grouping of different taxa types)?</w:t>
      </w:r>
    </w:p>
    <w:p w14:paraId="273CDD46" w14:textId="77777777" w:rsidR="0086227B" w:rsidRDefault="00324184" w:rsidP="0086227B">
      <w:pPr>
        <w:rPr>
          <w:lang w:eastAsia="ja-JP"/>
        </w:rPr>
      </w:pPr>
      <w:r>
        <w:rPr>
          <w:lang w:eastAsia="ja-JP"/>
        </w:rPr>
        <w:t xml:space="preserve">There </w:t>
      </w:r>
      <w:r w:rsidR="000B6191">
        <w:rPr>
          <w:lang w:eastAsia="ja-JP"/>
        </w:rPr>
        <w:t xml:space="preserve">was </w:t>
      </w:r>
      <w:r>
        <w:rPr>
          <w:lang w:eastAsia="ja-JP"/>
        </w:rPr>
        <w:t>some indication of taxa-specific sensitivity</w:t>
      </w:r>
      <w:r w:rsidR="000B6191">
        <w:rPr>
          <w:lang w:eastAsia="ja-JP"/>
        </w:rPr>
        <w:t xml:space="preserve"> when broad taxonomic groupings were compared</w:t>
      </w:r>
      <w:r>
        <w:rPr>
          <w:lang w:eastAsia="ja-JP"/>
        </w:rPr>
        <w:t>, with microalgae typically more sensitive than macroinvertebrates, macro</w:t>
      </w:r>
      <w:r>
        <w:rPr>
          <w:lang w:eastAsia="ja-JP"/>
        </w:rPr>
        <w:t>algae or fish (</w:t>
      </w:r>
      <w:r w:rsidR="006F2BB3">
        <w:rPr>
          <w:lang w:eastAsia="ja-JP"/>
        </w:rPr>
        <w:fldChar w:fldCharType="begin"/>
      </w:r>
      <w:r w:rsidR="006F2BB3">
        <w:rPr>
          <w:lang w:eastAsia="ja-JP"/>
        </w:rPr>
        <w:instrText xml:space="preserve"> REF _Ref85903940 \h </w:instrText>
      </w:r>
      <w:r w:rsidR="006F2BB3">
        <w:rPr>
          <w:lang w:eastAsia="ja-JP"/>
        </w:rPr>
      </w:r>
      <w:r w:rsidR="006F2BB3">
        <w:rPr>
          <w:lang w:eastAsia="ja-JP"/>
        </w:rPr>
        <w:fldChar w:fldCharType="separate"/>
      </w:r>
      <w:r w:rsidR="00A41C81">
        <w:t>Figure F </w:t>
      </w:r>
      <w:r w:rsidR="00A41C81">
        <w:rPr>
          <w:noProof/>
        </w:rPr>
        <w:t>2</w:t>
      </w:r>
      <w:r w:rsidR="006F2BB3">
        <w:rPr>
          <w:lang w:eastAsia="ja-JP"/>
        </w:rPr>
        <w:fldChar w:fldCharType="end"/>
      </w:r>
      <w:r>
        <w:rPr>
          <w:lang w:eastAsia="ja-JP"/>
        </w:rPr>
        <w:t xml:space="preserve">). This is primarily due to the highly sensitive diatom species, as shown in </w:t>
      </w:r>
      <w:r w:rsidR="006F2BB3">
        <w:rPr>
          <w:lang w:eastAsia="ja-JP"/>
        </w:rPr>
        <w:fldChar w:fldCharType="begin"/>
      </w:r>
      <w:r w:rsidR="006F2BB3">
        <w:rPr>
          <w:lang w:eastAsia="ja-JP"/>
        </w:rPr>
        <w:instrText xml:space="preserve"> REF _Ref85903949 \h </w:instrText>
      </w:r>
      <w:r w:rsidR="006F2BB3">
        <w:rPr>
          <w:lang w:eastAsia="ja-JP"/>
        </w:rPr>
      </w:r>
      <w:r w:rsidR="006F2BB3">
        <w:rPr>
          <w:lang w:eastAsia="ja-JP"/>
        </w:rPr>
        <w:fldChar w:fldCharType="separate"/>
      </w:r>
      <w:r w:rsidR="00A41C81">
        <w:t>Figure F </w:t>
      </w:r>
      <w:r w:rsidR="00A41C81">
        <w:rPr>
          <w:noProof/>
        </w:rPr>
        <w:t>3</w:t>
      </w:r>
      <w:r w:rsidR="006F2BB3">
        <w:rPr>
          <w:lang w:eastAsia="ja-JP"/>
        </w:rPr>
        <w:fldChar w:fldCharType="end"/>
      </w:r>
      <w:r>
        <w:rPr>
          <w:lang w:eastAsia="ja-JP"/>
        </w:rPr>
        <w:t xml:space="preserve"> where toxicity is </w:t>
      </w:r>
      <w:r>
        <w:rPr>
          <w:lang w:eastAsia="ja-JP"/>
        </w:rPr>
        <w:t xml:space="preserve">compared across </w:t>
      </w:r>
      <w:r w:rsidR="000B6191">
        <w:rPr>
          <w:lang w:eastAsia="ja-JP"/>
        </w:rPr>
        <w:t>the 1</w:t>
      </w:r>
      <w:r w:rsidR="00A96196">
        <w:rPr>
          <w:lang w:eastAsia="ja-JP"/>
        </w:rPr>
        <w:t>2</w:t>
      </w:r>
      <w:r w:rsidR="000B6191">
        <w:rPr>
          <w:lang w:eastAsia="ja-JP"/>
        </w:rPr>
        <w:t xml:space="preserve"> </w:t>
      </w:r>
      <w:r>
        <w:rPr>
          <w:lang w:eastAsia="ja-JP"/>
        </w:rPr>
        <w:t xml:space="preserve">taxonomic groups. There are also some mollusc species that are highly sensitive. </w:t>
      </w:r>
    </w:p>
    <w:p w14:paraId="273CDD47" w14:textId="77777777" w:rsidR="0086227B" w:rsidRDefault="00324184" w:rsidP="0086227B">
      <w:pPr>
        <w:rPr>
          <w:lang w:eastAsia="ja-JP"/>
        </w:rPr>
      </w:pPr>
      <w:r>
        <w:rPr>
          <w:lang w:eastAsia="ja-JP"/>
        </w:rPr>
        <w:t xml:space="preserve">The data are also shown in the SSD in </w:t>
      </w:r>
      <w:r w:rsidR="006F2BB3">
        <w:rPr>
          <w:lang w:eastAsia="ja-JP"/>
        </w:rPr>
        <w:fldChar w:fldCharType="begin"/>
      </w:r>
      <w:r w:rsidR="006F2BB3">
        <w:rPr>
          <w:lang w:eastAsia="ja-JP"/>
        </w:rPr>
        <w:instrText xml:space="preserve"> REF _Ref85903959 \h </w:instrText>
      </w:r>
      <w:r w:rsidR="006F2BB3">
        <w:rPr>
          <w:lang w:eastAsia="ja-JP"/>
        </w:rPr>
      </w:r>
      <w:r w:rsidR="006F2BB3">
        <w:rPr>
          <w:lang w:eastAsia="ja-JP"/>
        </w:rPr>
        <w:fldChar w:fldCharType="separate"/>
      </w:r>
      <w:r w:rsidR="00A41C81">
        <w:t>Figure F </w:t>
      </w:r>
      <w:r w:rsidR="00A41C81">
        <w:rPr>
          <w:noProof/>
        </w:rPr>
        <w:t>4</w:t>
      </w:r>
      <w:r w:rsidR="006F2BB3">
        <w:rPr>
          <w:lang w:eastAsia="ja-JP"/>
        </w:rPr>
        <w:fldChar w:fldCharType="end"/>
      </w:r>
      <w:r>
        <w:rPr>
          <w:lang w:eastAsia="ja-JP"/>
        </w:rPr>
        <w:t xml:space="preserve">, and indicate </w:t>
      </w:r>
      <w:r>
        <w:rPr>
          <w:lang w:eastAsia="ja-JP"/>
        </w:rPr>
        <w:t xml:space="preserve">that microalgae are in the bottom two-thirds of the </w:t>
      </w:r>
      <w:r w:rsidR="00EF35CA">
        <w:rPr>
          <w:lang w:eastAsia="ja-JP"/>
        </w:rPr>
        <w:t xml:space="preserve">final </w:t>
      </w:r>
      <w:r>
        <w:rPr>
          <w:lang w:eastAsia="ja-JP"/>
        </w:rPr>
        <w:t xml:space="preserve">dataset </w:t>
      </w:r>
      <w:r w:rsidR="00EF35CA">
        <w:rPr>
          <w:lang w:eastAsia="ja-JP"/>
        </w:rPr>
        <w:t>(</w:t>
      </w:r>
      <w:r>
        <w:rPr>
          <w:lang w:eastAsia="ja-JP"/>
        </w:rPr>
        <w:t>though there is one data point for a blue</w:t>
      </w:r>
      <w:r w:rsidR="00EF35CA">
        <w:rPr>
          <w:lang w:eastAsia="ja-JP"/>
        </w:rPr>
        <w:t>–</w:t>
      </w:r>
      <w:r>
        <w:rPr>
          <w:lang w:eastAsia="ja-JP"/>
        </w:rPr>
        <w:t>green alga at the top of the curve</w:t>
      </w:r>
      <w:r w:rsidR="00EF35CA">
        <w:rPr>
          <w:lang w:eastAsia="ja-JP"/>
        </w:rPr>
        <w:t>)</w:t>
      </w:r>
      <w:r>
        <w:rPr>
          <w:lang w:eastAsia="ja-JP"/>
        </w:rPr>
        <w:t>. However, the distribution of the microalga</w:t>
      </w:r>
      <w:r w:rsidR="00EF35CA">
        <w:rPr>
          <w:lang w:eastAsia="ja-JP"/>
        </w:rPr>
        <w:t>e</w:t>
      </w:r>
      <w:r>
        <w:rPr>
          <w:lang w:eastAsia="ja-JP"/>
        </w:rPr>
        <w:t xml:space="preserve"> data does not correlate with the bimodality observed in the histog</w:t>
      </w:r>
      <w:r>
        <w:rPr>
          <w:lang w:eastAsia="ja-JP"/>
        </w:rPr>
        <w:t>ram, indicating that this is not the cause of the apparent bimodality.</w:t>
      </w:r>
    </w:p>
    <w:p w14:paraId="273CDD48" w14:textId="77777777" w:rsidR="0086227B" w:rsidRDefault="00324184" w:rsidP="0086227B">
      <w:pPr>
        <w:rPr>
          <w:highlight w:val="yellow"/>
          <w:lang w:eastAsia="ja-JP"/>
        </w:rPr>
      </w:pPr>
      <w:r>
        <w:rPr>
          <w:noProof/>
          <w:lang w:eastAsia="ja-JP"/>
        </w:rPr>
        <w:drawing>
          <wp:inline distT="0" distB="0" distL="0" distR="0" wp14:anchorId="273CDE04" wp14:editId="273CDE05">
            <wp:extent cx="4212972" cy="3079750"/>
            <wp:effectExtent l="0" t="0" r="0" b="6350"/>
            <wp:docPr id="14" name="Picture 14" descr="Comparison of dissolved copper toxicity between taxa&#10;&#10;Box and whisker graph shows comparison of dissolved copper (micrograms per litre) toxicity between the following taxa: fish, macroalgae, microinvertebrates, and microalga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33816" name="Picture 14" descr="Comparison of dissolved copper toxicity between taxa&#10;&#10;Box and whisker graph shows comparison of dissolved copper (micrograms per litre) toxicity between the following taxa: fish, macroalgae, microinvertebrates, and microalgae. "/>
                    <pic:cNvPicPr/>
                  </pic:nvPicPr>
                  <pic:blipFill>
                    <a:blip r:embed="rId35" cstate="print">
                      <a:extLst>
                        <a:ext uri="{28A0092B-C50C-407E-A947-70E740481C1C}">
                          <a14:useLocalDpi xmlns:a14="http://schemas.microsoft.com/office/drawing/2010/main" val="0"/>
                        </a:ext>
                      </a:extLst>
                    </a:blip>
                    <a:srcRect l="1299" t="1182" r="1151" b="6133"/>
                    <a:stretch>
                      <a:fillRect/>
                    </a:stretch>
                  </pic:blipFill>
                  <pic:spPr bwMode="auto">
                    <a:xfrm>
                      <a:off x="0" y="0"/>
                      <a:ext cx="4214148" cy="3080610"/>
                    </a:xfrm>
                    <a:prstGeom prst="rect">
                      <a:avLst/>
                    </a:prstGeom>
                    <a:ln>
                      <a:noFill/>
                    </a:ln>
                    <a:extLst>
                      <a:ext uri="{53640926-AAD7-44D8-BBD7-CCE9431645EC}">
                        <a14:shadowObscured xmlns:a14="http://schemas.microsoft.com/office/drawing/2010/main"/>
                      </a:ext>
                    </a:extLst>
                  </pic:spPr>
                </pic:pic>
              </a:graphicData>
            </a:graphic>
          </wp:inline>
        </w:drawing>
      </w:r>
    </w:p>
    <w:p w14:paraId="273CDD49" w14:textId="77777777" w:rsidR="0086227B" w:rsidRDefault="00324184" w:rsidP="00C50CF8">
      <w:pPr>
        <w:pStyle w:val="Caption"/>
        <w:rPr>
          <w:lang w:eastAsia="ja-JP"/>
        </w:rPr>
      </w:pPr>
      <w:bookmarkStart w:id="94" w:name="_Ref85903940"/>
      <w:bookmarkStart w:id="95" w:name="_Toc89268622"/>
      <w:r>
        <w:t>Figure F </w:t>
      </w:r>
      <w:r w:rsidR="00A41C81">
        <w:fldChar w:fldCharType="begin"/>
      </w:r>
      <w:r>
        <w:instrText xml:space="preserve"> SEQ Figure_F \* ARABIC </w:instrText>
      </w:r>
      <w:r w:rsidR="00A41C81">
        <w:fldChar w:fldCharType="separate"/>
      </w:r>
      <w:r w:rsidR="00A41C81">
        <w:rPr>
          <w:noProof/>
        </w:rPr>
        <w:t>2</w:t>
      </w:r>
      <w:r w:rsidR="00A41C81">
        <w:rPr>
          <w:noProof/>
        </w:rPr>
        <w:fldChar w:fldCharType="end"/>
      </w:r>
      <w:bookmarkEnd w:id="94"/>
      <w:r w:rsidR="00C01B68" w:rsidRPr="00C01B68">
        <w:rPr>
          <w:lang w:eastAsia="ja-JP"/>
        </w:rPr>
        <w:t xml:space="preserve"> Comparison of dissolved copper toxicity between </w:t>
      </w:r>
      <w:r w:rsidR="00EF35CA">
        <w:rPr>
          <w:lang w:eastAsia="ja-JP"/>
        </w:rPr>
        <w:t>taxa</w:t>
      </w:r>
      <w:bookmarkEnd w:id="95"/>
    </w:p>
    <w:p w14:paraId="273CDD4A" w14:textId="77777777" w:rsidR="00EF35CA" w:rsidRDefault="00324184" w:rsidP="004913D3">
      <w:pPr>
        <w:tabs>
          <w:tab w:val="left" w:pos="3828"/>
        </w:tabs>
        <w:spacing w:before="240"/>
        <w:rPr>
          <w:lang w:eastAsia="ja-JP"/>
        </w:rPr>
      </w:pPr>
      <w:r>
        <w:rPr>
          <w:noProof/>
          <w:lang w:eastAsia="ja-JP"/>
        </w:rPr>
        <w:drawing>
          <wp:inline distT="0" distB="0" distL="0" distR="0" wp14:anchorId="273CDE06" wp14:editId="273CDE07">
            <wp:extent cx="5417668" cy="3196424"/>
            <wp:effectExtent l="0" t="0" r="0" b="4445"/>
            <wp:docPr id="10" name="Picture 10" descr="Comparison of dissolved copper toxicity between taxa&#10;&#10;Box and whisker graph shows comparison of dissolved copper (micrograms per litre) toxicity between 12 taxonomic groups: annelid, blue­-green alga, brown macroalga, brown microalga, cnidarian, crustacean, diatom, echinoderm, fish, green macroalga, green microalga, and mollus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17143" name="Picture 10" descr="Comparison of dissolved copper toxicity between taxa&#10;&#10;Box and whisker graph shows comparison of dissolved copper (micrograms per litre) toxicity between 12 taxonomic groups: annelid, blue­-green alga, brown macroalga, brown microalga, cnidarian, crustacean, diatom, echinoderm, fish, green macroalga, green microalga, and mollusc.&#10;"/>
                    <pic:cNvPicPr/>
                  </pic:nvPicPr>
                  <pic:blipFill>
                    <a:blip r:embed="rId36" cstate="print">
                      <a:extLst>
                        <a:ext uri="{28A0092B-C50C-407E-A947-70E740481C1C}">
                          <a14:useLocalDpi xmlns:a14="http://schemas.microsoft.com/office/drawing/2010/main" val="0"/>
                        </a:ext>
                      </a:extLst>
                    </a:blip>
                    <a:srcRect l="890" t="1780" r="794" b="5439"/>
                    <a:stretch>
                      <a:fillRect/>
                    </a:stretch>
                  </pic:blipFill>
                  <pic:spPr bwMode="auto">
                    <a:xfrm>
                      <a:off x="0" y="0"/>
                      <a:ext cx="5430546" cy="3204022"/>
                    </a:xfrm>
                    <a:prstGeom prst="rect">
                      <a:avLst/>
                    </a:prstGeom>
                    <a:ln>
                      <a:noFill/>
                    </a:ln>
                    <a:extLst>
                      <a:ext uri="{53640926-AAD7-44D8-BBD7-CCE9431645EC}">
                        <a14:shadowObscured xmlns:a14="http://schemas.microsoft.com/office/drawing/2010/main"/>
                      </a:ext>
                    </a:extLst>
                  </pic:spPr>
                </pic:pic>
              </a:graphicData>
            </a:graphic>
          </wp:inline>
        </w:drawing>
      </w:r>
    </w:p>
    <w:p w14:paraId="273CDD4B" w14:textId="77777777" w:rsidR="007751CC" w:rsidRDefault="00324184" w:rsidP="00C50CF8">
      <w:pPr>
        <w:pStyle w:val="Caption"/>
        <w:rPr>
          <w:lang w:eastAsia="ja-JP"/>
        </w:rPr>
      </w:pPr>
      <w:bookmarkStart w:id="96" w:name="_Ref85903949"/>
      <w:bookmarkStart w:id="97" w:name="_Toc89268623"/>
      <w:r>
        <w:t>Figure F </w:t>
      </w:r>
      <w:r w:rsidR="00A41C81">
        <w:fldChar w:fldCharType="begin"/>
      </w:r>
      <w:r>
        <w:instrText xml:space="preserve"> SEQ Figure_F \* ARABIC </w:instrText>
      </w:r>
      <w:r w:rsidR="00A41C81">
        <w:fldChar w:fldCharType="separate"/>
      </w:r>
      <w:r w:rsidR="00A41C81">
        <w:rPr>
          <w:noProof/>
        </w:rPr>
        <w:t>3</w:t>
      </w:r>
      <w:r w:rsidR="00A41C81">
        <w:rPr>
          <w:noProof/>
        </w:rPr>
        <w:fldChar w:fldCharType="end"/>
      </w:r>
      <w:bookmarkEnd w:id="96"/>
      <w:r w:rsidRPr="007751CC">
        <w:rPr>
          <w:lang w:eastAsia="ja-JP"/>
        </w:rPr>
        <w:t xml:space="preserve"> Comparison of dissolved copper toxicity between tax</w:t>
      </w:r>
      <w:r w:rsidR="00EF35CA">
        <w:rPr>
          <w:lang w:eastAsia="ja-JP"/>
        </w:rPr>
        <w:t>a</w:t>
      </w:r>
      <w:bookmarkEnd w:id="97"/>
    </w:p>
    <w:p w14:paraId="273CDD4C" w14:textId="77777777" w:rsidR="003A4319" w:rsidRPr="003A4319" w:rsidRDefault="003A4319" w:rsidP="003A4319">
      <w:pPr>
        <w:rPr>
          <w:lang w:eastAsia="ja-JP"/>
        </w:rPr>
      </w:pPr>
    </w:p>
    <w:p w14:paraId="273CDD4D" w14:textId="77777777" w:rsidR="007751CC" w:rsidRPr="00CF0D08" w:rsidRDefault="00324184" w:rsidP="00557389">
      <w:pPr>
        <w:rPr>
          <w:lang w:eastAsia="ja-JP"/>
        </w:rPr>
      </w:pPr>
      <w:r>
        <w:rPr>
          <w:noProof/>
          <w:lang w:eastAsia="ja-JP"/>
        </w:rPr>
        <w:drawing>
          <wp:inline distT="0" distB="0" distL="0" distR="0" wp14:anchorId="273CDE08" wp14:editId="273CDE09">
            <wp:extent cx="5306593" cy="3919993"/>
            <wp:effectExtent l="0" t="0" r="8890" b="4445"/>
            <wp:docPr id="19" name="Picture 19" descr="Species sensitivity distribution, final dataset for dissolved copper&#10;&#10;Figure is a species sensitivity distribution (SSD) that shows 32 species that are potentially affected by concentrations of dissolved copper (microgram per l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44804" name="Picture 19" descr="Species sensitivity distribution, final dataset for dissolved copper&#10;&#10;Figure is a species sensitivity distribution (SSD) that shows 32 species that are potentially affected by concentrations of dissolved copper (microgram per litre)."/>
                    <pic:cNvPicPr/>
                  </pic:nvPicPr>
                  <pic:blipFill>
                    <a:blip r:embed="rId37" cstate="print">
                      <a:extLst>
                        <a:ext uri="{28A0092B-C50C-407E-A947-70E740481C1C}">
                          <a14:useLocalDpi xmlns:a14="http://schemas.microsoft.com/office/drawing/2010/main" val="0"/>
                        </a:ext>
                      </a:extLst>
                    </a:blip>
                    <a:srcRect l="650" t="867" r="-10" b="1235"/>
                    <a:stretch>
                      <a:fillRect/>
                    </a:stretch>
                  </pic:blipFill>
                  <pic:spPr bwMode="auto">
                    <a:xfrm>
                      <a:off x="0" y="0"/>
                      <a:ext cx="5323839" cy="3932732"/>
                    </a:xfrm>
                    <a:prstGeom prst="rect">
                      <a:avLst/>
                    </a:prstGeom>
                    <a:ln>
                      <a:noFill/>
                    </a:ln>
                    <a:extLst>
                      <a:ext uri="{53640926-AAD7-44D8-BBD7-CCE9431645EC}">
                        <a14:shadowObscured xmlns:a14="http://schemas.microsoft.com/office/drawing/2010/main"/>
                      </a:ext>
                    </a:extLst>
                  </pic:spPr>
                </pic:pic>
              </a:graphicData>
            </a:graphic>
          </wp:inline>
        </w:drawing>
      </w:r>
    </w:p>
    <w:p w14:paraId="273CDD4E" w14:textId="77777777" w:rsidR="00CF0D08" w:rsidRDefault="00324184" w:rsidP="00C50CF8">
      <w:pPr>
        <w:pStyle w:val="Caption"/>
        <w:rPr>
          <w:lang w:eastAsia="ja-JP"/>
        </w:rPr>
      </w:pPr>
      <w:bookmarkStart w:id="98" w:name="_Ref85903959"/>
      <w:bookmarkStart w:id="99" w:name="_Toc89268624"/>
      <w:r>
        <w:t>Figure F </w:t>
      </w:r>
      <w:r w:rsidR="00A41C81">
        <w:fldChar w:fldCharType="begin"/>
      </w:r>
      <w:r>
        <w:instrText xml:space="preserve"> SEQ Figure_F \* ARABIC </w:instrText>
      </w:r>
      <w:r w:rsidR="00A41C81">
        <w:fldChar w:fldCharType="separate"/>
      </w:r>
      <w:r w:rsidR="00A41C81">
        <w:rPr>
          <w:noProof/>
        </w:rPr>
        <w:t>4</w:t>
      </w:r>
      <w:r w:rsidR="00A41C81">
        <w:rPr>
          <w:noProof/>
        </w:rPr>
        <w:fldChar w:fldCharType="end"/>
      </w:r>
      <w:bookmarkEnd w:id="98"/>
      <w:r w:rsidRPr="00CF0D08">
        <w:rPr>
          <w:lang w:eastAsia="ja-JP"/>
        </w:rPr>
        <w:t xml:space="preserve"> </w:t>
      </w:r>
      <w:r w:rsidR="00FE3F3B">
        <w:rPr>
          <w:lang w:eastAsia="ja-JP"/>
        </w:rPr>
        <w:t>Species sensitivity distribution, final dataset for dissolved copper</w:t>
      </w:r>
      <w:bookmarkEnd w:id="99"/>
    </w:p>
    <w:p w14:paraId="273CDD4F" w14:textId="77777777" w:rsidR="00125EC6" w:rsidRDefault="00324184" w:rsidP="000C264C">
      <w:pPr>
        <w:pStyle w:val="Heading5"/>
        <w:rPr>
          <w:lang w:eastAsia="ja-JP"/>
        </w:rPr>
      </w:pPr>
      <w:r>
        <w:rPr>
          <w:lang w:eastAsia="ja-JP"/>
        </w:rPr>
        <w:t xml:space="preserve">Is it likely that indications of bimodality or multimodality or distinct </w:t>
      </w:r>
      <w:r>
        <w:rPr>
          <w:lang w:eastAsia="ja-JP"/>
        </w:rPr>
        <w:t>clustering of taxa groups are not due to artefacts of data selection, small sample size, test procedures, or other reasons unrelated to a specific mode of action?</w:t>
      </w:r>
    </w:p>
    <w:p w14:paraId="273CDD50" w14:textId="77777777" w:rsidR="00125EC6" w:rsidRDefault="00324184" w:rsidP="00125EC6">
      <w:pPr>
        <w:rPr>
          <w:lang w:eastAsia="ja-JP"/>
        </w:rPr>
      </w:pPr>
      <w:r>
        <w:rPr>
          <w:lang w:eastAsia="ja-JP"/>
        </w:rPr>
        <w:t xml:space="preserve">It is possible that the apparent bimodality of the dataset is due to an artefact of the test </w:t>
      </w:r>
      <w:r>
        <w:rPr>
          <w:lang w:eastAsia="ja-JP"/>
        </w:rPr>
        <w:t>conditions. Many of the values just above the apparent break between 2.6</w:t>
      </w:r>
      <w:r w:rsidR="00060D8B">
        <w:rPr>
          <w:lang w:eastAsia="ja-JP"/>
        </w:rPr>
        <w:t> </w:t>
      </w:r>
      <w:r w:rsidR="00060D8B">
        <w:rPr>
          <w:rFonts w:ascii="Calibri" w:hAnsi="Calibri" w:cs="Calibri"/>
          <w:lang w:eastAsia="ja-JP"/>
        </w:rPr>
        <w:t>µ</w:t>
      </w:r>
      <w:r w:rsidR="00060D8B">
        <w:rPr>
          <w:lang w:eastAsia="ja-JP"/>
        </w:rPr>
        <w:t>g/L</w:t>
      </w:r>
      <w:r>
        <w:rPr>
          <w:lang w:eastAsia="ja-JP"/>
        </w:rPr>
        <w:t xml:space="preserve"> and 4.</w:t>
      </w:r>
      <w:r w:rsidR="00EE55A4">
        <w:rPr>
          <w:lang w:eastAsia="ja-JP"/>
        </w:rPr>
        <w:t>1 </w:t>
      </w:r>
      <w:r w:rsidR="00E32EA2">
        <w:rPr>
          <w:rFonts w:ascii="Calibri" w:hAnsi="Calibri" w:cs="Calibri"/>
          <w:lang w:eastAsia="ja-JP"/>
        </w:rPr>
        <w:t>µ</w:t>
      </w:r>
      <w:r w:rsidR="00E32EA2">
        <w:rPr>
          <w:lang w:eastAsia="ja-JP"/>
        </w:rPr>
        <w:t xml:space="preserve">g/L </w:t>
      </w:r>
      <w:r>
        <w:rPr>
          <w:lang w:eastAsia="ja-JP"/>
        </w:rPr>
        <w:t>are NOEC data</w:t>
      </w:r>
      <w:r w:rsidR="00FE3F3B">
        <w:rPr>
          <w:lang w:eastAsia="ja-JP"/>
        </w:rPr>
        <w:t>,</w:t>
      </w:r>
      <w:r>
        <w:rPr>
          <w:lang w:eastAsia="ja-JP"/>
        </w:rPr>
        <w:t xml:space="preserve"> and three (</w:t>
      </w:r>
      <w:r w:rsidR="00E32EA2">
        <w:rPr>
          <w:lang w:eastAsia="ja-JP"/>
        </w:rPr>
        <w:t xml:space="preserve">for </w:t>
      </w:r>
      <w:r w:rsidRPr="00125EC6">
        <w:rPr>
          <w:rStyle w:val="Emphasis"/>
          <w:lang w:eastAsia="ja-JP"/>
        </w:rPr>
        <w:t>C.</w:t>
      </w:r>
      <w:r w:rsidR="00FE3F3B">
        <w:rPr>
          <w:rStyle w:val="Emphasis"/>
          <w:lang w:eastAsia="ja-JP"/>
        </w:rPr>
        <w:t> </w:t>
      </w:r>
      <w:r w:rsidRPr="00125EC6">
        <w:rPr>
          <w:rStyle w:val="Emphasis"/>
          <w:lang w:eastAsia="ja-JP"/>
        </w:rPr>
        <w:t>huxleyi</w:t>
      </w:r>
      <w:r>
        <w:rPr>
          <w:lang w:eastAsia="ja-JP"/>
        </w:rPr>
        <w:t xml:space="preserve">, </w:t>
      </w:r>
      <w:r w:rsidRPr="00125EC6">
        <w:rPr>
          <w:rStyle w:val="Emphasis"/>
          <w:lang w:eastAsia="ja-JP"/>
        </w:rPr>
        <w:t>D. tertiolecta</w:t>
      </w:r>
      <w:r>
        <w:rPr>
          <w:lang w:eastAsia="ja-JP"/>
        </w:rPr>
        <w:t xml:space="preserve"> and </w:t>
      </w:r>
      <w:r w:rsidRPr="00125EC6">
        <w:rPr>
          <w:rStyle w:val="Emphasis"/>
          <w:lang w:eastAsia="ja-JP"/>
        </w:rPr>
        <w:t>T</w:t>
      </w:r>
      <w:r w:rsidR="00FE3F3B">
        <w:rPr>
          <w:rStyle w:val="Emphasis"/>
          <w:lang w:eastAsia="ja-JP"/>
        </w:rPr>
        <w:t>etraselmis</w:t>
      </w:r>
      <w:r w:rsidRPr="00FE3F3B">
        <w:t xml:space="preserve"> sp</w:t>
      </w:r>
      <w:r>
        <w:rPr>
          <w:lang w:eastAsia="ja-JP"/>
        </w:rPr>
        <w:t xml:space="preserve">.) are from the same study (Levy et al. 2007) and were likely tested at the same nominal concentrations. If tests were repeated and </w:t>
      </w:r>
      <w:r w:rsidR="008E3E52">
        <w:rPr>
          <w:lang w:eastAsia="ja-JP"/>
        </w:rPr>
        <w:t xml:space="preserve">NEC or </w:t>
      </w:r>
      <w:r>
        <w:rPr>
          <w:lang w:eastAsia="ja-JP"/>
        </w:rPr>
        <w:t xml:space="preserve">EC10 data calculated, it is likely that there would be a difference in these concentrations and the apparent </w:t>
      </w:r>
      <w:r w:rsidR="008E3E52">
        <w:rPr>
          <w:lang w:eastAsia="ja-JP"/>
        </w:rPr>
        <w:t xml:space="preserve">break in the dataset </w:t>
      </w:r>
      <w:r>
        <w:rPr>
          <w:lang w:eastAsia="ja-JP"/>
        </w:rPr>
        <w:t>would be reduced.</w:t>
      </w:r>
      <w:r w:rsidR="008E3E52">
        <w:rPr>
          <w:lang w:eastAsia="ja-JP"/>
        </w:rPr>
        <w:t xml:space="preserve"> Thus, it is probable that the break in the dataset is an artefact of the data included </w:t>
      </w:r>
      <w:r w:rsidR="00DC0C12">
        <w:rPr>
          <w:lang w:eastAsia="ja-JP"/>
        </w:rPr>
        <w:t>as well as</w:t>
      </w:r>
      <w:r w:rsidR="008E3E52">
        <w:rPr>
          <w:lang w:eastAsia="ja-JP"/>
        </w:rPr>
        <w:t xml:space="preserve"> the inclusion of NOEC data.</w:t>
      </w:r>
    </w:p>
    <w:p w14:paraId="273CDD51" w14:textId="77777777" w:rsidR="007751CC" w:rsidRDefault="00324184" w:rsidP="00125EC6">
      <w:pPr>
        <w:rPr>
          <w:lang w:eastAsia="ja-JP"/>
        </w:rPr>
      </w:pPr>
      <w:r>
        <w:rPr>
          <w:lang w:eastAsia="ja-JP"/>
        </w:rPr>
        <w:t>The lack of strong evidence for</w:t>
      </w:r>
      <w:r w:rsidR="00125EC6">
        <w:rPr>
          <w:lang w:eastAsia="ja-JP"/>
        </w:rPr>
        <w:t xml:space="preserve"> bimodality and </w:t>
      </w:r>
      <w:r>
        <w:rPr>
          <w:lang w:eastAsia="ja-JP"/>
        </w:rPr>
        <w:t>the high degree of overlap in</w:t>
      </w:r>
      <w:r w:rsidR="00125EC6">
        <w:rPr>
          <w:lang w:eastAsia="ja-JP"/>
        </w:rPr>
        <w:t xml:space="preserve"> taxa-specific sensitivity</w:t>
      </w:r>
      <w:r>
        <w:rPr>
          <w:lang w:eastAsia="ja-JP"/>
        </w:rPr>
        <w:t>,</w:t>
      </w:r>
      <w:r w:rsidR="00125EC6">
        <w:rPr>
          <w:lang w:eastAsia="ja-JP"/>
        </w:rPr>
        <w:t xml:space="preserve"> with the possible exception of diatoms</w:t>
      </w:r>
      <w:r>
        <w:rPr>
          <w:lang w:eastAsia="ja-JP"/>
        </w:rPr>
        <w:t xml:space="preserve">, supports the use of all the acceptable data </w:t>
      </w:r>
      <w:r w:rsidR="00125EC6">
        <w:rPr>
          <w:lang w:eastAsia="ja-JP"/>
        </w:rPr>
        <w:t xml:space="preserve">to </w:t>
      </w:r>
      <w:r>
        <w:rPr>
          <w:lang w:eastAsia="ja-JP"/>
        </w:rPr>
        <w:t xml:space="preserve">derive </w:t>
      </w:r>
      <w:r w:rsidR="00125EC6">
        <w:rPr>
          <w:lang w:eastAsia="ja-JP"/>
        </w:rPr>
        <w:t xml:space="preserve">the </w:t>
      </w:r>
      <w:r w:rsidR="00FE3F3B">
        <w:rPr>
          <w:lang w:eastAsia="ja-JP"/>
        </w:rPr>
        <w:t>D</w:t>
      </w:r>
      <w:r w:rsidR="00125EC6">
        <w:rPr>
          <w:lang w:eastAsia="ja-JP"/>
        </w:rPr>
        <w:t>GV</w:t>
      </w:r>
      <w:r>
        <w:rPr>
          <w:lang w:eastAsia="ja-JP"/>
        </w:rPr>
        <w:t>s</w:t>
      </w:r>
      <w:r w:rsidR="00125EC6">
        <w:rPr>
          <w:lang w:eastAsia="ja-JP"/>
        </w:rPr>
        <w:t>.</w:t>
      </w:r>
    </w:p>
    <w:p w14:paraId="273CDD52" w14:textId="77777777" w:rsidR="00125EC6" w:rsidRDefault="00324184">
      <w:pPr>
        <w:spacing w:after="0" w:line="240" w:lineRule="auto"/>
        <w:rPr>
          <w:highlight w:val="yellow"/>
          <w:lang w:eastAsia="ja-JP"/>
        </w:rPr>
      </w:pPr>
      <w:r>
        <w:rPr>
          <w:highlight w:val="yellow"/>
          <w:lang w:eastAsia="ja-JP"/>
        </w:rPr>
        <w:br w:type="page"/>
      </w:r>
    </w:p>
    <w:p w14:paraId="273CDD53" w14:textId="77777777" w:rsidR="00125EC6" w:rsidRDefault="00324184" w:rsidP="0068755D">
      <w:pPr>
        <w:pStyle w:val="Heading2"/>
        <w:numPr>
          <w:ilvl w:val="0"/>
          <w:numId w:val="0"/>
        </w:numPr>
      </w:pPr>
      <w:bookmarkStart w:id="100" w:name="_Ref85904335"/>
      <w:bookmarkStart w:id="101" w:name="_Toc89265629"/>
      <w:bookmarkStart w:id="102" w:name="_Toc89268669"/>
      <w:r>
        <w:t xml:space="preserve">Appendix G: Rationale for DOC </w:t>
      </w:r>
      <w:r w:rsidR="0060698C">
        <w:t>correction</w:t>
      </w:r>
      <w:bookmarkEnd w:id="100"/>
      <w:bookmarkEnd w:id="101"/>
      <w:bookmarkEnd w:id="102"/>
    </w:p>
    <w:p w14:paraId="273CDD54" w14:textId="77777777" w:rsidR="00641D11" w:rsidRDefault="00641D11" w:rsidP="00641D11">
      <w:pPr>
        <w:rPr>
          <w:lang w:eastAsia="ja-JP"/>
        </w:rPr>
      </w:pPr>
    </w:p>
    <w:p w14:paraId="273CDD55" w14:textId="77777777" w:rsidR="00641D11" w:rsidRPr="00641D11" w:rsidRDefault="00641D11" w:rsidP="00641D11">
      <w:pPr>
        <w:rPr>
          <w:lang w:eastAsia="ja-JP"/>
        </w:rPr>
      </w:pPr>
    </w:p>
    <w:p w14:paraId="273CDD56" w14:textId="77777777" w:rsidR="00125EC6" w:rsidRDefault="00324184" w:rsidP="00125EC6">
      <w:pPr>
        <w:rPr>
          <w:lang w:eastAsia="ja-JP"/>
        </w:rPr>
      </w:pPr>
      <w:r>
        <w:rPr>
          <w:lang w:eastAsia="ja-JP"/>
        </w:rPr>
        <w:t xml:space="preserve">Bioavailability corrections for </w:t>
      </w:r>
      <w:r w:rsidR="002970DA">
        <w:rPr>
          <w:lang w:eastAsia="ja-JP"/>
        </w:rPr>
        <w:t xml:space="preserve">dissolved </w:t>
      </w:r>
      <w:r>
        <w:rPr>
          <w:lang w:eastAsia="ja-JP"/>
        </w:rPr>
        <w:t xml:space="preserve">copper </w:t>
      </w:r>
      <w:r w:rsidR="002970DA">
        <w:rPr>
          <w:lang w:eastAsia="ja-JP"/>
        </w:rPr>
        <w:t xml:space="preserve">default guideline values (DGVs) in marine </w:t>
      </w:r>
      <w:r>
        <w:rPr>
          <w:lang w:eastAsia="ja-JP"/>
        </w:rPr>
        <w:t>water are b</w:t>
      </w:r>
      <w:r>
        <w:rPr>
          <w:lang w:eastAsia="ja-JP"/>
        </w:rPr>
        <w:t xml:space="preserve">eing used </w:t>
      </w:r>
      <w:r w:rsidR="002970DA">
        <w:rPr>
          <w:lang w:eastAsia="ja-JP"/>
        </w:rPr>
        <w:t>(</w:t>
      </w:r>
      <w:r>
        <w:rPr>
          <w:lang w:eastAsia="ja-JP"/>
        </w:rPr>
        <w:t>or have been proposed</w:t>
      </w:r>
      <w:r w:rsidR="002970DA">
        <w:rPr>
          <w:lang w:eastAsia="ja-JP"/>
        </w:rPr>
        <w:t>)</w:t>
      </w:r>
      <w:r>
        <w:rPr>
          <w:lang w:eastAsia="ja-JP"/>
        </w:rPr>
        <w:t xml:space="preserve"> in several jurisdictions</w:t>
      </w:r>
      <w:r w:rsidR="002970DA">
        <w:rPr>
          <w:lang w:eastAsia="ja-JP"/>
        </w:rPr>
        <w:t>. These are discussed as follows.</w:t>
      </w:r>
    </w:p>
    <w:p w14:paraId="273CDD57" w14:textId="77777777" w:rsidR="002970DA" w:rsidRDefault="00324184" w:rsidP="00125EC6">
      <w:pPr>
        <w:rPr>
          <w:lang w:eastAsia="ja-JP"/>
        </w:rPr>
      </w:pPr>
      <w:r>
        <w:rPr>
          <w:lang w:eastAsia="ja-JP"/>
        </w:rPr>
        <w:t>The European Union risk assessment (</w:t>
      </w:r>
      <w:r w:rsidR="003D4ED5" w:rsidRPr="00DA3F57">
        <w:rPr>
          <w:rFonts w:ascii="Calibri" w:eastAsia="Times New Roman" w:hAnsi="Calibri" w:cs="Calibri"/>
          <w:color w:val="000000"/>
          <w:lang w:eastAsia="en-GB"/>
        </w:rPr>
        <w:t>European Copper Institute</w:t>
      </w:r>
      <w:r w:rsidR="003D4ED5">
        <w:rPr>
          <w:rFonts w:ascii="Calibri" w:eastAsia="Times New Roman" w:hAnsi="Calibri" w:cs="Calibri"/>
          <w:color w:val="000000"/>
          <w:lang w:eastAsia="en-GB"/>
        </w:rPr>
        <w:t xml:space="preserve"> 2008</w:t>
      </w:r>
      <w:r>
        <w:rPr>
          <w:lang w:eastAsia="ja-JP"/>
        </w:rPr>
        <w:t>) investigated relationships between dissolved organic carbon (DOC)</w:t>
      </w:r>
      <w:r>
        <w:rPr>
          <w:lang w:eastAsia="ja-JP"/>
        </w:rPr>
        <w:t xml:space="preserve"> and toxicity data based on six species: </w:t>
      </w:r>
    </w:p>
    <w:p w14:paraId="273CDD58" w14:textId="77777777" w:rsidR="002970DA" w:rsidRDefault="00324184" w:rsidP="002970DA">
      <w:pPr>
        <w:pStyle w:val="ListBullet"/>
        <w:rPr>
          <w:lang w:eastAsia="ja-JP"/>
        </w:rPr>
      </w:pPr>
      <w:r w:rsidRPr="002970DA">
        <w:rPr>
          <w:rStyle w:val="Emphasis"/>
        </w:rPr>
        <w:t>Mytilus galloprovincialis</w:t>
      </w:r>
      <w:r>
        <w:rPr>
          <w:lang w:eastAsia="ja-JP"/>
        </w:rPr>
        <w:t xml:space="preserve"> </w:t>
      </w:r>
    </w:p>
    <w:p w14:paraId="273CDD59" w14:textId="77777777" w:rsidR="002970DA" w:rsidRDefault="00324184" w:rsidP="002970DA">
      <w:pPr>
        <w:pStyle w:val="ListBullet"/>
        <w:rPr>
          <w:lang w:eastAsia="ja-JP"/>
        </w:rPr>
      </w:pPr>
      <w:r w:rsidRPr="002970DA">
        <w:rPr>
          <w:rStyle w:val="Emphasis"/>
        </w:rPr>
        <w:t>Mytilus edulis</w:t>
      </w:r>
    </w:p>
    <w:p w14:paraId="273CDD5A" w14:textId="77777777" w:rsidR="002970DA" w:rsidRDefault="00324184" w:rsidP="002970DA">
      <w:pPr>
        <w:pStyle w:val="ListBullet"/>
        <w:rPr>
          <w:lang w:eastAsia="ja-JP"/>
        </w:rPr>
      </w:pPr>
      <w:r w:rsidRPr="002970DA">
        <w:rPr>
          <w:rStyle w:val="Emphasis"/>
        </w:rPr>
        <w:t>Crassostrea gigas</w:t>
      </w:r>
      <w:r>
        <w:rPr>
          <w:lang w:eastAsia="ja-JP"/>
        </w:rPr>
        <w:t xml:space="preserve"> </w:t>
      </w:r>
    </w:p>
    <w:p w14:paraId="273CDD5B" w14:textId="77777777" w:rsidR="002970DA" w:rsidRDefault="00324184" w:rsidP="002970DA">
      <w:pPr>
        <w:pStyle w:val="ListBullet"/>
        <w:rPr>
          <w:lang w:eastAsia="ja-JP"/>
        </w:rPr>
      </w:pPr>
      <w:r w:rsidRPr="002970DA">
        <w:rPr>
          <w:rStyle w:val="Emphasis"/>
        </w:rPr>
        <w:t>Dendraster excentricus</w:t>
      </w:r>
      <w:r>
        <w:rPr>
          <w:lang w:eastAsia="ja-JP"/>
        </w:rPr>
        <w:t xml:space="preserve"> </w:t>
      </w:r>
    </w:p>
    <w:p w14:paraId="273CDD5C" w14:textId="77777777" w:rsidR="002970DA" w:rsidRDefault="00324184" w:rsidP="002970DA">
      <w:pPr>
        <w:pStyle w:val="ListBullet"/>
        <w:rPr>
          <w:lang w:eastAsia="ja-JP"/>
        </w:rPr>
      </w:pPr>
      <w:r w:rsidRPr="002970DA">
        <w:rPr>
          <w:rStyle w:val="Emphasis"/>
        </w:rPr>
        <w:t>Strongylocentrotus purpuratus</w:t>
      </w:r>
      <w:r>
        <w:rPr>
          <w:lang w:eastAsia="ja-JP"/>
        </w:rPr>
        <w:t xml:space="preserve"> </w:t>
      </w:r>
    </w:p>
    <w:p w14:paraId="273CDD5D" w14:textId="77777777" w:rsidR="002970DA" w:rsidRDefault="00324184" w:rsidP="002970DA">
      <w:pPr>
        <w:pStyle w:val="ListBullet"/>
        <w:rPr>
          <w:lang w:eastAsia="ja-JP"/>
        </w:rPr>
      </w:pPr>
      <w:r w:rsidRPr="002970DA">
        <w:rPr>
          <w:rStyle w:val="Emphasis"/>
        </w:rPr>
        <w:t>Fucus vesiculosis</w:t>
      </w:r>
      <w:r>
        <w:rPr>
          <w:lang w:eastAsia="ja-JP"/>
        </w:rPr>
        <w:t xml:space="preserve">. </w:t>
      </w:r>
    </w:p>
    <w:p w14:paraId="273CDD5E" w14:textId="77777777" w:rsidR="00C01B68" w:rsidRPr="00D34690" w:rsidRDefault="00324184" w:rsidP="004913D3">
      <w:pPr>
        <w:spacing w:after="180"/>
        <w:rPr>
          <w:lang w:eastAsia="ja-JP"/>
        </w:rPr>
      </w:pPr>
      <w:r>
        <w:rPr>
          <w:lang w:eastAsia="ja-JP"/>
        </w:rPr>
        <w:t>Copper t</w:t>
      </w:r>
      <w:r w:rsidR="00125EC6">
        <w:rPr>
          <w:lang w:eastAsia="ja-JP"/>
        </w:rPr>
        <w:t xml:space="preserve">oxicity </w:t>
      </w:r>
      <w:r>
        <w:rPr>
          <w:lang w:eastAsia="ja-JP"/>
        </w:rPr>
        <w:t>was</w:t>
      </w:r>
      <w:r w:rsidR="00125EC6">
        <w:rPr>
          <w:lang w:eastAsia="ja-JP"/>
        </w:rPr>
        <w:t xml:space="preserve"> investigated at multiple </w:t>
      </w:r>
      <w:r>
        <w:rPr>
          <w:lang w:eastAsia="ja-JP"/>
        </w:rPr>
        <w:t xml:space="preserve">DOC </w:t>
      </w:r>
      <w:r w:rsidR="00125EC6">
        <w:rPr>
          <w:lang w:eastAsia="ja-JP"/>
        </w:rPr>
        <w:t>concentrations for each of these species in chronic tests (48</w:t>
      </w:r>
      <w:r>
        <w:rPr>
          <w:lang w:eastAsia="ja-JP"/>
        </w:rPr>
        <w:t> </w:t>
      </w:r>
      <w:r w:rsidR="00125EC6">
        <w:rPr>
          <w:lang w:eastAsia="ja-JP"/>
        </w:rPr>
        <w:t>hour embryo-larval development tests for the invertebrates</w:t>
      </w:r>
      <w:r>
        <w:rPr>
          <w:lang w:eastAsia="ja-JP"/>
        </w:rPr>
        <w:t>,</w:t>
      </w:r>
      <w:r w:rsidR="00125EC6">
        <w:rPr>
          <w:lang w:eastAsia="ja-JP"/>
        </w:rPr>
        <w:t xml:space="preserve"> and zoospore growth for the </w:t>
      </w:r>
      <w:r>
        <w:rPr>
          <w:lang w:eastAsia="ja-JP"/>
        </w:rPr>
        <w:t>algae</w:t>
      </w:r>
      <w:r w:rsidR="00125EC6">
        <w:rPr>
          <w:lang w:eastAsia="ja-JP"/>
        </w:rPr>
        <w:t xml:space="preserve">). Although NOEC data </w:t>
      </w:r>
      <w:r w:rsidR="009E03FA">
        <w:rPr>
          <w:lang w:eastAsia="ja-JP"/>
        </w:rPr>
        <w:t>were</w:t>
      </w:r>
      <w:r w:rsidR="00125EC6">
        <w:rPr>
          <w:lang w:eastAsia="ja-JP"/>
        </w:rPr>
        <w:t xml:space="preserve"> used in the risk assessment SSD, EC50 data were used to develop statistical relationships between DOC and toxicity, as EC50 data are stronger descriptors of toxicity than NOEC data. There was no significant difference between the slopes for each species</w:t>
      </w:r>
      <w:r w:rsidR="009E03FA">
        <w:rPr>
          <w:lang w:eastAsia="ja-JP"/>
        </w:rPr>
        <w:t>;</w:t>
      </w:r>
      <w:r w:rsidR="00125EC6">
        <w:rPr>
          <w:lang w:eastAsia="ja-JP"/>
        </w:rPr>
        <w:t xml:space="preserve"> therefore</w:t>
      </w:r>
      <w:r w:rsidR="009E03FA">
        <w:rPr>
          <w:lang w:eastAsia="ja-JP"/>
        </w:rPr>
        <w:t>,</w:t>
      </w:r>
      <w:r w:rsidR="00125EC6">
        <w:rPr>
          <w:lang w:eastAsia="ja-JP"/>
        </w:rPr>
        <w:t xml:space="preserve"> a single power relationship was developed for all </w:t>
      </w:r>
      <w:r w:rsidR="009E03FA">
        <w:rPr>
          <w:lang w:eastAsia="ja-JP"/>
        </w:rPr>
        <w:t>six</w:t>
      </w:r>
      <w:r w:rsidR="00125EC6">
        <w:rPr>
          <w:lang w:eastAsia="ja-JP"/>
        </w:rPr>
        <w:t xml:space="preserve"> species after normali</w:t>
      </w:r>
      <w:r w:rsidR="009E03FA">
        <w:rPr>
          <w:lang w:eastAsia="ja-JP"/>
        </w:rPr>
        <w:t>s</w:t>
      </w:r>
      <w:r w:rsidR="00125EC6">
        <w:rPr>
          <w:lang w:eastAsia="ja-JP"/>
        </w:rPr>
        <w:t>ing EC50 data to the most sensitive species (</w:t>
      </w:r>
      <w:r w:rsidR="00125EC6" w:rsidRPr="001D748F">
        <w:rPr>
          <w:i/>
          <w:iCs/>
          <w:lang w:eastAsia="ja-JP"/>
        </w:rPr>
        <w:t>My</w:t>
      </w:r>
      <w:r w:rsidR="00125EC6" w:rsidRPr="009E03FA">
        <w:rPr>
          <w:rStyle w:val="Emphasis"/>
        </w:rPr>
        <w:t>tilus edulis</w:t>
      </w:r>
      <w:r w:rsidR="00125EC6">
        <w:rPr>
          <w:lang w:eastAsia="ja-JP"/>
        </w:rPr>
        <w:t>). All NOEC data included in the SSD were then normali</w:t>
      </w:r>
      <w:r w:rsidR="009E03FA">
        <w:rPr>
          <w:lang w:eastAsia="ja-JP"/>
        </w:rPr>
        <w:t>s</w:t>
      </w:r>
      <w:r w:rsidR="00125EC6">
        <w:rPr>
          <w:lang w:eastAsia="ja-JP"/>
        </w:rPr>
        <w:t>ed based on this relationship, with an assumption that added DOC was 100% active and natural DOC was 50% active</w:t>
      </w:r>
      <w:r w:rsidR="009E03FA">
        <w:rPr>
          <w:lang w:eastAsia="ja-JP"/>
        </w:rPr>
        <w:t>.</w:t>
      </w:r>
      <w:r w:rsidR="00125EC6">
        <w:rPr>
          <w:lang w:eastAsia="ja-JP"/>
        </w:rPr>
        <w:t xml:space="preserve"> </w:t>
      </w:r>
      <w:r w:rsidR="009E03FA">
        <w:rPr>
          <w:lang w:eastAsia="ja-JP"/>
        </w:rPr>
        <w:t>A</w:t>
      </w:r>
      <w:r w:rsidR="00125EC6">
        <w:rPr>
          <w:lang w:eastAsia="ja-JP"/>
        </w:rPr>
        <w:t>n HC5 of 5.2</w:t>
      </w:r>
      <w:r w:rsidR="009E03FA">
        <w:rPr>
          <w:lang w:eastAsia="ja-JP"/>
        </w:rPr>
        <w:t> </w:t>
      </w:r>
      <w:r w:rsidR="00125EC6">
        <w:rPr>
          <w:lang w:eastAsia="ja-JP"/>
        </w:rPr>
        <w:t>µg/L</w:t>
      </w:r>
      <w:r w:rsidR="00DB3A6C">
        <w:rPr>
          <w:lang w:eastAsia="ja-JP"/>
        </w:rPr>
        <w:t xml:space="preserve"> </w:t>
      </w:r>
      <w:r w:rsidR="009E03FA">
        <w:rPr>
          <w:lang w:eastAsia="ja-JP"/>
        </w:rPr>
        <w:t>of</w:t>
      </w:r>
      <w:r w:rsidR="00125EC6">
        <w:rPr>
          <w:lang w:eastAsia="ja-JP"/>
        </w:rPr>
        <w:t xml:space="preserve"> copper was calculated based on 2</w:t>
      </w:r>
      <w:r w:rsidR="009E03FA">
        <w:rPr>
          <w:lang w:eastAsia="ja-JP"/>
        </w:rPr>
        <w:t> </w:t>
      </w:r>
      <w:r w:rsidR="00125EC6">
        <w:rPr>
          <w:lang w:eastAsia="ja-JP"/>
        </w:rPr>
        <w:t>mg/L of DOC (equivalent to 1</w:t>
      </w:r>
      <w:r w:rsidR="009E03FA">
        <w:rPr>
          <w:lang w:eastAsia="ja-JP"/>
        </w:rPr>
        <w:t> </w:t>
      </w:r>
      <w:r w:rsidR="00125EC6">
        <w:rPr>
          <w:lang w:eastAsia="ja-JP"/>
        </w:rPr>
        <w:t>mg/L active DOC). A predicted no effect concentration (PNEC) of 2.6</w:t>
      </w:r>
      <w:r w:rsidR="004E094A">
        <w:rPr>
          <w:lang w:eastAsia="ja-JP"/>
        </w:rPr>
        <w:t> </w:t>
      </w:r>
      <w:r w:rsidR="00125EC6">
        <w:rPr>
          <w:lang w:eastAsia="ja-JP"/>
        </w:rPr>
        <w:t xml:space="preserve">µg/L </w:t>
      </w:r>
      <w:r w:rsidR="004E094A">
        <w:rPr>
          <w:lang w:eastAsia="ja-JP"/>
        </w:rPr>
        <w:t xml:space="preserve">of </w:t>
      </w:r>
      <w:r w:rsidR="00125EC6">
        <w:rPr>
          <w:lang w:eastAsia="ja-JP"/>
        </w:rPr>
        <w:t xml:space="preserve">copper was recommended based on the HC5 and an assessment factor of 2, due to the absence of high quality mesocosm data. An adjustment </w:t>
      </w:r>
      <w:r w:rsidR="00125EC6" w:rsidRPr="00D34690">
        <w:rPr>
          <w:lang w:eastAsia="ja-JP"/>
        </w:rPr>
        <w:t xml:space="preserve">based on DOC is provided from the power equation </w:t>
      </w:r>
      <w:r w:rsidR="004E094A">
        <w:rPr>
          <w:lang w:eastAsia="ja-JP"/>
        </w:rPr>
        <w:t xml:space="preserve">in </w:t>
      </w:r>
      <w:r w:rsidR="006F2BB3">
        <w:rPr>
          <w:lang w:eastAsia="ja-JP"/>
        </w:rPr>
        <w:fldChar w:fldCharType="begin"/>
      </w:r>
      <w:r w:rsidR="006F2BB3">
        <w:rPr>
          <w:lang w:eastAsia="ja-JP"/>
        </w:rPr>
        <w:instrText xml:space="preserve"> REF _Ref85903983 \h </w:instrText>
      </w:r>
      <w:r w:rsidR="006F2BB3">
        <w:rPr>
          <w:lang w:eastAsia="ja-JP"/>
        </w:rPr>
      </w:r>
      <w:r w:rsidR="006F2BB3">
        <w:rPr>
          <w:lang w:eastAsia="ja-JP"/>
        </w:rPr>
        <w:fldChar w:fldCharType="separate"/>
      </w:r>
      <w:r w:rsidR="00A41C81">
        <w:t>Figure G </w:t>
      </w:r>
      <w:r w:rsidR="00A41C81">
        <w:rPr>
          <w:noProof/>
        </w:rPr>
        <w:t>1</w:t>
      </w:r>
      <w:r w:rsidR="006F2BB3">
        <w:rPr>
          <w:lang w:eastAsia="ja-JP"/>
        </w:rPr>
        <w:fldChar w:fldCharType="end"/>
      </w:r>
      <w:r w:rsidR="0060698C">
        <w:rPr>
          <w:lang w:eastAsia="ja-JP"/>
        </w:rPr>
        <w:t>.</w:t>
      </w:r>
    </w:p>
    <w:p w14:paraId="273CDD5F" w14:textId="77777777" w:rsidR="00125EC6" w:rsidRPr="00CF00DC" w:rsidRDefault="00324184" w:rsidP="00CF00DC">
      <w:pPr>
        <w:spacing w:after="40" w:line="240" w:lineRule="auto"/>
        <w:rPr>
          <w:rFonts w:eastAsiaTheme="minorEastAsia"/>
          <w:sz w:val="21"/>
          <w:szCs w:val="21"/>
        </w:rPr>
      </w:pPr>
      <m:oMathPara>
        <m:oMathParaPr>
          <m:jc m:val="left"/>
        </m:oMathParaPr>
        <m:oMath>
          <m:sSub>
            <m:sSubPr>
              <m:ctrlPr>
                <w:rPr>
                  <w:rFonts w:ascii="Cambria Math" w:hAnsi="Cambria Math"/>
                  <w:sz w:val="21"/>
                  <w:szCs w:val="21"/>
                </w:rPr>
              </m:ctrlPr>
            </m:sSubPr>
            <m:e>
              <m:r>
                <w:rPr>
                  <w:rFonts w:ascii="Cambria Math" w:hAnsi="Cambria Math"/>
                  <w:sz w:val="21"/>
                  <w:szCs w:val="21"/>
                </w:rPr>
                <m:t>PNEC</m:t>
              </m:r>
            </m:e>
            <m:sub>
              <m:r>
                <w:rPr>
                  <w:rFonts w:ascii="Cambria Math" w:hAnsi="Cambria Math"/>
                  <w:sz w:val="21"/>
                  <w:szCs w:val="21"/>
                </w:rPr>
                <m:t>site</m:t>
              </m:r>
              <m:r>
                <m:rPr>
                  <m:sty m:val="p"/>
                </m:rPr>
                <w:rPr>
                  <w:rFonts w:ascii="Cambria Math" w:hAnsi="Cambria Math"/>
                  <w:sz w:val="21"/>
                  <w:szCs w:val="21"/>
                </w:rPr>
                <m:t xml:space="preserve"> </m:t>
              </m:r>
              <m:r>
                <w:rPr>
                  <w:rFonts w:ascii="Cambria Math" w:hAnsi="Cambria Math"/>
                  <w:sz w:val="21"/>
                  <w:szCs w:val="21"/>
                </w:rPr>
                <m:t>specific</m:t>
              </m:r>
            </m:sub>
          </m:sSub>
          <m:r>
            <m:rPr>
              <m:sty m:val="p"/>
            </m:rPr>
            <w:rPr>
              <w:rFonts w:ascii="Cambria Math" w:hAnsi="Cambria Math"/>
              <w:sz w:val="21"/>
              <w:szCs w:val="21"/>
            </w:rPr>
            <m:t xml:space="preserve">=2.64 × </m:t>
          </m:r>
          <m:sSup>
            <m:sSupPr>
              <m:ctrlPr>
                <w:rPr>
                  <w:rFonts w:ascii="Cambria Math" w:hAnsi="Cambria Math"/>
                  <w:sz w:val="21"/>
                  <w:szCs w:val="21"/>
                </w:rPr>
              </m:ctrlPr>
            </m:sSupPr>
            <m:e>
              <m:d>
                <m:dPr>
                  <m:ctrlPr>
                    <w:rPr>
                      <w:rFonts w:ascii="Cambria Math" w:hAnsi="Cambria Math"/>
                      <w:sz w:val="21"/>
                      <w:szCs w:val="21"/>
                    </w:rPr>
                  </m:ctrlPr>
                </m:dPr>
                <m:e>
                  <m:f>
                    <m:fPr>
                      <m:ctrlPr>
                        <w:rPr>
                          <w:rFonts w:ascii="Cambria Math" w:hAnsi="Cambria Math"/>
                          <w:sz w:val="21"/>
                          <w:szCs w:val="21"/>
                        </w:rPr>
                      </m:ctrlPr>
                    </m:fPr>
                    <m:num>
                      <m:r>
                        <w:rPr>
                          <w:rFonts w:ascii="Cambria Math" w:hAnsi="Cambria Math"/>
                          <w:sz w:val="21"/>
                          <w:szCs w:val="21"/>
                        </w:rPr>
                        <m:t>DOC</m:t>
                      </m:r>
                    </m:num>
                    <m:den>
                      <m:r>
                        <m:rPr>
                          <m:sty m:val="p"/>
                        </m:rPr>
                        <w:rPr>
                          <w:rFonts w:ascii="Cambria Math" w:hAnsi="Cambria Math"/>
                          <w:sz w:val="21"/>
                          <w:szCs w:val="21"/>
                        </w:rPr>
                        <m:t>2</m:t>
                      </m:r>
                    </m:den>
                  </m:f>
                </m:e>
              </m:d>
            </m:e>
            <m:sup>
              <m:r>
                <m:rPr>
                  <m:sty m:val="p"/>
                </m:rPr>
                <w:rPr>
                  <w:rFonts w:ascii="Cambria Math" w:hAnsi="Cambria Math"/>
                  <w:sz w:val="21"/>
                  <w:szCs w:val="21"/>
                </w:rPr>
                <m:t>0.6139</m:t>
              </m:r>
            </m:sup>
          </m:sSup>
        </m:oMath>
      </m:oMathPara>
    </w:p>
    <w:p w14:paraId="273CDD60" w14:textId="77777777" w:rsidR="004E094A" w:rsidRPr="004E094A" w:rsidRDefault="00324184" w:rsidP="00C50CF8">
      <w:pPr>
        <w:pStyle w:val="Caption"/>
        <w:rPr>
          <w:lang w:eastAsia="ja-JP"/>
        </w:rPr>
      </w:pPr>
      <w:bookmarkStart w:id="103" w:name="_Ref85903983"/>
      <w:bookmarkStart w:id="104" w:name="_Toc89268625"/>
      <w:r>
        <w:t>Figure G </w:t>
      </w:r>
      <w:r w:rsidR="00A41C81">
        <w:fldChar w:fldCharType="begin"/>
      </w:r>
      <w:r>
        <w:instrText xml:space="preserve"> SEQ Figure_G \* ARABIC </w:instrText>
      </w:r>
      <w:r w:rsidR="00A41C81">
        <w:fldChar w:fldCharType="separate"/>
      </w:r>
      <w:r w:rsidR="00A41C81">
        <w:rPr>
          <w:noProof/>
        </w:rPr>
        <w:t>1</w:t>
      </w:r>
      <w:r w:rsidR="00A41C81">
        <w:rPr>
          <w:noProof/>
        </w:rPr>
        <w:fldChar w:fldCharType="end"/>
      </w:r>
      <w:bookmarkEnd w:id="103"/>
      <w:r>
        <w:t xml:space="preserve"> A</w:t>
      </w:r>
      <w:r w:rsidRPr="004E094A">
        <w:t>djustment based on DOC</w:t>
      </w:r>
      <w:bookmarkEnd w:id="104"/>
    </w:p>
    <w:p w14:paraId="273CDD61" w14:textId="77777777" w:rsidR="00125EC6" w:rsidRDefault="00324184" w:rsidP="004913D3">
      <w:pPr>
        <w:spacing w:after="180"/>
        <w:rPr>
          <w:lang w:eastAsia="ja-JP"/>
        </w:rPr>
      </w:pPr>
      <w:r w:rsidRPr="0086740F">
        <w:rPr>
          <w:lang w:eastAsia="ja-JP"/>
        </w:rPr>
        <w:t>For the U</w:t>
      </w:r>
      <w:r w:rsidR="004E094A">
        <w:rPr>
          <w:lang w:eastAsia="ja-JP"/>
        </w:rPr>
        <w:t xml:space="preserve">nited </w:t>
      </w:r>
      <w:r w:rsidRPr="0086740F">
        <w:rPr>
          <w:lang w:eastAsia="ja-JP"/>
        </w:rPr>
        <w:t>K</w:t>
      </w:r>
      <w:r w:rsidR="004E094A">
        <w:rPr>
          <w:lang w:eastAsia="ja-JP"/>
        </w:rPr>
        <w:t>ingdom</w:t>
      </w:r>
      <w:r w:rsidRPr="0086740F">
        <w:rPr>
          <w:lang w:eastAsia="ja-JP"/>
        </w:rPr>
        <w:t xml:space="preserve"> guidelines </w:t>
      </w:r>
      <w:r w:rsidR="004E094A">
        <w:rPr>
          <w:lang w:eastAsia="ja-JP"/>
        </w:rPr>
        <w:t>(Maycock et al. 2011),</w:t>
      </w:r>
      <w:r w:rsidRPr="0086740F">
        <w:rPr>
          <w:lang w:eastAsia="ja-JP"/>
        </w:rPr>
        <w:t xml:space="preserve"> a linear model was derived to describe the relation</w:t>
      </w:r>
      <w:r w:rsidRPr="0086740F">
        <w:rPr>
          <w:lang w:eastAsia="ja-JP"/>
        </w:rPr>
        <w:t xml:space="preserve">ship between DOC and toxicity, based on EC10 data for </w:t>
      </w:r>
      <w:r w:rsidR="001D748F" w:rsidRPr="004E094A">
        <w:rPr>
          <w:rStyle w:val="Emphasis"/>
        </w:rPr>
        <w:t>M</w:t>
      </w:r>
      <w:r w:rsidR="001D748F">
        <w:rPr>
          <w:rStyle w:val="Emphasis"/>
        </w:rPr>
        <w:t>.</w:t>
      </w:r>
      <w:r w:rsidR="001D748F" w:rsidRPr="004E094A">
        <w:rPr>
          <w:rStyle w:val="Emphasis"/>
        </w:rPr>
        <w:t xml:space="preserve"> </w:t>
      </w:r>
      <w:r w:rsidRPr="004E094A">
        <w:rPr>
          <w:rStyle w:val="Emphasis"/>
        </w:rPr>
        <w:t>galloprovincialis</w:t>
      </w:r>
      <w:r w:rsidRPr="0086740F">
        <w:rPr>
          <w:lang w:eastAsia="ja-JP"/>
        </w:rPr>
        <w:t xml:space="preserve"> from 48</w:t>
      </w:r>
      <w:r w:rsidR="004E094A">
        <w:rPr>
          <w:lang w:eastAsia="ja-JP"/>
        </w:rPr>
        <w:t> </w:t>
      </w:r>
      <w:r w:rsidRPr="0086740F">
        <w:rPr>
          <w:lang w:eastAsia="ja-JP"/>
        </w:rPr>
        <w:t xml:space="preserve">hour embryo-larval development tests </w:t>
      </w:r>
      <w:r w:rsidR="004E094A">
        <w:rPr>
          <w:lang w:eastAsia="ja-JP"/>
        </w:rPr>
        <w:t>(Arnold et al. 2005, 2006, 2009, 2010</w:t>
      </w:r>
      <w:r w:rsidR="00602147">
        <w:rPr>
          <w:lang w:eastAsia="ja-JP"/>
        </w:rPr>
        <w:t>a</w:t>
      </w:r>
      <w:r w:rsidR="004E094A">
        <w:rPr>
          <w:lang w:eastAsia="ja-JP"/>
        </w:rPr>
        <w:t>)</w:t>
      </w:r>
      <w:r w:rsidR="00090016">
        <w:rPr>
          <w:lang w:eastAsia="ja-JP"/>
        </w:rPr>
        <w:t>s</w:t>
      </w:r>
      <w:r w:rsidRPr="0086740F">
        <w:rPr>
          <w:lang w:eastAsia="ja-JP"/>
        </w:rPr>
        <w:t xml:space="preserve">. The dataset used in the </w:t>
      </w:r>
      <w:r w:rsidR="00090016">
        <w:rPr>
          <w:lang w:eastAsia="ja-JP"/>
        </w:rPr>
        <w:t>European Union</w:t>
      </w:r>
      <w:r w:rsidRPr="0086740F">
        <w:rPr>
          <w:lang w:eastAsia="ja-JP"/>
        </w:rPr>
        <w:t xml:space="preserve"> risk assessment </w:t>
      </w:r>
      <w:r w:rsidR="00666B89">
        <w:rPr>
          <w:lang w:eastAsia="ja-JP"/>
        </w:rPr>
        <w:t>(</w:t>
      </w:r>
      <w:r w:rsidR="003D4ED5" w:rsidRPr="00DA3F57">
        <w:rPr>
          <w:rFonts w:ascii="Calibri" w:eastAsia="Times New Roman" w:hAnsi="Calibri" w:cs="Calibri"/>
          <w:color w:val="000000"/>
          <w:lang w:eastAsia="en-GB"/>
        </w:rPr>
        <w:t>European Copper Institute</w:t>
      </w:r>
      <w:r w:rsidR="003D4ED5">
        <w:rPr>
          <w:rFonts w:ascii="Calibri" w:eastAsia="Times New Roman" w:hAnsi="Calibri" w:cs="Calibri"/>
          <w:color w:val="000000"/>
          <w:lang w:eastAsia="en-GB"/>
        </w:rPr>
        <w:t xml:space="preserve"> 2008</w:t>
      </w:r>
      <w:r w:rsidR="00666B89">
        <w:rPr>
          <w:lang w:eastAsia="ja-JP"/>
        </w:rPr>
        <w:t xml:space="preserve">) </w:t>
      </w:r>
      <w:r w:rsidRPr="0086740F">
        <w:rPr>
          <w:lang w:eastAsia="ja-JP"/>
        </w:rPr>
        <w:t xml:space="preserve">was </w:t>
      </w:r>
      <w:r w:rsidRPr="0086740F">
        <w:rPr>
          <w:lang w:eastAsia="ja-JP"/>
        </w:rPr>
        <w:t>updated with additional data and all data were adjusted to a</w:t>
      </w:r>
      <w:r w:rsidR="00090016">
        <w:rPr>
          <w:lang w:eastAsia="ja-JP"/>
        </w:rPr>
        <w:t xml:space="preserve"> DOC</w:t>
      </w:r>
      <w:r w:rsidRPr="0086740F">
        <w:rPr>
          <w:lang w:eastAsia="ja-JP"/>
        </w:rPr>
        <w:t xml:space="preserve"> of 1</w:t>
      </w:r>
      <w:r w:rsidR="00090016">
        <w:rPr>
          <w:lang w:eastAsia="ja-JP"/>
        </w:rPr>
        <w:t> </w:t>
      </w:r>
      <w:r w:rsidRPr="0086740F">
        <w:rPr>
          <w:lang w:eastAsia="ja-JP"/>
        </w:rPr>
        <w:t>mg/L (natural DOC, equivalent to 0.5</w:t>
      </w:r>
      <w:r w:rsidR="00090016">
        <w:rPr>
          <w:lang w:eastAsia="ja-JP"/>
        </w:rPr>
        <w:t> </w:t>
      </w:r>
      <w:r w:rsidRPr="0086740F">
        <w:rPr>
          <w:lang w:eastAsia="ja-JP"/>
        </w:rPr>
        <w:t>mg/L active DOC). The HC5 calculated from this was 2.64</w:t>
      </w:r>
      <w:r w:rsidR="00090016">
        <w:rPr>
          <w:lang w:eastAsia="ja-JP"/>
        </w:rPr>
        <w:t> </w:t>
      </w:r>
      <w:r w:rsidRPr="0086740F">
        <w:rPr>
          <w:lang w:eastAsia="ja-JP"/>
        </w:rPr>
        <w:t>µg/L and an assessment factor of 1 was applied, resulting in a PNEC of 2.64</w:t>
      </w:r>
      <w:r w:rsidR="00090016">
        <w:rPr>
          <w:lang w:eastAsia="ja-JP"/>
        </w:rPr>
        <w:t> </w:t>
      </w:r>
      <w:r w:rsidRPr="0086740F">
        <w:rPr>
          <w:lang w:eastAsia="ja-JP"/>
        </w:rPr>
        <w:t>µg/L. Where natur</w:t>
      </w:r>
      <w:r w:rsidRPr="0086740F">
        <w:rPr>
          <w:lang w:eastAsia="ja-JP"/>
        </w:rPr>
        <w:t xml:space="preserve">al DOC exceeds 1 mg/L, a site-specific PNEC can be calculated </w:t>
      </w:r>
      <w:r w:rsidR="00090016">
        <w:rPr>
          <w:lang w:eastAsia="ja-JP"/>
        </w:rPr>
        <w:t xml:space="preserve">with the equation in </w:t>
      </w:r>
      <w:r w:rsidR="006F2BB3">
        <w:rPr>
          <w:lang w:eastAsia="ja-JP"/>
        </w:rPr>
        <w:fldChar w:fldCharType="begin"/>
      </w:r>
      <w:r w:rsidR="006F2BB3">
        <w:rPr>
          <w:lang w:eastAsia="ja-JP"/>
        </w:rPr>
        <w:instrText xml:space="preserve"> REF _Ref85903995 \h </w:instrText>
      </w:r>
      <w:r w:rsidR="006F2BB3">
        <w:rPr>
          <w:lang w:eastAsia="ja-JP"/>
        </w:rPr>
      </w:r>
      <w:r w:rsidR="006F2BB3">
        <w:rPr>
          <w:lang w:eastAsia="ja-JP"/>
        </w:rPr>
        <w:fldChar w:fldCharType="separate"/>
      </w:r>
      <w:r w:rsidR="00A41C81">
        <w:t>Figure G </w:t>
      </w:r>
      <w:r w:rsidR="00A41C81">
        <w:rPr>
          <w:noProof/>
        </w:rPr>
        <w:t>2</w:t>
      </w:r>
      <w:r w:rsidR="006F2BB3">
        <w:rPr>
          <w:lang w:eastAsia="ja-JP"/>
        </w:rPr>
        <w:fldChar w:fldCharType="end"/>
      </w:r>
      <w:r w:rsidR="0060698C">
        <w:rPr>
          <w:lang w:eastAsia="ja-JP"/>
        </w:rPr>
        <w:t>.</w:t>
      </w:r>
    </w:p>
    <w:p w14:paraId="273CDD62" w14:textId="77777777" w:rsidR="004E094A" w:rsidRPr="00CF00DC" w:rsidRDefault="00324184" w:rsidP="00CF00DC">
      <w:pPr>
        <w:spacing w:after="40" w:line="240" w:lineRule="auto"/>
        <w:rPr>
          <w:rFonts w:eastAsiaTheme="minorEastAsia"/>
          <w:sz w:val="21"/>
          <w:szCs w:val="21"/>
        </w:rPr>
      </w:pPr>
      <m:oMathPara>
        <m:oMathParaPr>
          <m:jc m:val="left"/>
        </m:oMathParaPr>
        <m:oMath>
          <m:sSub>
            <m:sSubPr>
              <m:ctrlPr>
                <w:rPr>
                  <w:rFonts w:ascii="Cambria Math" w:hAnsi="Cambria Math"/>
                  <w:i/>
                  <w:sz w:val="21"/>
                  <w:szCs w:val="21"/>
                </w:rPr>
              </m:ctrlPr>
            </m:sSubPr>
            <m:e>
              <m:r>
                <w:rPr>
                  <w:rFonts w:ascii="Cambria Math" w:hAnsi="Cambria Math"/>
                  <w:sz w:val="21"/>
                  <w:szCs w:val="21"/>
                </w:rPr>
                <m:t>PNEC</m:t>
              </m:r>
            </m:e>
            <m:sub>
              <m:r>
                <w:rPr>
                  <w:rFonts w:ascii="Cambria Math" w:hAnsi="Cambria Math"/>
                  <w:sz w:val="21"/>
                  <w:szCs w:val="21"/>
                </w:rPr>
                <m:t>site</m:t>
              </m:r>
              <m:r>
                <w:rPr>
                  <w:rFonts w:ascii="Cambria Math" w:hAnsi="Cambria Math"/>
                  <w:sz w:val="21"/>
                  <w:szCs w:val="21"/>
                </w:rPr>
                <m:t xml:space="preserve"> </m:t>
              </m:r>
              <m:r>
                <w:rPr>
                  <w:rFonts w:ascii="Cambria Math" w:hAnsi="Cambria Math"/>
                  <w:sz w:val="21"/>
                  <w:szCs w:val="21"/>
                </w:rPr>
                <m:t>specific</m:t>
              </m:r>
            </m:sub>
          </m:sSub>
          <m:r>
            <w:rPr>
              <w:rFonts w:ascii="Cambria Math" w:hAnsi="Cambria Math"/>
              <w:sz w:val="21"/>
              <w:szCs w:val="21"/>
            </w:rPr>
            <m:t xml:space="preserve">=2.64 +2.677 × </m:t>
          </m:r>
          <m:sSup>
            <m:sSupPr>
              <m:ctrlPr>
                <w:rPr>
                  <w:rFonts w:ascii="Cambria Math" w:hAnsi="Cambria Math"/>
                  <w:i/>
                  <w:sz w:val="21"/>
                  <w:szCs w:val="21"/>
                </w:rPr>
              </m:ctrlPr>
            </m:sSupPr>
            <m:e>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DOC</m:t>
                      </m:r>
                    </m:num>
                    <m:den>
                      <m:r>
                        <w:rPr>
                          <w:rFonts w:ascii="Cambria Math" w:hAnsi="Cambria Math"/>
                          <w:sz w:val="21"/>
                          <w:szCs w:val="21"/>
                        </w:rPr>
                        <m:t>2</m:t>
                      </m:r>
                    </m:den>
                  </m:f>
                  <m:r>
                    <w:rPr>
                      <w:rFonts w:ascii="Cambria Math" w:hAnsi="Cambria Math"/>
                      <w:sz w:val="21"/>
                      <w:szCs w:val="21"/>
                    </w:rPr>
                    <m:t>-</m:t>
                  </m:r>
                  <m:r>
                    <w:rPr>
                      <w:rFonts w:ascii="Cambria Math" w:hAnsi="Cambria Math"/>
                      <w:sz w:val="21"/>
                      <w:szCs w:val="21"/>
                    </w:rPr>
                    <m:t>0.5</m:t>
                  </m:r>
                </m:e>
              </m:d>
            </m:e>
            <m:sup/>
          </m:sSup>
        </m:oMath>
      </m:oMathPara>
    </w:p>
    <w:p w14:paraId="273CDD63" w14:textId="77777777" w:rsidR="004E094A" w:rsidRPr="004E094A" w:rsidRDefault="00324184" w:rsidP="004913D3">
      <w:pPr>
        <w:pStyle w:val="Caption"/>
        <w:keepNext w:val="0"/>
      </w:pPr>
      <w:bookmarkStart w:id="105" w:name="_Ref85903995"/>
      <w:bookmarkStart w:id="106" w:name="_Toc89268626"/>
      <w:r>
        <w:t>Figure G </w:t>
      </w:r>
      <w:r w:rsidR="00A41C81">
        <w:fldChar w:fldCharType="begin"/>
      </w:r>
      <w:r>
        <w:instrText xml:space="preserve"> SEQ Figure_G \* ARABIC </w:instrText>
      </w:r>
      <w:r w:rsidR="00A41C81">
        <w:fldChar w:fldCharType="separate"/>
      </w:r>
      <w:r w:rsidR="00A41C81">
        <w:rPr>
          <w:noProof/>
        </w:rPr>
        <w:t>2</w:t>
      </w:r>
      <w:r w:rsidR="00A41C81">
        <w:rPr>
          <w:noProof/>
        </w:rPr>
        <w:fldChar w:fldCharType="end"/>
      </w:r>
      <w:bookmarkEnd w:id="105"/>
      <w:r>
        <w:t xml:space="preserve"> </w:t>
      </w:r>
      <w:r w:rsidR="00090016">
        <w:t>Calculating PNEC when natural DOC &gt;1 mg/L</w:t>
      </w:r>
      <w:bookmarkEnd w:id="106"/>
    </w:p>
    <w:p w14:paraId="273CDD64" w14:textId="77777777" w:rsidR="00A5370A" w:rsidRDefault="00324184" w:rsidP="00A5370A">
      <w:pPr>
        <w:rPr>
          <w:lang w:eastAsia="ja-JP"/>
        </w:rPr>
      </w:pPr>
      <w:r>
        <w:rPr>
          <w:lang w:eastAsia="ja-JP"/>
        </w:rPr>
        <w:t xml:space="preserve">The </w:t>
      </w:r>
      <w:r w:rsidR="00D36BBA">
        <w:rPr>
          <w:lang w:eastAsia="ja-JP"/>
        </w:rPr>
        <w:t>United Stated</w:t>
      </w:r>
      <w:r>
        <w:rPr>
          <w:lang w:eastAsia="ja-JP"/>
        </w:rPr>
        <w:t xml:space="preserve"> implemented a DOC correction within its marine biotic ligand model (BLM)</w:t>
      </w:r>
      <w:r w:rsidR="001D748F">
        <w:rPr>
          <w:lang w:eastAsia="ja-JP"/>
        </w:rPr>
        <w:t xml:space="preserve"> (USEPA 2016a)</w:t>
      </w:r>
      <w:r>
        <w:rPr>
          <w:lang w:eastAsia="ja-JP"/>
        </w:rPr>
        <w:t xml:space="preserve">. A BLM includes models for copper speciation, based on the chemical equilibrium model WHAM, which describes metal interactions with natural organic matter. The chemical speciation part of the </w:t>
      </w:r>
      <w:r w:rsidR="00D36BBA">
        <w:rPr>
          <w:lang w:eastAsia="ja-JP"/>
        </w:rPr>
        <w:t>marine water</w:t>
      </w:r>
      <w:r>
        <w:rPr>
          <w:lang w:eastAsia="ja-JP"/>
        </w:rPr>
        <w:t xml:space="preserve"> BLM was developed from copper complexometric titra</w:t>
      </w:r>
      <w:r>
        <w:rPr>
          <w:lang w:eastAsia="ja-JP"/>
        </w:rPr>
        <w:t xml:space="preserve">tions of </w:t>
      </w:r>
      <w:r w:rsidR="00D36BBA">
        <w:rPr>
          <w:lang w:eastAsia="ja-JP"/>
        </w:rPr>
        <w:t xml:space="preserve">water </w:t>
      </w:r>
      <w:r>
        <w:rPr>
          <w:lang w:eastAsia="ja-JP"/>
        </w:rPr>
        <w:t xml:space="preserve">samples collected in San Diego and Pearl Harbour </w:t>
      </w:r>
      <w:r w:rsidR="00D36BBA">
        <w:rPr>
          <w:lang w:eastAsia="ja-JP"/>
        </w:rPr>
        <w:t>(</w:t>
      </w:r>
      <w:r w:rsidR="00253681">
        <w:rPr>
          <w:lang w:eastAsia="ja-JP"/>
        </w:rPr>
        <w:t>Chadwick et al. 2008)</w:t>
      </w:r>
      <w:r>
        <w:rPr>
          <w:lang w:eastAsia="ja-JP"/>
        </w:rPr>
        <w:t xml:space="preserve">. Three DOC binding sites were included in the model </w:t>
      </w:r>
      <w:r w:rsidR="00253681">
        <w:rPr>
          <w:lang w:eastAsia="ja-JP"/>
        </w:rPr>
        <w:t xml:space="preserve">(Chadwick et al. 2008) </w:t>
      </w:r>
      <w:r>
        <w:rPr>
          <w:lang w:eastAsia="ja-JP"/>
        </w:rPr>
        <w:t>. The BLM also include</w:t>
      </w:r>
      <w:r w:rsidR="00E51E32">
        <w:rPr>
          <w:lang w:eastAsia="ja-JP"/>
        </w:rPr>
        <w:t>d</w:t>
      </w:r>
      <w:r>
        <w:rPr>
          <w:lang w:eastAsia="ja-JP"/>
        </w:rPr>
        <w:t xml:space="preserve"> models of the interaction of copper and competing cations with physiol</w:t>
      </w:r>
      <w:r>
        <w:rPr>
          <w:lang w:eastAsia="ja-JP"/>
        </w:rPr>
        <w:t xml:space="preserve">ogically active sites (biotic ligands), using binding constants. The copper and cation binding constants </w:t>
      </w:r>
      <w:r w:rsidR="00E51E32">
        <w:rPr>
          <w:lang w:eastAsia="ja-JP"/>
        </w:rPr>
        <w:t>we</w:t>
      </w:r>
      <w:r w:rsidR="00DB3A6C">
        <w:rPr>
          <w:lang w:eastAsia="ja-JP"/>
        </w:rPr>
        <w:t>re</w:t>
      </w:r>
      <w:r>
        <w:rPr>
          <w:lang w:eastAsia="ja-JP"/>
        </w:rPr>
        <w:t xml:space="preserve"> based on </w:t>
      </w:r>
      <w:r w:rsidRPr="00E51E32">
        <w:rPr>
          <w:rStyle w:val="Emphasis"/>
        </w:rPr>
        <w:t>M.</w:t>
      </w:r>
      <w:r w:rsidR="00286A66">
        <w:rPr>
          <w:rStyle w:val="Emphasis"/>
        </w:rPr>
        <w:t> </w:t>
      </w:r>
      <w:r w:rsidRPr="00E51E32">
        <w:rPr>
          <w:rStyle w:val="Emphasis"/>
        </w:rPr>
        <w:t>galloprovincialis</w:t>
      </w:r>
      <w:r>
        <w:rPr>
          <w:lang w:eastAsia="ja-JP"/>
        </w:rPr>
        <w:t xml:space="preserve"> and </w:t>
      </w:r>
      <w:r w:rsidRPr="00E51E32">
        <w:rPr>
          <w:rStyle w:val="Emphasis"/>
        </w:rPr>
        <w:t>S.</w:t>
      </w:r>
      <w:r w:rsidR="00286A66">
        <w:rPr>
          <w:rStyle w:val="Emphasis"/>
        </w:rPr>
        <w:t> </w:t>
      </w:r>
      <w:r w:rsidRPr="00E51E32">
        <w:rPr>
          <w:rStyle w:val="Emphasis"/>
        </w:rPr>
        <w:t>purpuratus</w:t>
      </w:r>
      <w:r>
        <w:rPr>
          <w:lang w:eastAsia="ja-JP"/>
        </w:rPr>
        <w:t xml:space="preserve"> 48</w:t>
      </w:r>
      <w:r w:rsidR="00E51E32">
        <w:rPr>
          <w:lang w:eastAsia="ja-JP"/>
        </w:rPr>
        <w:t> </w:t>
      </w:r>
      <w:r>
        <w:rPr>
          <w:lang w:eastAsia="ja-JP"/>
        </w:rPr>
        <w:t xml:space="preserve">hour embryo-larval development tests. The BLM </w:t>
      </w:r>
      <w:r w:rsidR="00E51E32">
        <w:rPr>
          <w:lang w:eastAsia="ja-JP"/>
        </w:rPr>
        <w:t xml:space="preserve">was </w:t>
      </w:r>
      <w:r>
        <w:rPr>
          <w:lang w:eastAsia="ja-JP"/>
        </w:rPr>
        <w:t xml:space="preserve">implemented with the </w:t>
      </w:r>
      <w:r w:rsidR="00E51E32">
        <w:rPr>
          <w:lang w:eastAsia="ja-JP"/>
        </w:rPr>
        <w:t>United States</w:t>
      </w:r>
      <w:r>
        <w:rPr>
          <w:lang w:eastAsia="ja-JP"/>
        </w:rPr>
        <w:t xml:space="preserve"> water qual</w:t>
      </w:r>
      <w:r>
        <w:rPr>
          <w:lang w:eastAsia="ja-JP"/>
        </w:rPr>
        <w:t xml:space="preserve">ity criterion for copper in marine water, </w:t>
      </w:r>
      <w:r w:rsidR="00755082">
        <w:rPr>
          <w:lang w:eastAsia="ja-JP"/>
        </w:rPr>
        <w:t xml:space="preserve">thus </w:t>
      </w:r>
      <w:r w:rsidR="001D748F">
        <w:rPr>
          <w:lang w:eastAsia="ja-JP"/>
        </w:rPr>
        <w:t>enabling adjustment of the criterion</w:t>
      </w:r>
      <w:r>
        <w:rPr>
          <w:lang w:eastAsia="ja-JP"/>
        </w:rPr>
        <w:t xml:space="preserve"> based on the temperature, pH, salinity and DOC of water. </w:t>
      </w:r>
    </w:p>
    <w:p w14:paraId="273CDD65" w14:textId="77777777" w:rsidR="00A5370A" w:rsidRDefault="00324184" w:rsidP="00A5370A">
      <w:pPr>
        <w:rPr>
          <w:lang w:eastAsia="ja-JP"/>
        </w:rPr>
      </w:pPr>
      <w:r>
        <w:rPr>
          <w:lang w:eastAsia="ja-JP"/>
        </w:rPr>
        <w:t xml:space="preserve">The </w:t>
      </w:r>
      <w:r w:rsidR="002629EC">
        <w:rPr>
          <w:lang w:eastAsia="ja-JP"/>
        </w:rPr>
        <w:t>United States</w:t>
      </w:r>
      <w:r>
        <w:rPr>
          <w:lang w:eastAsia="ja-JP"/>
        </w:rPr>
        <w:t xml:space="preserve"> chronic criterion for copper in marine/estuarine water, known as a criterion continuous concentr</w:t>
      </w:r>
      <w:r>
        <w:rPr>
          <w:lang w:eastAsia="ja-JP"/>
        </w:rPr>
        <w:t>ation (CCC), is based on acute data that have been adjusted based on a geometric mean of acute-chronic ratios for five sensitive freshwater species and two estuarine/marine species. This method was used as there were only two species for which there was ac</w:t>
      </w:r>
      <w:r>
        <w:rPr>
          <w:lang w:eastAsia="ja-JP"/>
        </w:rPr>
        <w:t xml:space="preserve">ceptable chronic values according to the guideline development principles (which use EC20 for chronic criteria derivation). The CCC was obtained from the draft water quality criteria document </w:t>
      </w:r>
      <w:r w:rsidR="002629EC">
        <w:rPr>
          <w:lang w:eastAsia="ja-JP"/>
        </w:rPr>
        <w:t>(USEPA 2016</w:t>
      </w:r>
      <w:r w:rsidR="00860577">
        <w:rPr>
          <w:lang w:eastAsia="ja-JP"/>
        </w:rPr>
        <w:t>a</w:t>
      </w:r>
      <w:r w:rsidR="002629EC">
        <w:rPr>
          <w:lang w:eastAsia="ja-JP"/>
        </w:rPr>
        <w:t>)</w:t>
      </w:r>
      <w:r>
        <w:rPr>
          <w:lang w:eastAsia="ja-JP"/>
        </w:rPr>
        <w:t xml:space="preserve"> for a salinity of 30</w:t>
      </w:r>
      <w:r w:rsidR="003F599F" w:rsidRPr="009907F5">
        <w:t>‰</w:t>
      </w:r>
      <w:r>
        <w:rPr>
          <w:lang w:eastAsia="ja-JP"/>
        </w:rPr>
        <w:t xml:space="preserve">, temperature </w:t>
      </w:r>
      <w:r w:rsidR="00532319">
        <w:rPr>
          <w:lang w:eastAsia="ja-JP"/>
        </w:rPr>
        <w:t xml:space="preserve">of </w:t>
      </w:r>
      <w:r>
        <w:rPr>
          <w:lang w:eastAsia="ja-JP"/>
        </w:rPr>
        <w:t xml:space="preserve">20°C and pH </w:t>
      </w:r>
      <w:r w:rsidR="00532319">
        <w:rPr>
          <w:lang w:eastAsia="ja-JP"/>
        </w:rPr>
        <w:t xml:space="preserve">of </w:t>
      </w:r>
      <w:r>
        <w:rPr>
          <w:lang w:eastAsia="ja-JP"/>
        </w:rPr>
        <w:t>8.2.</w:t>
      </w:r>
    </w:p>
    <w:p w14:paraId="273CDD66" w14:textId="77777777" w:rsidR="00125EC6" w:rsidRDefault="00324184" w:rsidP="00A5370A">
      <w:pPr>
        <w:rPr>
          <w:lang w:eastAsia="ja-JP"/>
        </w:rPr>
      </w:pPr>
      <w:r>
        <w:rPr>
          <w:lang w:eastAsia="ja-JP"/>
        </w:rPr>
        <w:t xml:space="preserve">The relationships between copper guideline values and DOC concentrations from these three jurisdictions are shown in </w:t>
      </w:r>
      <w:r w:rsidR="006F2BB3">
        <w:rPr>
          <w:lang w:eastAsia="ja-JP"/>
        </w:rPr>
        <w:fldChar w:fldCharType="begin"/>
      </w:r>
      <w:r w:rsidR="006F2BB3">
        <w:rPr>
          <w:lang w:eastAsia="ja-JP"/>
        </w:rPr>
        <w:instrText xml:space="preserve"> REF _Ref85904011 \h </w:instrText>
      </w:r>
      <w:r w:rsidR="006F2BB3">
        <w:rPr>
          <w:lang w:eastAsia="ja-JP"/>
        </w:rPr>
      </w:r>
      <w:r w:rsidR="006F2BB3">
        <w:rPr>
          <w:lang w:eastAsia="ja-JP"/>
        </w:rPr>
        <w:fldChar w:fldCharType="separate"/>
      </w:r>
      <w:r w:rsidR="00A41C81">
        <w:t>Figure G </w:t>
      </w:r>
      <w:r w:rsidR="00A41C81">
        <w:rPr>
          <w:noProof/>
        </w:rPr>
        <w:t>3</w:t>
      </w:r>
      <w:r w:rsidR="006F2BB3">
        <w:rPr>
          <w:lang w:eastAsia="ja-JP"/>
        </w:rPr>
        <w:fldChar w:fldCharType="end"/>
      </w:r>
      <w:r>
        <w:rPr>
          <w:lang w:eastAsia="ja-JP"/>
        </w:rPr>
        <w:t xml:space="preserve"> with linear regressi</w:t>
      </w:r>
      <w:r>
        <w:rPr>
          <w:lang w:eastAsia="ja-JP"/>
        </w:rPr>
        <w:t xml:space="preserve">on lines. These show very similar slopes, especially for the </w:t>
      </w:r>
      <w:r w:rsidR="005C7879">
        <w:rPr>
          <w:lang w:eastAsia="ja-JP"/>
        </w:rPr>
        <w:t>United States and United Kingdom</w:t>
      </w:r>
      <w:r>
        <w:rPr>
          <w:lang w:eastAsia="ja-JP"/>
        </w:rPr>
        <w:t xml:space="preserve"> guidelines. The </w:t>
      </w:r>
      <w:r w:rsidR="00EC788A">
        <w:rPr>
          <w:lang w:eastAsia="ja-JP"/>
        </w:rPr>
        <w:t>European Union</w:t>
      </w:r>
      <w:r>
        <w:rPr>
          <w:lang w:eastAsia="ja-JP"/>
        </w:rPr>
        <w:t xml:space="preserve"> data are derived from a power relationship and, therefore, the linear model does not fit as well.</w:t>
      </w:r>
    </w:p>
    <w:p w14:paraId="273CDD67" w14:textId="77777777" w:rsidR="00873192" w:rsidRDefault="00324184" w:rsidP="00A5370A">
      <w:pPr>
        <w:rPr>
          <w:lang w:eastAsia="ja-JP"/>
        </w:rPr>
      </w:pPr>
      <w:r w:rsidRPr="0060698C">
        <w:rPr>
          <w:noProof/>
        </w:rPr>
        <w:drawing>
          <wp:inline distT="0" distB="0" distL="0" distR="0" wp14:anchorId="273CDE0A" wp14:editId="273CDE0B">
            <wp:extent cx="4806086" cy="3042920"/>
            <wp:effectExtent l="0" t="0" r="0" b="5080"/>
            <wp:docPr id="12" name="Picture 12" descr="Copper and DOC concentration, bioavailability corrections of the European Union, United Kingdom and United States&#10;&#10;Graph shows relationships between copper guideline values (micrograms per litre) and DOC concentrations (milligrams per litre)from three jurisdic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612" name="Picture 12" descr="Copper and DOC concentration, bioavailability corrections of the European Union, United Kingdom and United States&#10;&#10;Graph shows relationships between copper guideline values (micrograms per litre) and DOC concentrations (milligrams per litre)from three jurisdictions.&#10;"/>
                    <pic:cNvPicPr>
                      <a:picLocks noChangeAspect="1" noChangeArrowheads="1"/>
                    </pic:cNvPicPr>
                  </pic:nvPicPr>
                  <pic:blipFill>
                    <a:blip r:embed="rId38">
                      <a:extLst>
                        <a:ext uri="{28A0092B-C50C-407E-A947-70E740481C1C}">
                          <a14:useLocalDpi xmlns:a14="http://schemas.microsoft.com/office/drawing/2010/main" val="0"/>
                        </a:ext>
                      </a:extLst>
                    </a:blip>
                    <a:srcRect l="2931" t="2863" r="5331" b="5483"/>
                    <a:stretch>
                      <a:fillRect/>
                    </a:stretch>
                  </pic:blipFill>
                  <pic:spPr bwMode="auto">
                    <a:xfrm>
                      <a:off x="0" y="0"/>
                      <a:ext cx="4807656" cy="3043914"/>
                    </a:xfrm>
                    <a:prstGeom prst="rect">
                      <a:avLst/>
                    </a:prstGeom>
                    <a:noFill/>
                    <a:ln>
                      <a:noFill/>
                    </a:ln>
                    <a:extLst>
                      <a:ext uri="{53640926-AAD7-44D8-BBD7-CCE9431645EC}">
                        <a14:shadowObscured xmlns:a14="http://schemas.microsoft.com/office/drawing/2010/main"/>
                      </a:ext>
                    </a:extLst>
                  </pic:spPr>
                </pic:pic>
              </a:graphicData>
            </a:graphic>
          </wp:inline>
        </w:drawing>
      </w:r>
    </w:p>
    <w:p w14:paraId="273CDD68" w14:textId="77777777" w:rsidR="007F4D62" w:rsidRDefault="00324184" w:rsidP="00901454">
      <w:pPr>
        <w:pStyle w:val="Caption"/>
        <w:rPr>
          <w:lang w:eastAsia="ja-JP"/>
        </w:rPr>
      </w:pPr>
      <w:bookmarkStart w:id="107" w:name="_Ref85904011"/>
      <w:bookmarkStart w:id="108" w:name="_Toc89268627"/>
      <w:r>
        <w:t>Figure G </w:t>
      </w:r>
      <w:r w:rsidR="00A41C81">
        <w:fldChar w:fldCharType="begin"/>
      </w:r>
      <w:r>
        <w:instrText xml:space="preserve"> SEQ Figure_G \* ARABI</w:instrText>
      </w:r>
      <w:r>
        <w:instrText xml:space="preserve">C </w:instrText>
      </w:r>
      <w:r w:rsidR="00A41C81">
        <w:fldChar w:fldCharType="separate"/>
      </w:r>
      <w:r w:rsidR="00A41C81">
        <w:rPr>
          <w:noProof/>
        </w:rPr>
        <w:t>3</w:t>
      </w:r>
      <w:r w:rsidR="00A41C81">
        <w:rPr>
          <w:noProof/>
        </w:rPr>
        <w:fldChar w:fldCharType="end"/>
      </w:r>
      <w:bookmarkEnd w:id="107"/>
      <w:r w:rsidRPr="007F4D62">
        <w:rPr>
          <w:lang w:eastAsia="ja-JP"/>
        </w:rPr>
        <w:t xml:space="preserve"> </w:t>
      </w:r>
      <w:r w:rsidR="00EC788A">
        <w:rPr>
          <w:lang w:eastAsia="ja-JP"/>
        </w:rPr>
        <w:t>C</w:t>
      </w:r>
      <w:r w:rsidRPr="007F4D62">
        <w:rPr>
          <w:lang w:eastAsia="ja-JP"/>
        </w:rPr>
        <w:t>opper and DOC concentration</w:t>
      </w:r>
      <w:r w:rsidR="00EC788A">
        <w:rPr>
          <w:lang w:eastAsia="ja-JP"/>
        </w:rPr>
        <w:t>, b</w:t>
      </w:r>
      <w:r w:rsidR="00EC788A" w:rsidRPr="00EC788A">
        <w:rPr>
          <w:lang w:eastAsia="ja-JP"/>
        </w:rPr>
        <w:t>ioavailability corrections</w:t>
      </w:r>
      <w:r w:rsidR="00F718F3">
        <w:rPr>
          <w:lang w:eastAsia="ja-JP"/>
        </w:rPr>
        <w:t xml:space="preserve"> of the European Union, United Kingdom and United States</w:t>
      </w:r>
      <w:bookmarkEnd w:id="108"/>
      <w:r w:rsidR="00DF5630">
        <w:rPr>
          <w:lang w:eastAsia="ja-JP"/>
        </w:rPr>
        <w:t xml:space="preserve"> </w:t>
      </w:r>
    </w:p>
    <w:p w14:paraId="273CDD69" w14:textId="77777777" w:rsidR="00081B38" w:rsidRDefault="00324184" w:rsidP="00081B38">
      <w:pPr>
        <w:rPr>
          <w:lang w:eastAsia="ja-JP"/>
        </w:rPr>
      </w:pPr>
      <w:r>
        <w:rPr>
          <w:lang w:eastAsia="ja-JP"/>
        </w:rPr>
        <w:t xml:space="preserve">For the ANZG (2018) DGVs for </w:t>
      </w:r>
      <w:r w:rsidR="000B4230">
        <w:rPr>
          <w:lang w:eastAsia="ja-JP"/>
        </w:rPr>
        <w:t xml:space="preserve">dissolved </w:t>
      </w:r>
      <w:r>
        <w:rPr>
          <w:lang w:eastAsia="ja-JP"/>
        </w:rPr>
        <w:t>copper in marine water, the BLM was selected as a suitable model to correct the DGVs for varyin</w:t>
      </w:r>
      <w:r>
        <w:rPr>
          <w:lang w:eastAsia="ja-JP"/>
        </w:rPr>
        <w:t xml:space="preserve">g levels of DOC because it is based on chemical speciation modelling rather than toxicity data, and therefore should be applicable to all species. However, there is a recent study that suggests copper toxicity to settled mussels is not affected by DOC and </w:t>
      </w:r>
      <w:r>
        <w:rPr>
          <w:lang w:eastAsia="ja-JP"/>
        </w:rPr>
        <w:t xml:space="preserve">that DOC corrections should not be used for this life stage </w:t>
      </w:r>
      <w:r w:rsidR="000B4230">
        <w:rPr>
          <w:lang w:eastAsia="ja-JP"/>
        </w:rPr>
        <w:t>(</w:t>
      </w:r>
      <w:bookmarkStart w:id="109" w:name="_Hlk85901142"/>
      <w:r w:rsidR="000B4230">
        <w:rPr>
          <w:lang w:eastAsia="ja-JP"/>
        </w:rPr>
        <w:t>Deruytter et al. 2017</w:t>
      </w:r>
      <w:bookmarkEnd w:id="109"/>
      <w:r w:rsidR="000B4230">
        <w:rPr>
          <w:lang w:eastAsia="ja-JP"/>
        </w:rPr>
        <w:t>)</w:t>
      </w:r>
      <w:r>
        <w:rPr>
          <w:lang w:eastAsia="ja-JP"/>
        </w:rPr>
        <w:t>. The BLM showed a generally linear relationship between DOC and dissolved copper; however, the fit at low DOC concentrations was improved when the regression was based on D</w:t>
      </w:r>
      <w:r>
        <w:rPr>
          <w:lang w:eastAsia="ja-JP"/>
        </w:rPr>
        <w:t>OC from 1</w:t>
      </w:r>
      <w:r w:rsidR="001F31A8">
        <w:rPr>
          <w:lang w:eastAsia="ja-JP"/>
        </w:rPr>
        <w:t> mg/L</w:t>
      </w:r>
      <w:r>
        <w:rPr>
          <w:lang w:eastAsia="ja-JP"/>
        </w:rPr>
        <w:t xml:space="preserve"> to 6</w:t>
      </w:r>
      <w:r w:rsidR="001F31A8">
        <w:rPr>
          <w:lang w:eastAsia="ja-JP"/>
        </w:rPr>
        <w:t> </w:t>
      </w:r>
      <w:r>
        <w:rPr>
          <w:lang w:eastAsia="ja-JP"/>
        </w:rPr>
        <w:t>mg/L. This linear regression provided a slope of 1.24 (</w:t>
      </w:r>
      <w:r w:rsidR="006F2BB3">
        <w:rPr>
          <w:lang w:eastAsia="ja-JP"/>
        </w:rPr>
        <w:fldChar w:fldCharType="begin"/>
      </w:r>
      <w:r w:rsidR="006F2BB3">
        <w:rPr>
          <w:lang w:eastAsia="ja-JP"/>
        </w:rPr>
        <w:instrText xml:space="preserve"> REF _Ref85904035 \h </w:instrText>
      </w:r>
      <w:r w:rsidR="006F2BB3">
        <w:rPr>
          <w:lang w:eastAsia="ja-JP"/>
        </w:rPr>
      </w:r>
      <w:r w:rsidR="006F2BB3">
        <w:rPr>
          <w:lang w:eastAsia="ja-JP"/>
        </w:rPr>
        <w:fldChar w:fldCharType="separate"/>
      </w:r>
      <w:r w:rsidR="00A41C81">
        <w:t>Figure G </w:t>
      </w:r>
      <w:r w:rsidR="00A41C81">
        <w:rPr>
          <w:noProof/>
        </w:rPr>
        <w:t>4</w:t>
      </w:r>
      <w:r w:rsidR="006F2BB3">
        <w:rPr>
          <w:lang w:eastAsia="ja-JP"/>
        </w:rPr>
        <w:fldChar w:fldCharType="end"/>
      </w:r>
      <w:r>
        <w:rPr>
          <w:lang w:eastAsia="ja-JP"/>
        </w:rPr>
        <w:t>). This slope results in most accurate predictions of values at the lower DOC concentrations, which are representative of most New Zealand and Australian marine waters and where bioavailability</w:t>
      </w:r>
      <w:r>
        <w:rPr>
          <w:lang w:eastAsia="ja-JP"/>
        </w:rPr>
        <w:t xml:space="preserve"> and toxicity would be highest. </w:t>
      </w:r>
    </w:p>
    <w:p w14:paraId="273CDD6A" w14:textId="77777777" w:rsidR="007F4D62" w:rsidRDefault="00324184" w:rsidP="00081B38">
      <w:pPr>
        <w:rPr>
          <w:lang w:eastAsia="ja-JP"/>
        </w:rPr>
      </w:pPr>
      <w:r>
        <w:rPr>
          <w:lang w:eastAsia="ja-JP"/>
        </w:rPr>
        <w:t>The lack of a</w:t>
      </w:r>
      <w:r w:rsidR="00081B38">
        <w:rPr>
          <w:lang w:eastAsia="ja-JP"/>
        </w:rPr>
        <w:t xml:space="preserve"> protective effect of DOC </w:t>
      </w:r>
      <w:r>
        <w:rPr>
          <w:lang w:eastAsia="ja-JP"/>
        </w:rPr>
        <w:t xml:space="preserve">on </w:t>
      </w:r>
      <w:r w:rsidR="00081B38">
        <w:rPr>
          <w:lang w:eastAsia="ja-JP"/>
        </w:rPr>
        <w:t xml:space="preserve">settled mussels is potentially due to DOC-Cu complexes either being bioavailable to these mussels or becoming bioavailable within the gill microenvironment </w:t>
      </w:r>
      <w:r w:rsidR="00875100">
        <w:t>(</w:t>
      </w:r>
      <w:r w:rsidR="00875100" w:rsidRPr="001F31A8">
        <w:rPr>
          <w:lang w:eastAsia="ja-JP"/>
        </w:rPr>
        <w:t>Deruytter et al. 2017</w:t>
      </w:r>
      <w:r w:rsidR="00875100">
        <w:rPr>
          <w:lang w:eastAsia="ja-JP"/>
        </w:rPr>
        <w:t>)</w:t>
      </w:r>
      <w:r w:rsidR="00081B38">
        <w:rPr>
          <w:lang w:eastAsia="ja-JP"/>
        </w:rPr>
        <w:t xml:space="preserve">. </w:t>
      </w:r>
      <w:r w:rsidR="001950F4">
        <w:rPr>
          <w:lang w:eastAsia="ja-JP"/>
        </w:rPr>
        <w:t>Therefore, t</w:t>
      </w:r>
      <w:r w:rsidR="00081B38">
        <w:rPr>
          <w:lang w:eastAsia="ja-JP"/>
        </w:rPr>
        <w:t>he DOC adjustment should not result in DGVs that exceed toxicity estimates reported for settled mussels, to ensure that these species are protected. The</w:t>
      </w:r>
      <w:r>
        <w:rPr>
          <w:lang w:eastAsia="ja-JP"/>
        </w:rPr>
        <w:t xml:space="preserve"> 5% effect concentration</w:t>
      </w:r>
      <w:r w:rsidR="00081B38">
        <w:rPr>
          <w:lang w:eastAsia="ja-JP"/>
        </w:rPr>
        <w:t xml:space="preserve"> </w:t>
      </w:r>
      <w:r>
        <w:rPr>
          <w:lang w:eastAsia="ja-JP"/>
        </w:rPr>
        <w:t>(</w:t>
      </w:r>
      <w:r w:rsidR="00081B38">
        <w:rPr>
          <w:lang w:eastAsia="ja-JP"/>
        </w:rPr>
        <w:t>EC5</w:t>
      </w:r>
      <w:r>
        <w:rPr>
          <w:lang w:eastAsia="ja-JP"/>
        </w:rPr>
        <w:t>)</w:t>
      </w:r>
      <w:r w:rsidR="00081B38">
        <w:rPr>
          <w:lang w:eastAsia="ja-JP"/>
        </w:rPr>
        <w:t xml:space="preserve"> for (</w:t>
      </w:r>
      <w:r w:rsidR="00081B38" w:rsidRPr="001950F4">
        <w:rPr>
          <w:rStyle w:val="Emphasis"/>
        </w:rPr>
        <w:t>M.</w:t>
      </w:r>
      <w:r w:rsidR="000F4712">
        <w:rPr>
          <w:rStyle w:val="Emphasis"/>
        </w:rPr>
        <w:t> </w:t>
      </w:r>
      <w:r w:rsidR="00081B38" w:rsidRPr="001950F4">
        <w:rPr>
          <w:rStyle w:val="Emphasis"/>
        </w:rPr>
        <w:t>edulis</w:t>
      </w:r>
      <w:r w:rsidR="00081B38">
        <w:rPr>
          <w:lang w:eastAsia="ja-JP"/>
        </w:rPr>
        <w:t>) is 8.8</w:t>
      </w:r>
      <w:r w:rsidR="001950F4">
        <w:rPr>
          <w:lang w:eastAsia="ja-JP"/>
        </w:rPr>
        <w:t> </w:t>
      </w:r>
      <w:r w:rsidR="00081B38">
        <w:rPr>
          <w:lang w:eastAsia="ja-JP"/>
        </w:rPr>
        <w:t xml:space="preserve">µg/L for clearance rate </w:t>
      </w:r>
      <w:r w:rsidR="001950F4">
        <w:t>(</w:t>
      </w:r>
      <w:r w:rsidR="001950F4" w:rsidRPr="001F31A8">
        <w:rPr>
          <w:lang w:eastAsia="ja-JP"/>
        </w:rPr>
        <w:t>Deruytter et al. 2017</w:t>
      </w:r>
      <w:r w:rsidR="001950F4">
        <w:rPr>
          <w:lang w:eastAsia="ja-JP"/>
        </w:rPr>
        <w:t>)</w:t>
      </w:r>
      <w:r w:rsidR="00081B38">
        <w:rPr>
          <w:lang w:eastAsia="ja-JP"/>
        </w:rPr>
        <w:t>. Adjustments of the DGVs up to 6</w:t>
      </w:r>
      <w:r w:rsidR="001950F4">
        <w:rPr>
          <w:lang w:eastAsia="ja-JP"/>
        </w:rPr>
        <w:t> </w:t>
      </w:r>
      <w:r w:rsidR="00081B38">
        <w:rPr>
          <w:lang w:eastAsia="ja-JP"/>
        </w:rPr>
        <w:t xml:space="preserve">mg/L DOC should be protective of this species, with a DOC-modified </w:t>
      </w:r>
      <w:r w:rsidR="00B706DF">
        <w:rPr>
          <w:lang w:eastAsia="ja-JP"/>
        </w:rPr>
        <w:t>DGV</w:t>
      </w:r>
      <w:r w:rsidR="00081B38">
        <w:rPr>
          <w:lang w:eastAsia="ja-JP"/>
        </w:rPr>
        <w:t xml:space="preserve"> of 8.3</w:t>
      </w:r>
      <w:r w:rsidR="00B706DF">
        <w:rPr>
          <w:lang w:eastAsia="ja-JP"/>
        </w:rPr>
        <w:t> </w:t>
      </w:r>
      <w:r w:rsidR="00081B38">
        <w:rPr>
          <w:lang w:eastAsia="ja-JP"/>
        </w:rPr>
        <w:t>µg/L for 80% level of protection. Therefore, there is no adjustment recommended above 6</w:t>
      </w:r>
      <w:r w:rsidR="00B706DF">
        <w:rPr>
          <w:lang w:eastAsia="ja-JP"/>
        </w:rPr>
        <w:t> </w:t>
      </w:r>
      <w:r w:rsidR="00081B38">
        <w:rPr>
          <w:lang w:eastAsia="ja-JP"/>
        </w:rPr>
        <w:t>mg/L DOC, irrespective of whether DOC is higher than this.</w:t>
      </w:r>
    </w:p>
    <w:p w14:paraId="273CDD6B" w14:textId="77777777" w:rsidR="00081B38" w:rsidRDefault="00324184" w:rsidP="00A5370A">
      <w:pPr>
        <w:rPr>
          <w:lang w:eastAsia="ja-JP"/>
        </w:rPr>
      </w:pPr>
      <w:r w:rsidRPr="002811B7">
        <w:rPr>
          <w:noProof/>
          <w:lang w:eastAsia="ja-JP"/>
        </w:rPr>
        <w:drawing>
          <wp:inline distT="0" distB="0" distL="0" distR="0" wp14:anchorId="273CDE0C" wp14:editId="273CDE0D">
            <wp:extent cx="3960000" cy="2894249"/>
            <wp:effectExtent l="0" t="0" r="2540" b="1905"/>
            <wp:docPr id="31" name="Picture 3" descr="Relationship between USEPA criterion continuous concentration (CCC) for copper and DOC concentration, as predicted by the USEPA BLM &#10;&#10;Graph shows relationship between DOC and dissolved copper.&#10;&#10;&#10;">
              <a:extLst xmlns:a="http://schemas.openxmlformats.org/drawingml/2006/main">
                <a:ext uri="{FF2B5EF4-FFF2-40B4-BE49-F238E27FC236}">
                  <a16:creationId xmlns:a16="http://schemas.microsoft.com/office/drawing/2014/main" id="{29B14639-6992-A642-B6F9-AD2246A157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19400" name="Picture 3" descr="Relationship between USEPA criterion continuous concentration (CCC) for copper and DOC concentration, as predicted by the USEPA BLM &#10;&#10;Graph shows relationship between DOC and dissolved copper.&#10;&#10;&#10;">
                      <a:extLst>
                        <a:ext uri="{FF2B5EF4-FFF2-40B4-BE49-F238E27FC236}">
                          <a16:creationId xmlns:a16="http://schemas.microsoft.com/office/drawing/2014/main" id="{29B14639-6992-A642-B6F9-AD2246A157DB}"/>
                        </a:ext>
                      </a:extLst>
                    </pic:cNvPr>
                    <pic:cNvPicPr>
                      <a:picLocks noChangeAspect="1"/>
                    </pic:cNvPicPr>
                  </pic:nvPicPr>
                  <pic:blipFill>
                    <a:blip r:embed="rId39"/>
                    <a:stretch>
                      <a:fillRect/>
                    </a:stretch>
                  </pic:blipFill>
                  <pic:spPr>
                    <a:xfrm>
                      <a:off x="0" y="0"/>
                      <a:ext cx="3960000" cy="2894249"/>
                    </a:xfrm>
                    <a:prstGeom prst="rect">
                      <a:avLst/>
                    </a:prstGeom>
                  </pic:spPr>
                </pic:pic>
              </a:graphicData>
            </a:graphic>
          </wp:inline>
        </w:drawing>
      </w:r>
    </w:p>
    <w:p w14:paraId="273CDD6C" w14:textId="77777777" w:rsidR="00B706DF" w:rsidRDefault="00324184" w:rsidP="00B706DF">
      <w:pPr>
        <w:pStyle w:val="FigureTableNoteSource"/>
        <w:rPr>
          <w:lang w:eastAsia="ja-JP"/>
        </w:rPr>
      </w:pPr>
      <w:r>
        <w:rPr>
          <w:lang w:eastAsia="ja-JP"/>
        </w:rPr>
        <w:t>Note: g</w:t>
      </w:r>
      <w:r w:rsidRPr="00081B38">
        <w:rPr>
          <w:lang w:eastAsia="ja-JP"/>
        </w:rPr>
        <w:t xml:space="preserve">rey dotted line shows fitted linear regression for data between </w:t>
      </w:r>
      <w:r>
        <w:rPr>
          <w:lang w:eastAsia="ja-JP"/>
        </w:rPr>
        <w:t xml:space="preserve">a </w:t>
      </w:r>
      <w:r w:rsidRPr="00081B38">
        <w:rPr>
          <w:lang w:eastAsia="ja-JP"/>
        </w:rPr>
        <w:t>DOC of 1</w:t>
      </w:r>
      <w:r>
        <w:rPr>
          <w:lang w:eastAsia="ja-JP"/>
        </w:rPr>
        <w:t> mg/L</w:t>
      </w:r>
      <w:r w:rsidRPr="00081B38">
        <w:rPr>
          <w:lang w:eastAsia="ja-JP"/>
        </w:rPr>
        <w:t xml:space="preserve"> and 6 mg/L.</w:t>
      </w:r>
    </w:p>
    <w:p w14:paraId="273CDD6D" w14:textId="77777777" w:rsidR="00081B38" w:rsidRDefault="00324184" w:rsidP="00901454">
      <w:pPr>
        <w:pStyle w:val="Caption"/>
        <w:rPr>
          <w:lang w:eastAsia="ja-JP"/>
        </w:rPr>
      </w:pPr>
      <w:bookmarkStart w:id="110" w:name="_Ref85904035"/>
      <w:bookmarkStart w:id="111" w:name="_Toc89268628"/>
      <w:r>
        <w:t>Figure G </w:t>
      </w:r>
      <w:r w:rsidR="00A41C81">
        <w:fldChar w:fldCharType="begin"/>
      </w:r>
      <w:r>
        <w:instrText xml:space="preserve"> SEQ Figure_G \* ARABIC </w:instrText>
      </w:r>
      <w:r w:rsidR="00A41C81">
        <w:fldChar w:fldCharType="separate"/>
      </w:r>
      <w:r w:rsidR="00A41C81">
        <w:rPr>
          <w:noProof/>
        </w:rPr>
        <w:t>4</w:t>
      </w:r>
      <w:r w:rsidR="00A41C81">
        <w:rPr>
          <w:noProof/>
        </w:rPr>
        <w:fldChar w:fldCharType="end"/>
      </w:r>
      <w:bookmarkEnd w:id="110"/>
      <w:r w:rsidRPr="00081B38">
        <w:rPr>
          <w:lang w:eastAsia="ja-JP"/>
        </w:rPr>
        <w:t xml:space="preserve"> Relationship between USEPA criterion continuous concentration (CCC) for copper and DOC concentration</w:t>
      </w:r>
      <w:r w:rsidR="002811B7">
        <w:rPr>
          <w:lang w:eastAsia="ja-JP"/>
        </w:rPr>
        <w:t>,</w:t>
      </w:r>
      <w:r w:rsidRPr="00081B38">
        <w:rPr>
          <w:lang w:eastAsia="ja-JP"/>
        </w:rPr>
        <w:t xml:space="preserve"> as predicted by the USEPA BLM</w:t>
      </w:r>
      <w:bookmarkEnd w:id="111"/>
      <w:r w:rsidRPr="00081B38">
        <w:rPr>
          <w:lang w:eastAsia="ja-JP"/>
        </w:rPr>
        <w:t xml:space="preserve"> </w:t>
      </w:r>
    </w:p>
    <w:p w14:paraId="273CDD6E" w14:textId="77777777" w:rsidR="00081B38" w:rsidRDefault="00081B38" w:rsidP="00A5370A">
      <w:pPr>
        <w:rPr>
          <w:lang w:eastAsia="ja-JP"/>
        </w:rPr>
      </w:pPr>
    </w:p>
    <w:p w14:paraId="273CDD6F" w14:textId="77777777" w:rsidR="00606A7B" w:rsidRDefault="00606A7B" w:rsidP="00606A7B"/>
    <w:p w14:paraId="273CDD70" w14:textId="77777777" w:rsidR="00606A7B" w:rsidRDefault="00606A7B" w:rsidP="00606A7B">
      <w:pPr>
        <w:sectPr w:rsidR="00606A7B" w:rsidSect="00557389">
          <w:pgSz w:w="11906" w:h="16838" w:code="9"/>
          <w:pgMar w:top="1418" w:right="1418" w:bottom="1418" w:left="1418" w:header="567" w:footer="284" w:gutter="0"/>
          <w:cols w:space="708"/>
          <w:docGrid w:linePitch="360"/>
        </w:sectPr>
      </w:pPr>
    </w:p>
    <w:p w14:paraId="273CDD71" w14:textId="77777777" w:rsidR="00606A7B" w:rsidRPr="00FF18B3" w:rsidRDefault="00324184" w:rsidP="00606A7B">
      <w:pPr>
        <w:pStyle w:val="Heading2"/>
        <w:numPr>
          <w:ilvl w:val="0"/>
          <w:numId w:val="0"/>
        </w:numPr>
        <w:ind w:left="680" w:hanging="680"/>
      </w:pPr>
      <w:bookmarkStart w:id="112" w:name="_Toc4498839"/>
      <w:bookmarkStart w:id="113" w:name="_Toc89265630"/>
      <w:bookmarkStart w:id="114" w:name="_Toc89268670"/>
      <w:r w:rsidRPr="00FF18B3">
        <w:t>References</w:t>
      </w:r>
      <w:bookmarkEnd w:id="112"/>
      <w:bookmarkEnd w:id="113"/>
      <w:bookmarkEnd w:id="114"/>
    </w:p>
    <w:p w14:paraId="273CDD72" w14:textId="77777777" w:rsidR="0071411C" w:rsidRDefault="00324184" w:rsidP="00FF18B3">
      <w:r>
        <w:t>Adams, MS, Dillon, CT, Vogt, S, Lai, B, Stauber, J &amp; Jolley, DF 2016. Copper uptak</w:t>
      </w:r>
      <w:r>
        <w:t xml:space="preserve">e, intracellular localization, and speciation in marine microalgae measured by synchrotron radiation X-ray fluorescence and absorption microspectroscopy. </w:t>
      </w:r>
      <w:r w:rsidRPr="007A2950">
        <w:rPr>
          <w:rStyle w:val="Emphasis"/>
        </w:rPr>
        <w:t>Environmental Science and Technology</w:t>
      </w:r>
      <w:r>
        <w:t>, 50, 8827–8839.</w:t>
      </w:r>
    </w:p>
    <w:p w14:paraId="273CDD73" w14:textId="77777777" w:rsidR="0071411C" w:rsidRDefault="00324184" w:rsidP="00FF18B3">
      <w:r>
        <w:t>Adams, MS, McKnight, KS, Gissi, F, Stone, S &amp; Sta</w:t>
      </w:r>
      <w:r>
        <w:t>uber, JL 2018. Toxicity of copper to marine and freshwater microalgae. Technical Report No. EP18554. CSIRO, Lucas Heights, Australia.</w:t>
      </w:r>
    </w:p>
    <w:p w14:paraId="273CDD74" w14:textId="77777777" w:rsidR="0071411C" w:rsidRDefault="00324184" w:rsidP="00446102">
      <w:r>
        <w:t>Ahsanullah, M &amp; Williams, AR 1991. Sublethal effects and bioaccumulation of cadmium, chromium, copper and zinc in the mari</w:t>
      </w:r>
      <w:r>
        <w:t xml:space="preserve">ne amphipod </w:t>
      </w:r>
      <w:r w:rsidRPr="00FC10DA">
        <w:rPr>
          <w:rStyle w:val="Emphasis"/>
        </w:rPr>
        <w:t>Allorchestes compressa</w:t>
      </w:r>
      <w:r>
        <w:t xml:space="preserve">. </w:t>
      </w:r>
      <w:r w:rsidRPr="00454160">
        <w:rPr>
          <w:rStyle w:val="Emphasis"/>
        </w:rPr>
        <w:t>Marine Biology</w:t>
      </w:r>
      <w:r>
        <w:t>, 108, 1, 59–65.</w:t>
      </w:r>
    </w:p>
    <w:p w14:paraId="273CDD75" w14:textId="77777777" w:rsidR="0071411C" w:rsidRDefault="00324184" w:rsidP="00446102">
      <w:r>
        <w:t xml:space="preserve">Ahsanullah, M, Negilski, DS &amp; Mobley, MC 1981. Toxicity of zinc, cadmium and copper to the shrimp </w:t>
      </w:r>
      <w:r w:rsidRPr="00FC10DA">
        <w:rPr>
          <w:rStyle w:val="Emphasis"/>
        </w:rPr>
        <w:t>Callianassa australiensis</w:t>
      </w:r>
      <w:r>
        <w:t xml:space="preserve">. I. Effects of individual metals. </w:t>
      </w:r>
      <w:r w:rsidRPr="00454160">
        <w:rPr>
          <w:rStyle w:val="Emphasis"/>
        </w:rPr>
        <w:t>Marine Biology</w:t>
      </w:r>
      <w:r>
        <w:t>, 64, 3, 299–304.</w:t>
      </w:r>
    </w:p>
    <w:p w14:paraId="273CDD76" w14:textId="77777777" w:rsidR="0071411C" w:rsidRDefault="00324184" w:rsidP="00FF18B3">
      <w:r>
        <w:t xml:space="preserve">Alquezar, R &amp; Anastasi, A 2013. The use of the cyanobacteria, </w:t>
      </w:r>
      <w:r w:rsidRPr="005A20BF">
        <w:rPr>
          <w:rStyle w:val="Emphasis"/>
        </w:rPr>
        <w:t>Cyanobium</w:t>
      </w:r>
      <w:r>
        <w:t xml:space="preserve"> sp., as a suitable organism for toxicity testing by flow cytometry. </w:t>
      </w:r>
      <w:r w:rsidRPr="00454160">
        <w:rPr>
          <w:rStyle w:val="Emphasis"/>
        </w:rPr>
        <w:t>Bulletin of Environmental Contamination and Toxicology</w:t>
      </w:r>
      <w:r>
        <w:t>, 90, 684–690.</w:t>
      </w:r>
    </w:p>
    <w:p w14:paraId="273CDD77" w14:textId="77777777" w:rsidR="0071411C" w:rsidRDefault="00324184" w:rsidP="00FF18B3">
      <w:r>
        <w:t>Anderson, BS, Hunt, JW, Piekarski, WJ, Phillip</w:t>
      </w:r>
      <w:r>
        <w:t xml:space="preserve">s, BM, Englund, MA, Tjeerdema, RS &amp; Goetzl, JD 1995. Influence of salinity on copper and azide toxicity to larval topsmelt </w:t>
      </w:r>
      <w:r w:rsidRPr="007541D5">
        <w:rPr>
          <w:rStyle w:val="Emphasis"/>
        </w:rPr>
        <w:t xml:space="preserve">Atherinops affinis </w:t>
      </w:r>
      <w:r>
        <w:t xml:space="preserve">(Ayres). </w:t>
      </w:r>
      <w:r w:rsidRPr="00454160">
        <w:rPr>
          <w:rStyle w:val="Emphasis"/>
        </w:rPr>
        <w:t>Archives of Environmental Contamination and Toxicology</w:t>
      </w:r>
      <w:r>
        <w:t>, 29, 366–372.</w:t>
      </w:r>
    </w:p>
    <w:p w14:paraId="273CDD78" w14:textId="77777777" w:rsidR="0071411C" w:rsidRDefault="00324184" w:rsidP="00FF18B3">
      <w:r>
        <w:t xml:space="preserve">Anderson, BS, Hunt, JW, Turpen, SL, </w:t>
      </w:r>
      <w:r>
        <w:t xml:space="preserve">Coulon, AR &amp; Martin, M 1990. Copper toxicity to microscopic stages of giant-kelp </w:t>
      </w:r>
      <w:r w:rsidRPr="00914140">
        <w:rPr>
          <w:rStyle w:val="Emphasis"/>
        </w:rPr>
        <w:t>Macrocystis pyrifera</w:t>
      </w:r>
      <w:r>
        <w:t xml:space="preserve"> – interpopulation comparisons and temporal variability. </w:t>
      </w:r>
      <w:r w:rsidRPr="00914140">
        <w:rPr>
          <w:rStyle w:val="Emphasis"/>
        </w:rPr>
        <w:t>Marine Ecology Progress Series</w:t>
      </w:r>
      <w:r>
        <w:t>, 68, 147–156.</w:t>
      </w:r>
    </w:p>
    <w:p w14:paraId="273CDD79" w14:textId="77777777" w:rsidR="0071411C" w:rsidRDefault="00324184" w:rsidP="00FF18B3">
      <w:r>
        <w:t xml:space="preserve">Anderson, BS, Middaugh, DP, Hunt, JW &amp; Turpen, SL 1991. Copper toxicity to sperm, embryos and larvae of topsmelt </w:t>
      </w:r>
      <w:r w:rsidRPr="00805B8A">
        <w:rPr>
          <w:rStyle w:val="Emphasis"/>
        </w:rPr>
        <w:t>Atherinops affinis</w:t>
      </w:r>
      <w:r>
        <w:t xml:space="preserve">, with notes on induced spawning. </w:t>
      </w:r>
      <w:r w:rsidRPr="00805B8A">
        <w:rPr>
          <w:rStyle w:val="Emphasis"/>
        </w:rPr>
        <w:t>Marine Environmental Research</w:t>
      </w:r>
      <w:r>
        <w:t>, 31, 17-35.</w:t>
      </w:r>
    </w:p>
    <w:p w14:paraId="273CDD7A" w14:textId="77777777" w:rsidR="0071411C" w:rsidRDefault="00324184" w:rsidP="000F3C4D">
      <w:r>
        <w:t>Angel, BM, Simpson, SL, Chariton, AA, Stauber, JL</w:t>
      </w:r>
      <w:r>
        <w:t xml:space="preserve"> &amp; Jolley, DF 2015. Time-averaged copper concentrations from continuous exposures predicts pulsed exposure toxicity to the marine diatom, </w:t>
      </w:r>
      <w:r w:rsidRPr="000A535C">
        <w:rPr>
          <w:rStyle w:val="Emphasis"/>
        </w:rPr>
        <w:t>Phaeodactylum tricornutum</w:t>
      </w:r>
      <w:r>
        <w:t xml:space="preserve">: Importance of uptake and elimination. </w:t>
      </w:r>
      <w:r w:rsidRPr="00454160">
        <w:rPr>
          <w:rStyle w:val="Emphasis"/>
        </w:rPr>
        <w:t>Aquatic Toxicology</w:t>
      </w:r>
      <w:r>
        <w:t>, 164, 1–9.</w:t>
      </w:r>
    </w:p>
    <w:p w14:paraId="273CDD7B" w14:textId="77777777" w:rsidR="0071411C" w:rsidRDefault="00324184" w:rsidP="00FF18B3">
      <w:r w:rsidRPr="00870200">
        <w:t>ANZECC/ARMCANZ 2000. Australian and New Zealand Guidelines for Fresh and Marine Water Quality. Australian and New Zealand Environment and Conservation Council and Agriculture and Resource Management Council of Australia and New Zealand. Canberra, Australia</w:t>
      </w:r>
      <w:r w:rsidRPr="00870200">
        <w:t>.</w:t>
      </w:r>
    </w:p>
    <w:p w14:paraId="273CDD7C" w14:textId="77777777" w:rsidR="0071411C" w:rsidRDefault="00324184" w:rsidP="00FF18B3">
      <w:r w:rsidRPr="00E02F1A">
        <w:t>ANZG 2018. Australian and New Zealand Guidelines for Fresh and Marine Water Quality. Australian</w:t>
      </w:r>
      <w:r>
        <w:t xml:space="preserve"> </w:t>
      </w:r>
      <w:r w:rsidRPr="00E02F1A">
        <w:t>and New Zealand Governments and Australian state and territory governments, Canberra, ACT, Australia</w:t>
      </w:r>
      <w:r>
        <w:t xml:space="preserve">. </w:t>
      </w:r>
      <w:r w:rsidRPr="00950A15">
        <w:t>https://www.waterquality.gov.au/anz-guidelines</w:t>
      </w:r>
      <w:r w:rsidRPr="00E02F1A">
        <w:t>.</w:t>
      </w:r>
    </w:p>
    <w:p w14:paraId="273CDD7D" w14:textId="77777777" w:rsidR="0071411C" w:rsidRDefault="00324184" w:rsidP="00FF18B3">
      <w:r>
        <w:t>Apte, SC</w:t>
      </w:r>
      <w:r>
        <w:t xml:space="preserve">, Batley, GE, Szymczak, R, Rendell, PS, Lee, R &amp; Waite, TD 1998. Baseline trace metal concentrations in New South Wales coastal waters. </w:t>
      </w:r>
      <w:r w:rsidRPr="0089467A">
        <w:rPr>
          <w:rStyle w:val="Emphasis"/>
        </w:rPr>
        <w:t>Marine and Freshwater Research</w:t>
      </w:r>
      <w:r>
        <w:t>, 49, 203–214.</w:t>
      </w:r>
    </w:p>
    <w:p w14:paraId="273CDD7E" w14:textId="77777777" w:rsidR="0071411C" w:rsidRDefault="00324184" w:rsidP="00FF18B3">
      <w:r>
        <w:t xml:space="preserve">Arnold, WR, Cotsifas, JS &amp; Corneillie, KM 2006. Validation and update of a </w:t>
      </w:r>
      <w:r>
        <w:t xml:space="preserve">model used to predict copper toxicity to the marine bivalve </w:t>
      </w:r>
      <w:r w:rsidRPr="00E76872">
        <w:rPr>
          <w:rStyle w:val="Emphasis"/>
        </w:rPr>
        <w:t>Mytilus</w:t>
      </w:r>
      <w:r>
        <w:t xml:space="preserve"> sp. </w:t>
      </w:r>
      <w:r w:rsidRPr="00E76872">
        <w:rPr>
          <w:rStyle w:val="Emphasis"/>
        </w:rPr>
        <w:t>Environmental Toxicology</w:t>
      </w:r>
      <w:r>
        <w:t>, 21, 65–70.</w:t>
      </w:r>
    </w:p>
    <w:p w14:paraId="273CDD7F" w14:textId="77777777" w:rsidR="0071411C" w:rsidRDefault="00324184" w:rsidP="00FF18B3">
      <w:r>
        <w:t>Arnold, WR, Cotsifas, JS, Ogle, RS, DePalma, SGS &amp; Smith, DS 2010a. A comparison of the copper sensitivity of six invertebrate species in ambient s</w:t>
      </w:r>
      <w:r>
        <w:t xml:space="preserve">alt water of varying dissolved organic matter concentrations. </w:t>
      </w:r>
      <w:r w:rsidRPr="00971A8F">
        <w:rPr>
          <w:rStyle w:val="Emphasis"/>
        </w:rPr>
        <w:t>Environmental Toxicology and Chemistry</w:t>
      </w:r>
      <w:r>
        <w:t>, 29, 311–319.</w:t>
      </w:r>
    </w:p>
    <w:p w14:paraId="273CDD80" w14:textId="77777777" w:rsidR="0071411C" w:rsidRPr="000E4C18" w:rsidRDefault="00324184" w:rsidP="00D51D6E">
      <w:r w:rsidRPr="00100862">
        <w:t>Arnold, WR, Cotsifas, JS, Smith, DS, Page, SL &amp;</w:t>
      </w:r>
      <w:r>
        <w:t xml:space="preserve"> </w:t>
      </w:r>
      <w:r w:rsidRPr="00100862">
        <w:t>Gruenthal, KM 2009. A comparison of the copper sensitivity of two economically important salt</w:t>
      </w:r>
      <w:r w:rsidRPr="00100862">
        <w:t xml:space="preserve">water mussel species and a review of previously reported copper toxicity data for mussels: Important implications for determining future ambient </w:t>
      </w:r>
      <w:r w:rsidRPr="000E4C18">
        <w:t xml:space="preserve">copper saltwater criteria in the USA. </w:t>
      </w:r>
      <w:r w:rsidRPr="000E4C18">
        <w:rPr>
          <w:rStyle w:val="Emphasis"/>
        </w:rPr>
        <w:t>Environmental Toxicology</w:t>
      </w:r>
      <w:r w:rsidRPr="000E4C18">
        <w:t>, 24, 618–628.</w:t>
      </w:r>
    </w:p>
    <w:p w14:paraId="273CDD81" w14:textId="77777777" w:rsidR="0071411C" w:rsidRDefault="00324184" w:rsidP="00FF18B3">
      <w:r>
        <w:t>Arnold, WR, Diamond, RL &amp; Smith, D</w:t>
      </w:r>
      <w:r>
        <w:t xml:space="preserve">S 2010b. The effects of salinity, pH, and dissolved organic matter on acute copper toxicity to the rotifer, </w:t>
      </w:r>
      <w:r w:rsidRPr="007914CB">
        <w:rPr>
          <w:rStyle w:val="Emphasis"/>
        </w:rPr>
        <w:t>Brachionus plicatilis</w:t>
      </w:r>
      <w:r>
        <w:t xml:space="preserve"> (‘L’ Strain). </w:t>
      </w:r>
      <w:r w:rsidRPr="007914CB">
        <w:rPr>
          <w:rStyle w:val="Emphasis"/>
        </w:rPr>
        <w:t>Archives of Environmental Contamination and Toxicology</w:t>
      </w:r>
      <w:r>
        <w:t>, 59, 225–234.</w:t>
      </w:r>
    </w:p>
    <w:p w14:paraId="273CDD82" w14:textId="77777777" w:rsidR="0071411C" w:rsidRPr="000E4C18" w:rsidRDefault="00324184" w:rsidP="00D51D6E">
      <w:r w:rsidRPr="000E4C18">
        <w:t>Arnold, WR, Santore, RC &amp; Cotsifas, JS 2005</w:t>
      </w:r>
      <w:r w:rsidRPr="000E4C18">
        <w:t xml:space="preserve">. Predicting copper toxicity in estuarine and marine waters using the Biotic Ligand Model. </w:t>
      </w:r>
      <w:r w:rsidRPr="000E4C18">
        <w:rPr>
          <w:rStyle w:val="Emphasis"/>
        </w:rPr>
        <w:t>Marine Pollution Bulletin</w:t>
      </w:r>
      <w:r w:rsidRPr="000E4C18">
        <w:t>, 50, 1634–1640.</w:t>
      </w:r>
    </w:p>
    <w:p w14:paraId="273CDD83" w14:textId="77777777" w:rsidR="0071411C" w:rsidRDefault="00324184" w:rsidP="00FF18B3">
      <w:r>
        <w:t>Baken, S, Degryse, F, Verheyen, L, Merckx, R &amp; Smolders, E 2011. Metal complexation properties of freshwater dissolved orga</w:t>
      </w:r>
      <w:r>
        <w:t xml:space="preserve">nic matter are explained by its aromaticity and by anthropogenic ligands. </w:t>
      </w:r>
      <w:r w:rsidRPr="00454160">
        <w:rPr>
          <w:rStyle w:val="Emphasis"/>
        </w:rPr>
        <w:t>Environmental Science and Technology</w:t>
      </w:r>
      <w:r>
        <w:t>, 45, 2584–2590.</w:t>
      </w:r>
    </w:p>
    <w:p w14:paraId="273CDD84" w14:textId="77777777" w:rsidR="0071411C" w:rsidRDefault="00324184" w:rsidP="00432308">
      <w:r w:rsidRPr="00A005A6">
        <w:t>Batley</w:t>
      </w:r>
      <w:r>
        <w:t>,</w:t>
      </w:r>
      <w:r w:rsidRPr="00A005A6">
        <w:t xml:space="preserve"> GE, Apte</w:t>
      </w:r>
      <w:r>
        <w:t>,</w:t>
      </w:r>
      <w:r w:rsidRPr="00A005A6">
        <w:t xml:space="preserve"> SC </w:t>
      </w:r>
      <w:r>
        <w:t>&amp;</w:t>
      </w:r>
      <w:r w:rsidRPr="00A005A6">
        <w:t xml:space="preserve"> Stauber</w:t>
      </w:r>
      <w:r>
        <w:t>,</w:t>
      </w:r>
      <w:r w:rsidRPr="00A005A6">
        <w:t xml:space="preserve"> JL 2004. Speciation and bioavailability of trace metals in water. Progress since 1982. </w:t>
      </w:r>
      <w:r w:rsidRPr="003F69A6">
        <w:rPr>
          <w:rStyle w:val="Emphasis"/>
        </w:rPr>
        <w:t>Australian Journal of Chemistry</w:t>
      </w:r>
      <w:r w:rsidRPr="00A005A6">
        <w:t>, 57, 903</w:t>
      </w:r>
      <w:r>
        <w:t>–</w:t>
      </w:r>
      <w:r w:rsidRPr="00A005A6">
        <w:t>919.</w:t>
      </w:r>
    </w:p>
    <w:p w14:paraId="273CDD85" w14:textId="77777777" w:rsidR="0071411C" w:rsidRDefault="00324184" w:rsidP="00446102">
      <w:pPr>
        <w:rPr>
          <w:lang w:val="en-GB"/>
        </w:rPr>
      </w:pPr>
      <w:r w:rsidRPr="00235F33">
        <w:rPr>
          <w:lang w:val="en-GB"/>
        </w:rPr>
        <w:t xml:space="preserve">Bellas, J, Beiras, R &amp; Vázquez, E 2004. </w:t>
      </w:r>
      <w:r w:rsidRPr="00685B43">
        <w:rPr>
          <w:lang w:val="en-GB"/>
        </w:rPr>
        <w:t xml:space="preserve">Sublethal </w:t>
      </w:r>
      <w:r w:rsidRPr="00235F33">
        <w:rPr>
          <w:lang w:val="en-GB"/>
        </w:rPr>
        <w:t>e</w:t>
      </w:r>
      <w:r w:rsidRPr="00685B43">
        <w:rPr>
          <w:lang w:val="en-GB"/>
        </w:rPr>
        <w:t xml:space="preserve">ffects of </w:t>
      </w:r>
      <w:r w:rsidRPr="00235F33">
        <w:rPr>
          <w:lang w:val="en-GB"/>
        </w:rPr>
        <w:t>t</w:t>
      </w:r>
      <w:r w:rsidRPr="00685B43">
        <w:rPr>
          <w:lang w:val="en-GB"/>
        </w:rPr>
        <w:t xml:space="preserve">race </w:t>
      </w:r>
      <w:r w:rsidRPr="00235F33">
        <w:rPr>
          <w:lang w:val="en-GB"/>
        </w:rPr>
        <w:t>m</w:t>
      </w:r>
      <w:r w:rsidRPr="00685B43">
        <w:rPr>
          <w:lang w:val="en-GB"/>
        </w:rPr>
        <w:t xml:space="preserve">etals (Cd, Cr, Cu, Hg) on </w:t>
      </w:r>
      <w:r w:rsidRPr="00235F33">
        <w:rPr>
          <w:lang w:val="en-GB"/>
        </w:rPr>
        <w:t>e</w:t>
      </w:r>
      <w:r w:rsidRPr="00685B43">
        <w:rPr>
          <w:lang w:val="en-GB"/>
        </w:rPr>
        <w:t>mbryogenesis and</w:t>
      </w:r>
      <w:r w:rsidRPr="00235F33">
        <w:rPr>
          <w:lang w:val="en-GB"/>
        </w:rPr>
        <w:t xml:space="preserve"> larval settlement of the ascidian </w:t>
      </w:r>
      <w:r w:rsidRPr="00497BF2">
        <w:rPr>
          <w:rStyle w:val="Emphasis"/>
        </w:rPr>
        <w:t>Ciona intestinalis</w:t>
      </w:r>
      <w:r w:rsidRPr="00235F33">
        <w:rPr>
          <w:lang w:val="en-GB"/>
        </w:rPr>
        <w:t xml:space="preserve">. </w:t>
      </w:r>
      <w:r w:rsidRPr="00497BF2">
        <w:rPr>
          <w:rStyle w:val="Emphasis"/>
        </w:rPr>
        <w:t xml:space="preserve">Archives of Environmental Contamination and </w:t>
      </w:r>
      <w:r w:rsidRPr="00497BF2">
        <w:rPr>
          <w:rStyle w:val="Emphasis"/>
        </w:rPr>
        <w:t>Toxicology</w:t>
      </w:r>
      <w:r w:rsidRPr="00235F33">
        <w:rPr>
          <w:lang w:val="en-GB"/>
        </w:rPr>
        <w:t>, 46, 61–66.</w:t>
      </w:r>
    </w:p>
    <w:p w14:paraId="273CDD86" w14:textId="77777777" w:rsidR="0071411C" w:rsidRDefault="00324184" w:rsidP="00446102">
      <w:r>
        <w:t xml:space="preserve">Bielmyer, GK, Gatlin, D, Isely, JJ, Tomasso, J &amp; Klaine, SJ 2005. Responses of hybrid striped bass to waterborne and dietary copper in freshwater and saltwater. </w:t>
      </w:r>
      <w:r w:rsidRPr="00454160">
        <w:rPr>
          <w:rStyle w:val="Emphasis"/>
        </w:rPr>
        <w:t xml:space="preserve">Comparative Biochemistry and Physiology </w:t>
      </w:r>
      <w:r>
        <w:rPr>
          <w:rStyle w:val="Emphasis"/>
        </w:rPr>
        <w:t xml:space="preserve">Part </w:t>
      </w:r>
      <w:r w:rsidRPr="00454160">
        <w:rPr>
          <w:rStyle w:val="Emphasis"/>
        </w:rPr>
        <w:t>C</w:t>
      </w:r>
      <w:r>
        <w:rPr>
          <w:rStyle w:val="Emphasis"/>
        </w:rPr>
        <w:t>:</w:t>
      </w:r>
      <w:r w:rsidRPr="00454160">
        <w:rPr>
          <w:rStyle w:val="Emphasis"/>
        </w:rPr>
        <w:t xml:space="preserve"> Pharmacology and Toxicol</w:t>
      </w:r>
      <w:r w:rsidRPr="00454160">
        <w:rPr>
          <w:rStyle w:val="Emphasis"/>
        </w:rPr>
        <w:t>ogy</w:t>
      </w:r>
      <w:r>
        <w:t>, 140, 1, 131–137.</w:t>
      </w:r>
    </w:p>
    <w:p w14:paraId="273CDD87" w14:textId="77777777" w:rsidR="0071411C" w:rsidRDefault="00324184" w:rsidP="00446102">
      <w:r>
        <w:t>Bielmyer, GK, Grosell, M, Bhagooli, R, Baker, AC, Langdon, C, Gillette, P &amp; Capo, TR 2010. Differential effects of copper on three species of Scleractinian corals and their algal symbionts (</w:t>
      </w:r>
      <w:r w:rsidRPr="00D45E27">
        <w:rPr>
          <w:rStyle w:val="Emphasis"/>
        </w:rPr>
        <w:t>Symbiodinium</w:t>
      </w:r>
      <w:r>
        <w:t xml:space="preserve"> spp.). </w:t>
      </w:r>
      <w:r w:rsidRPr="00454160">
        <w:rPr>
          <w:rStyle w:val="Emphasis"/>
        </w:rPr>
        <w:t>Aquatic Toxicology</w:t>
      </w:r>
      <w:r>
        <w:t xml:space="preserve">, 97, </w:t>
      </w:r>
      <w:r>
        <w:t>2, 125–133.</w:t>
      </w:r>
    </w:p>
    <w:p w14:paraId="273CDD88" w14:textId="77777777" w:rsidR="0071411C" w:rsidRDefault="00324184" w:rsidP="00446102">
      <w:r>
        <w:t xml:space="preserve">Bielmyer, GK, Tomasso, J &amp; Klaine, SJ 2006. Physiological responses of hybrid striped bass to aqueous copper in freshwater and saltwater. </w:t>
      </w:r>
      <w:r w:rsidRPr="00454160">
        <w:rPr>
          <w:rStyle w:val="Emphasis"/>
        </w:rPr>
        <w:t>Archives of Environmental Contamination and Toxicology</w:t>
      </w:r>
      <w:r>
        <w:t>, 50, 4, 531–538.</w:t>
      </w:r>
    </w:p>
    <w:p w14:paraId="273CDD89" w14:textId="77777777" w:rsidR="0071411C" w:rsidRDefault="00324184" w:rsidP="00FF18B3">
      <w:r>
        <w:t>Black, JG, Reichelt-Brushett, AJ &amp;</w:t>
      </w:r>
      <w:r>
        <w:t xml:space="preserve"> Clark, MW 2015. The effect of copper and temperature on juveniles of the eurybathic brittle star </w:t>
      </w:r>
      <w:r w:rsidRPr="0050597D">
        <w:rPr>
          <w:rStyle w:val="Emphasis"/>
        </w:rPr>
        <w:t>Amphipholis squamata</w:t>
      </w:r>
      <w:r>
        <w:t xml:space="preserve"> – exploring responses related to motility and the water vascular system. </w:t>
      </w:r>
      <w:r w:rsidRPr="00454160">
        <w:rPr>
          <w:rStyle w:val="Emphasis"/>
        </w:rPr>
        <w:t>Chemosphere</w:t>
      </w:r>
      <w:r>
        <w:t>, 124, 32–39.</w:t>
      </w:r>
    </w:p>
    <w:p w14:paraId="273CDD8A" w14:textId="77777777" w:rsidR="0071411C" w:rsidRDefault="00324184" w:rsidP="00FF18B3">
      <w:r>
        <w:t>Brooks, SJ, Bolam, T, Tolhurst, L, Bass</w:t>
      </w:r>
      <w:r>
        <w:t xml:space="preserve">ett, J, La Roche, J, Waldock, M, Barry, J &amp; Thomas, KV 2008. Dissolved organic carbon reduces the toxicity of copper to germlings of the macroalgae, </w:t>
      </w:r>
      <w:r w:rsidRPr="00914140">
        <w:rPr>
          <w:rStyle w:val="Emphasis"/>
        </w:rPr>
        <w:t>Fucus</w:t>
      </w:r>
      <w:r>
        <w:t xml:space="preserve"> </w:t>
      </w:r>
      <w:r w:rsidRPr="00914140">
        <w:rPr>
          <w:rStyle w:val="Emphasis"/>
        </w:rPr>
        <w:t>vesiculosus</w:t>
      </w:r>
      <w:r>
        <w:t xml:space="preserve">. </w:t>
      </w:r>
      <w:r w:rsidRPr="00914140">
        <w:rPr>
          <w:rStyle w:val="Emphasis"/>
        </w:rPr>
        <w:t>Ecotoxicology and Environmental Safety</w:t>
      </w:r>
      <w:r>
        <w:t>, 70, 88–98.</w:t>
      </w:r>
    </w:p>
    <w:p w14:paraId="273CDD8B" w14:textId="77777777" w:rsidR="0071411C" w:rsidRDefault="00324184" w:rsidP="00FF18B3">
      <w:r>
        <w:t>Brooks, SJ, Bolam, T, Tolhurst, L, Ba</w:t>
      </w:r>
      <w:r>
        <w:t>ssett, J, Roche, JL, Waldock, M, Barry, J &amp; Thomas, KV 2007. Effects of dissolved organic carbon on the toxicity of copper to the developing embryos of the Pacific Oyster (</w:t>
      </w:r>
      <w:r w:rsidRPr="00756F45">
        <w:rPr>
          <w:rStyle w:val="Emphasis"/>
        </w:rPr>
        <w:t>Crassostrea gigas</w:t>
      </w:r>
      <w:r>
        <w:t xml:space="preserve">). </w:t>
      </w:r>
      <w:r w:rsidRPr="00756F45">
        <w:rPr>
          <w:rStyle w:val="Emphasis"/>
        </w:rPr>
        <w:t>Environmental Toxicology and Chemistry</w:t>
      </w:r>
      <w:r>
        <w:t>, 26, 1756–1763.</w:t>
      </w:r>
    </w:p>
    <w:p w14:paraId="273CDD8C" w14:textId="77777777" w:rsidR="0071411C" w:rsidRDefault="00324184" w:rsidP="00446102">
      <w:r>
        <w:t>Browne, R</w:t>
      </w:r>
      <w:r>
        <w:t xml:space="preserve">A, Moller, V, Forbes, VE &amp; Depledge, MH 2002. Estimating genetic and environmental components of variance using sexual and clonal Artemia. </w:t>
      </w:r>
      <w:r w:rsidRPr="00454160">
        <w:rPr>
          <w:rStyle w:val="Emphasis"/>
        </w:rPr>
        <w:t>Journal of Experimental Marine Biology and Ecology</w:t>
      </w:r>
      <w:r w:rsidRPr="00266256">
        <w:t>,</w:t>
      </w:r>
      <w:r>
        <w:t xml:space="preserve"> 267, 1, 107–119.</w:t>
      </w:r>
    </w:p>
    <w:p w14:paraId="273CDD8D" w14:textId="77777777" w:rsidR="0071411C" w:rsidRDefault="00324184" w:rsidP="00FF18B3">
      <w:r>
        <w:t>Bruland, KW 1980. Oceanographic distributions of</w:t>
      </w:r>
      <w:r>
        <w:t xml:space="preserve"> cadmium, zinc, nickel, and copper in the North Pacific. </w:t>
      </w:r>
      <w:r w:rsidRPr="00022D5A">
        <w:rPr>
          <w:rStyle w:val="Emphasis"/>
        </w:rPr>
        <w:t>Earth and Planetary Science Letters</w:t>
      </w:r>
      <w:r>
        <w:t>, 47, 176–198.</w:t>
      </w:r>
    </w:p>
    <w:p w14:paraId="273CDD8E" w14:textId="77777777" w:rsidR="0071411C" w:rsidRDefault="00324184" w:rsidP="00FF18B3">
      <w:r w:rsidRPr="00133476">
        <w:t>CH2M HILL 1999. Bioassay report: Acute toxicity of copper to blue mussel (</w:t>
      </w:r>
      <w:r w:rsidRPr="00072BA1">
        <w:rPr>
          <w:rStyle w:val="Emphasis"/>
        </w:rPr>
        <w:t>Mytilus edulis</w:t>
      </w:r>
      <w:r w:rsidRPr="00133476">
        <w:t>).</w:t>
      </w:r>
      <w:r>
        <w:t xml:space="preserve"> </w:t>
      </w:r>
      <w:r w:rsidRPr="00072BA1">
        <w:t>Final Report prepared for U.S. Navy, CH 2(NA)</w:t>
      </w:r>
      <w:r w:rsidRPr="00133476">
        <w:t>: 41</w:t>
      </w:r>
      <w:r>
        <w:t> </w:t>
      </w:r>
      <w:r w:rsidRPr="00133476">
        <w:t>p</w:t>
      </w:r>
      <w:r>
        <w:t>p</w:t>
      </w:r>
      <w:r w:rsidRPr="00133476">
        <w:t>.</w:t>
      </w:r>
    </w:p>
    <w:p w14:paraId="273CDD8F" w14:textId="77777777" w:rsidR="0071411C" w:rsidRDefault="00324184" w:rsidP="00FF18B3">
      <w:r>
        <w:t xml:space="preserve">Chadwick, D, Rivera-Duarte, I, Rosen, G, Wang, P, Santore, RC, Ryan, A, Paquin, P, Hafner, S &amp; Choi, W 2008. Demonstration of an integrated compliance model for predicting copper fate and effects in DoD harbors. Project ER-0523. Technical Report 1973, SSC </w:t>
      </w:r>
      <w:r>
        <w:t>Pacific, San Diego, CA.</w:t>
      </w:r>
    </w:p>
    <w:p w14:paraId="273CDD90" w14:textId="77777777" w:rsidR="0071411C" w:rsidRDefault="00324184" w:rsidP="00446102">
      <w:r>
        <w:t xml:space="preserve">Chen, QL, Luo, Z, Liu, X, Song, YF, Liu, CX, Zheng, JL &amp; Zhao, YH 2013. Effects of waterborne chronic copper exposure on hepatic lipid metabolism and metal-element composition in </w:t>
      </w:r>
      <w:r w:rsidRPr="00E510E5">
        <w:rPr>
          <w:rStyle w:val="Emphasis"/>
        </w:rPr>
        <w:t>Synechogobius hasta</w:t>
      </w:r>
      <w:r>
        <w:t xml:space="preserve">. </w:t>
      </w:r>
      <w:r w:rsidRPr="00454160">
        <w:rPr>
          <w:rStyle w:val="Emphasis"/>
        </w:rPr>
        <w:t>Archives of Environmental Contam</w:t>
      </w:r>
      <w:r w:rsidRPr="00454160">
        <w:rPr>
          <w:rStyle w:val="Emphasis"/>
        </w:rPr>
        <w:t>ination and Toxicology</w:t>
      </w:r>
      <w:r>
        <w:t>, 64, 2, 301–315.</w:t>
      </w:r>
    </w:p>
    <w:p w14:paraId="273CDD91" w14:textId="77777777" w:rsidR="0071411C" w:rsidRDefault="00324184" w:rsidP="00FF18B3">
      <w:r>
        <w:t xml:space="preserve">Chen, W, Gueguen, C, Smith, SD, Galceran, J, Puy, J &amp; Companys, E 2018. Metal (Pb, Cd, Zn) binding to diverse organic matter samples and implications for speciation modelling. </w:t>
      </w:r>
      <w:r w:rsidRPr="00A61445">
        <w:rPr>
          <w:rStyle w:val="Emphasis"/>
        </w:rPr>
        <w:t>Environmental Science and Technology</w:t>
      </w:r>
      <w:r>
        <w:t>, 52</w:t>
      </w:r>
      <w:r>
        <w:t>, 4163–4172.</w:t>
      </w:r>
    </w:p>
    <w:p w14:paraId="273CDD92" w14:textId="77777777" w:rsidR="0071411C" w:rsidRDefault="00324184" w:rsidP="00446102">
      <w:r>
        <w:t xml:space="preserve">Debelius, B, Forja, JM, DelValls, A &amp; Lubian, LM 2009. Toxicity and bioaccumulation of copper and lead in five marine microalgae. </w:t>
      </w:r>
      <w:r w:rsidRPr="00454160">
        <w:rPr>
          <w:rStyle w:val="Emphasis"/>
        </w:rPr>
        <w:t>Ecotoxicology and Environmental Safety</w:t>
      </w:r>
      <w:r>
        <w:t>, 72, 5, 1503–1513.</w:t>
      </w:r>
    </w:p>
    <w:p w14:paraId="273CDD93" w14:textId="77777777" w:rsidR="0071411C" w:rsidRDefault="00324184" w:rsidP="00FF18B3">
      <w:r>
        <w:t>DePalma, SGS, Arnold, WR, McGeer, JC, Dixon, DG &amp; Smith</w:t>
      </w:r>
      <w:r>
        <w:t xml:space="preserve">, DS 2011. Effects of dissolved organic matter and reduced sulphur on copper bioavailability in coastal marine environments. </w:t>
      </w:r>
      <w:r w:rsidRPr="00A810F3">
        <w:rPr>
          <w:rStyle w:val="Emphasis"/>
        </w:rPr>
        <w:t>Ecotoxicology and Environmental Safety</w:t>
      </w:r>
      <w:r>
        <w:t>, 74, 230-237.</w:t>
      </w:r>
    </w:p>
    <w:p w14:paraId="273CDD94" w14:textId="77777777" w:rsidR="0071411C" w:rsidRDefault="00324184" w:rsidP="00FF18B3">
      <w:r>
        <w:t>Deruytter, D, Vandegehuchte, MB, Garrevoet, J, Blust, R, Vincze, L, de Schamph</w:t>
      </w:r>
      <w:r>
        <w:t xml:space="preserve">elaere, KAC &amp; Janssen, CR 2017. Salinity, dissolved organic carbon, and interpopulation variability hardly influence the accumulation and effect of copper in </w:t>
      </w:r>
      <w:r w:rsidRPr="00735F26">
        <w:rPr>
          <w:rStyle w:val="Emphasis"/>
        </w:rPr>
        <w:t>Mytilus edulis</w:t>
      </w:r>
      <w:r>
        <w:t xml:space="preserve">. </w:t>
      </w:r>
      <w:r w:rsidRPr="00735F26">
        <w:rPr>
          <w:rStyle w:val="Emphasis"/>
        </w:rPr>
        <w:t>Environmental Toxicology and Chemistry</w:t>
      </w:r>
      <w:r>
        <w:t>, 36, 2074–2082.</w:t>
      </w:r>
    </w:p>
    <w:p w14:paraId="273CDD95" w14:textId="77777777" w:rsidR="0071411C" w:rsidRDefault="00324184" w:rsidP="00FF18B3">
      <w:r>
        <w:t>Deruytter, D, Vandegehuchte</w:t>
      </w:r>
      <w:r>
        <w:t>, MB, Garrevoet, J, de Laender, F, Vergucht, E, Delbeke, K, Blust, R, de Schamphelaere, KAC, Vincze, L &amp; Janssen, CR 2015. Salinity and dissolved organic carbon both affect copper toxicity in mussel larvae: Copper speciation or competition cannot explain e</w:t>
      </w:r>
      <w:r>
        <w:t xml:space="preserve">verything. </w:t>
      </w:r>
      <w:r w:rsidRPr="00A810F3">
        <w:rPr>
          <w:rStyle w:val="Emphasis"/>
        </w:rPr>
        <w:t>Environmental Toxicology and Chemistry</w:t>
      </w:r>
      <w:r>
        <w:t>, 34, 1330–1336.</w:t>
      </w:r>
    </w:p>
    <w:p w14:paraId="273CDD96" w14:textId="77777777" w:rsidR="0071411C" w:rsidRDefault="00324184" w:rsidP="00FF18B3">
      <w:r>
        <w:t xml:space="preserve">Di Toro, DM, Allen, HE, Bergman, HL, Meyer, JS, Paquin, PR &amp; Santore, RC 2001. Biotic ligand model of the acute toxicity of metals. 1. Technical Basis. </w:t>
      </w:r>
      <w:r w:rsidRPr="00454160">
        <w:rPr>
          <w:rStyle w:val="Emphasis"/>
        </w:rPr>
        <w:t>Environmental Toxicology and Chemistry</w:t>
      </w:r>
      <w:r>
        <w:t>, 20, 2383–2396.</w:t>
      </w:r>
    </w:p>
    <w:p w14:paraId="273CDD97" w14:textId="77777777" w:rsidR="0071411C" w:rsidRPr="001D4B6A" w:rsidRDefault="00324184" w:rsidP="00290FAA">
      <w:r>
        <w:t>Diz, FR, Ara</w:t>
      </w:r>
      <w:r>
        <w:rPr>
          <w:rFonts w:ascii="Calibri" w:hAnsi="Calibri" w:cs="Calibri"/>
        </w:rPr>
        <w:t>ú</w:t>
      </w:r>
      <w:r>
        <w:t>jo, CVM, Moreno-Garrido, IM, Hampel,</w:t>
      </w:r>
      <w:r>
        <w:t xml:space="preserve"> M &amp; Blasco, J 2009. </w:t>
      </w:r>
      <w:r w:rsidRPr="001D4B6A">
        <w:t>Short-term toxicity tests on the harpacticoid copepod</w:t>
      </w:r>
      <w:r w:rsidRPr="00290FAA">
        <w:t xml:space="preserve"> </w:t>
      </w:r>
      <w:r w:rsidRPr="00072BA1">
        <w:rPr>
          <w:rStyle w:val="Emphasis"/>
        </w:rPr>
        <w:t>Tisbe battagliai</w:t>
      </w:r>
      <w:r w:rsidRPr="001D4B6A">
        <w:t>: Lethal and reproductive endpoints</w:t>
      </w:r>
      <w:r>
        <w:t xml:space="preserve">. </w:t>
      </w:r>
      <w:r w:rsidRPr="00072BA1">
        <w:rPr>
          <w:rStyle w:val="Emphasis"/>
        </w:rPr>
        <w:t>Ecotoxicology and Environmental Safety</w:t>
      </w:r>
      <w:r>
        <w:t>, 72, 1881–1886.</w:t>
      </w:r>
    </w:p>
    <w:p w14:paraId="273CDD98" w14:textId="77777777" w:rsidR="0071411C" w:rsidRDefault="00324184" w:rsidP="00446102">
      <w:r>
        <w:t>Doyle, CJ, Pablo, F, Lim, RP &amp; Hyne, RV 2003. Assessment of metal toxicit</w:t>
      </w:r>
      <w:r>
        <w:t xml:space="preserve">y in sediment pore water from Lake Macquarie, Australia. </w:t>
      </w:r>
      <w:r w:rsidRPr="00454160">
        <w:rPr>
          <w:rStyle w:val="Emphasis"/>
        </w:rPr>
        <w:t>Archives of Environmental Contamination and Toxicology</w:t>
      </w:r>
      <w:r>
        <w:t>, 44, 3, 343–350.</w:t>
      </w:r>
    </w:p>
    <w:p w14:paraId="273CDD99" w14:textId="77777777" w:rsidR="0071411C" w:rsidRDefault="00324184" w:rsidP="00FF18B3">
      <w:r>
        <w:t>Duarte, RM, Smith, DS, Val, AL &amp; Wood, CM 2016. Dissolved organic carbon from the upper Rio Negro protects zebrafish (</w:t>
      </w:r>
      <w:r w:rsidRPr="008A71FA">
        <w:rPr>
          <w:rStyle w:val="Emphasis"/>
        </w:rPr>
        <w:t>Danio rer</w:t>
      </w:r>
      <w:r w:rsidRPr="008A71FA">
        <w:rPr>
          <w:rStyle w:val="Emphasis"/>
        </w:rPr>
        <w:t>io</w:t>
      </w:r>
      <w:r>
        <w:t xml:space="preserve">) against ionoregulatory disturbances caused by low pH exposure. </w:t>
      </w:r>
      <w:r w:rsidRPr="008A71FA">
        <w:rPr>
          <w:rStyle w:val="Emphasis"/>
        </w:rPr>
        <w:t>Scientific Reports</w:t>
      </w:r>
      <w:r>
        <w:t>, 6, 20377.</w:t>
      </w:r>
    </w:p>
    <w:p w14:paraId="273CDD9A" w14:textId="77777777" w:rsidR="0071411C" w:rsidRDefault="00324184" w:rsidP="00446102">
      <w:r>
        <w:t xml:space="preserve">Edullantes, B &amp; Galapate, RP 2014. Embryotoxicity of copper and zinc in tropical sea urchin </w:t>
      </w:r>
      <w:r w:rsidRPr="00AF74B5">
        <w:rPr>
          <w:rStyle w:val="Emphasis"/>
        </w:rPr>
        <w:t>Tripneustes gratilla</w:t>
      </w:r>
      <w:r>
        <w:t xml:space="preserve">. </w:t>
      </w:r>
      <w:r w:rsidRPr="00454160">
        <w:rPr>
          <w:rStyle w:val="Emphasis"/>
        </w:rPr>
        <w:t>Science Diliman</w:t>
      </w:r>
      <w:r>
        <w:t>, 26, 1, 25–40.</w:t>
      </w:r>
    </w:p>
    <w:p w14:paraId="273CDD9B" w14:textId="77777777" w:rsidR="0071411C" w:rsidRDefault="00324184" w:rsidP="00446102">
      <w:r w:rsidRPr="00DA3F57">
        <w:t xml:space="preserve">European Copper Institute 2008. </w:t>
      </w:r>
      <w:hyperlink r:id="rId40" w:history="1">
        <w:r w:rsidRPr="00DA3F57">
          <w:rPr>
            <w:rStyle w:val="Hyperlink"/>
          </w:rPr>
          <w:t>Voluntary risk assessment of copper, copper II sulphate pentahydrate, copper(I) oxide, copper(II) oxide, dicopper chloride trihydroxide</w:t>
        </w:r>
      </w:hyperlink>
      <w:r w:rsidRPr="00DA3F57">
        <w:t>. Submitted to European Chemicals Agency. Brussels, Belgium.</w:t>
      </w:r>
    </w:p>
    <w:p w14:paraId="273CDD9C" w14:textId="77777777" w:rsidR="0071411C" w:rsidRDefault="00324184" w:rsidP="00446102">
      <w:r>
        <w:t>Fisher, NS &amp; Frood, D 1980. Heavy-metals and marine diatoms – influence of dissolved organic-compounds on toxicity and selection for metal tolerance among four species.</w:t>
      </w:r>
      <w:r>
        <w:t xml:space="preserve"> </w:t>
      </w:r>
      <w:r w:rsidRPr="00454160">
        <w:rPr>
          <w:rStyle w:val="Emphasis"/>
        </w:rPr>
        <w:t>Marine Biology</w:t>
      </w:r>
      <w:r>
        <w:t>, 59, 2, 85–93.</w:t>
      </w:r>
    </w:p>
    <w:p w14:paraId="273CDD9D" w14:textId="77777777" w:rsidR="0071411C" w:rsidRDefault="00324184" w:rsidP="00446102">
      <w:r>
        <w:t xml:space="preserve">Foekema, EM, Kaag, NHBM, Kramer, KJM &amp; Long, K 2015. Mesocosm validation of the marine no effect concentration of dissolved copper derived from a species sensitivity distribution. </w:t>
      </w:r>
      <w:r w:rsidRPr="00454160">
        <w:rPr>
          <w:rStyle w:val="Emphasis"/>
        </w:rPr>
        <w:t>Science of the Total</w:t>
      </w:r>
      <w:r>
        <w:t xml:space="preserve"> </w:t>
      </w:r>
      <w:r w:rsidRPr="00454160">
        <w:rPr>
          <w:rStyle w:val="Emphasis"/>
        </w:rPr>
        <w:t>Environment</w:t>
      </w:r>
      <w:r>
        <w:t>, 521, 173–18</w:t>
      </w:r>
      <w:r>
        <w:t>2.</w:t>
      </w:r>
    </w:p>
    <w:p w14:paraId="273CDD9E" w14:textId="77777777" w:rsidR="0071411C" w:rsidRDefault="00324184" w:rsidP="00446102">
      <w:r>
        <w:t xml:space="preserve">Franklin, NM, Adams, MS, Stauber, JL &amp; Lim, RP 2001. Development of an improved rapid enzyme inhibition bioassay with marine and freshwater microalgae using flow cytometry. </w:t>
      </w:r>
      <w:r w:rsidRPr="00454160">
        <w:rPr>
          <w:rStyle w:val="Emphasis"/>
        </w:rPr>
        <w:t>Archives of Environmental Contamination and Toxicology</w:t>
      </w:r>
      <w:r>
        <w:t>, 40, 4, 469–480.</w:t>
      </w:r>
    </w:p>
    <w:p w14:paraId="273CDD9F" w14:textId="77777777" w:rsidR="0071411C" w:rsidRDefault="00324184" w:rsidP="00FF18B3">
      <w:r>
        <w:t xml:space="preserve">Gadd, J </w:t>
      </w:r>
      <w:r>
        <w:t>&amp; Cameron, M 2012. Antifouling biocides in marinas: Measurement of copper concentrations and comparison to model predictions for eight Auckland sites. Technical Report TR2012/033. October 2012. Auckland Council, Auckland.</w:t>
      </w:r>
    </w:p>
    <w:p w14:paraId="273CDDA0" w14:textId="77777777" w:rsidR="0071411C" w:rsidRDefault="00324184" w:rsidP="00FF18B3">
      <w:r>
        <w:t>Gadd, J, Depree, C &amp; Hickey, CW 20</w:t>
      </w:r>
      <w:r>
        <w:t xml:space="preserve">11. Relevance to New Zealand of the OECD emission scenario document for antifouling products: Phase 2 report. Client Report HAM2011-005. August 2011. </w:t>
      </w:r>
      <w:r w:rsidRPr="00A61445">
        <w:t>National Institute of Water and Atmospheric Research</w:t>
      </w:r>
      <w:r>
        <w:t>, Hamilton.</w:t>
      </w:r>
    </w:p>
    <w:p w14:paraId="273CDDA1" w14:textId="77777777" w:rsidR="0071411C" w:rsidRDefault="00324184" w:rsidP="00446102">
      <w:r>
        <w:t>Girling, JA, Thomas, KV, Brooks, SJ, Smith</w:t>
      </w:r>
      <w:r>
        <w:t xml:space="preserve">, D, Shahsavari, E &amp; Ball, AS 2015. A macroalgal germling bioassay to assess biocide concentrations in marine waters. </w:t>
      </w:r>
      <w:r w:rsidRPr="00454160">
        <w:rPr>
          <w:rStyle w:val="Emphasis"/>
        </w:rPr>
        <w:t>Marine Pollution Bulletin</w:t>
      </w:r>
      <w:r>
        <w:t>, 91, 1, 82–86.</w:t>
      </w:r>
    </w:p>
    <w:p w14:paraId="273CDDA2" w14:textId="77777777" w:rsidR="0071411C" w:rsidRDefault="00324184" w:rsidP="00FF18B3">
      <w:r>
        <w:t xml:space="preserve">Golding, LA, Angel, BM, Batley, GE, Apte, SC, Krassoi, R &amp; Doyle, CJ 2015. Derivation of a water </w:t>
      </w:r>
      <w:r>
        <w:t xml:space="preserve">quality guideline for aluminium in marine waters. </w:t>
      </w:r>
      <w:r w:rsidRPr="00454160">
        <w:rPr>
          <w:rStyle w:val="Emphasis"/>
        </w:rPr>
        <w:t>Environmental Toxicology and Chemistry</w:t>
      </w:r>
      <w:r>
        <w:t>, 34, 141–151.</w:t>
      </w:r>
    </w:p>
    <w:p w14:paraId="273CDDA3" w14:textId="77777777" w:rsidR="0071411C" w:rsidRDefault="00324184" w:rsidP="00FF18B3">
      <w:r>
        <w:t xml:space="preserve">Gomiero, A &amp; Viarengo, A 2014. Effects of elevated temperature on the toxicity of copper and oxytetracycline in the marine model, </w:t>
      </w:r>
      <w:r w:rsidRPr="00AF23F1">
        <w:rPr>
          <w:rStyle w:val="Emphasis"/>
        </w:rPr>
        <w:t>Euplotes crassus</w:t>
      </w:r>
      <w:r>
        <w:t>: A cli</w:t>
      </w:r>
      <w:r>
        <w:t xml:space="preserve">mate change perspective. </w:t>
      </w:r>
      <w:r w:rsidRPr="00454160">
        <w:rPr>
          <w:rStyle w:val="Emphasis"/>
        </w:rPr>
        <w:t>Environmental Pollution</w:t>
      </w:r>
      <w:r>
        <w:t>, 194, 262–271.</w:t>
      </w:r>
    </w:p>
    <w:p w14:paraId="273CDDA4" w14:textId="77777777" w:rsidR="0071411C" w:rsidRDefault="00324184" w:rsidP="00446102">
      <w:r>
        <w:t xml:space="preserve">Gorski, J &amp; Nugegoda, D 2006. Toxicity of trace metals to juvenile abalone, </w:t>
      </w:r>
      <w:r w:rsidRPr="00253771">
        <w:rPr>
          <w:rStyle w:val="Emphasis"/>
        </w:rPr>
        <w:t>Haliotis rubra</w:t>
      </w:r>
      <w:r>
        <w:t xml:space="preserve"> following short-term exposure. </w:t>
      </w:r>
      <w:r w:rsidRPr="00454160">
        <w:rPr>
          <w:rStyle w:val="Emphasis"/>
        </w:rPr>
        <w:t>Bulletin of Environmental Contamination and Toxicology</w:t>
      </w:r>
      <w:r>
        <w:t>, 77, 5, 732–740</w:t>
      </w:r>
      <w:r>
        <w:t>.</w:t>
      </w:r>
    </w:p>
    <w:p w14:paraId="273CDDA5" w14:textId="77777777" w:rsidR="0071411C" w:rsidRDefault="00324184" w:rsidP="00FF18B3">
      <w:r>
        <w:t xml:space="preserve">Grosell, M 2011. 2 – Copper. In CM Wood (ed.). </w:t>
      </w:r>
      <w:r w:rsidRPr="002672B2">
        <w:rPr>
          <w:rStyle w:val="Emphasis"/>
        </w:rPr>
        <w:t>Homeostasis and Toxicology of Essential Metals. Vol 31-Fish Physiology</w:t>
      </w:r>
      <w:r>
        <w:t>. Academic Press, 53–133.</w:t>
      </w:r>
    </w:p>
    <w:p w14:paraId="273CDDA6" w14:textId="77777777" w:rsidR="0071411C" w:rsidRDefault="00324184" w:rsidP="00FF18B3">
      <w:r>
        <w:t>Grosell, M, Blanchard, J, Brix, KV &amp; Gerdes, R 2007. Physiology is pivotal for interactions between salinity an</w:t>
      </w:r>
      <w:r>
        <w:t xml:space="preserve">d acute copper toxicity to fish and invertebrates. </w:t>
      </w:r>
      <w:r w:rsidRPr="00454160">
        <w:rPr>
          <w:rStyle w:val="Emphasis"/>
        </w:rPr>
        <w:t>Aquatic Toxicology</w:t>
      </w:r>
      <w:r>
        <w:t>, 84, 162–172.</w:t>
      </w:r>
    </w:p>
    <w:p w14:paraId="273CDDA7" w14:textId="77777777" w:rsidR="0071411C" w:rsidRDefault="00324184" w:rsidP="00FF18B3">
      <w:r>
        <w:t xml:space="preserve">Grosell, M, Wood, CM &amp; Walsh, PJ 2003. Copper homeostasis and toxicity in the elasmobranch </w:t>
      </w:r>
      <w:r w:rsidRPr="003D36CD">
        <w:rPr>
          <w:rStyle w:val="Emphasis"/>
        </w:rPr>
        <w:t>Raja erinacea</w:t>
      </w:r>
      <w:r>
        <w:t xml:space="preserve"> and the teleost </w:t>
      </w:r>
      <w:r w:rsidRPr="003D36CD">
        <w:rPr>
          <w:rStyle w:val="Emphasis"/>
        </w:rPr>
        <w:t>Myoxocephalus octodecemspinosus</w:t>
      </w:r>
      <w:r>
        <w:t xml:space="preserve"> during exposure to </w:t>
      </w:r>
      <w:r>
        <w:t xml:space="preserve">elevated water-borne copper. </w:t>
      </w:r>
      <w:r w:rsidRPr="003D36CD">
        <w:rPr>
          <w:rStyle w:val="Emphasis"/>
        </w:rPr>
        <w:t xml:space="preserve">Comparative Biochemistry and Physiology </w:t>
      </w:r>
      <w:r>
        <w:rPr>
          <w:rStyle w:val="Emphasis"/>
        </w:rPr>
        <w:t xml:space="preserve">Part </w:t>
      </w:r>
      <w:r w:rsidRPr="003D36CD">
        <w:rPr>
          <w:rStyle w:val="Emphasis"/>
        </w:rPr>
        <w:t>C</w:t>
      </w:r>
      <w:r>
        <w:rPr>
          <w:rStyle w:val="Emphasis"/>
        </w:rPr>
        <w:t>:</w:t>
      </w:r>
      <w:r w:rsidRPr="003D36CD">
        <w:rPr>
          <w:rStyle w:val="Emphasis"/>
        </w:rPr>
        <w:t xml:space="preserve"> Toxicology and Pharmacology</w:t>
      </w:r>
      <w:r>
        <w:t>, 135, 179–190.</w:t>
      </w:r>
    </w:p>
    <w:p w14:paraId="273CDDA8" w14:textId="77777777" w:rsidR="0071411C" w:rsidRDefault="00324184" w:rsidP="00FF18B3">
      <w:r>
        <w:t>Hall, LWJ, Anderson, RD, Lewis, BL &amp; Arnold, WR 2008. The influence of salinity and dissolved organic carbon on the toxicity of copper t</w:t>
      </w:r>
      <w:r>
        <w:t xml:space="preserve">o the estuarine copepod, </w:t>
      </w:r>
      <w:r w:rsidRPr="008A71FA">
        <w:rPr>
          <w:rStyle w:val="Emphasis"/>
        </w:rPr>
        <w:t>Eurytemora affinis</w:t>
      </w:r>
      <w:r>
        <w:t xml:space="preserve">. </w:t>
      </w:r>
      <w:r w:rsidRPr="008A71FA">
        <w:rPr>
          <w:rStyle w:val="Emphasis"/>
        </w:rPr>
        <w:t>Archives of Environmental Contamination and Toxicology</w:t>
      </w:r>
      <w:r>
        <w:t>, 54, 44–56.</w:t>
      </w:r>
    </w:p>
    <w:p w14:paraId="273CDDA9" w14:textId="77777777" w:rsidR="0071411C" w:rsidRDefault="00324184" w:rsidP="00446102">
      <w:r>
        <w:t xml:space="preserve">Hook, SE, Osborn, HL, Gissi, F, Moncuquet, P, Twine, NA, Wilkins, MR &amp; Adams, MS 2014. RNA-Seq analysis of the toxicant-induced transcriptome of the marine diatom, </w:t>
      </w:r>
      <w:r w:rsidRPr="00961805">
        <w:rPr>
          <w:rStyle w:val="Emphasis"/>
        </w:rPr>
        <w:t>Ceratoneis closterium</w:t>
      </w:r>
      <w:r>
        <w:t xml:space="preserve">. </w:t>
      </w:r>
      <w:r w:rsidRPr="00454160">
        <w:rPr>
          <w:rStyle w:val="Emphasis"/>
        </w:rPr>
        <w:t>Marine</w:t>
      </w:r>
      <w:r>
        <w:t xml:space="preserve"> </w:t>
      </w:r>
      <w:r w:rsidRPr="00454160">
        <w:rPr>
          <w:rStyle w:val="Emphasis"/>
        </w:rPr>
        <w:t>Genomics</w:t>
      </w:r>
      <w:r>
        <w:t>, 16, 45–53.</w:t>
      </w:r>
    </w:p>
    <w:p w14:paraId="273CDDAA" w14:textId="77777777" w:rsidR="0071411C" w:rsidRDefault="00324184" w:rsidP="000F3C4D">
      <w:r>
        <w:t>Hooten, RL &amp; Carr, RS 1998. Development a</w:t>
      </w:r>
      <w:r>
        <w:t xml:space="preserve">nd application of a marine sediment pore-water toxicity test using </w:t>
      </w:r>
      <w:r w:rsidRPr="00083BB6">
        <w:rPr>
          <w:rStyle w:val="Emphasis"/>
        </w:rPr>
        <w:t>Ulva fasciata</w:t>
      </w:r>
      <w:r>
        <w:t xml:space="preserve"> zoospores. </w:t>
      </w:r>
      <w:r w:rsidRPr="00454160">
        <w:rPr>
          <w:rStyle w:val="Emphasis"/>
        </w:rPr>
        <w:t>Environmental Toxicology and Chemistry</w:t>
      </w:r>
      <w:r>
        <w:t>, 17, 5, 932–940.</w:t>
      </w:r>
    </w:p>
    <w:p w14:paraId="273CDDAB" w14:textId="77777777" w:rsidR="0071411C" w:rsidRDefault="00324184" w:rsidP="000F3C4D">
      <w:r>
        <w:t>Howe, PL, Reichelt-Brushett, AJ &amp; Clark, MW 2014. Effects of Cd, Co, Cu, Ni and Zn on asexual reproduction a</w:t>
      </w:r>
      <w:r>
        <w:t xml:space="preserve">nd early development of the tropical sea anemone </w:t>
      </w:r>
      <w:r w:rsidRPr="00384F0B">
        <w:rPr>
          <w:rStyle w:val="Emphasis"/>
        </w:rPr>
        <w:t>Aiptasia pulchella</w:t>
      </w:r>
      <w:r>
        <w:t xml:space="preserve">. </w:t>
      </w:r>
      <w:r w:rsidRPr="00454160">
        <w:rPr>
          <w:rStyle w:val="Emphasis"/>
        </w:rPr>
        <w:t>Ecotoxicology</w:t>
      </w:r>
      <w:r>
        <w:t>, 23, 9, 1593–1606.</w:t>
      </w:r>
    </w:p>
    <w:p w14:paraId="273CDDAC" w14:textId="77777777" w:rsidR="0071411C" w:rsidRDefault="00324184" w:rsidP="00FF18B3">
      <w:r>
        <w:t>Hunt, DTE 1987. Trace metal speciation and toxicity to aquatic organisms – a review. Water Research Centre, Marlow, Bucks, United Kingdom.</w:t>
      </w:r>
    </w:p>
    <w:p w14:paraId="273CDDAD" w14:textId="77777777" w:rsidR="0071411C" w:rsidRDefault="00324184" w:rsidP="00FF18B3">
      <w:r>
        <w:t>Hunter, KA &amp; Ty</w:t>
      </w:r>
      <w:r>
        <w:t xml:space="preserve">ler, SR 1987. The distribution of zinc and reactive silicate in the Otago Harbour, New Zealand. </w:t>
      </w:r>
      <w:r w:rsidRPr="0089467A">
        <w:rPr>
          <w:rStyle w:val="Emphasis"/>
        </w:rPr>
        <w:t>Marine Chemistry</w:t>
      </w:r>
      <w:r>
        <w:t>, 20, 377–387.</w:t>
      </w:r>
    </w:p>
    <w:p w14:paraId="273CDDAE" w14:textId="77777777" w:rsidR="0071411C" w:rsidRDefault="00324184" w:rsidP="00FF18B3">
      <w:r>
        <w:t>IPCS 1998. Environmental Health Criteria 200 – Copper. International Programme on Chemical Safety. Inter-Organization Programme f</w:t>
      </w:r>
      <w:r>
        <w:t>or the Sound Management of Chemicals, World Health Organisation,</w:t>
      </w:r>
      <w:r w:rsidRPr="00125EC1">
        <w:t xml:space="preserve"> </w:t>
      </w:r>
      <w:r>
        <w:t>Geneva.</w:t>
      </w:r>
    </w:p>
    <w:p w14:paraId="273CDDAF" w14:textId="77777777" w:rsidR="0071411C" w:rsidRDefault="00324184" w:rsidP="00FF18B3">
      <w:r>
        <w:t xml:space="preserve">Jiang, Y, Zhu, Y, Hu, Z, Lei, A &amp; Wang, J 2016. Towards elucidation of the toxic mechanism of copper on the model green alga </w:t>
      </w:r>
      <w:r w:rsidRPr="00914140">
        <w:rPr>
          <w:rStyle w:val="Emphasis"/>
        </w:rPr>
        <w:t>Chlamydomonas reinhardtii</w:t>
      </w:r>
      <w:r>
        <w:t xml:space="preserve">. </w:t>
      </w:r>
      <w:r w:rsidRPr="00914140">
        <w:rPr>
          <w:rStyle w:val="Emphasis"/>
        </w:rPr>
        <w:t>Ecotoxicology</w:t>
      </w:r>
      <w:r>
        <w:t>, 25, 1417–1425.</w:t>
      </w:r>
    </w:p>
    <w:p w14:paraId="273CDDB0" w14:textId="77777777" w:rsidR="0071411C" w:rsidRDefault="00324184" w:rsidP="000F3C4D">
      <w:r>
        <w:t>J</w:t>
      </w:r>
      <w:r>
        <w:t xml:space="preserve">ohnson, HL, Stauber, JL, Adams, MS &amp; Jolley, DF 2007. Copper and zinc tolerance of two tropical microalgae after copper acclimation. </w:t>
      </w:r>
      <w:r w:rsidRPr="00454160">
        <w:rPr>
          <w:rStyle w:val="Emphasis"/>
        </w:rPr>
        <w:t>Environmental Toxicology</w:t>
      </w:r>
      <w:r>
        <w:t>, 22, 3, 234–244.</w:t>
      </w:r>
    </w:p>
    <w:p w14:paraId="273CDDB1" w14:textId="77777777" w:rsidR="0071411C" w:rsidRDefault="00324184" w:rsidP="00FF18B3">
      <w:r w:rsidRPr="00CB2BE8">
        <w:t>JRC-IHCP</w:t>
      </w:r>
      <w:r>
        <w:t xml:space="preserve"> 2010.</w:t>
      </w:r>
      <w:r w:rsidRPr="00CB2BE8">
        <w:t xml:space="preserve"> </w:t>
      </w:r>
      <w:r>
        <w:t xml:space="preserve">European Union risk assessment report: Zinc metal. </w:t>
      </w:r>
      <w:r>
        <w:t>European Commission, Joint Research Centre, Institute for Health and Consumer Protection, Luxembourg.</w:t>
      </w:r>
    </w:p>
    <w:p w14:paraId="273CDDB2" w14:textId="77777777" w:rsidR="0071411C" w:rsidRDefault="00324184" w:rsidP="00FF18B3">
      <w:r>
        <w:t>Karner, DA, Shafer, MM, Overdier, JT, Hemming, JDC &amp; Sonzogni, WC 2006. An algal probe for copper speciation in marine waters: Laboratory method developme</w:t>
      </w:r>
      <w:r>
        <w:t xml:space="preserve">nt. </w:t>
      </w:r>
      <w:r w:rsidRPr="00454160">
        <w:rPr>
          <w:rStyle w:val="Emphasis"/>
        </w:rPr>
        <w:t>Environmental Toxicology and Chemistry</w:t>
      </w:r>
      <w:r>
        <w:t>, 25, 1106–1113.</w:t>
      </w:r>
    </w:p>
    <w:p w14:paraId="273CDDB3" w14:textId="77777777" w:rsidR="0071411C" w:rsidRDefault="00324184" w:rsidP="00FF18B3">
      <w:r>
        <w:t>Kennedy, P &amp; Sutherland, S 2008. Urban sources of copper, lead and zinc. Technical Report TR 2008/023. Auckland Regional Council, Auckland.</w:t>
      </w:r>
    </w:p>
    <w:p w14:paraId="273CDDB4" w14:textId="77777777" w:rsidR="0071411C" w:rsidRDefault="00324184" w:rsidP="00446102">
      <w:r>
        <w:t>Kevekordes, K 2001. Toxicity tests using developmental st</w:t>
      </w:r>
      <w:r>
        <w:t xml:space="preserve">ages of </w:t>
      </w:r>
      <w:r w:rsidRPr="009816B8">
        <w:rPr>
          <w:rStyle w:val="Emphasis"/>
        </w:rPr>
        <w:t>Hormosira banksii</w:t>
      </w:r>
      <w:r>
        <w:t xml:space="preserve"> (Phaeophyta) identify ammonium as a damaging component of secondary treated sewage effluent discharged into Bass Strait, Victoria, Australia. </w:t>
      </w:r>
      <w:r w:rsidRPr="00454160">
        <w:rPr>
          <w:rStyle w:val="Emphasis"/>
        </w:rPr>
        <w:t>Marine Ecology Progress Series</w:t>
      </w:r>
      <w:r>
        <w:t>, 219, 139–148.</w:t>
      </w:r>
    </w:p>
    <w:p w14:paraId="273CDDB5" w14:textId="77777777" w:rsidR="0071411C" w:rsidRDefault="00324184" w:rsidP="00446102">
      <w:r>
        <w:t>King, CK 1999. The impact of metals and or</w:t>
      </w:r>
      <w:r>
        <w:t>ganic pollutants on the development of marine invertebrates from class Echinoidea and class Bivalvia. PhD thesis. The University of Sydney, Australia.</w:t>
      </w:r>
    </w:p>
    <w:p w14:paraId="273CDDB6" w14:textId="77777777" w:rsidR="0071411C" w:rsidRDefault="00324184" w:rsidP="000F3C4D">
      <w:r>
        <w:t xml:space="preserve">Krassoi, R, Anderson, I &amp; Everett, D 1997. Larval abnormalities in doughboy scallops </w:t>
      </w:r>
      <w:r w:rsidRPr="00C04DAE">
        <w:rPr>
          <w:rStyle w:val="Emphasis"/>
        </w:rPr>
        <w:t>Chlamys</w:t>
      </w:r>
      <w:r>
        <w:t xml:space="preserve"> (</w:t>
      </w:r>
      <w:r w:rsidRPr="00C04DAE">
        <w:rPr>
          <w:rStyle w:val="Emphasis"/>
        </w:rPr>
        <w:t>Mimachlamys</w:t>
      </w:r>
      <w:r>
        <w:t xml:space="preserve">) </w:t>
      </w:r>
      <w:r w:rsidRPr="00C04DAE">
        <w:rPr>
          <w:rStyle w:val="Emphasis"/>
        </w:rPr>
        <w:t>asperrima</w:t>
      </w:r>
      <w:r>
        <w:t xml:space="preserve"> L. in response to test conditions and six reference toxicants. </w:t>
      </w:r>
      <w:r w:rsidRPr="00454160">
        <w:rPr>
          <w:rStyle w:val="Emphasis"/>
        </w:rPr>
        <w:t>Australasian Journal of Ecotoxicology</w:t>
      </w:r>
      <w:r>
        <w:t>, 3, 1, 65–74.</w:t>
      </w:r>
    </w:p>
    <w:p w14:paraId="273CDDB7" w14:textId="77777777" w:rsidR="0071411C" w:rsidRDefault="00324184" w:rsidP="00FF18B3">
      <w:r>
        <w:t xml:space="preserve">Krauskopf, KB 1956. Factors controlling the concentrations of thirteen rare metals in sea-water. </w:t>
      </w:r>
      <w:r w:rsidRPr="00053816">
        <w:rPr>
          <w:rStyle w:val="Emphasis"/>
        </w:rPr>
        <w:t>Geochimica et Cosmochimica Acta</w:t>
      </w:r>
      <w:r>
        <w:t>,</w:t>
      </w:r>
      <w:r>
        <w:t xml:space="preserve"> 9, 1–B32.</w:t>
      </w:r>
    </w:p>
    <w:p w14:paraId="273CDDB8" w14:textId="77777777" w:rsidR="0071411C" w:rsidRDefault="00324184" w:rsidP="00FF18B3">
      <w:r>
        <w:t>Landner, L &amp; Reuther, R 2004. Metals in society and in the environment: A critical review of current knowledge on fluxes, speciation, bioavailability and risk for adverse effects of copper, chromium, nickel and zinc. Springer, Netherlands.</w:t>
      </w:r>
    </w:p>
    <w:p w14:paraId="273CDDB9" w14:textId="77777777" w:rsidR="0071411C" w:rsidRDefault="00324184" w:rsidP="00FF18B3">
      <w:r>
        <w:t>Langd</w:t>
      </w:r>
      <w:r>
        <w:t xml:space="preserve">on, K, Warne, M &amp; Sunderam, R 2009. A compilation of data on the toxicity of chemicals to species in Australasia. Part 4: Metals (2000–2009). </w:t>
      </w:r>
      <w:r w:rsidRPr="00735F26">
        <w:rPr>
          <w:rStyle w:val="Emphasis"/>
        </w:rPr>
        <w:t>Australasian Journal of Ecotoxicology</w:t>
      </w:r>
      <w:r>
        <w:t>, 15, 51–186.</w:t>
      </w:r>
    </w:p>
    <w:p w14:paraId="273CDDBA" w14:textId="77777777" w:rsidR="0071411C" w:rsidRDefault="00324184" w:rsidP="00446102">
      <w:r>
        <w:t>Latala, A &amp; Surosz, W 1999. Growth of four planktonic algae fro</w:t>
      </w:r>
      <w:r>
        <w:t xml:space="preserve">m brackish water in the presence of heavy metals. </w:t>
      </w:r>
      <w:r w:rsidRPr="00454160">
        <w:rPr>
          <w:rStyle w:val="Emphasis"/>
        </w:rPr>
        <w:t>Polskie Archiwum Hydrobiologii</w:t>
      </w:r>
      <w:r>
        <w:t>, 46, 2, 131–154.</w:t>
      </w:r>
    </w:p>
    <w:p w14:paraId="273CDDBB" w14:textId="77777777" w:rsidR="0071411C" w:rsidRDefault="00324184" w:rsidP="00446102">
      <w:r>
        <w:t>Lee, JA, Marsden, ID &amp; Glover, CN 2010. The influence of salinity on copper accumulation and its toxic effects in estuarine animals with differing osmoregulat</w:t>
      </w:r>
      <w:r>
        <w:t xml:space="preserve">ory strategies. </w:t>
      </w:r>
      <w:r w:rsidRPr="00454160">
        <w:rPr>
          <w:rStyle w:val="Emphasis"/>
        </w:rPr>
        <w:t>Aquatic Toxicology</w:t>
      </w:r>
      <w:r>
        <w:t>, 99, 1, 65–72.</w:t>
      </w:r>
    </w:p>
    <w:p w14:paraId="273CDDBC" w14:textId="77777777" w:rsidR="0071411C" w:rsidRDefault="00324184" w:rsidP="00446102">
      <w:r>
        <w:t xml:space="preserve">Lee, KM &amp; Johnston, EL 2007. Low levels of copper reduce the reproductive success of a mobile invertebrate predator. </w:t>
      </w:r>
      <w:r w:rsidRPr="00454160">
        <w:rPr>
          <w:rStyle w:val="Emphasis"/>
        </w:rPr>
        <w:t>Marine Environmental Research</w:t>
      </w:r>
      <w:r>
        <w:t>, 64, 3, 336–346.</w:t>
      </w:r>
    </w:p>
    <w:p w14:paraId="273CDDBD" w14:textId="77777777" w:rsidR="0071411C" w:rsidRDefault="00324184" w:rsidP="000F3C4D">
      <w:r>
        <w:t>Levy, JL, Angel, BM, Stauber, JL, Poon, WL</w:t>
      </w:r>
      <w:r>
        <w:t xml:space="preserve">, Simpson, SL, Cheng, SH &amp; Jolley, DF 2008. Uptake and internalisation of copper by three marine microalgae: Comparison of copper-sensitive and copper-tolerant species. </w:t>
      </w:r>
      <w:r w:rsidRPr="00454160">
        <w:rPr>
          <w:rStyle w:val="Emphasis"/>
        </w:rPr>
        <w:t>Aquatic Toxicology</w:t>
      </w:r>
      <w:r>
        <w:t>, 89, 2, 82–93.</w:t>
      </w:r>
    </w:p>
    <w:p w14:paraId="273CDDBE" w14:textId="77777777" w:rsidR="0071411C" w:rsidRDefault="00324184" w:rsidP="00FF18B3">
      <w:r>
        <w:t xml:space="preserve">Levy, JL, Stauber, JL &amp; Jolley, DF 2007. Sensitivity </w:t>
      </w:r>
      <w:r>
        <w:t xml:space="preserve">of marine microalgae to copper: The effect of biotic factors on copper adsorption and toxicity. </w:t>
      </w:r>
      <w:r w:rsidRPr="00454160">
        <w:rPr>
          <w:rStyle w:val="Emphasis"/>
        </w:rPr>
        <w:t>Science of the Total Environment</w:t>
      </w:r>
      <w:r>
        <w:t>, 387, 141–154.</w:t>
      </w:r>
    </w:p>
    <w:p w14:paraId="273CDDBF" w14:textId="77777777" w:rsidR="0071411C" w:rsidRDefault="00324184" w:rsidP="00FF18B3">
      <w:r>
        <w:t>Lewis, C, Ellis, RP, Vernon, E, Elliot, K, Newbatt, S &amp; Wilson, RW 2016. Ocean acidification increases copper to</w:t>
      </w:r>
      <w:r>
        <w:t xml:space="preserve">xicity differentially in two key marine invertebrates with distinct acid-base responses. </w:t>
      </w:r>
      <w:r w:rsidRPr="00811A7B">
        <w:rPr>
          <w:rStyle w:val="Emphasis"/>
        </w:rPr>
        <w:t>Scientific Reports</w:t>
      </w:r>
      <w:r>
        <w:t>, 6, 21554.</w:t>
      </w:r>
    </w:p>
    <w:p w14:paraId="273CDDC0" w14:textId="77777777" w:rsidR="0071411C" w:rsidRDefault="00324184" w:rsidP="00446102">
      <w:r>
        <w:t xml:space="preserve">Mamboya, F, Lyimo, TJ, Landberg, T &amp; Bjork, M 2009. Influence of combined changes in salinity and copper modulation on growth and copper </w:t>
      </w:r>
      <w:r>
        <w:t xml:space="preserve">uptake in the tropical green macroalga </w:t>
      </w:r>
      <w:r w:rsidRPr="00DD3E9D">
        <w:rPr>
          <w:rStyle w:val="Emphasis"/>
        </w:rPr>
        <w:t>Ulva reticulata</w:t>
      </w:r>
      <w:r>
        <w:t xml:space="preserve">. </w:t>
      </w:r>
      <w:r w:rsidRPr="00454160">
        <w:rPr>
          <w:rStyle w:val="Emphasis"/>
        </w:rPr>
        <w:t>Estuarine, Coastal and Shelf Science</w:t>
      </w:r>
      <w:r>
        <w:t>, 84, 3, 326–330.</w:t>
      </w:r>
    </w:p>
    <w:p w14:paraId="273CDDC1" w14:textId="77777777" w:rsidR="0071411C" w:rsidRDefault="00324184" w:rsidP="00FF18B3">
      <w:r>
        <w:t>Markich, SI, Warne, M, Westbury, AM &amp; Roberts, C 2002. A compilation of data on the toxicity of chemicals to species in Australasia. Part 3: Metal</w:t>
      </w:r>
      <w:r>
        <w:t xml:space="preserve">s. </w:t>
      </w:r>
      <w:r w:rsidRPr="00AB6474">
        <w:rPr>
          <w:rStyle w:val="Emphasis"/>
        </w:rPr>
        <w:t>Australasian Journal of Ecotoxicology</w:t>
      </w:r>
      <w:r>
        <w:t>, 8, 1–72.</w:t>
      </w:r>
    </w:p>
    <w:p w14:paraId="273CDDC2" w14:textId="77777777" w:rsidR="0071411C" w:rsidRDefault="00324184" w:rsidP="00FF18B3">
      <w:r>
        <w:t xml:space="preserve">Martin, M, Osborn, KE, Billig, P &amp; Glickstein, N 1981. Toxicities of ten metals to </w:t>
      </w:r>
      <w:r w:rsidRPr="00C80DC3">
        <w:rPr>
          <w:rStyle w:val="Emphasis"/>
        </w:rPr>
        <w:t>Crassostrea gigas</w:t>
      </w:r>
      <w:r>
        <w:t xml:space="preserve"> and </w:t>
      </w:r>
      <w:r w:rsidRPr="00C80DC3">
        <w:rPr>
          <w:rStyle w:val="Emphasis"/>
        </w:rPr>
        <w:t>Mytilus edulis</w:t>
      </w:r>
      <w:r>
        <w:t xml:space="preserve"> embryos and </w:t>
      </w:r>
      <w:r w:rsidRPr="00C80DC3">
        <w:rPr>
          <w:rStyle w:val="Emphasis"/>
        </w:rPr>
        <w:t>Cancer magister</w:t>
      </w:r>
      <w:r>
        <w:t xml:space="preserve"> larvae. </w:t>
      </w:r>
      <w:r w:rsidRPr="00454160">
        <w:rPr>
          <w:rStyle w:val="Emphasis"/>
        </w:rPr>
        <w:t>Marine Pollution Bulletin</w:t>
      </w:r>
      <w:r>
        <w:t>, 12, 305–308.</w:t>
      </w:r>
    </w:p>
    <w:p w14:paraId="273CDDC3" w14:textId="77777777" w:rsidR="0071411C" w:rsidRDefault="00324184" w:rsidP="00FF18B3">
      <w:r>
        <w:t xml:space="preserve">Maycock, </w:t>
      </w:r>
      <w:r>
        <w:t>D, Merrington, G &amp; Peters, A 2011. Proposed EQS for Water Framework Directive Annex VIII substances: Copper (saltwater). SC080021/8n. Water Framework Directive – United Kingdom Technical Advisory Group.</w:t>
      </w:r>
    </w:p>
    <w:p w14:paraId="273CDDC4" w14:textId="77777777" w:rsidR="0071411C" w:rsidRDefault="00324184" w:rsidP="00FF18B3">
      <w:r>
        <w:t>McNulty, HR, Anderson, BS, Hunt, JW, Turpen, SL &amp; Sin</w:t>
      </w:r>
      <w:r>
        <w:t xml:space="preserve">ger, MM 1994. Age-specific toxicity of copper to larval topsmelt </w:t>
      </w:r>
      <w:r w:rsidRPr="00805B8A">
        <w:rPr>
          <w:rStyle w:val="Emphasis"/>
        </w:rPr>
        <w:t>Atherinops affinis</w:t>
      </w:r>
      <w:r>
        <w:t xml:space="preserve">. </w:t>
      </w:r>
      <w:r w:rsidRPr="00805B8A">
        <w:rPr>
          <w:rStyle w:val="Emphasis"/>
        </w:rPr>
        <w:t>Environmental Toxicology and Chemistry</w:t>
      </w:r>
      <w:r>
        <w:t>, 13, 487–492.</w:t>
      </w:r>
    </w:p>
    <w:p w14:paraId="273CDDC5" w14:textId="77777777" w:rsidR="0071411C" w:rsidRDefault="00324184" w:rsidP="00446102">
      <w:r>
        <w:t xml:space="preserve">Medina, MH, Morandi, B &amp; Correa, JA 2008. Copper effects in the copepod </w:t>
      </w:r>
      <w:r w:rsidRPr="00F7683A">
        <w:rPr>
          <w:rStyle w:val="Emphasis"/>
        </w:rPr>
        <w:t>Tigriopus angulatus</w:t>
      </w:r>
      <w:r>
        <w:t xml:space="preserve"> Lang, 1933: Natural broad </w:t>
      </w:r>
      <w:r>
        <w:t xml:space="preserve">tolerance allows maintenance of food webs in copper-enriched coastal areas. </w:t>
      </w:r>
      <w:r w:rsidRPr="00454160">
        <w:rPr>
          <w:rStyle w:val="Emphasis"/>
        </w:rPr>
        <w:t>Marine and Freshwater Research</w:t>
      </w:r>
      <w:r>
        <w:t>, 59, 12, 1061–1066.</w:t>
      </w:r>
    </w:p>
    <w:p w14:paraId="273CDDC6" w14:textId="77777777" w:rsidR="0071411C" w:rsidRDefault="00324184" w:rsidP="00FF18B3">
      <w:r>
        <w:t xml:space="preserve">Millero, FJ, Woosley, R, Ditrolio, B &amp; Waters, J 2009. Effect of ocean acidification on the speciation of metals in seawater. </w:t>
      </w:r>
      <w:r w:rsidRPr="0041450E">
        <w:rPr>
          <w:rStyle w:val="Emphasis"/>
        </w:rPr>
        <w:t>Oce</w:t>
      </w:r>
      <w:r w:rsidRPr="0041450E">
        <w:rPr>
          <w:rStyle w:val="Emphasis"/>
        </w:rPr>
        <w:t>anography</w:t>
      </w:r>
      <w:r>
        <w:t>, 22, 72–85.</w:t>
      </w:r>
    </w:p>
    <w:p w14:paraId="273CDDC7" w14:textId="77777777" w:rsidR="0071411C" w:rsidRDefault="00324184" w:rsidP="00FF18B3">
      <w:r>
        <w:t xml:space="preserve">Mueller, KK, Lofts, S, Fortin, C &amp; Campbell, PGC 2012. Trace metal speciation predictions in natural aquatic systems: Incorporation of dissolved organic matter (DOM) spectroscopic quality. </w:t>
      </w:r>
      <w:r w:rsidRPr="00454160">
        <w:rPr>
          <w:rStyle w:val="Emphasis"/>
        </w:rPr>
        <w:t>Environmental Chemistry</w:t>
      </w:r>
      <w:r>
        <w:t>, 9, 356–368.</w:t>
      </w:r>
    </w:p>
    <w:p w14:paraId="273CDDC8" w14:textId="77777777" w:rsidR="0071411C" w:rsidRDefault="00324184" w:rsidP="00FF18B3">
      <w:r>
        <w:t>Nadella,</w:t>
      </w:r>
      <w:r>
        <w:t xml:space="preserve"> SR, Fitzpatrick, JL, Franklin, N, Bucking, C, Smith, S &amp; Wood, CM 2009. Toxicity of dissolved Cu, Zn, Ni and Cd to developing embryos of the blue mussel (</w:t>
      </w:r>
      <w:r w:rsidRPr="008A71FA">
        <w:rPr>
          <w:rStyle w:val="Emphasis"/>
        </w:rPr>
        <w:t>Mytilus trossolus</w:t>
      </w:r>
      <w:r>
        <w:t xml:space="preserve">) and the protective effect of dissolved organic carbon. </w:t>
      </w:r>
      <w:r w:rsidRPr="008A71FA">
        <w:rPr>
          <w:rStyle w:val="Emphasis"/>
        </w:rPr>
        <w:t xml:space="preserve">Comparative </w:t>
      </w:r>
      <w:r w:rsidRPr="008A71FA">
        <w:rPr>
          <w:rStyle w:val="Emphasis"/>
        </w:rPr>
        <w:t>Biochemistry and Physiology</w:t>
      </w:r>
      <w:r>
        <w:rPr>
          <w:rStyle w:val="Emphasis"/>
        </w:rPr>
        <w:t xml:space="preserve"> Part</w:t>
      </w:r>
      <w:r w:rsidRPr="008A71FA">
        <w:rPr>
          <w:rStyle w:val="Emphasis"/>
        </w:rPr>
        <w:t xml:space="preserve"> C</w:t>
      </w:r>
      <w:r>
        <w:rPr>
          <w:rStyle w:val="Emphasis"/>
        </w:rPr>
        <w:t>:</w:t>
      </w:r>
      <w:r w:rsidRPr="008A71FA">
        <w:rPr>
          <w:rStyle w:val="Emphasis"/>
        </w:rPr>
        <w:t xml:space="preserve"> Pharmacology and Toxicology</w:t>
      </w:r>
      <w:r>
        <w:t>, 149, 340–348.</w:t>
      </w:r>
    </w:p>
    <w:p w14:paraId="273CDDC9" w14:textId="77777777" w:rsidR="0071411C" w:rsidRDefault="00324184" w:rsidP="00446102">
      <w:r>
        <w:t>Nguyen-Deroche, TLN, Le, TT, Bui, TV, Rince, Y, Tremblin, G &amp; Morant-Manceau, A 2009. Effects of copper on growth and photosynthesis in marine diatoms: A comparison between spec</w:t>
      </w:r>
      <w:r>
        <w:t xml:space="preserve">ies from two different geographical areas. </w:t>
      </w:r>
      <w:r w:rsidRPr="00454160">
        <w:rPr>
          <w:rStyle w:val="Emphasis"/>
        </w:rPr>
        <w:t>Cryptogamie Algologie</w:t>
      </w:r>
      <w:r>
        <w:t>, 30, 2, 97–109.</w:t>
      </w:r>
    </w:p>
    <w:p w14:paraId="273CDDCA" w14:textId="77777777" w:rsidR="0071411C" w:rsidRDefault="00324184" w:rsidP="000F3C4D">
      <w:r>
        <w:t xml:space="preserve">Osborn, HL &amp; Hook, SE 2013. Using transcriptomic profiles in the diatom </w:t>
      </w:r>
      <w:r w:rsidRPr="00D4480B">
        <w:rPr>
          <w:rStyle w:val="Emphasis"/>
        </w:rPr>
        <w:t>Phaeodactylum tricornutum</w:t>
      </w:r>
      <w:r>
        <w:t xml:space="preserve"> to identify and prioritize stressors. </w:t>
      </w:r>
      <w:r w:rsidRPr="00454160">
        <w:rPr>
          <w:rStyle w:val="Emphasis"/>
        </w:rPr>
        <w:t>Aquatic Toxicology</w:t>
      </w:r>
      <w:r>
        <w:t>, 138, 12–25.</w:t>
      </w:r>
    </w:p>
    <w:p w14:paraId="273CDDCB" w14:textId="77777777" w:rsidR="0071411C" w:rsidRDefault="00324184" w:rsidP="00FF18B3">
      <w:r>
        <w:t>Pearson</w:t>
      </w:r>
      <w:r>
        <w:t xml:space="preserve">, HBC, Comber, SDW, Braungardt, C &amp; Worsfold, PJ 2017. Predicting copper speciation in estuarine waters—is dissolved organic carbon a good proxy for the presence of organic ligands? </w:t>
      </w:r>
      <w:r w:rsidRPr="00454160">
        <w:rPr>
          <w:rStyle w:val="Emphasis"/>
        </w:rPr>
        <w:t>Environmental Science and Technology</w:t>
      </w:r>
      <w:r>
        <w:t>, 51, 2206–2216.</w:t>
      </w:r>
    </w:p>
    <w:p w14:paraId="273CDDCC" w14:textId="77777777" w:rsidR="0071411C" w:rsidRDefault="00324184" w:rsidP="00FF18B3">
      <w:r>
        <w:t xml:space="preserve">Peers, G &amp; Price, NM </w:t>
      </w:r>
      <w:r>
        <w:t xml:space="preserve">2006. Copper-containing plastocyanin used for electron transport by an oceanic diatom. </w:t>
      </w:r>
      <w:r w:rsidRPr="009B25E4">
        <w:rPr>
          <w:rStyle w:val="Emphasis"/>
        </w:rPr>
        <w:t>Nature</w:t>
      </w:r>
      <w:r>
        <w:t>, 441, 341–344.</w:t>
      </w:r>
    </w:p>
    <w:p w14:paraId="273CDDCD" w14:textId="77777777" w:rsidR="0071411C" w:rsidRDefault="00324184" w:rsidP="00446102">
      <w:r>
        <w:t xml:space="preserve">Qiu, JW, Thiyagarajan, V, Cheung, S &amp; Qian, PY 2005. Toxic effects of copper on larval development of the barnacle </w:t>
      </w:r>
      <w:r w:rsidRPr="00D4480B">
        <w:rPr>
          <w:rStyle w:val="Emphasis"/>
        </w:rPr>
        <w:t>Balanus amphitrite</w:t>
      </w:r>
      <w:r>
        <w:t xml:space="preserve">. </w:t>
      </w:r>
      <w:r w:rsidRPr="00454160">
        <w:rPr>
          <w:rStyle w:val="Emphasis"/>
        </w:rPr>
        <w:t>Marine Pollution Bulletin</w:t>
      </w:r>
      <w:r>
        <w:t>, 51, 8–12, 688–693.</w:t>
      </w:r>
    </w:p>
    <w:p w14:paraId="273CDDCE" w14:textId="77777777" w:rsidR="0071411C" w:rsidRDefault="00324184" w:rsidP="00446102">
      <w:r>
        <w:t>Ramachandran, S, Patel, TR &amp; Colbo, MH 1997. Effect of copper and cadmium o</w:t>
      </w:r>
      <w:r>
        <w:t xml:space="preserve">n three Malaysian tropical estuarine invertebrate larvae. </w:t>
      </w:r>
      <w:r w:rsidRPr="00454160">
        <w:rPr>
          <w:rStyle w:val="Emphasis"/>
        </w:rPr>
        <w:t>Ecotoxicology and Environmental Safety</w:t>
      </w:r>
      <w:r>
        <w:t>, 36, 183–188.</w:t>
      </w:r>
    </w:p>
    <w:p w14:paraId="273CDDCF" w14:textId="77777777" w:rsidR="0071411C" w:rsidRDefault="00324184" w:rsidP="000F3C4D">
      <w:r>
        <w:t>Reichelt-Brushett, A &amp; Hudspith, M 2016. The effects of metals of emerging concern on the fertilization success of gametes of the tropical sclera</w:t>
      </w:r>
      <w:r>
        <w:t xml:space="preserve">ctinian coral </w:t>
      </w:r>
      <w:r w:rsidRPr="00B167FD">
        <w:rPr>
          <w:rStyle w:val="Emphasis"/>
        </w:rPr>
        <w:t>Platygyra daedalea</w:t>
      </w:r>
      <w:r>
        <w:t xml:space="preserve">. </w:t>
      </w:r>
      <w:r w:rsidRPr="00454160">
        <w:rPr>
          <w:rStyle w:val="Emphasis"/>
        </w:rPr>
        <w:t>Chemosphere</w:t>
      </w:r>
      <w:r>
        <w:t>, 150, Supplement C, 398–406.</w:t>
      </w:r>
    </w:p>
    <w:p w14:paraId="273CDDD0" w14:textId="77777777" w:rsidR="0071411C" w:rsidRDefault="00324184" w:rsidP="000F3C4D">
      <w:r>
        <w:t xml:space="preserve">Reichelt-Brushett, AJ &amp; Harrison, PL 2005. The effect of selected trace metals on the fertilization success of several Scleractinian coral species. </w:t>
      </w:r>
      <w:r w:rsidRPr="00454160">
        <w:rPr>
          <w:rStyle w:val="Emphasis"/>
        </w:rPr>
        <w:t>Coral Reefs</w:t>
      </w:r>
      <w:r>
        <w:t>, 24, 4, 524–534.</w:t>
      </w:r>
    </w:p>
    <w:p w14:paraId="273CDDD1" w14:textId="77777777" w:rsidR="0071411C" w:rsidRDefault="00324184" w:rsidP="00446102">
      <w:r>
        <w:t>Reis</w:t>
      </w:r>
      <w:r>
        <w:t xml:space="preserve">h, DJ, Martin, JM, Piltz, FM &amp; Word, JQ 1976. The effect of heavy metals on laboratory populations of two polychaetes with comparisons to the water quality conditions and standards in Southern California marine waters. </w:t>
      </w:r>
      <w:r w:rsidRPr="00454160">
        <w:rPr>
          <w:rStyle w:val="Emphasis"/>
        </w:rPr>
        <w:t>Water Research</w:t>
      </w:r>
      <w:r>
        <w:t>, 10, 299–302.</w:t>
      </w:r>
    </w:p>
    <w:p w14:paraId="273CDDD2" w14:textId="77777777" w:rsidR="0071411C" w:rsidRDefault="00324184" w:rsidP="00FF18B3">
      <w:r>
        <w:t>Rosen, G</w:t>
      </w:r>
      <w:r>
        <w:t>, Rivera-Duarte, I, Chadwick, DB, Ryan, A, Santore, RC &amp; Paquin, PR 2008. Critical tissue copper residues for marine bivalve (</w:t>
      </w:r>
      <w:r w:rsidRPr="009D0296">
        <w:rPr>
          <w:rStyle w:val="Emphasis"/>
        </w:rPr>
        <w:t>Mytilus galloprovincialis</w:t>
      </w:r>
      <w:r>
        <w:t>) and echinoderm (</w:t>
      </w:r>
      <w:r w:rsidRPr="009D0296">
        <w:rPr>
          <w:rStyle w:val="Emphasis"/>
        </w:rPr>
        <w:t>Strongylocentrotus purpuratus</w:t>
      </w:r>
      <w:r>
        <w:t>) embryonic development: Conceptual, regulatory and enviro</w:t>
      </w:r>
      <w:r>
        <w:t xml:space="preserve">nmental implications. </w:t>
      </w:r>
      <w:r w:rsidRPr="009D0296">
        <w:rPr>
          <w:rStyle w:val="Emphasis"/>
        </w:rPr>
        <w:t>Marine Environmental Research</w:t>
      </w:r>
      <w:r>
        <w:t>, 66, 327–336.</w:t>
      </w:r>
    </w:p>
    <w:p w14:paraId="273CDDD3" w14:textId="77777777" w:rsidR="0071411C" w:rsidRDefault="00324184" w:rsidP="000F3C4D">
      <w:r>
        <w:t xml:space="preserve">Rosen, G, Rivera-Duarte, I, Colvin, MA, Dolecal, RE, Raymundo, LJ &amp; Earley, PJ 2015. Nickel and copper toxicity to embryos of the long-spined sea urchin, </w:t>
      </w:r>
      <w:r w:rsidRPr="00341961">
        <w:rPr>
          <w:rStyle w:val="Emphasis"/>
        </w:rPr>
        <w:t>Diadema savignyi</w:t>
      </w:r>
      <w:r>
        <w:t xml:space="preserve">. </w:t>
      </w:r>
      <w:r w:rsidRPr="00454160">
        <w:rPr>
          <w:rStyle w:val="Emphasis"/>
        </w:rPr>
        <w:t>Bulletin of Enviro</w:t>
      </w:r>
      <w:r w:rsidRPr="00454160">
        <w:rPr>
          <w:rStyle w:val="Emphasis"/>
        </w:rPr>
        <w:t>nmental Contamination and Toxicology</w:t>
      </w:r>
      <w:r>
        <w:t>, 95, 1, 6–11.</w:t>
      </w:r>
    </w:p>
    <w:p w14:paraId="273CDDD4" w14:textId="77777777" w:rsidR="0071411C" w:rsidRDefault="00324184" w:rsidP="00FF18B3">
      <w:r>
        <w:t xml:space="preserve">Ross, KE &amp; Bidwell, JR 2001. A 48-h larval development toxicity test using the marine polychaete </w:t>
      </w:r>
      <w:r w:rsidRPr="002C74E1">
        <w:rPr>
          <w:rStyle w:val="Emphasis"/>
        </w:rPr>
        <w:t>Galeolaria caespitosa</w:t>
      </w:r>
      <w:r>
        <w:t xml:space="preserve"> Lamarck (Fam. Serpulidae). </w:t>
      </w:r>
      <w:r w:rsidRPr="00454160">
        <w:rPr>
          <w:rStyle w:val="Emphasis"/>
        </w:rPr>
        <w:t>Archives of Environmental Contamination and Toxicology</w:t>
      </w:r>
      <w:r>
        <w:t>, 40,</w:t>
      </w:r>
      <w:r>
        <w:t xml:space="preserve"> 489–496.</w:t>
      </w:r>
    </w:p>
    <w:p w14:paraId="273CDDD5" w14:textId="77777777" w:rsidR="0071411C" w:rsidRDefault="00324184" w:rsidP="00FF18B3">
      <w:r>
        <w:t xml:space="preserve">Rouchon, A 2015. Effects of metal toxicity on the early life stages of the sea urchin </w:t>
      </w:r>
      <w:r w:rsidRPr="00F04C59">
        <w:rPr>
          <w:rStyle w:val="Emphasis"/>
        </w:rPr>
        <w:t>Evechinus chloroticus</w:t>
      </w:r>
      <w:r>
        <w:t>. PhD Thesis – Marine Biology. Victoria University of Wellington, New Zealand.</w:t>
      </w:r>
    </w:p>
    <w:p w14:paraId="273CDDD6" w14:textId="77777777" w:rsidR="0071411C" w:rsidRDefault="00324184" w:rsidP="00FF18B3">
      <w:r>
        <w:t xml:space="preserve">Sander, SG, Buck, KN &amp; Wells, M 2015. The effect of natural </w:t>
      </w:r>
      <w:r>
        <w:t xml:space="preserve">organic ligands on trace metal speciation in San Francisco Bay: Implications for water quality criteria. </w:t>
      </w:r>
      <w:r w:rsidRPr="002672B2">
        <w:rPr>
          <w:rStyle w:val="Emphasis"/>
        </w:rPr>
        <w:t>Marine Chemistry</w:t>
      </w:r>
      <w:r>
        <w:t>, 173, 269–281.</w:t>
      </w:r>
    </w:p>
    <w:p w14:paraId="273CDDD7" w14:textId="77777777" w:rsidR="0071411C" w:rsidRDefault="00324184" w:rsidP="00FF18B3">
      <w:r>
        <w:t xml:space="preserve">Santore, RC, Mathew, R, Paquin, PR &amp; Di Toro, D 2002. Application of the biotic ligand model to predicting zinc toxicity to rainbow trout, fathead minnow, and </w:t>
      </w:r>
      <w:r w:rsidRPr="00565FC4">
        <w:rPr>
          <w:rStyle w:val="Emphasis"/>
        </w:rPr>
        <w:t>Daphnia magna</w:t>
      </w:r>
      <w:r>
        <w:t xml:space="preserve">. </w:t>
      </w:r>
      <w:r w:rsidRPr="00454160">
        <w:rPr>
          <w:rStyle w:val="Emphasis"/>
        </w:rPr>
        <w:t xml:space="preserve">Comparative Biochemistry and Physiology </w:t>
      </w:r>
      <w:r>
        <w:rPr>
          <w:rStyle w:val="Emphasis"/>
        </w:rPr>
        <w:t xml:space="preserve">Part </w:t>
      </w:r>
      <w:r w:rsidRPr="00454160">
        <w:rPr>
          <w:rStyle w:val="Emphasis"/>
        </w:rPr>
        <w:t>C</w:t>
      </w:r>
      <w:r>
        <w:rPr>
          <w:rStyle w:val="Emphasis"/>
        </w:rPr>
        <w:t xml:space="preserve">: </w:t>
      </w:r>
      <w:r w:rsidRPr="00454160">
        <w:rPr>
          <w:rStyle w:val="Emphasis"/>
        </w:rPr>
        <w:t>Toxicology and Pharmacology</w:t>
      </w:r>
      <w:r>
        <w:t xml:space="preserve">, 133, </w:t>
      </w:r>
      <w:r>
        <w:t>271–285.</w:t>
      </w:r>
    </w:p>
    <w:p w14:paraId="273CDDD8" w14:textId="77777777" w:rsidR="0071411C" w:rsidRDefault="00324184" w:rsidP="00446102">
      <w:r>
        <w:t xml:space="preserve">Satoh, A, Vudikaria, LQ, Kurano, N &amp; Miyachi, S 2005. Evaluation of the sensitivity of marine microalgal strains to the heavy metals, Cu, As, Sb, Pb and Cd. </w:t>
      </w:r>
      <w:r w:rsidRPr="00454160">
        <w:rPr>
          <w:rStyle w:val="Emphasis"/>
        </w:rPr>
        <w:t>Environment International</w:t>
      </w:r>
      <w:r>
        <w:t>, 31, 5, 713–722.</w:t>
      </w:r>
    </w:p>
    <w:p w14:paraId="273CDDD9" w14:textId="77777777" w:rsidR="0071411C" w:rsidRDefault="00324184" w:rsidP="000F3C4D">
      <w:r>
        <w:t>Simpson, SL, Roland, MGE, Stauber, JL &amp; Batley,</w:t>
      </w:r>
      <w:r>
        <w:t xml:space="preserve"> GE 2003. Effect of declining toxicant concentrations on algal bioassay endpoints. </w:t>
      </w:r>
      <w:r w:rsidRPr="00454160">
        <w:rPr>
          <w:rStyle w:val="Emphasis"/>
        </w:rPr>
        <w:t>Environmental Toxicology and Chemistry</w:t>
      </w:r>
      <w:r>
        <w:t>, 22, 9, 2073–2079.</w:t>
      </w:r>
    </w:p>
    <w:p w14:paraId="273CDDDA" w14:textId="77777777" w:rsidR="0071411C" w:rsidRDefault="00324184" w:rsidP="00FF18B3">
      <w:r>
        <w:t>Smith, DS, Bell, RA &amp; Kramer, JR 2002. Metal speciation in natural waters with emphasis on reduced sulfur groups as</w:t>
      </w:r>
      <w:r>
        <w:t xml:space="preserve"> strong metal binding sites. </w:t>
      </w:r>
      <w:r w:rsidRPr="00454160">
        <w:rPr>
          <w:rStyle w:val="Emphasis"/>
        </w:rPr>
        <w:t>Comparative Biochemistry and Physiology Part C: Toxicology and Pharmacology</w:t>
      </w:r>
      <w:r>
        <w:t>, 133, 65–74.</w:t>
      </w:r>
    </w:p>
    <w:p w14:paraId="273CDDDB" w14:textId="77777777" w:rsidR="0071411C" w:rsidRDefault="00324184" w:rsidP="00FF18B3">
      <w:r>
        <w:t xml:space="preserve">Stauber, JL &amp; Florence, TM 1987. Mechanism of toxicity of ionic copper and copper complexes to algae. </w:t>
      </w:r>
      <w:r w:rsidRPr="007A2950">
        <w:rPr>
          <w:rStyle w:val="Emphasis"/>
        </w:rPr>
        <w:t>Marine Biology</w:t>
      </w:r>
      <w:r>
        <w:t>, 94, 511–519.</w:t>
      </w:r>
    </w:p>
    <w:p w14:paraId="273CDDDC" w14:textId="77777777" w:rsidR="0071411C" w:rsidRDefault="00324184" w:rsidP="00446102">
      <w:r>
        <w:t>Stauber</w:t>
      </w:r>
      <w:r>
        <w:t xml:space="preserve">, JL 1995. Toxicity testing using marine and freshwater unicellular algae. </w:t>
      </w:r>
      <w:r w:rsidRPr="00454160">
        <w:rPr>
          <w:rStyle w:val="Emphasis"/>
        </w:rPr>
        <w:t>Australasian</w:t>
      </w:r>
      <w:r>
        <w:t xml:space="preserve"> </w:t>
      </w:r>
      <w:r w:rsidRPr="00454160">
        <w:rPr>
          <w:rStyle w:val="Emphasis"/>
        </w:rPr>
        <w:t>Journal of Ecotoxicology</w:t>
      </w:r>
      <w:r>
        <w:t>, 1, 1, 15–24.</w:t>
      </w:r>
    </w:p>
    <w:p w14:paraId="273CDDDD" w14:textId="77777777" w:rsidR="0071411C" w:rsidRDefault="00324184" w:rsidP="000F3C4D">
      <w:r>
        <w:t>Stauber, JL, Ahsanullah, M, Nowak, B, Eriksen, R &amp; Florence, TM 1996. Mount Lyell remediation: Toxicity assessment of waters from</w:t>
      </w:r>
      <w:r>
        <w:t xml:space="preserve"> Macquarie Harbour, western Tasmania, using algae, invertebrates and fish. Supervising Scientist Report 112. Supervising Scientist, Canberra, Australia.</w:t>
      </w:r>
    </w:p>
    <w:p w14:paraId="273CDDDE" w14:textId="77777777" w:rsidR="0071411C" w:rsidRDefault="00324184" w:rsidP="000F3C4D">
      <w:r>
        <w:t>Stauber, JL, Binet, MT, Bao, VWW, Boge, J, Zhang, AQ, Leung, KMY &amp; Adams, MS 2008. Comparison of the Qw</w:t>
      </w:r>
      <w:r>
        <w:t xml:space="preserve">iklite algal bioluminescence test with marine algal growth rate inhibition bioassays. </w:t>
      </w:r>
      <w:r w:rsidRPr="00454160">
        <w:rPr>
          <w:rStyle w:val="Emphasis"/>
        </w:rPr>
        <w:t>Environmental Toxicology</w:t>
      </w:r>
      <w:r>
        <w:t>, 23, 5, 617–625.</w:t>
      </w:r>
    </w:p>
    <w:p w14:paraId="273CDDDF" w14:textId="77777777" w:rsidR="0071411C" w:rsidRDefault="00324184" w:rsidP="00446102">
      <w:r>
        <w:t xml:space="preserve">Steele, RL &amp; Thursby, GB 1983. A toxicity test using life stages of </w:t>
      </w:r>
      <w:r w:rsidRPr="00116AAB">
        <w:rPr>
          <w:rStyle w:val="Emphasis"/>
        </w:rPr>
        <w:t>Champia parvula</w:t>
      </w:r>
      <w:r>
        <w:t xml:space="preserve"> (Rhodophyta). In WE Bishop, RD Cardwell &amp; BB</w:t>
      </w:r>
      <w:r>
        <w:t xml:space="preserve"> Heidolph (eds.). </w:t>
      </w:r>
      <w:r w:rsidRPr="00B21652">
        <w:rPr>
          <w:rStyle w:val="Emphasis"/>
        </w:rPr>
        <w:t>Aquatic Toxicology and Hazard Assessment, 6th Symposium, ASTM STP 802</w:t>
      </w:r>
      <w:r>
        <w:t>. Philadelphia, Pennsylvania, 73–89.</w:t>
      </w:r>
    </w:p>
    <w:p w14:paraId="273CDDE0" w14:textId="77777777" w:rsidR="0071411C" w:rsidRDefault="00324184" w:rsidP="00FF18B3">
      <w:r>
        <w:t xml:space="preserve">Stromgren, T &amp; Nielsen, MV 1991. Spawning frequency, growth and mortality of </w:t>
      </w:r>
      <w:r w:rsidRPr="002C74E1">
        <w:rPr>
          <w:rStyle w:val="Emphasis"/>
        </w:rPr>
        <w:t>Mytilus edulis</w:t>
      </w:r>
      <w:r>
        <w:t xml:space="preserve"> larvae, exposed to copper and diesel oil</w:t>
      </w:r>
      <w:r>
        <w:t xml:space="preserve">. </w:t>
      </w:r>
      <w:r w:rsidRPr="00454160">
        <w:rPr>
          <w:rStyle w:val="Emphasis"/>
        </w:rPr>
        <w:t>Aquat</w:t>
      </w:r>
      <w:r>
        <w:rPr>
          <w:rStyle w:val="Emphasis"/>
        </w:rPr>
        <w:t>ic</w:t>
      </w:r>
      <w:r w:rsidRPr="00454160">
        <w:rPr>
          <w:rStyle w:val="Emphasis"/>
        </w:rPr>
        <w:t xml:space="preserve"> Toxicol</w:t>
      </w:r>
      <w:r>
        <w:rPr>
          <w:rStyle w:val="Emphasis"/>
        </w:rPr>
        <w:t>ogy</w:t>
      </w:r>
      <w:r>
        <w:t>, 21, 171–180.</w:t>
      </w:r>
    </w:p>
    <w:p w14:paraId="273CDDE1" w14:textId="77777777" w:rsidR="0071411C" w:rsidRDefault="00324184" w:rsidP="00FF18B3">
      <w:r>
        <w:t>Stumm, W &amp; Morgan, JJ 1996. Aquatic chemistry: Chemical equilibria and rates in natural waters. Wiley, New York.</w:t>
      </w:r>
    </w:p>
    <w:p w14:paraId="273CDDE2" w14:textId="77777777" w:rsidR="0071411C" w:rsidRDefault="00324184" w:rsidP="00FF18B3">
      <w:r>
        <w:t>Thompson, CM, Ellwood, MJ &amp; Sander, SG 2014. Dissolved copper speciation in the Tasman Sea, SW Pacific Ocean</w:t>
      </w:r>
      <w:r>
        <w:t xml:space="preserve">. </w:t>
      </w:r>
      <w:r w:rsidRPr="005F6E14">
        <w:rPr>
          <w:rStyle w:val="Emphasis"/>
        </w:rPr>
        <w:t>Marine Chemistry</w:t>
      </w:r>
      <w:r>
        <w:t>, 164, 84–94.</w:t>
      </w:r>
    </w:p>
    <w:p w14:paraId="273CDDE3" w14:textId="77777777" w:rsidR="0071411C" w:rsidRDefault="00324184" w:rsidP="00FF18B3">
      <w:r>
        <w:t>Timperley, M, Williamson, B, Mills, G, Horne, B &amp; Hasan, MQ 2005. Sources and loads of metals in urban stormwater. Technical Publication No ARC04104. June 2005. Auckland Regional Council, Auckland.</w:t>
      </w:r>
    </w:p>
    <w:p w14:paraId="273CDDE4" w14:textId="77777777" w:rsidR="0071411C" w:rsidRDefault="00324184" w:rsidP="000F3C4D">
      <w:r>
        <w:t>Trenfield, MA, van Dam, JW</w:t>
      </w:r>
      <w:r>
        <w:t xml:space="preserve">, Harford, AJ, Parry, D, Streten, C, Gibb, K &amp; van Dam, RA 2015. Aluminium, gallium, and molybdenum toxicity to the tropical marine microalga </w:t>
      </w:r>
      <w:r w:rsidRPr="009715D9">
        <w:rPr>
          <w:rStyle w:val="Emphasis"/>
        </w:rPr>
        <w:t>Isochrysis galbana</w:t>
      </w:r>
      <w:r>
        <w:t xml:space="preserve">. </w:t>
      </w:r>
      <w:r w:rsidRPr="00454160">
        <w:rPr>
          <w:rStyle w:val="Emphasis"/>
        </w:rPr>
        <w:t>Environmental</w:t>
      </w:r>
      <w:r>
        <w:t xml:space="preserve"> </w:t>
      </w:r>
      <w:r w:rsidRPr="00454160">
        <w:rPr>
          <w:rStyle w:val="Emphasis"/>
        </w:rPr>
        <w:t>Toxicology and Chemistry</w:t>
      </w:r>
      <w:r>
        <w:t>, 34, 8, 1833–1840.</w:t>
      </w:r>
    </w:p>
    <w:p w14:paraId="273CDDE5" w14:textId="77777777" w:rsidR="0071411C" w:rsidRDefault="00324184" w:rsidP="000F3C4D">
      <w:r>
        <w:t>Trenfield, MA, van Dam, JW, Harford,</w:t>
      </w:r>
      <w:r>
        <w:t xml:space="preserve"> AJ, Parry, D, Streten, C, Gibb, K &amp; van Dam, RA 2017. Assessing the chronic toxicity of copper and aluminium to the tropical sea anemone </w:t>
      </w:r>
      <w:r w:rsidRPr="009715D9">
        <w:rPr>
          <w:rStyle w:val="Emphasis"/>
        </w:rPr>
        <w:t>Exaiptasia pallida</w:t>
      </w:r>
      <w:r>
        <w:t xml:space="preserve">. </w:t>
      </w:r>
      <w:r w:rsidRPr="00454160">
        <w:rPr>
          <w:rStyle w:val="Emphasis"/>
        </w:rPr>
        <w:t>Ecotoxicology and Environmental Safety</w:t>
      </w:r>
      <w:r>
        <w:t>, 139, Supplement C, 408–415.</w:t>
      </w:r>
    </w:p>
    <w:p w14:paraId="273CDDE6" w14:textId="77777777" w:rsidR="0071411C" w:rsidRDefault="00324184" w:rsidP="00446102">
      <w:r>
        <w:t xml:space="preserve">Trenfield, MA, van Dam, JW, Harford, AJ, Parry, D, Streten, C, Gibb, K &amp; van Dam, RA 2016. A chronic toxicity test for the tropical marine snail </w:t>
      </w:r>
      <w:r w:rsidRPr="004C3855">
        <w:rPr>
          <w:rStyle w:val="Emphasis"/>
        </w:rPr>
        <w:t>Nassarius dorsatus</w:t>
      </w:r>
      <w:r>
        <w:t xml:space="preserve"> to assess the toxicity of copper, aluminium, gallium, and molybdenum. </w:t>
      </w:r>
      <w:r w:rsidRPr="00454160">
        <w:rPr>
          <w:rStyle w:val="Emphasis"/>
        </w:rPr>
        <w:t>Environmental Toxicolo</w:t>
      </w:r>
      <w:r w:rsidRPr="00454160">
        <w:rPr>
          <w:rStyle w:val="Emphasis"/>
        </w:rPr>
        <w:t>gy and Chemistry</w:t>
      </w:r>
      <w:r>
        <w:t>, 35, 7, 1788–1795.</w:t>
      </w:r>
    </w:p>
    <w:p w14:paraId="273CDDE7" w14:textId="77777777" w:rsidR="0071411C" w:rsidRDefault="00324184" w:rsidP="00446102">
      <w:r>
        <w:t>Tucker, DW 1998. Development of a site-specific water quality criterion for copper in south San Francisco Bay. Copper site-specific WQC report. San Jose/Santa Clara Water Pollution Control Plant, Environmental Services D</w:t>
      </w:r>
      <w:r>
        <w:t>epartment, San Jose, California.</w:t>
      </w:r>
    </w:p>
    <w:p w14:paraId="273CDDE8" w14:textId="77777777" w:rsidR="0071411C" w:rsidRDefault="00324184" w:rsidP="00FF18B3">
      <w:r>
        <w:t xml:space="preserve">Turner, A 2010. Marine pollution from antifouling paint particles. </w:t>
      </w:r>
      <w:r w:rsidRPr="00936752">
        <w:rPr>
          <w:rStyle w:val="Emphasis"/>
        </w:rPr>
        <w:t>Marine Pollution Bulletin</w:t>
      </w:r>
      <w:r>
        <w:t>, 60, 159–171.</w:t>
      </w:r>
    </w:p>
    <w:p w14:paraId="273CDDE9" w14:textId="77777777" w:rsidR="0071411C" w:rsidRPr="00432308" w:rsidRDefault="00324184" w:rsidP="00432308">
      <w:r w:rsidRPr="00432308">
        <w:t xml:space="preserve">UKCEH 2021. </w:t>
      </w:r>
      <w:hyperlink r:id="rId41" w:history="1">
        <w:r w:rsidRPr="00D53564">
          <w:rPr>
            <w:rStyle w:val="Hyperlink"/>
          </w:rPr>
          <w:t>Windermere Humic Aqueous Model (WHAM7)</w:t>
        </w:r>
      </w:hyperlink>
      <w:r w:rsidRPr="00432308">
        <w:t xml:space="preserve">. UK Centre for Ecology and Hydrology. United Kingdom. </w:t>
      </w:r>
    </w:p>
    <w:p w14:paraId="273CDDEA" w14:textId="77777777" w:rsidR="0071411C" w:rsidRDefault="00324184" w:rsidP="00FF18B3">
      <w:r>
        <w:t>USEPA 2003. 2003 Draft update of ambient wa</w:t>
      </w:r>
      <w:r>
        <w:t>ter quality criteria for copper. EPA-822-R-03-026. United States Environmental Protection Agency, Washington DC.</w:t>
      </w:r>
    </w:p>
    <w:p w14:paraId="273CDDEB" w14:textId="77777777" w:rsidR="0071411C" w:rsidRDefault="00324184" w:rsidP="00FF18B3">
      <w:r>
        <w:t>USEPA 2016a. Aquatic life ambient estuarine/marine water quality criteria for copper – 2016 (Draft). EPA-822-P-16-001. July 2016. United States</w:t>
      </w:r>
      <w:r>
        <w:t xml:space="preserve"> Environmental Protection Agency, Washington DC.</w:t>
      </w:r>
    </w:p>
    <w:p w14:paraId="273CDDEC" w14:textId="77777777" w:rsidR="0071411C" w:rsidRDefault="00324184" w:rsidP="00FF18B3">
      <w:r>
        <w:t>USEPA 2016b. ECOTOX User Guide: ECOTOXicology Knowledgebase System. Version 4.0. United States Environmental Protection Agency.</w:t>
      </w:r>
    </w:p>
    <w:p w14:paraId="273CDDED" w14:textId="77777777" w:rsidR="0071411C" w:rsidRDefault="00324184" w:rsidP="000F3C4D">
      <w:r>
        <w:t>van Dam, JW, Trenfield, MA, Harries, SJ, Streten, C, Harford, AJ, Parry, D &amp; va</w:t>
      </w:r>
      <w:r>
        <w:t xml:space="preserve">n Dam, RA 2016. A novel bioassay using the barnacle </w:t>
      </w:r>
      <w:r w:rsidRPr="00CE0EBD">
        <w:rPr>
          <w:rStyle w:val="Emphasis"/>
        </w:rPr>
        <w:t>Amphibalanus amphitrite</w:t>
      </w:r>
      <w:r>
        <w:t xml:space="preserve"> to evaluate chronic effects of aluminium, gallium and molybdenum in tropical marine receiving environments. </w:t>
      </w:r>
      <w:r w:rsidRPr="00454160">
        <w:rPr>
          <w:rStyle w:val="Emphasis"/>
        </w:rPr>
        <w:t>Marine Pollution Bulletin</w:t>
      </w:r>
      <w:r>
        <w:t>, 112, 1–2, 427–435.</w:t>
      </w:r>
    </w:p>
    <w:p w14:paraId="273CDDEE" w14:textId="77777777" w:rsidR="0071411C" w:rsidRDefault="00324184" w:rsidP="00FF18B3">
      <w:r>
        <w:t>Wang, T, Long, X, Cheng, Y</w:t>
      </w:r>
      <w:r>
        <w:t xml:space="preserve">, Liu, Z &amp; Yan, S 2014. The potential toxicity of copper nanoparticles and copper sulphate on juvenile </w:t>
      </w:r>
      <w:r w:rsidRPr="002B67D0">
        <w:rPr>
          <w:rStyle w:val="Emphasis"/>
        </w:rPr>
        <w:t>Epinephelus coioides</w:t>
      </w:r>
      <w:r>
        <w:t xml:space="preserve">. </w:t>
      </w:r>
      <w:r w:rsidRPr="002B67D0">
        <w:rPr>
          <w:rStyle w:val="Emphasis"/>
        </w:rPr>
        <w:t>Aquatic Toxicology</w:t>
      </w:r>
      <w:r>
        <w:t>, 152, 96–104.</w:t>
      </w:r>
    </w:p>
    <w:p w14:paraId="273CDDEF" w14:textId="77777777" w:rsidR="0071411C" w:rsidRDefault="00324184" w:rsidP="00FF18B3">
      <w:r>
        <w:t xml:space="preserve">Wang, T, Long, X, Cheng, Y, Liu, Z &amp; Yan, S 2015. </w:t>
      </w:r>
      <w:hyperlink r:id="rId42" w:history="1">
        <w:r w:rsidRPr="00562A6A">
          <w:rPr>
            <w:rStyle w:val="Hyperlink"/>
          </w:rPr>
          <w:t>A comparison effect of copper nanoparticles versus copper sulphate on juvenile Epinephelus coioides: Growth parameters, digestive enzymes, body composition, and histology as biomarkers</w:t>
        </w:r>
      </w:hyperlink>
      <w:r>
        <w:t xml:space="preserve">. </w:t>
      </w:r>
      <w:r w:rsidRPr="002B67D0">
        <w:rPr>
          <w:rStyle w:val="Emphasis"/>
        </w:rPr>
        <w:t>International Journal of Geno</w:t>
      </w:r>
      <w:r w:rsidRPr="002B67D0">
        <w:rPr>
          <w:rStyle w:val="Emphasis"/>
        </w:rPr>
        <w:t>mics</w:t>
      </w:r>
      <w:r>
        <w:t>, 2015, 783021.</w:t>
      </w:r>
    </w:p>
    <w:p w14:paraId="273CDDF0" w14:textId="77777777" w:rsidR="0071411C" w:rsidRDefault="00324184" w:rsidP="00446102">
      <w:r>
        <w:t xml:space="preserve">Wang, Z, Kong, H &amp; Wu, D 2007a. Acute and chronic copper toxicity to a saltwater cladoceran </w:t>
      </w:r>
      <w:r w:rsidRPr="00CE0EBD">
        <w:rPr>
          <w:rStyle w:val="Emphasis"/>
        </w:rPr>
        <w:t>Moina</w:t>
      </w:r>
      <w:r>
        <w:t xml:space="preserve"> </w:t>
      </w:r>
      <w:r w:rsidRPr="00CE0EBD">
        <w:rPr>
          <w:rStyle w:val="Emphasis"/>
        </w:rPr>
        <w:t>monogolica</w:t>
      </w:r>
      <w:r>
        <w:t xml:space="preserve"> Daday. </w:t>
      </w:r>
      <w:r w:rsidRPr="00454160">
        <w:rPr>
          <w:rStyle w:val="Emphasis"/>
        </w:rPr>
        <w:t>Archives of Environmental Contamination and Toxicology</w:t>
      </w:r>
      <w:r>
        <w:t>, 53, 1, 50–56.</w:t>
      </w:r>
    </w:p>
    <w:p w14:paraId="273CDDF1" w14:textId="77777777" w:rsidR="0071411C" w:rsidRDefault="00324184" w:rsidP="00446102">
      <w:r>
        <w:t>Wang, Z, Kong, H, Wu, D 2007b. Reproductive toxici</w:t>
      </w:r>
      <w:r>
        <w:t xml:space="preserve">ty of dietary copper to a saltwater cladoceran, </w:t>
      </w:r>
      <w:r w:rsidRPr="005C0422">
        <w:rPr>
          <w:rStyle w:val="Emphasis"/>
        </w:rPr>
        <w:t>Moina monogolica</w:t>
      </w:r>
      <w:r>
        <w:t xml:space="preserve"> Daday. </w:t>
      </w:r>
      <w:r w:rsidRPr="00454160">
        <w:rPr>
          <w:rStyle w:val="Emphasis"/>
        </w:rPr>
        <w:t>Environmental Toxicology and Chemistry</w:t>
      </w:r>
      <w:r>
        <w:t>, 26, 1, 126–131.</w:t>
      </w:r>
    </w:p>
    <w:p w14:paraId="273CDDF2" w14:textId="77777777" w:rsidR="0071411C" w:rsidRDefault="00324184" w:rsidP="00DA1DD6">
      <w:r w:rsidRPr="00A40001">
        <w:t>Warne</w:t>
      </w:r>
      <w:r>
        <w:t>,</w:t>
      </w:r>
      <w:r w:rsidRPr="00A40001">
        <w:t xml:space="preserve"> MStJ, Batley</w:t>
      </w:r>
      <w:r>
        <w:t>,</w:t>
      </w:r>
      <w:r w:rsidRPr="00A40001">
        <w:t xml:space="preserve"> GE, van Dam</w:t>
      </w:r>
      <w:r>
        <w:t>,</w:t>
      </w:r>
      <w:r w:rsidRPr="00A40001">
        <w:t xml:space="preserve"> RA, Chapman</w:t>
      </w:r>
      <w:r>
        <w:t>,</w:t>
      </w:r>
      <w:r w:rsidRPr="00A40001">
        <w:t xml:space="preserve"> JC, Fox</w:t>
      </w:r>
      <w:r>
        <w:t>,</w:t>
      </w:r>
      <w:r w:rsidRPr="00A40001">
        <w:t xml:space="preserve"> DR, Hickey</w:t>
      </w:r>
      <w:r>
        <w:t>,</w:t>
      </w:r>
      <w:r w:rsidRPr="00A40001">
        <w:t xml:space="preserve"> CW </w:t>
      </w:r>
      <w:r>
        <w:t xml:space="preserve">&amp; Stauber, </w:t>
      </w:r>
      <w:r w:rsidRPr="009B2BC4">
        <w:t>JL</w:t>
      </w:r>
      <w:r w:rsidRPr="00E00D37">
        <w:t xml:space="preserve"> 2018. R</w:t>
      </w:r>
      <w:r>
        <w:t xml:space="preserve">evised Method for Deriving </w:t>
      </w:r>
      <w:r>
        <w:t>Australian and New Zealand Water Quality Guideline Values for Toxicants – update of 2015 version. Prepared for the revision of the Australian and New Zealand Guidelines for Fresh and Marine Water Quality. Australian and New Zealand Governments and Australi</w:t>
      </w:r>
      <w:r>
        <w:t>an state and territory governments, Canberra, 48 pp.</w:t>
      </w:r>
    </w:p>
    <w:p w14:paraId="273CDDF3" w14:textId="77777777" w:rsidR="0071411C" w:rsidRDefault="00324184" w:rsidP="000F3C4D">
      <w:r>
        <w:t>Wendt, I, Arrhenius, A, Backhaus, T, Hilvarsson, A, Holm, K, Langford, K, Tunovic, T &amp; Blanck, H 2013. Effects of five antifouling biocides on settlement and growth of zoospores from the marine macroalga</w:t>
      </w:r>
      <w:r>
        <w:t xml:space="preserve"> </w:t>
      </w:r>
      <w:r w:rsidRPr="00500AED">
        <w:rPr>
          <w:rStyle w:val="Emphasis"/>
        </w:rPr>
        <w:t>Ulva lactuca</w:t>
      </w:r>
      <w:r>
        <w:t xml:space="preserve"> L. </w:t>
      </w:r>
      <w:r w:rsidRPr="00454160">
        <w:rPr>
          <w:rStyle w:val="Emphasis"/>
        </w:rPr>
        <w:t>Bulletin of Environmental Contamination and Toxicology</w:t>
      </w:r>
      <w:r>
        <w:t>, 91, 4, 426–432.</w:t>
      </w:r>
    </w:p>
    <w:p w14:paraId="273CDDF4" w14:textId="77777777" w:rsidR="0071411C" w:rsidRDefault="00324184" w:rsidP="00FF18B3">
      <w:r>
        <w:t xml:space="preserve">Worboys, MA, Leung, KMY, Grist, EPM &amp; Crane, M 2002. Time should be considered in developmental ecotoxicity test. </w:t>
      </w:r>
      <w:r w:rsidRPr="00454160">
        <w:rPr>
          <w:rStyle w:val="Emphasis"/>
        </w:rPr>
        <w:t>Marine Pollution Bulletin</w:t>
      </w:r>
      <w:r>
        <w:t>, 45, 92–99.</w:t>
      </w:r>
    </w:p>
    <w:p w14:paraId="273CDDF5" w14:textId="77777777" w:rsidR="0071411C" w:rsidRDefault="00324184" w:rsidP="00FF18B3">
      <w:r>
        <w:t xml:space="preserve">Xie, ZC, Wong, </w:t>
      </w:r>
      <w:r>
        <w:t xml:space="preserve">NC, Qian, PY &amp; Qiu, JW 2005. Responses of polychaete </w:t>
      </w:r>
      <w:r w:rsidRPr="00531B50">
        <w:rPr>
          <w:rStyle w:val="Emphasis"/>
        </w:rPr>
        <w:t>Hydroides elegans</w:t>
      </w:r>
      <w:r>
        <w:t xml:space="preserve"> life stages to copper stress. </w:t>
      </w:r>
      <w:r w:rsidRPr="00454160">
        <w:rPr>
          <w:rStyle w:val="Emphasis"/>
        </w:rPr>
        <w:t>Marine Ecology Progress Series</w:t>
      </w:r>
      <w:r>
        <w:t>, 285, 89–96.</w:t>
      </w:r>
    </w:p>
    <w:p w14:paraId="273CDDF6" w14:textId="77777777" w:rsidR="0071411C" w:rsidRDefault="00324184" w:rsidP="00FF18B3">
      <w:r>
        <w:t>Ytreberg, E, Karlsson, J &amp; Eklund, B 2010. Comparison of toxicity and release rates of Cu and Zn from anti-foul</w:t>
      </w:r>
      <w:r>
        <w:t xml:space="preserve">ing paints leached in natural and artificial brackish seawater. </w:t>
      </w:r>
      <w:r w:rsidRPr="00FF7343">
        <w:rPr>
          <w:rStyle w:val="Emphasis"/>
        </w:rPr>
        <w:t>Science of the Total Environment</w:t>
      </w:r>
      <w:r>
        <w:t>, 408, 2459–2466.</w:t>
      </w:r>
    </w:p>
    <w:p w14:paraId="273CDDF7" w14:textId="77777777" w:rsidR="00FF18B3" w:rsidRPr="00FF18B3" w:rsidRDefault="00324184" w:rsidP="00606A7B">
      <w:r>
        <w:t>Zitoun, R, Clearwater, SJ, Hassler, C, Thompson, KJ, Albert, A &amp; Sander, SG 2019. Copper toxicity to blue mussel embryos (</w:t>
      </w:r>
      <w:r w:rsidRPr="00500AED">
        <w:rPr>
          <w:rStyle w:val="Emphasis"/>
        </w:rPr>
        <w:t>Mytilus galloprovinc</w:t>
      </w:r>
      <w:r w:rsidRPr="00500AED">
        <w:rPr>
          <w:rStyle w:val="Emphasis"/>
        </w:rPr>
        <w:t>ialis</w:t>
      </w:r>
      <w:r>
        <w:t xml:space="preserve">): The effect of natural dissolved organic matter on copper toxicity in estuarine waters. </w:t>
      </w:r>
      <w:r w:rsidRPr="00454160">
        <w:rPr>
          <w:rStyle w:val="Emphasis"/>
        </w:rPr>
        <w:t>Science of the Total Environment</w:t>
      </w:r>
      <w:r>
        <w:t>, 653, 300–314.</w:t>
      </w:r>
    </w:p>
    <w:sectPr w:rsidR="00FF18B3" w:rsidRPr="00FF18B3" w:rsidSect="00912C55">
      <w:headerReference w:type="even" r:id="rId43"/>
      <w:headerReference w:type="default" r:id="rId44"/>
      <w:headerReference w:type="first" r:id="rId45"/>
      <w:pgSz w:w="11906" w:h="16838"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DE21" w14:textId="77777777" w:rsidR="00000000" w:rsidRDefault="00324184">
      <w:pPr>
        <w:spacing w:after="0" w:line="240" w:lineRule="auto"/>
      </w:pPr>
      <w:r>
        <w:separator/>
      </w:r>
    </w:p>
  </w:endnote>
  <w:endnote w:type="continuationSeparator" w:id="0">
    <w:p w14:paraId="273CDE23" w14:textId="77777777" w:rsidR="00000000" w:rsidRDefault="0032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829252"/>
      <w:docPartObj>
        <w:docPartGallery w:val="Page Numbers (Bottom of Page)"/>
        <w:docPartUnique/>
      </w:docPartObj>
    </w:sdtPr>
    <w:sdtEndPr>
      <w:rPr>
        <w:noProof/>
      </w:rPr>
    </w:sdtEndPr>
    <w:sdtContent>
      <w:p w14:paraId="273CDE10" w14:textId="77777777" w:rsidR="002A7430" w:rsidRDefault="00324184" w:rsidP="000329AB">
        <w:pPr>
          <w:pStyle w:val="Footer"/>
          <w:ind w:right="-144"/>
        </w:pPr>
        <w:r>
          <w:t>Australian and New Zealand Guidelines for Fresh and Marine Water Quality</w:t>
        </w:r>
        <w:r>
          <w:ptab w:relativeTo="margin" w:alignment="right" w:leader="none"/>
        </w: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065419"/>
      <w:docPartObj>
        <w:docPartGallery w:val="Page Numbers (Bottom of Page)"/>
        <w:docPartUnique/>
      </w:docPartObj>
    </w:sdtPr>
    <w:sdtEndPr>
      <w:rPr>
        <w:noProof/>
      </w:rPr>
    </w:sdtEndPr>
    <w:sdtContent>
      <w:p w14:paraId="273CDE14" w14:textId="77777777" w:rsidR="002A7430" w:rsidRDefault="00324184" w:rsidP="000329AB">
        <w:pPr>
          <w:pStyle w:val="Footer"/>
          <w:ind w:right="-144"/>
        </w:pPr>
        <w:r>
          <w:t>Australian and New Zealand Guidelines for Fresh and Marine Water Quality</w:t>
        </w:r>
        <w:r>
          <w:ptab w:relativeTo="margin" w:alignment="right" w:leader="none"/>
        </w:r>
        <w:r>
          <w:fldChar w:fldCharType="begin"/>
        </w:r>
        <w:r>
          <w:instrText xml:space="preserve"> PAGE   \* MERGEFORMAT </w:instrText>
        </w:r>
        <w:r>
          <w:fldChar w:fldCharType="separate"/>
        </w:r>
        <w:r>
          <w:rPr>
            <w:noProof/>
          </w:rPr>
          <w:t>22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19" w14:textId="77777777" w:rsidR="002A7430" w:rsidRDefault="00324184">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DE1D" w14:textId="77777777" w:rsidR="00000000" w:rsidRDefault="00324184">
      <w:pPr>
        <w:spacing w:after="0" w:line="240" w:lineRule="auto"/>
      </w:pPr>
      <w:r>
        <w:separator/>
      </w:r>
    </w:p>
  </w:footnote>
  <w:footnote w:type="continuationSeparator" w:id="0">
    <w:p w14:paraId="273CDE1F" w14:textId="77777777" w:rsidR="00000000" w:rsidRDefault="00324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0E" w14:textId="77777777" w:rsidR="000554E0" w:rsidRDefault="00324184">
    <w:pPr>
      <w:pStyle w:val="Header"/>
    </w:pPr>
    <w:r>
      <w:rPr>
        <w:noProof/>
      </w:rPr>
      <w:pict w14:anchorId="273CD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954" o:spid="_x0000_s2049" type="#_x0000_t136" style="position:absolute;left:0;text-align:left;margin-left:0;margin-top:0;width:399.6pt;height:239.7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1A" w14:textId="77777777" w:rsidR="002A7430" w:rsidRDefault="00324184">
    <w:pPr>
      <w:pStyle w:val="Header"/>
    </w:pPr>
    <w:r>
      <w:rPr>
        <w:noProof/>
      </w:rPr>
      <w:pict w14:anchorId="273CD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963" o:spid="_x0000_s2058" type="#_x0000_t136" style="position:absolute;left:0;text-align:left;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1B" w14:textId="77777777" w:rsidR="002A7430" w:rsidRPr="000756BD" w:rsidRDefault="00324184" w:rsidP="000756BD">
    <w:pPr>
      <w:pStyle w:val="Header"/>
    </w:pPr>
    <w:r>
      <w:rPr>
        <w:noProof/>
      </w:rPr>
      <w:pict w14:anchorId="273CD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964" o:spid="_x0000_s2059" type="#_x0000_t136" style="position:absolute;left:0;text-align:left;margin-left:0;margin-top:0;width:399.6pt;height:239.7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Toxicant default guideline values for aquatic ecosystem protection: Dissolved copper in marine water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1C" w14:textId="77777777" w:rsidR="002A7430" w:rsidRDefault="00324184" w:rsidP="00F36B1C">
    <w:pPr>
      <w:pStyle w:val="Header"/>
    </w:pPr>
    <w:r>
      <w:rPr>
        <w:noProof/>
      </w:rPr>
      <w:pict w14:anchorId="273CD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962" o:spid="_x0000_s2060" type="#_x0000_t136" style="position:absolute;left:0;text-align:left;margin-left:0;margin-top:0;width:399.6pt;height:239.7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Toxic</w:t>
    </w:r>
    <w:r>
      <w:t xml:space="preserve">ant default guideline values for aquatic ecosystem protection: </w:t>
    </w:r>
    <w:r w:rsidRPr="00E00D37">
      <w:rPr>
        <w:highlight w:val="yellow"/>
      </w:rPr>
      <w:t>Total iron in fresh water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0F" w14:textId="77777777" w:rsidR="002A7430" w:rsidRPr="001303C0" w:rsidRDefault="00324184" w:rsidP="001303C0">
    <w:pPr>
      <w:pStyle w:val="Header"/>
    </w:pPr>
    <w:r>
      <w:rPr>
        <w:noProof/>
      </w:rPr>
      <w:pict w14:anchorId="273CD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955" o:spid="_x0000_s2050" type="#_x0000_t136" style="position:absolute;left:0;text-align:left;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Toxicant default guideline values for aquatic ecosystem protection: Dissolved copper in marine 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11" w14:textId="77777777" w:rsidR="002A7430" w:rsidRPr="001303C0" w:rsidRDefault="00324184" w:rsidP="001303C0">
    <w:pPr>
      <w:pStyle w:val="Header"/>
    </w:pPr>
    <w:r>
      <w:rPr>
        <w:noProof/>
      </w:rPr>
      <w:pict w14:anchorId="273CD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953" o:spid="_x0000_s2051" type="#_x0000_t136" style="position:absolute;left:0;text-align:left;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lang w:eastAsia="en-AU"/>
      </w:rPr>
      <w:drawing>
        <wp:anchor distT="0" distB="0" distL="114300" distR="114300" simplePos="0" relativeHeight="251658240" behindDoc="1" locked="0" layoutInCell="1" allowOverlap="1" wp14:anchorId="273CDE20" wp14:editId="273CDE21">
          <wp:simplePos x="0" y="0"/>
          <wp:positionH relativeFrom="page">
            <wp:align>right</wp:align>
          </wp:positionH>
          <wp:positionV relativeFrom="page">
            <wp:align>top</wp:align>
          </wp:positionV>
          <wp:extent cx="7556400" cy="10688400"/>
          <wp:effectExtent l="0" t="0" r="6985" b="0"/>
          <wp:wrapNone/>
          <wp:docPr id="5" name="Picture 5"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12" w14:textId="77777777" w:rsidR="000554E0" w:rsidRDefault="00324184">
    <w:pPr>
      <w:pStyle w:val="Header"/>
    </w:pPr>
    <w:r>
      <w:rPr>
        <w:noProof/>
      </w:rPr>
      <w:pict w14:anchorId="273CD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957" o:spid="_x0000_s2052" type="#_x0000_t136" style="position:absolute;left:0;text-align:left;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13" w14:textId="77777777" w:rsidR="002A7430" w:rsidRPr="001303C0" w:rsidRDefault="00324184" w:rsidP="001303C0">
    <w:pPr>
      <w:pStyle w:val="Header"/>
    </w:pPr>
    <w:r>
      <w:rPr>
        <w:noProof/>
      </w:rPr>
      <w:pict w14:anchorId="273CD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958" o:spid="_x0000_s2053" type="#_x0000_t136" style="position:absolute;left:0;text-align:left;margin-left:0;margin-top:0;width:399.6pt;height:239.7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Toxicant default guideline values for aquatic ecosystem protection: Dissolved copper in marine 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15" w14:textId="77777777" w:rsidR="000554E0" w:rsidRDefault="00324184">
    <w:pPr>
      <w:pStyle w:val="Header"/>
    </w:pPr>
    <w:r>
      <w:rPr>
        <w:noProof/>
      </w:rPr>
      <w:pict w14:anchorId="273CD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956" o:spid="_x0000_s2054" type="#_x0000_t136" style="position:absolute;left:0;text-align:left;margin-left:0;margin-top:0;width:399.6pt;height:239.7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16" w14:textId="77777777" w:rsidR="002A7430" w:rsidRDefault="00324184">
    <w:pPr>
      <w:pStyle w:val="Header"/>
    </w:pPr>
    <w:r>
      <w:rPr>
        <w:noProof/>
      </w:rPr>
      <w:pict w14:anchorId="273CD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960" o:spid="_x0000_s2055" type="#_x0000_t136" style="position:absolute;left:0;text-align:left;margin-left:0;margin-top:0;width:399.6pt;height:239.7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17" w14:textId="77777777" w:rsidR="002A7430" w:rsidRPr="000756BD" w:rsidRDefault="00324184" w:rsidP="000756BD">
    <w:pPr>
      <w:pStyle w:val="Header"/>
    </w:pPr>
    <w:r>
      <w:rPr>
        <w:noProof/>
      </w:rPr>
      <w:pict w14:anchorId="273CD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961" o:spid="_x0000_s2056" type="#_x0000_t136" style="position:absolute;left:0;text-align:left;margin-left:0;margin-top:0;width:399.6pt;height:239.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 xml:space="preserve">Toxicant default guideline values for aquatic ecosystem protection: Dissolved copper in </w:t>
    </w:r>
    <w:r>
      <w:t>marine 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E18" w14:textId="77777777" w:rsidR="002A7430" w:rsidRPr="000756BD" w:rsidRDefault="00324184" w:rsidP="000756BD">
    <w:pPr>
      <w:pStyle w:val="Header"/>
    </w:pPr>
    <w:r>
      <w:rPr>
        <w:noProof/>
      </w:rPr>
      <w:pict w14:anchorId="273CD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959" o:spid="_x0000_s2057" type="#_x0000_t136" style="position:absolute;left:0;text-align:left;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 xml:space="preserve">Toxicant default guideline values for aquatic ecosystem protection: </w:t>
    </w:r>
    <w:r>
      <w:rPr>
        <w:highlight w:val="yellow"/>
      </w:rPr>
      <w:t>Total i</w:t>
    </w:r>
    <w:r w:rsidRPr="00E00D37">
      <w:rPr>
        <w:highlight w:val="yellow"/>
      </w:rPr>
      <w:t>ron in fresh 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066C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3516"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 w15:restartNumberingAfterBreak="0">
    <w:nsid w:val="17A1385D"/>
    <w:multiLevelType w:val="hybridMultilevel"/>
    <w:tmpl w:val="200483B0"/>
    <w:lvl w:ilvl="0" w:tplc="CBC49E6E">
      <w:start w:val="31"/>
      <w:numFmt w:val="bullet"/>
      <w:lvlText w:val="-"/>
      <w:lvlJc w:val="left"/>
      <w:pPr>
        <w:ind w:left="720" w:hanging="360"/>
      </w:pPr>
      <w:rPr>
        <w:rFonts w:ascii="Calibri" w:eastAsiaTheme="minorHAnsi" w:hAnsi="Calibri" w:cs="Calibri" w:hint="default"/>
      </w:rPr>
    </w:lvl>
    <w:lvl w:ilvl="1" w:tplc="55A61C86" w:tentative="1">
      <w:start w:val="1"/>
      <w:numFmt w:val="bullet"/>
      <w:lvlText w:val="o"/>
      <w:lvlJc w:val="left"/>
      <w:pPr>
        <w:ind w:left="1440" w:hanging="360"/>
      </w:pPr>
      <w:rPr>
        <w:rFonts w:ascii="Courier New" w:hAnsi="Courier New" w:cs="Courier New" w:hint="default"/>
      </w:rPr>
    </w:lvl>
    <w:lvl w:ilvl="2" w:tplc="BA6C4E98" w:tentative="1">
      <w:start w:val="1"/>
      <w:numFmt w:val="bullet"/>
      <w:lvlText w:val=""/>
      <w:lvlJc w:val="left"/>
      <w:pPr>
        <w:ind w:left="2160" w:hanging="360"/>
      </w:pPr>
      <w:rPr>
        <w:rFonts w:ascii="Wingdings" w:hAnsi="Wingdings" w:hint="default"/>
      </w:rPr>
    </w:lvl>
    <w:lvl w:ilvl="3" w:tplc="9518623E" w:tentative="1">
      <w:start w:val="1"/>
      <w:numFmt w:val="bullet"/>
      <w:lvlText w:val=""/>
      <w:lvlJc w:val="left"/>
      <w:pPr>
        <w:ind w:left="2880" w:hanging="360"/>
      </w:pPr>
      <w:rPr>
        <w:rFonts w:ascii="Symbol" w:hAnsi="Symbol" w:hint="default"/>
      </w:rPr>
    </w:lvl>
    <w:lvl w:ilvl="4" w:tplc="41B2AA74" w:tentative="1">
      <w:start w:val="1"/>
      <w:numFmt w:val="bullet"/>
      <w:lvlText w:val="o"/>
      <w:lvlJc w:val="left"/>
      <w:pPr>
        <w:ind w:left="3600" w:hanging="360"/>
      </w:pPr>
      <w:rPr>
        <w:rFonts w:ascii="Courier New" w:hAnsi="Courier New" w:cs="Courier New" w:hint="default"/>
      </w:rPr>
    </w:lvl>
    <w:lvl w:ilvl="5" w:tplc="BFE2C2FE" w:tentative="1">
      <w:start w:val="1"/>
      <w:numFmt w:val="bullet"/>
      <w:lvlText w:val=""/>
      <w:lvlJc w:val="left"/>
      <w:pPr>
        <w:ind w:left="4320" w:hanging="360"/>
      </w:pPr>
      <w:rPr>
        <w:rFonts w:ascii="Wingdings" w:hAnsi="Wingdings" w:hint="default"/>
      </w:rPr>
    </w:lvl>
    <w:lvl w:ilvl="6" w:tplc="00588FBE" w:tentative="1">
      <w:start w:val="1"/>
      <w:numFmt w:val="bullet"/>
      <w:lvlText w:val=""/>
      <w:lvlJc w:val="left"/>
      <w:pPr>
        <w:ind w:left="5040" w:hanging="360"/>
      </w:pPr>
      <w:rPr>
        <w:rFonts w:ascii="Symbol" w:hAnsi="Symbol" w:hint="default"/>
      </w:rPr>
    </w:lvl>
    <w:lvl w:ilvl="7" w:tplc="F69088A4" w:tentative="1">
      <w:start w:val="1"/>
      <w:numFmt w:val="bullet"/>
      <w:lvlText w:val="o"/>
      <w:lvlJc w:val="left"/>
      <w:pPr>
        <w:ind w:left="5760" w:hanging="360"/>
      </w:pPr>
      <w:rPr>
        <w:rFonts w:ascii="Courier New" w:hAnsi="Courier New" w:cs="Courier New" w:hint="default"/>
      </w:rPr>
    </w:lvl>
    <w:lvl w:ilvl="8" w:tplc="5D8EA9C8" w:tentative="1">
      <w:start w:val="1"/>
      <w:numFmt w:val="bullet"/>
      <w:lvlText w:val=""/>
      <w:lvlJc w:val="left"/>
      <w:pPr>
        <w:ind w:left="6480" w:hanging="360"/>
      </w:pPr>
      <w:rPr>
        <w:rFonts w:ascii="Wingdings" w:hAnsi="Wingdings" w:hint="default"/>
      </w:rPr>
    </w:lvl>
  </w:abstractNum>
  <w:abstractNum w:abstractNumId="4" w15:restartNumberingAfterBreak="0">
    <w:nsid w:val="17FA091E"/>
    <w:multiLevelType w:val="multilevel"/>
    <w:tmpl w:val="757ED760"/>
    <w:numStyleLink w:val="Style1"/>
  </w:abstractNum>
  <w:abstractNum w:abstractNumId="5" w15:restartNumberingAfterBreak="0">
    <w:nsid w:val="196B606F"/>
    <w:multiLevelType w:val="hybridMultilevel"/>
    <w:tmpl w:val="E0560262"/>
    <w:lvl w:ilvl="0" w:tplc="861A0BF6">
      <w:start w:val="1"/>
      <w:numFmt w:val="bullet"/>
      <w:pStyle w:val="TableBullet"/>
      <w:lvlText w:val=""/>
      <w:lvlJc w:val="left"/>
      <w:pPr>
        <w:ind w:left="720" w:hanging="360"/>
      </w:pPr>
      <w:rPr>
        <w:rFonts w:ascii="Symbol" w:hAnsi="Symbol" w:hint="default"/>
      </w:rPr>
    </w:lvl>
    <w:lvl w:ilvl="1" w:tplc="45B0F5A0" w:tentative="1">
      <w:start w:val="1"/>
      <w:numFmt w:val="bullet"/>
      <w:lvlText w:val="o"/>
      <w:lvlJc w:val="left"/>
      <w:pPr>
        <w:ind w:left="1440" w:hanging="360"/>
      </w:pPr>
      <w:rPr>
        <w:rFonts w:ascii="Courier New" w:hAnsi="Courier New" w:cs="Courier New" w:hint="default"/>
      </w:rPr>
    </w:lvl>
    <w:lvl w:ilvl="2" w:tplc="853499DC" w:tentative="1">
      <w:start w:val="1"/>
      <w:numFmt w:val="bullet"/>
      <w:lvlText w:val=""/>
      <w:lvlJc w:val="left"/>
      <w:pPr>
        <w:ind w:left="2160" w:hanging="360"/>
      </w:pPr>
      <w:rPr>
        <w:rFonts w:ascii="Wingdings" w:hAnsi="Wingdings" w:hint="default"/>
      </w:rPr>
    </w:lvl>
    <w:lvl w:ilvl="3" w:tplc="07EC28F6" w:tentative="1">
      <w:start w:val="1"/>
      <w:numFmt w:val="bullet"/>
      <w:lvlText w:val=""/>
      <w:lvlJc w:val="left"/>
      <w:pPr>
        <w:ind w:left="2880" w:hanging="360"/>
      </w:pPr>
      <w:rPr>
        <w:rFonts w:ascii="Symbol" w:hAnsi="Symbol" w:hint="default"/>
      </w:rPr>
    </w:lvl>
    <w:lvl w:ilvl="4" w:tplc="E4E833B6" w:tentative="1">
      <w:start w:val="1"/>
      <w:numFmt w:val="bullet"/>
      <w:lvlText w:val="o"/>
      <w:lvlJc w:val="left"/>
      <w:pPr>
        <w:ind w:left="3600" w:hanging="360"/>
      </w:pPr>
      <w:rPr>
        <w:rFonts w:ascii="Courier New" w:hAnsi="Courier New" w:cs="Courier New" w:hint="default"/>
      </w:rPr>
    </w:lvl>
    <w:lvl w:ilvl="5" w:tplc="449C962C" w:tentative="1">
      <w:start w:val="1"/>
      <w:numFmt w:val="bullet"/>
      <w:lvlText w:val=""/>
      <w:lvlJc w:val="left"/>
      <w:pPr>
        <w:ind w:left="4320" w:hanging="360"/>
      </w:pPr>
      <w:rPr>
        <w:rFonts w:ascii="Wingdings" w:hAnsi="Wingdings" w:hint="default"/>
      </w:rPr>
    </w:lvl>
    <w:lvl w:ilvl="6" w:tplc="8C366088" w:tentative="1">
      <w:start w:val="1"/>
      <w:numFmt w:val="bullet"/>
      <w:lvlText w:val=""/>
      <w:lvlJc w:val="left"/>
      <w:pPr>
        <w:ind w:left="5040" w:hanging="360"/>
      </w:pPr>
      <w:rPr>
        <w:rFonts w:ascii="Symbol" w:hAnsi="Symbol" w:hint="default"/>
      </w:rPr>
    </w:lvl>
    <w:lvl w:ilvl="7" w:tplc="AA283158" w:tentative="1">
      <w:start w:val="1"/>
      <w:numFmt w:val="bullet"/>
      <w:lvlText w:val="o"/>
      <w:lvlJc w:val="left"/>
      <w:pPr>
        <w:ind w:left="5760" w:hanging="360"/>
      </w:pPr>
      <w:rPr>
        <w:rFonts w:ascii="Courier New" w:hAnsi="Courier New" w:cs="Courier New" w:hint="default"/>
      </w:rPr>
    </w:lvl>
    <w:lvl w:ilvl="8" w:tplc="660A2296" w:tentative="1">
      <w:start w:val="1"/>
      <w:numFmt w:val="bullet"/>
      <w:lvlText w:val=""/>
      <w:lvlJc w:val="left"/>
      <w:pPr>
        <w:ind w:left="6480" w:hanging="360"/>
      </w:pPr>
      <w:rPr>
        <w:rFonts w:ascii="Wingdings" w:hAnsi="Wingdings" w:hint="default"/>
      </w:rPr>
    </w:lvl>
  </w:abstractNum>
  <w:abstractNum w:abstractNumId="6" w15:restartNumberingAfterBreak="0">
    <w:nsid w:val="2453399E"/>
    <w:multiLevelType w:val="multilevel"/>
    <w:tmpl w:val="88964F4C"/>
    <w:numStyleLink w:val="heading"/>
  </w:abstractNum>
  <w:abstractNum w:abstractNumId="7"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2D595B46"/>
    <w:multiLevelType w:val="multilevel"/>
    <w:tmpl w:val="C32AB9AA"/>
    <w:numStyleLink w:val="ListNumber1"/>
  </w:abstractNum>
  <w:abstractNum w:abstractNumId="9"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35A25903"/>
    <w:multiLevelType w:val="hybridMultilevel"/>
    <w:tmpl w:val="42D6810A"/>
    <w:lvl w:ilvl="0" w:tplc="D89A44CA">
      <w:start w:val="1"/>
      <w:numFmt w:val="bullet"/>
      <w:lvlText w:val=""/>
      <w:lvlJc w:val="left"/>
      <w:pPr>
        <w:ind w:left="720" w:hanging="360"/>
      </w:pPr>
      <w:rPr>
        <w:rFonts w:ascii="Symbol" w:hAnsi="Symbol" w:hint="default"/>
      </w:rPr>
    </w:lvl>
    <w:lvl w:ilvl="1" w:tplc="7E9CC09E" w:tentative="1">
      <w:start w:val="1"/>
      <w:numFmt w:val="bullet"/>
      <w:lvlText w:val="o"/>
      <w:lvlJc w:val="left"/>
      <w:pPr>
        <w:ind w:left="1440" w:hanging="360"/>
      </w:pPr>
      <w:rPr>
        <w:rFonts w:ascii="Courier New" w:hAnsi="Courier New" w:cs="Courier New" w:hint="default"/>
      </w:rPr>
    </w:lvl>
    <w:lvl w:ilvl="2" w:tplc="EF264636" w:tentative="1">
      <w:start w:val="1"/>
      <w:numFmt w:val="bullet"/>
      <w:lvlText w:val=""/>
      <w:lvlJc w:val="left"/>
      <w:pPr>
        <w:ind w:left="2160" w:hanging="360"/>
      </w:pPr>
      <w:rPr>
        <w:rFonts w:ascii="Wingdings" w:hAnsi="Wingdings" w:hint="default"/>
      </w:rPr>
    </w:lvl>
    <w:lvl w:ilvl="3" w:tplc="02060ABE" w:tentative="1">
      <w:start w:val="1"/>
      <w:numFmt w:val="bullet"/>
      <w:lvlText w:val=""/>
      <w:lvlJc w:val="left"/>
      <w:pPr>
        <w:ind w:left="2880" w:hanging="360"/>
      </w:pPr>
      <w:rPr>
        <w:rFonts w:ascii="Symbol" w:hAnsi="Symbol" w:hint="default"/>
      </w:rPr>
    </w:lvl>
    <w:lvl w:ilvl="4" w:tplc="6088B762" w:tentative="1">
      <w:start w:val="1"/>
      <w:numFmt w:val="bullet"/>
      <w:lvlText w:val="o"/>
      <w:lvlJc w:val="left"/>
      <w:pPr>
        <w:ind w:left="3600" w:hanging="360"/>
      </w:pPr>
      <w:rPr>
        <w:rFonts w:ascii="Courier New" w:hAnsi="Courier New" w:cs="Courier New" w:hint="default"/>
      </w:rPr>
    </w:lvl>
    <w:lvl w:ilvl="5" w:tplc="C50CE9CE" w:tentative="1">
      <w:start w:val="1"/>
      <w:numFmt w:val="bullet"/>
      <w:lvlText w:val=""/>
      <w:lvlJc w:val="left"/>
      <w:pPr>
        <w:ind w:left="4320" w:hanging="360"/>
      </w:pPr>
      <w:rPr>
        <w:rFonts w:ascii="Wingdings" w:hAnsi="Wingdings" w:hint="default"/>
      </w:rPr>
    </w:lvl>
    <w:lvl w:ilvl="6" w:tplc="1D9C5CCA" w:tentative="1">
      <w:start w:val="1"/>
      <w:numFmt w:val="bullet"/>
      <w:lvlText w:val=""/>
      <w:lvlJc w:val="left"/>
      <w:pPr>
        <w:ind w:left="5040" w:hanging="360"/>
      </w:pPr>
      <w:rPr>
        <w:rFonts w:ascii="Symbol" w:hAnsi="Symbol" w:hint="default"/>
      </w:rPr>
    </w:lvl>
    <w:lvl w:ilvl="7" w:tplc="46C8F87A" w:tentative="1">
      <w:start w:val="1"/>
      <w:numFmt w:val="bullet"/>
      <w:lvlText w:val="o"/>
      <w:lvlJc w:val="left"/>
      <w:pPr>
        <w:ind w:left="5760" w:hanging="360"/>
      </w:pPr>
      <w:rPr>
        <w:rFonts w:ascii="Courier New" w:hAnsi="Courier New" w:cs="Courier New" w:hint="default"/>
      </w:rPr>
    </w:lvl>
    <w:lvl w:ilvl="8" w:tplc="F50EDA30" w:tentative="1">
      <w:start w:val="1"/>
      <w:numFmt w:val="bullet"/>
      <w:lvlText w:val=""/>
      <w:lvlJc w:val="left"/>
      <w:pPr>
        <w:ind w:left="6480" w:hanging="360"/>
      </w:pPr>
      <w:rPr>
        <w:rFonts w:ascii="Wingdings" w:hAnsi="Wingdings" w:hint="default"/>
      </w:rPr>
    </w:lvl>
  </w:abstractNum>
  <w:abstractNum w:abstractNumId="11" w15:restartNumberingAfterBreak="0">
    <w:nsid w:val="36D54222"/>
    <w:multiLevelType w:val="multilevel"/>
    <w:tmpl w:val="757ED760"/>
    <w:numStyleLink w:val="Style1"/>
  </w:abstractNum>
  <w:abstractNum w:abstractNumId="12"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4" w15:restartNumberingAfterBreak="0">
    <w:nsid w:val="40F232B4"/>
    <w:multiLevelType w:val="hybridMultilevel"/>
    <w:tmpl w:val="B14A01E6"/>
    <w:lvl w:ilvl="0" w:tplc="4CC45730">
      <w:start w:val="1"/>
      <w:numFmt w:val="bullet"/>
      <w:lvlText w:val=""/>
      <w:lvlJc w:val="left"/>
      <w:pPr>
        <w:ind w:left="720" w:hanging="360"/>
      </w:pPr>
      <w:rPr>
        <w:rFonts w:ascii="Symbol" w:hAnsi="Symbol" w:hint="default"/>
      </w:rPr>
    </w:lvl>
    <w:lvl w:ilvl="1" w:tplc="47BC76A8">
      <w:start w:val="1"/>
      <w:numFmt w:val="bullet"/>
      <w:lvlText w:val="o"/>
      <w:lvlJc w:val="left"/>
      <w:pPr>
        <w:ind w:left="1440" w:hanging="360"/>
      </w:pPr>
      <w:rPr>
        <w:rFonts w:ascii="Courier New" w:hAnsi="Courier New" w:cs="Courier New" w:hint="default"/>
      </w:rPr>
    </w:lvl>
    <w:lvl w:ilvl="2" w:tplc="76C84622" w:tentative="1">
      <w:start w:val="1"/>
      <w:numFmt w:val="bullet"/>
      <w:lvlText w:val=""/>
      <w:lvlJc w:val="left"/>
      <w:pPr>
        <w:ind w:left="2160" w:hanging="360"/>
      </w:pPr>
      <w:rPr>
        <w:rFonts w:ascii="Wingdings" w:hAnsi="Wingdings" w:hint="default"/>
      </w:rPr>
    </w:lvl>
    <w:lvl w:ilvl="3" w:tplc="E5AA6546" w:tentative="1">
      <w:start w:val="1"/>
      <w:numFmt w:val="bullet"/>
      <w:lvlText w:val=""/>
      <w:lvlJc w:val="left"/>
      <w:pPr>
        <w:ind w:left="2880" w:hanging="360"/>
      </w:pPr>
      <w:rPr>
        <w:rFonts w:ascii="Symbol" w:hAnsi="Symbol" w:hint="default"/>
      </w:rPr>
    </w:lvl>
    <w:lvl w:ilvl="4" w:tplc="CEB0ABBE" w:tentative="1">
      <w:start w:val="1"/>
      <w:numFmt w:val="bullet"/>
      <w:lvlText w:val="o"/>
      <w:lvlJc w:val="left"/>
      <w:pPr>
        <w:ind w:left="3600" w:hanging="360"/>
      </w:pPr>
      <w:rPr>
        <w:rFonts w:ascii="Courier New" w:hAnsi="Courier New" w:cs="Courier New" w:hint="default"/>
      </w:rPr>
    </w:lvl>
    <w:lvl w:ilvl="5" w:tplc="361A1078" w:tentative="1">
      <w:start w:val="1"/>
      <w:numFmt w:val="bullet"/>
      <w:lvlText w:val=""/>
      <w:lvlJc w:val="left"/>
      <w:pPr>
        <w:ind w:left="4320" w:hanging="360"/>
      </w:pPr>
      <w:rPr>
        <w:rFonts w:ascii="Wingdings" w:hAnsi="Wingdings" w:hint="default"/>
      </w:rPr>
    </w:lvl>
    <w:lvl w:ilvl="6" w:tplc="0C1E2A46" w:tentative="1">
      <w:start w:val="1"/>
      <w:numFmt w:val="bullet"/>
      <w:lvlText w:val=""/>
      <w:lvlJc w:val="left"/>
      <w:pPr>
        <w:ind w:left="5040" w:hanging="360"/>
      </w:pPr>
      <w:rPr>
        <w:rFonts w:ascii="Symbol" w:hAnsi="Symbol" w:hint="default"/>
      </w:rPr>
    </w:lvl>
    <w:lvl w:ilvl="7" w:tplc="475A94FE" w:tentative="1">
      <w:start w:val="1"/>
      <w:numFmt w:val="bullet"/>
      <w:lvlText w:val="o"/>
      <w:lvlJc w:val="left"/>
      <w:pPr>
        <w:ind w:left="5760" w:hanging="360"/>
      </w:pPr>
      <w:rPr>
        <w:rFonts w:ascii="Courier New" w:hAnsi="Courier New" w:cs="Courier New" w:hint="default"/>
      </w:rPr>
    </w:lvl>
    <w:lvl w:ilvl="8" w:tplc="567A1FD4" w:tentative="1">
      <w:start w:val="1"/>
      <w:numFmt w:val="bullet"/>
      <w:lvlText w:val=""/>
      <w:lvlJc w:val="left"/>
      <w:pPr>
        <w:ind w:left="6480" w:hanging="360"/>
      </w:pPr>
      <w:rPr>
        <w:rFonts w:ascii="Wingdings" w:hAnsi="Wingdings" w:hint="default"/>
      </w:rPr>
    </w:lvl>
  </w:abstractNum>
  <w:abstractNum w:abstractNumId="15" w15:restartNumberingAfterBreak="0">
    <w:nsid w:val="48DE2E4A"/>
    <w:multiLevelType w:val="hybridMultilevel"/>
    <w:tmpl w:val="B7086130"/>
    <w:lvl w:ilvl="0" w:tplc="D66A27E2">
      <w:start w:val="1"/>
      <w:numFmt w:val="bullet"/>
      <w:pStyle w:val="BoxTextBullet"/>
      <w:lvlText w:val=""/>
      <w:lvlJc w:val="left"/>
      <w:pPr>
        <w:ind w:left="720" w:hanging="360"/>
      </w:pPr>
      <w:rPr>
        <w:rFonts w:ascii="Symbol" w:hAnsi="Symbol" w:hint="default"/>
      </w:rPr>
    </w:lvl>
    <w:lvl w:ilvl="1" w:tplc="7764A2B6" w:tentative="1">
      <w:start w:val="1"/>
      <w:numFmt w:val="bullet"/>
      <w:lvlText w:val="o"/>
      <w:lvlJc w:val="left"/>
      <w:pPr>
        <w:ind w:left="1440" w:hanging="360"/>
      </w:pPr>
      <w:rPr>
        <w:rFonts w:ascii="Courier New" w:hAnsi="Courier New" w:cs="Courier New" w:hint="default"/>
      </w:rPr>
    </w:lvl>
    <w:lvl w:ilvl="2" w:tplc="A7389BF2" w:tentative="1">
      <w:start w:val="1"/>
      <w:numFmt w:val="bullet"/>
      <w:lvlText w:val=""/>
      <w:lvlJc w:val="left"/>
      <w:pPr>
        <w:ind w:left="2160" w:hanging="360"/>
      </w:pPr>
      <w:rPr>
        <w:rFonts w:ascii="Wingdings" w:hAnsi="Wingdings" w:hint="default"/>
      </w:rPr>
    </w:lvl>
    <w:lvl w:ilvl="3" w:tplc="2C8EA23A" w:tentative="1">
      <w:start w:val="1"/>
      <w:numFmt w:val="bullet"/>
      <w:lvlText w:val=""/>
      <w:lvlJc w:val="left"/>
      <w:pPr>
        <w:ind w:left="2880" w:hanging="360"/>
      </w:pPr>
      <w:rPr>
        <w:rFonts w:ascii="Symbol" w:hAnsi="Symbol" w:hint="default"/>
      </w:rPr>
    </w:lvl>
    <w:lvl w:ilvl="4" w:tplc="247CF73C" w:tentative="1">
      <w:start w:val="1"/>
      <w:numFmt w:val="bullet"/>
      <w:lvlText w:val="o"/>
      <w:lvlJc w:val="left"/>
      <w:pPr>
        <w:ind w:left="3600" w:hanging="360"/>
      </w:pPr>
      <w:rPr>
        <w:rFonts w:ascii="Courier New" w:hAnsi="Courier New" w:cs="Courier New" w:hint="default"/>
      </w:rPr>
    </w:lvl>
    <w:lvl w:ilvl="5" w:tplc="5F8E3728" w:tentative="1">
      <w:start w:val="1"/>
      <w:numFmt w:val="bullet"/>
      <w:lvlText w:val=""/>
      <w:lvlJc w:val="left"/>
      <w:pPr>
        <w:ind w:left="4320" w:hanging="360"/>
      </w:pPr>
      <w:rPr>
        <w:rFonts w:ascii="Wingdings" w:hAnsi="Wingdings" w:hint="default"/>
      </w:rPr>
    </w:lvl>
    <w:lvl w:ilvl="6" w:tplc="58B451A6" w:tentative="1">
      <w:start w:val="1"/>
      <w:numFmt w:val="bullet"/>
      <w:lvlText w:val=""/>
      <w:lvlJc w:val="left"/>
      <w:pPr>
        <w:ind w:left="5040" w:hanging="360"/>
      </w:pPr>
      <w:rPr>
        <w:rFonts w:ascii="Symbol" w:hAnsi="Symbol" w:hint="default"/>
      </w:rPr>
    </w:lvl>
    <w:lvl w:ilvl="7" w:tplc="E1ECB1F2" w:tentative="1">
      <w:start w:val="1"/>
      <w:numFmt w:val="bullet"/>
      <w:lvlText w:val="o"/>
      <w:lvlJc w:val="left"/>
      <w:pPr>
        <w:ind w:left="5760" w:hanging="360"/>
      </w:pPr>
      <w:rPr>
        <w:rFonts w:ascii="Courier New" w:hAnsi="Courier New" w:cs="Courier New" w:hint="default"/>
      </w:rPr>
    </w:lvl>
    <w:lvl w:ilvl="8" w:tplc="23FE1C0C" w:tentative="1">
      <w:start w:val="1"/>
      <w:numFmt w:val="bullet"/>
      <w:lvlText w:val=""/>
      <w:lvlJc w:val="left"/>
      <w:pPr>
        <w:ind w:left="6480" w:hanging="360"/>
      </w:pPr>
      <w:rPr>
        <w:rFonts w:ascii="Wingdings" w:hAnsi="Wingdings" w:hint="default"/>
      </w:rPr>
    </w:lvl>
  </w:abstractNum>
  <w:abstractNum w:abstractNumId="16"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7" w15:restartNumberingAfterBreak="0">
    <w:nsid w:val="5829644E"/>
    <w:multiLevelType w:val="multilevel"/>
    <w:tmpl w:val="BBCE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638D73A1"/>
    <w:multiLevelType w:val="hybridMultilevel"/>
    <w:tmpl w:val="58E60BA4"/>
    <w:lvl w:ilvl="0" w:tplc="785038FA">
      <w:start w:val="1"/>
      <w:numFmt w:val="bullet"/>
      <w:lvlText w:val=""/>
      <w:lvlJc w:val="left"/>
      <w:pPr>
        <w:ind w:left="720" w:hanging="360"/>
      </w:pPr>
      <w:rPr>
        <w:rFonts w:ascii="Symbol" w:hAnsi="Symbol" w:hint="default"/>
      </w:rPr>
    </w:lvl>
    <w:lvl w:ilvl="1" w:tplc="2A661210" w:tentative="1">
      <w:start w:val="1"/>
      <w:numFmt w:val="bullet"/>
      <w:lvlText w:val="o"/>
      <w:lvlJc w:val="left"/>
      <w:pPr>
        <w:ind w:left="1440" w:hanging="360"/>
      </w:pPr>
      <w:rPr>
        <w:rFonts w:ascii="Courier New" w:hAnsi="Courier New" w:cs="Courier New" w:hint="default"/>
      </w:rPr>
    </w:lvl>
    <w:lvl w:ilvl="2" w:tplc="34BEB93A" w:tentative="1">
      <w:start w:val="1"/>
      <w:numFmt w:val="bullet"/>
      <w:lvlText w:val=""/>
      <w:lvlJc w:val="left"/>
      <w:pPr>
        <w:ind w:left="2160" w:hanging="360"/>
      </w:pPr>
      <w:rPr>
        <w:rFonts w:ascii="Wingdings" w:hAnsi="Wingdings" w:hint="default"/>
      </w:rPr>
    </w:lvl>
    <w:lvl w:ilvl="3" w:tplc="945AA538" w:tentative="1">
      <w:start w:val="1"/>
      <w:numFmt w:val="bullet"/>
      <w:lvlText w:val=""/>
      <w:lvlJc w:val="left"/>
      <w:pPr>
        <w:ind w:left="2880" w:hanging="360"/>
      </w:pPr>
      <w:rPr>
        <w:rFonts w:ascii="Symbol" w:hAnsi="Symbol" w:hint="default"/>
      </w:rPr>
    </w:lvl>
    <w:lvl w:ilvl="4" w:tplc="DE7E0B02" w:tentative="1">
      <w:start w:val="1"/>
      <w:numFmt w:val="bullet"/>
      <w:lvlText w:val="o"/>
      <w:lvlJc w:val="left"/>
      <w:pPr>
        <w:ind w:left="3600" w:hanging="360"/>
      </w:pPr>
      <w:rPr>
        <w:rFonts w:ascii="Courier New" w:hAnsi="Courier New" w:cs="Courier New" w:hint="default"/>
      </w:rPr>
    </w:lvl>
    <w:lvl w:ilvl="5" w:tplc="BF00016E" w:tentative="1">
      <w:start w:val="1"/>
      <w:numFmt w:val="bullet"/>
      <w:lvlText w:val=""/>
      <w:lvlJc w:val="left"/>
      <w:pPr>
        <w:ind w:left="4320" w:hanging="360"/>
      </w:pPr>
      <w:rPr>
        <w:rFonts w:ascii="Wingdings" w:hAnsi="Wingdings" w:hint="default"/>
      </w:rPr>
    </w:lvl>
    <w:lvl w:ilvl="6" w:tplc="467ED660" w:tentative="1">
      <w:start w:val="1"/>
      <w:numFmt w:val="bullet"/>
      <w:lvlText w:val=""/>
      <w:lvlJc w:val="left"/>
      <w:pPr>
        <w:ind w:left="5040" w:hanging="360"/>
      </w:pPr>
      <w:rPr>
        <w:rFonts w:ascii="Symbol" w:hAnsi="Symbol" w:hint="default"/>
      </w:rPr>
    </w:lvl>
    <w:lvl w:ilvl="7" w:tplc="D2E08B70" w:tentative="1">
      <w:start w:val="1"/>
      <w:numFmt w:val="bullet"/>
      <w:lvlText w:val="o"/>
      <w:lvlJc w:val="left"/>
      <w:pPr>
        <w:ind w:left="5760" w:hanging="360"/>
      </w:pPr>
      <w:rPr>
        <w:rFonts w:ascii="Courier New" w:hAnsi="Courier New" w:cs="Courier New" w:hint="default"/>
      </w:rPr>
    </w:lvl>
    <w:lvl w:ilvl="8" w:tplc="D3E48782" w:tentative="1">
      <w:start w:val="1"/>
      <w:numFmt w:val="bullet"/>
      <w:lvlText w:val=""/>
      <w:lvlJc w:val="left"/>
      <w:pPr>
        <w:ind w:left="6480" w:hanging="360"/>
      </w:pPr>
      <w:rPr>
        <w:rFonts w:ascii="Wingdings" w:hAnsi="Wingdings" w:hint="default"/>
      </w:rPr>
    </w:lvl>
  </w:abstractNum>
  <w:abstractNum w:abstractNumId="20" w15:restartNumberingAfterBreak="0">
    <w:nsid w:val="6D745900"/>
    <w:multiLevelType w:val="hybridMultilevel"/>
    <w:tmpl w:val="DB4EE6D4"/>
    <w:lvl w:ilvl="0" w:tplc="42E26064">
      <w:start w:val="1"/>
      <w:numFmt w:val="bullet"/>
      <w:lvlText w:val="-"/>
      <w:lvlJc w:val="left"/>
      <w:pPr>
        <w:ind w:left="720" w:hanging="360"/>
      </w:pPr>
      <w:rPr>
        <w:rFonts w:ascii="Garamond" w:eastAsiaTheme="minorEastAsia" w:hAnsi="Garamond" w:cstheme="minorBidi" w:hint="default"/>
      </w:rPr>
    </w:lvl>
    <w:lvl w:ilvl="1" w:tplc="574C888C" w:tentative="1">
      <w:start w:val="1"/>
      <w:numFmt w:val="bullet"/>
      <w:lvlText w:val="o"/>
      <w:lvlJc w:val="left"/>
      <w:pPr>
        <w:ind w:left="1440" w:hanging="360"/>
      </w:pPr>
      <w:rPr>
        <w:rFonts w:ascii="Courier New" w:hAnsi="Courier New" w:cs="Courier New" w:hint="default"/>
      </w:rPr>
    </w:lvl>
    <w:lvl w:ilvl="2" w:tplc="F54271D4" w:tentative="1">
      <w:start w:val="1"/>
      <w:numFmt w:val="bullet"/>
      <w:lvlText w:val=""/>
      <w:lvlJc w:val="left"/>
      <w:pPr>
        <w:ind w:left="2160" w:hanging="360"/>
      </w:pPr>
      <w:rPr>
        <w:rFonts w:ascii="Wingdings" w:hAnsi="Wingdings" w:hint="default"/>
      </w:rPr>
    </w:lvl>
    <w:lvl w:ilvl="3" w:tplc="38441180" w:tentative="1">
      <w:start w:val="1"/>
      <w:numFmt w:val="bullet"/>
      <w:lvlText w:val=""/>
      <w:lvlJc w:val="left"/>
      <w:pPr>
        <w:ind w:left="2880" w:hanging="360"/>
      </w:pPr>
      <w:rPr>
        <w:rFonts w:ascii="Symbol" w:hAnsi="Symbol" w:hint="default"/>
      </w:rPr>
    </w:lvl>
    <w:lvl w:ilvl="4" w:tplc="D9F8A462" w:tentative="1">
      <w:start w:val="1"/>
      <w:numFmt w:val="bullet"/>
      <w:lvlText w:val="o"/>
      <w:lvlJc w:val="left"/>
      <w:pPr>
        <w:ind w:left="3600" w:hanging="360"/>
      </w:pPr>
      <w:rPr>
        <w:rFonts w:ascii="Courier New" w:hAnsi="Courier New" w:cs="Courier New" w:hint="default"/>
      </w:rPr>
    </w:lvl>
    <w:lvl w:ilvl="5" w:tplc="EA3CAFF2" w:tentative="1">
      <w:start w:val="1"/>
      <w:numFmt w:val="bullet"/>
      <w:lvlText w:val=""/>
      <w:lvlJc w:val="left"/>
      <w:pPr>
        <w:ind w:left="4320" w:hanging="360"/>
      </w:pPr>
      <w:rPr>
        <w:rFonts w:ascii="Wingdings" w:hAnsi="Wingdings" w:hint="default"/>
      </w:rPr>
    </w:lvl>
    <w:lvl w:ilvl="6" w:tplc="8A1E1DFE" w:tentative="1">
      <w:start w:val="1"/>
      <w:numFmt w:val="bullet"/>
      <w:lvlText w:val=""/>
      <w:lvlJc w:val="left"/>
      <w:pPr>
        <w:ind w:left="5040" w:hanging="360"/>
      </w:pPr>
      <w:rPr>
        <w:rFonts w:ascii="Symbol" w:hAnsi="Symbol" w:hint="default"/>
      </w:rPr>
    </w:lvl>
    <w:lvl w:ilvl="7" w:tplc="DB18C5BE" w:tentative="1">
      <w:start w:val="1"/>
      <w:numFmt w:val="bullet"/>
      <w:lvlText w:val="o"/>
      <w:lvlJc w:val="left"/>
      <w:pPr>
        <w:ind w:left="5760" w:hanging="360"/>
      </w:pPr>
      <w:rPr>
        <w:rFonts w:ascii="Courier New" w:hAnsi="Courier New" w:cs="Courier New" w:hint="default"/>
      </w:rPr>
    </w:lvl>
    <w:lvl w:ilvl="8" w:tplc="B5A65652" w:tentative="1">
      <w:start w:val="1"/>
      <w:numFmt w:val="bullet"/>
      <w:lvlText w:val=""/>
      <w:lvlJc w:val="left"/>
      <w:pPr>
        <w:ind w:left="6480" w:hanging="360"/>
      </w:pPr>
      <w:rPr>
        <w:rFonts w:ascii="Wingdings" w:hAnsi="Wingdings" w:hint="default"/>
      </w:rPr>
    </w:lvl>
  </w:abstractNum>
  <w:abstractNum w:abstractNumId="21" w15:restartNumberingAfterBreak="0">
    <w:nsid w:val="70FB2915"/>
    <w:multiLevelType w:val="hybridMultilevel"/>
    <w:tmpl w:val="FCA88624"/>
    <w:lvl w:ilvl="0" w:tplc="677A4FFA">
      <w:numFmt w:val="bullet"/>
      <w:lvlText w:val="-"/>
      <w:lvlJc w:val="left"/>
      <w:pPr>
        <w:ind w:left="720" w:hanging="360"/>
      </w:pPr>
      <w:rPr>
        <w:rFonts w:ascii="Garamond" w:eastAsiaTheme="minorEastAsia" w:hAnsi="Garamond" w:cstheme="minorBidi" w:hint="default"/>
      </w:rPr>
    </w:lvl>
    <w:lvl w:ilvl="1" w:tplc="AB7A08A4" w:tentative="1">
      <w:start w:val="1"/>
      <w:numFmt w:val="bullet"/>
      <w:lvlText w:val="o"/>
      <w:lvlJc w:val="left"/>
      <w:pPr>
        <w:ind w:left="1440" w:hanging="360"/>
      </w:pPr>
      <w:rPr>
        <w:rFonts w:ascii="Courier New" w:hAnsi="Courier New" w:cs="Courier New" w:hint="default"/>
      </w:rPr>
    </w:lvl>
    <w:lvl w:ilvl="2" w:tplc="F2E6E15E" w:tentative="1">
      <w:start w:val="1"/>
      <w:numFmt w:val="bullet"/>
      <w:lvlText w:val=""/>
      <w:lvlJc w:val="left"/>
      <w:pPr>
        <w:ind w:left="2160" w:hanging="360"/>
      </w:pPr>
      <w:rPr>
        <w:rFonts w:ascii="Wingdings" w:hAnsi="Wingdings" w:hint="default"/>
      </w:rPr>
    </w:lvl>
    <w:lvl w:ilvl="3" w:tplc="96D84EFA" w:tentative="1">
      <w:start w:val="1"/>
      <w:numFmt w:val="bullet"/>
      <w:lvlText w:val=""/>
      <w:lvlJc w:val="left"/>
      <w:pPr>
        <w:ind w:left="2880" w:hanging="360"/>
      </w:pPr>
      <w:rPr>
        <w:rFonts w:ascii="Symbol" w:hAnsi="Symbol" w:hint="default"/>
      </w:rPr>
    </w:lvl>
    <w:lvl w:ilvl="4" w:tplc="1B1AF7D2" w:tentative="1">
      <w:start w:val="1"/>
      <w:numFmt w:val="bullet"/>
      <w:lvlText w:val="o"/>
      <w:lvlJc w:val="left"/>
      <w:pPr>
        <w:ind w:left="3600" w:hanging="360"/>
      </w:pPr>
      <w:rPr>
        <w:rFonts w:ascii="Courier New" w:hAnsi="Courier New" w:cs="Courier New" w:hint="default"/>
      </w:rPr>
    </w:lvl>
    <w:lvl w:ilvl="5" w:tplc="DB341CE0" w:tentative="1">
      <w:start w:val="1"/>
      <w:numFmt w:val="bullet"/>
      <w:lvlText w:val=""/>
      <w:lvlJc w:val="left"/>
      <w:pPr>
        <w:ind w:left="4320" w:hanging="360"/>
      </w:pPr>
      <w:rPr>
        <w:rFonts w:ascii="Wingdings" w:hAnsi="Wingdings" w:hint="default"/>
      </w:rPr>
    </w:lvl>
    <w:lvl w:ilvl="6" w:tplc="41A2653E" w:tentative="1">
      <w:start w:val="1"/>
      <w:numFmt w:val="bullet"/>
      <w:lvlText w:val=""/>
      <w:lvlJc w:val="left"/>
      <w:pPr>
        <w:ind w:left="5040" w:hanging="360"/>
      </w:pPr>
      <w:rPr>
        <w:rFonts w:ascii="Symbol" w:hAnsi="Symbol" w:hint="default"/>
      </w:rPr>
    </w:lvl>
    <w:lvl w:ilvl="7" w:tplc="5CBC360E" w:tentative="1">
      <w:start w:val="1"/>
      <w:numFmt w:val="bullet"/>
      <w:lvlText w:val="o"/>
      <w:lvlJc w:val="left"/>
      <w:pPr>
        <w:ind w:left="5760" w:hanging="360"/>
      </w:pPr>
      <w:rPr>
        <w:rFonts w:ascii="Courier New" w:hAnsi="Courier New" w:cs="Courier New" w:hint="default"/>
      </w:rPr>
    </w:lvl>
    <w:lvl w:ilvl="8" w:tplc="12B2775E" w:tentative="1">
      <w:start w:val="1"/>
      <w:numFmt w:val="bullet"/>
      <w:lvlText w:val=""/>
      <w:lvlJc w:val="left"/>
      <w:pPr>
        <w:ind w:left="6480" w:hanging="360"/>
      </w:pPr>
      <w:rPr>
        <w:rFonts w:ascii="Wingdings" w:hAnsi="Wingdings" w:hint="default"/>
      </w:rPr>
    </w:lvl>
  </w:abstractNum>
  <w:abstractNum w:abstractNumId="22" w15:restartNumberingAfterBreak="0">
    <w:nsid w:val="7636387C"/>
    <w:multiLevelType w:val="multilevel"/>
    <w:tmpl w:val="6346ED0E"/>
    <w:numStyleLink w:val="listbullets"/>
  </w:abstractNum>
  <w:abstractNum w:abstractNumId="23" w15:restartNumberingAfterBreak="0">
    <w:nsid w:val="7F790D37"/>
    <w:multiLevelType w:val="hybridMultilevel"/>
    <w:tmpl w:val="ADB44792"/>
    <w:lvl w:ilvl="0" w:tplc="437C4944">
      <w:numFmt w:val="bullet"/>
      <w:lvlText w:val="-"/>
      <w:lvlJc w:val="left"/>
      <w:pPr>
        <w:ind w:left="720" w:hanging="360"/>
      </w:pPr>
      <w:rPr>
        <w:rFonts w:ascii="Calibri" w:eastAsiaTheme="minorHAnsi" w:hAnsi="Calibri" w:cs="Calibri" w:hint="default"/>
      </w:rPr>
    </w:lvl>
    <w:lvl w:ilvl="1" w:tplc="3E4C7212" w:tentative="1">
      <w:start w:val="1"/>
      <w:numFmt w:val="bullet"/>
      <w:lvlText w:val="o"/>
      <w:lvlJc w:val="left"/>
      <w:pPr>
        <w:ind w:left="1440" w:hanging="360"/>
      </w:pPr>
      <w:rPr>
        <w:rFonts w:ascii="Courier New" w:hAnsi="Courier New" w:cs="Courier New" w:hint="default"/>
      </w:rPr>
    </w:lvl>
    <w:lvl w:ilvl="2" w:tplc="77206120" w:tentative="1">
      <w:start w:val="1"/>
      <w:numFmt w:val="bullet"/>
      <w:lvlText w:val=""/>
      <w:lvlJc w:val="left"/>
      <w:pPr>
        <w:ind w:left="2160" w:hanging="360"/>
      </w:pPr>
      <w:rPr>
        <w:rFonts w:ascii="Wingdings" w:hAnsi="Wingdings" w:hint="default"/>
      </w:rPr>
    </w:lvl>
    <w:lvl w:ilvl="3" w:tplc="7046AD42" w:tentative="1">
      <w:start w:val="1"/>
      <w:numFmt w:val="bullet"/>
      <w:lvlText w:val=""/>
      <w:lvlJc w:val="left"/>
      <w:pPr>
        <w:ind w:left="2880" w:hanging="360"/>
      </w:pPr>
      <w:rPr>
        <w:rFonts w:ascii="Symbol" w:hAnsi="Symbol" w:hint="default"/>
      </w:rPr>
    </w:lvl>
    <w:lvl w:ilvl="4" w:tplc="282A48B6" w:tentative="1">
      <w:start w:val="1"/>
      <w:numFmt w:val="bullet"/>
      <w:lvlText w:val="o"/>
      <w:lvlJc w:val="left"/>
      <w:pPr>
        <w:ind w:left="3600" w:hanging="360"/>
      </w:pPr>
      <w:rPr>
        <w:rFonts w:ascii="Courier New" w:hAnsi="Courier New" w:cs="Courier New" w:hint="default"/>
      </w:rPr>
    </w:lvl>
    <w:lvl w:ilvl="5" w:tplc="E18C61F8" w:tentative="1">
      <w:start w:val="1"/>
      <w:numFmt w:val="bullet"/>
      <w:lvlText w:val=""/>
      <w:lvlJc w:val="left"/>
      <w:pPr>
        <w:ind w:left="4320" w:hanging="360"/>
      </w:pPr>
      <w:rPr>
        <w:rFonts w:ascii="Wingdings" w:hAnsi="Wingdings" w:hint="default"/>
      </w:rPr>
    </w:lvl>
    <w:lvl w:ilvl="6" w:tplc="BEF0B3C6" w:tentative="1">
      <w:start w:val="1"/>
      <w:numFmt w:val="bullet"/>
      <w:lvlText w:val=""/>
      <w:lvlJc w:val="left"/>
      <w:pPr>
        <w:ind w:left="5040" w:hanging="360"/>
      </w:pPr>
      <w:rPr>
        <w:rFonts w:ascii="Symbol" w:hAnsi="Symbol" w:hint="default"/>
      </w:rPr>
    </w:lvl>
    <w:lvl w:ilvl="7" w:tplc="4128FAC8" w:tentative="1">
      <w:start w:val="1"/>
      <w:numFmt w:val="bullet"/>
      <w:lvlText w:val="o"/>
      <w:lvlJc w:val="left"/>
      <w:pPr>
        <w:ind w:left="5760" w:hanging="360"/>
      </w:pPr>
      <w:rPr>
        <w:rFonts w:ascii="Courier New" w:hAnsi="Courier New" w:cs="Courier New" w:hint="default"/>
      </w:rPr>
    </w:lvl>
    <w:lvl w:ilvl="8" w:tplc="5D947FE8" w:tentative="1">
      <w:start w:val="1"/>
      <w:numFmt w:val="bullet"/>
      <w:lvlText w:val=""/>
      <w:lvlJc w:val="left"/>
      <w:pPr>
        <w:ind w:left="6480" w:hanging="360"/>
      </w:pPr>
      <w:rPr>
        <w:rFonts w:ascii="Wingdings" w:hAnsi="Wingdings" w:hint="default"/>
      </w:rPr>
    </w:lvl>
  </w:abstractNum>
  <w:num w:numId="1" w16cid:durableId="325210206">
    <w:abstractNumId w:val="15"/>
  </w:num>
  <w:num w:numId="2" w16cid:durableId="280654896">
    <w:abstractNumId w:val="5"/>
  </w:num>
  <w:num w:numId="3" w16cid:durableId="670568810">
    <w:abstractNumId w:val="18"/>
  </w:num>
  <w:num w:numId="4" w16cid:durableId="131531296">
    <w:abstractNumId w:val="7"/>
  </w:num>
  <w:num w:numId="5" w16cid:durableId="1250381870">
    <w:abstractNumId w:val="9"/>
  </w:num>
  <w:num w:numId="6" w16cid:durableId="530462850">
    <w:abstractNumId w:val="16"/>
  </w:num>
  <w:num w:numId="7" w16cid:durableId="1975676300">
    <w:abstractNumId w:val="22"/>
  </w:num>
  <w:num w:numId="8" w16cid:durableId="1403139903">
    <w:abstractNumId w:val="13"/>
  </w:num>
  <w:num w:numId="9" w16cid:durableId="1175151045">
    <w:abstractNumId w:val="8"/>
  </w:num>
  <w:num w:numId="10" w16cid:durableId="1836796322">
    <w:abstractNumId w:val="1"/>
  </w:num>
  <w:num w:numId="11" w16cid:durableId="468862222">
    <w:abstractNumId w:val="6"/>
  </w:num>
  <w:num w:numId="12" w16cid:durableId="770244740">
    <w:abstractNumId w:val="12"/>
  </w:num>
  <w:num w:numId="13" w16cid:durableId="1612930231">
    <w:abstractNumId w:val="2"/>
  </w:num>
  <w:num w:numId="14" w16cid:durableId="105816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435547">
    <w:abstractNumId w:val="11"/>
  </w:num>
  <w:num w:numId="16" w16cid:durableId="262420706">
    <w:abstractNumId w:val="4"/>
  </w:num>
  <w:num w:numId="17" w16cid:durableId="1194877494">
    <w:abstractNumId w:val="4"/>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2025787406">
    <w:abstractNumId w:val="14"/>
  </w:num>
  <w:num w:numId="19" w16cid:durableId="1907035089">
    <w:abstractNumId w:val="4"/>
  </w:num>
  <w:num w:numId="20" w16cid:durableId="99301882">
    <w:abstractNumId w:val="4"/>
  </w:num>
  <w:num w:numId="21" w16cid:durableId="1263807845">
    <w:abstractNumId w:val="4"/>
  </w:num>
  <w:num w:numId="22" w16cid:durableId="199781935">
    <w:abstractNumId w:val="20"/>
  </w:num>
  <w:num w:numId="23" w16cid:durableId="1931617405">
    <w:abstractNumId w:val="21"/>
  </w:num>
  <w:num w:numId="24" w16cid:durableId="873539000">
    <w:abstractNumId w:val="4"/>
  </w:num>
  <w:num w:numId="25" w16cid:durableId="2040161398">
    <w:abstractNumId w:val="4"/>
  </w:num>
  <w:num w:numId="26" w16cid:durableId="1256667440">
    <w:abstractNumId w:val="4"/>
  </w:num>
  <w:num w:numId="27" w16cid:durableId="1494686641">
    <w:abstractNumId w:val="4"/>
  </w:num>
  <w:num w:numId="28" w16cid:durableId="18555133">
    <w:abstractNumId w:val="4"/>
  </w:num>
  <w:num w:numId="29" w16cid:durableId="1115903891">
    <w:abstractNumId w:val="4"/>
  </w:num>
  <w:num w:numId="30" w16cid:durableId="631446489">
    <w:abstractNumId w:val="4"/>
  </w:num>
  <w:num w:numId="31" w16cid:durableId="1679500936">
    <w:abstractNumId w:val="23"/>
  </w:num>
  <w:num w:numId="32" w16cid:durableId="9257360">
    <w:abstractNumId w:val="3"/>
  </w:num>
  <w:num w:numId="33" w16cid:durableId="1296910509">
    <w:abstractNumId w:val="0"/>
  </w:num>
  <w:num w:numId="34" w16cid:durableId="687372235">
    <w:abstractNumId w:val="19"/>
  </w:num>
  <w:num w:numId="35" w16cid:durableId="439229161">
    <w:abstractNumId w:val="17"/>
  </w:num>
  <w:num w:numId="36" w16cid:durableId="128268574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oNotTrackFormatting/>
  <w:defaultTabStop w:val="720"/>
  <w:drawingGridHorizontalSpacing w:val="11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1C"/>
    <w:rsid w:val="00002A00"/>
    <w:rsid w:val="00003C3B"/>
    <w:rsid w:val="00004AF6"/>
    <w:rsid w:val="00006995"/>
    <w:rsid w:val="000079DA"/>
    <w:rsid w:val="00012053"/>
    <w:rsid w:val="000125B1"/>
    <w:rsid w:val="00015858"/>
    <w:rsid w:val="000158D8"/>
    <w:rsid w:val="00016132"/>
    <w:rsid w:val="000164C0"/>
    <w:rsid w:val="00017664"/>
    <w:rsid w:val="00017770"/>
    <w:rsid w:val="000224DC"/>
    <w:rsid w:val="00022D5A"/>
    <w:rsid w:val="000236E4"/>
    <w:rsid w:val="0002382C"/>
    <w:rsid w:val="00023937"/>
    <w:rsid w:val="00025A66"/>
    <w:rsid w:val="0002717D"/>
    <w:rsid w:val="00031DB2"/>
    <w:rsid w:val="00032058"/>
    <w:rsid w:val="000329AB"/>
    <w:rsid w:val="00033F33"/>
    <w:rsid w:val="00034983"/>
    <w:rsid w:val="0003702F"/>
    <w:rsid w:val="000411B0"/>
    <w:rsid w:val="00042EC5"/>
    <w:rsid w:val="00043384"/>
    <w:rsid w:val="00043A30"/>
    <w:rsid w:val="00044A3C"/>
    <w:rsid w:val="00045A29"/>
    <w:rsid w:val="00046214"/>
    <w:rsid w:val="00046256"/>
    <w:rsid w:val="00050045"/>
    <w:rsid w:val="00053816"/>
    <w:rsid w:val="0005386D"/>
    <w:rsid w:val="00055385"/>
    <w:rsid w:val="000554E0"/>
    <w:rsid w:val="00057040"/>
    <w:rsid w:val="00057D7E"/>
    <w:rsid w:val="00060040"/>
    <w:rsid w:val="00060D8B"/>
    <w:rsid w:val="000611FD"/>
    <w:rsid w:val="00061882"/>
    <w:rsid w:val="00062058"/>
    <w:rsid w:val="00063CF0"/>
    <w:rsid w:val="00064AD7"/>
    <w:rsid w:val="000672CC"/>
    <w:rsid w:val="00071DAF"/>
    <w:rsid w:val="00072BA1"/>
    <w:rsid w:val="00072D21"/>
    <w:rsid w:val="000756BD"/>
    <w:rsid w:val="00075D11"/>
    <w:rsid w:val="0007663D"/>
    <w:rsid w:val="000771F9"/>
    <w:rsid w:val="00077382"/>
    <w:rsid w:val="000805F8"/>
    <w:rsid w:val="000810F1"/>
    <w:rsid w:val="00081B38"/>
    <w:rsid w:val="00083BB6"/>
    <w:rsid w:val="000854A5"/>
    <w:rsid w:val="00090016"/>
    <w:rsid w:val="000909EB"/>
    <w:rsid w:val="00090F8E"/>
    <w:rsid w:val="0009138D"/>
    <w:rsid w:val="000919C2"/>
    <w:rsid w:val="00091AEB"/>
    <w:rsid w:val="00092769"/>
    <w:rsid w:val="000931E1"/>
    <w:rsid w:val="000A04B0"/>
    <w:rsid w:val="000A187E"/>
    <w:rsid w:val="000A44B0"/>
    <w:rsid w:val="000A4584"/>
    <w:rsid w:val="000A535C"/>
    <w:rsid w:val="000A68FE"/>
    <w:rsid w:val="000A7311"/>
    <w:rsid w:val="000A7AB8"/>
    <w:rsid w:val="000B0AE0"/>
    <w:rsid w:val="000B22D7"/>
    <w:rsid w:val="000B26B2"/>
    <w:rsid w:val="000B4230"/>
    <w:rsid w:val="000B56A0"/>
    <w:rsid w:val="000B5BCF"/>
    <w:rsid w:val="000B6191"/>
    <w:rsid w:val="000B6C68"/>
    <w:rsid w:val="000C0BCA"/>
    <w:rsid w:val="000C264C"/>
    <w:rsid w:val="000C5725"/>
    <w:rsid w:val="000C583A"/>
    <w:rsid w:val="000C5DBB"/>
    <w:rsid w:val="000C74D9"/>
    <w:rsid w:val="000C7ECF"/>
    <w:rsid w:val="000D10F2"/>
    <w:rsid w:val="000D2816"/>
    <w:rsid w:val="000D6051"/>
    <w:rsid w:val="000D6451"/>
    <w:rsid w:val="000D6472"/>
    <w:rsid w:val="000D67DA"/>
    <w:rsid w:val="000D6D92"/>
    <w:rsid w:val="000E0C8A"/>
    <w:rsid w:val="000E0E28"/>
    <w:rsid w:val="000E1814"/>
    <w:rsid w:val="000E35A1"/>
    <w:rsid w:val="000E40C1"/>
    <w:rsid w:val="000E4C18"/>
    <w:rsid w:val="000E5823"/>
    <w:rsid w:val="000F3C4D"/>
    <w:rsid w:val="000F4712"/>
    <w:rsid w:val="000F530A"/>
    <w:rsid w:val="000F5FD9"/>
    <w:rsid w:val="000F74BE"/>
    <w:rsid w:val="000F775C"/>
    <w:rsid w:val="001005D9"/>
    <w:rsid w:val="00100862"/>
    <w:rsid w:val="00100EA6"/>
    <w:rsid w:val="00104160"/>
    <w:rsid w:val="00104568"/>
    <w:rsid w:val="00105246"/>
    <w:rsid w:val="00105BEF"/>
    <w:rsid w:val="00105C27"/>
    <w:rsid w:val="00110A3E"/>
    <w:rsid w:val="001143DD"/>
    <w:rsid w:val="00116117"/>
    <w:rsid w:val="00116AAB"/>
    <w:rsid w:val="001215DA"/>
    <w:rsid w:val="00121AA7"/>
    <w:rsid w:val="00124052"/>
    <w:rsid w:val="001240D4"/>
    <w:rsid w:val="00125963"/>
    <w:rsid w:val="00125EC1"/>
    <w:rsid w:val="00125EC6"/>
    <w:rsid w:val="001303C0"/>
    <w:rsid w:val="00131E99"/>
    <w:rsid w:val="001326D6"/>
    <w:rsid w:val="00132EAC"/>
    <w:rsid w:val="00133476"/>
    <w:rsid w:val="00134FA7"/>
    <w:rsid w:val="001470A4"/>
    <w:rsid w:val="00150F34"/>
    <w:rsid w:val="00156158"/>
    <w:rsid w:val="00157CFC"/>
    <w:rsid w:val="0016024B"/>
    <w:rsid w:val="00161044"/>
    <w:rsid w:val="00162133"/>
    <w:rsid w:val="001621C2"/>
    <w:rsid w:val="001630C5"/>
    <w:rsid w:val="00164681"/>
    <w:rsid w:val="00165216"/>
    <w:rsid w:val="0016777B"/>
    <w:rsid w:val="00170AD2"/>
    <w:rsid w:val="00171482"/>
    <w:rsid w:val="001741CC"/>
    <w:rsid w:val="00174964"/>
    <w:rsid w:val="00175293"/>
    <w:rsid w:val="00177167"/>
    <w:rsid w:val="00177C6E"/>
    <w:rsid w:val="001812BC"/>
    <w:rsid w:val="00184A2E"/>
    <w:rsid w:val="00190330"/>
    <w:rsid w:val="00190F6B"/>
    <w:rsid w:val="00193E44"/>
    <w:rsid w:val="00194C29"/>
    <w:rsid w:val="001950F4"/>
    <w:rsid w:val="001A0172"/>
    <w:rsid w:val="001A2324"/>
    <w:rsid w:val="001A249C"/>
    <w:rsid w:val="001A7F2E"/>
    <w:rsid w:val="001B01F1"/>
    <w:rsid w:val="001B1A01"/>
    <w:rsid w:val="001B1DB2"/>
    <w:rsid w:val="001B7218"/>
    <w:rsid w:val="001B767B"/>
    <w:rsid w:val="001C0D1C"/>
    <w:rsid w:val="001C2B0A"/>
    <w:rsid w:val="001C3FE8"/>
    <w:rsid w:val="001C5D2A"/>
    <w:rsid w:val="001C6059"/>
    <w:rsid w:val="001D00C6"/>
    <w:rsid w:val="001D1DA9"/>
    <w:rsid w:val="001D2876"/>
    <w:rsid w:val="001D2962"/>
    <w:rsid w:val="001D3672"/>
    <w:rsid w:val="001D383F"/>
    <w:rsid w:val="001D4B6A"/>
    <w:rsid w:val="001D748F"/>
    <w:rsid w:val="001D7818"/>
    <w:rsid w:val="001D7AFF"/>
    <w:rsid w:val="001E2B75"/>
    <w:rsid w:val="001E351F"/>
    <w:rsid w:val="001E7866"/>
    <w:rsid w:val="001F2460"/>
    <w:rsid w:val="001F2D73"/>
    <w:rsid w:val="001F31A8"/>
    <w:rsid w:val="001F32D9"/>
    <w:rsid w:val="001F3A48"/>
    <w:rsid w:val="001F49F3"/>
    <w:rsid w:val="001F7C39"/>
    <w:rsid w:val="0020035E"/>
    <w:rsid w:val="0020248D"/>
    <w:rsid w:val="002038B8"/>
    <w:rsid w:val="00203AB1"/>
    <w:rsid w:val="002040E4"/>
    <w:rsid w:val="00205436"/>
    <w:rsid w:val="00205713"/>
    <w:rsid w:val="0021056E"/>
    <w:rsid w:val="0021113D"/>
    <w:rsid w:val="00211B8D"/>
    <w:rsid w:val="00216B58"/>
    <w:rsid w:val="00217E96"/>
    <w:rsid w:val="002225C2"/>
    <w:rsid w:val="00224510"/>
    <w:rsid w:val="00224FE0"/>
    <w:rsid w:val="00225F50"/>
    <w:rsid w:val="00235F33"/>
    <w:rsid w:val="00236256"/>
    <w:rsid w:val="002365ED"/>
    <w:rsid w:val="00243A3E"/>
    <w:rsid w:val="002448B5"/>
    <w:rsid w:val="00246BD6"/>
    <w:rsid w:val="00247F1C"/>
    <w:rsid w:val="00250D56"/>
    <w:rsid w:val="00253681"/>
    <w:rsid w:val="00253771"/>
    <w:rsid w:val="00254919"/>
    <w:rsid w:val="00256236"/>
    <w:rsid w:val="002571CA"/>
    <w:rsid w:val="0026021B"/>
    <w:rsid w:val="00260F57"/>
    <w:rsid w:val="002610C6"/>
    <w:rsid w:val="0026178B"/>
    <w:rsid w:val="00262108"/>
    <w:rsid w:val="002628A9"/>
    <w:rsid w:val="002628C1"/>
    <w:rsid w:val="002629EC"/>
    <w:rsid w:val="00266057"/>
    <w:rsid w:val="00266256"/>
    <w:rsid w:val="00266B46"/>
    <w:rsid w:val="00266D07"/>
    <w:rsid w:val="002672B2"/>
    <w:rsid w:val="0027116F"/>
    <w:rsid w:val="00273636"/>
    <w:rsid w:val="00273AD3"/>
    <w:rsid w:val="0027463F"/>
    <w:rsid w:val="00275044"/>
    <w:rsid w:val="0027546C"/>
    <w:rsid w:val="00275A8D"/>
    <w:rsid w:val="0028070B"/>
    <w:rsid w:val="002811B7"/>
    <w:rsid w:val="00281DD3"/>
    <w:rsid w:val="00282DCE"/>
    <w:rsid w:val="00283975"/>
    <w:rsid w:val="002860AC"/>
    <w:rsid w:val="002867DF"/>
    <w:rsid w:val="00286A66"/>
    <w:rsid w:val="00287AC3"/>
    <w:rsid w:val="00290EDE"/>
    <w:rsid w:val="00290FAA"/>
    <w:rsid w:val="00291A57"/>
    <w:rsid w:val="00292B3D"/>
    <w:rsid w:val="0029384E"/>
    <w:rsid w:val="00295D89"/>
    <w:rsid w:val="002970DA"/>
    <w:rsid w:val="002A43EB"/>
    <w:rsid w:val="002A53DC"/>
    <w:rsid w:val="002A5BAD"/>
    <w:rsid w:val="002A695A"/>
    <w:rsid w:val="002A7430"/>
    <w:rsid w:val="002B182F"/>
    <w:rsid w:val="002B44D3"/>
    <w:rsid w:val="002B67D0"/>
    <w:rsid w:val="002B7C12"/>
    <w:rsid w:val="002B7FF7"/>
    <w:rsid w:val="002C000C"/>
    <w:rsid w:val="002C011F"/>
    <w:rsid w:val="002C0721"/>
    <w:rsid w:val="002C52A7"/>
    <w:rsid w:val="002C74E1"/>
    <w:rsid w:val="002C7F89"/>
    <w:rsid w:val="002D3495"/>
    <w:rsid w:val="002D5063"/>
    <w:rsid w:val="002D7FD8"/>
    <w:rsid w:val="002E6EED"/>
    <w:rsid w:val="002E7AE2"/>
    <w:rsid w:val="002F0626"/>
    <w:rsid w:val="002F0EF0"/>
    <w:rsid w:val="002F2176"/>
    <w:rsid w:val="002F26E2"/>
    <w:rsid w:val="002F735C"/>
    <w:rsid w:val="002F787A"/>
    <w:rsid w:val="00300C79"/>
    <w:rsid w:val="0030443A"/>
    <w:rsid w:val="00304682"/>
    <w:rsid w:val="00305136"/>
    <w:rsid w:val="00306F7F"/>
    <w:rsid w:val="00307FDE"/>
    <w:rsid w:val="00310BCD"/>
    <w:rsid w:val="0031376E"/>
    <w:rsid w:val="00313E70"/>
    <w:rsid w:val="003163A6"/>
    <w:rsid w:val="00320FEE"/>
    <w:rsid w:val="00324184"/>
    <w:rsid w:val="003253F5"/>
    <w:rsid w:val="0032658F"/>
    <w:rsid w:val="00326E42"/>
    <w:rsid w:val="00327B78"/>
    <w:rsid w:val="00327D01"/>
    <w:rsid w:val="00330C02"/>
    <w:rsid w:val="00331188"/>
    <w:rsid w:val="003334BE"/>
    <w:rsid w:val="003353D6"/>
    <w:rsid w:val="003356E2"/>
    <w:rsid w:val="00337D9C"/>
    <w:rsid w:val="003413B2"/>
    <w:rsid w:val="00341961"/>
    <w:rsid w:val="003425E5"/>
    <w:rsid w:val="00342AB1"/>
    <w:rsid w:val="00343147"/>
    <w:rsid w:val="00343D03"/>
    <w:rsid w:val="00343F3C"/>
    <w:rsid w:val="00345E73"/>
    <w:rsid w:val="00347DDA"/>
    <w:rsid w:val="00350EC8"/>
    <w:rsid w:val="003512B8"/>
    <w:rsid w:val="00351F6E"/>
    <w:rsid w:val="00351FA7"/>
    <w:rsid w:val="00354B06"/>
    <w:rsid w:val="003552E0"/>
    <w:rsid w:val="0035676A"/>
    <w:rsid w:val="00360753"/>
    <w:rsid w:val="00360FC8"/>
    <w:rsid w:val="003620D8"/>
    <w:rsid w:val="003638AD"/>
    <w:rsid w:val="00363C9F"/>
    <w:rsid w:val="00364B0A"/>
    <w:rsid w:val="00364BBD"/>
    <w:rsid w:val="0036701C"/>
    <w:rsid w:val="0037141E"/>
    <w:rsid w:val="003717F6"/>
    <w:rsid w:val="00371D3D"/>
    <w:rsid w:val="00372232"/>
    <w:rsid w:val="003727FC"/>
    <w:rsid w:val="0037280E"/>
    <w:rsid w:val="0037462C"/>
    <w:rsid w:val="00375872"/>
    <w:rsid w:val="00375885"/>
    <w:rsid w:val="00377BF9"/>
    <w:rsid w:val="00380269"/>
    <w:rsid w:val="00384F0B"/>
    <w:rsid w:val="00386565"/>
    <w:rsid w:val="003869DA"/>
    <w:rsid w:val="003875CC"/>
    <w:rsid w:val="003876D4"/>
    <w:rsid w:val="003876F4"/>
    <w:rsid w:val="0039044E"/>
    <w:rsid w:val="00390E6E"/>
    <w:rsid w:val="00391A80"/>
    <w:rsid w:val="0039262F"/>
    <w:rsid w:val="003941B9"/>
    <w:rsid w:val="003956AC"/>
    <w:rsid w:val="00395E73"/>
    <w:rsid w:val="003962EF"/>
    <w:rsid w:val="00396EEE"/>
    <w:rsid w:val="003978B4"/>
    <w:rsid w:val="00397B6A"/>
    <w:rsid w:val="003A0E6B"/>
    <w:rsid w:val="003A1C2E"/>
    <w:rsid w:val="003A4319"/>
    <w:rsid w:val="003A54D9"/>
    <w:rsid w:val="003A5C8D"/>
    <w:rsid w:val="003A65E4"/>
    <w:rsid w:val="003B0832"/>
    <w:rsid w:val="003B1F79"/>
    <w:rsid w:val="003B4E8A"/>
    <w:rsid w:val="003B6718"/>
    <w:rsid w:val="003C0C19"/>
    <w:rsid w:val="003C4D43"/>
    <w:rsid w:val="003C578E"/>
    <w:rsid w:val="003C6018"/>
    <w:rsid w:val="003D09B2"/>
    <w:rsid w:val="003D0BD0"/>
    <w:rsid w:val="003D34A9"/>
    <w:rsid w:val="003D36CD"/>
    <w:rsid w:val="003D3FD3"/>
    <w:rsid w:val="003D424D"/>
    <w:rsid w:val="003D49A6"/>
    <w:rsid w:val="003D4A96"/>
    <w:rsid w:val="003D4ED5"/>
    <w:rsid w:val="003D7459"/>
    <w:rsid w:val="003E0936"/>
    <w:rsid w:val="003E0D02"/>
    <w:rsid w:val="003E1BCE"/>
    <w:rsid w:val="003E24A7"/>
    <w:rsid w:val="003E30BB"/>
    <w:rsid w:val="003E5C3C"/>
    <w:rsid w:val="003E6641"/>
    <w:rsid w:val="003E7118"/>
    <w:rsid w:val="003F127D"/>
    <w:rsid w:val="003F31CF"/>
    <w:rsid w:val="003F38F3"/>
    <w:rsid w:val="003F3D14"/>
    <w:rsid w:val="003F599F"/>
    <w:rsid w:val="003F626D"/>
    <w:rsid w:val="003F69A6"/>
    <w:rsid w:val="00401C43"/>
    <w:rsid w:val="00402ECB"/>
    <w:rsid w:val="0040346B"/>
    <w:rsid w:val="00403D1E"/>
    <w:rsid w:val="004040F4"/>
    <w:rsid w:val="004041F6"/>
    <w:rsid w:val="00404BEB"/>
    <w:rsid w:val="00405162"/>
    <w:rsid w:val="0041002E"/>
    <w:rsid w:val="00410392"/>
    <w:rsid w:val="0041135A"/>
    <w:rsid w:val="004114D8"/>
    <w:rsid w:val="0041209F"/>
    <w:rsid w:val="004130EC"/>
    <w:rsid w:val="0041450E"/>
    <w:rsid w:val="00414A01"/>
    <w:rsid w:val="004151DC"/>
    <w:rsid w:val="00422133"/>
    <w:rsid w:val="004257E4"/>
    <w:rsid w:val="00425F4D"/>
    <w:rsid w:val="0043012E"/>
    <w:rsid w:val="00430F32"/>
    <w:rsid w:val="00432308"/>
    <w:rsid w:val="00434DBB"/>
    <w:rsid w:val="00435CD2"/>
    <w:rsid w:val="00440C63"/>
    <w:rsid w:val="00441BA0"/>
    <w:rsid w:val="004432FF"/>
    <w:rsid w:val="004457D8"/>
    <w:rsid w:val="0044604C"/>
    <w:rsid w:val="00446102"/>
    <w:rsid w:val="004462CF"/>
    <w:rsid w:val="004469B0"/>
    <w:rsid w:val="00453483"/>
    <w:rsid w:val="00454065"/>
    <w:rsid w:val="00454160"/>
    <w:rsid w:val="0045453D"/>
    <w:rsid w:val="0045476A"/>
    <w:rsid w:val="004550BA"/>
    <w:rsid w:val="00455F1F"/>
    <w:rsid w:val="0045606A"/>
    <w:rsid w:val="00456A14"/>
    <w:rsid w:val="00456F76"/>
    <w:rsid w:val="004600AD"/>
    <w:rsid w:val="004600F6"/>
    <w:rsid w:val="00463412"/>
    <w:rsid w:val="00463A0F"/>
    <w:rsid w:val="004644D8"/>
    <w:rsid w:val="004669E9"/>
    <w:rsid w:val="00467D7C"/>
    <w:rsid w:val="00470775"/>
    <w:rsid w:val="00473B32"/>
    <w:rsid w:val="00474B3B"/>
    <w:rsid w:val="00475810"/>
    <w:rsid w:val="00475C23"/>
    <w:rsid w:val="00485FB3"/>
    <w:rsid w:val="004913D3"/>
    <w:rsid w:val="00497182"/>
    <w:rsid w:val="004971BD"/>
    <w:rsid w:val="00497BF2"/>
    <w:rsid w:val="004A175F"/>
    <w:rsid w:val="004A17D6"/>
    <w:rsid w:val="004A2414"/>
    <w:rsid w:val="004A2694"/>
    <w:rsid w:val="004A2A94"/>
    <w:rsid w:val="004A3032"/>
    <w:rsid w:val="004A4021"/>
    <w:rsid w:val="004A70C7"/>
    <w:rsid w:val="004A71A7"/>
    <w:rsid w:val="004B1D76"/>
    <w:rsid w:val="004B2762"/>
    <w:rsid w:val="004B32B5"/>
    <w:rsid w:val="004B471A"/>
    <w:rsid w:val="004B7336"/>
    <w:rsid w:val="004B7514"/>
    <w:rsid w:val="004C1BBA"/>
    <w:rsid w:val="004C344B"/>
    <w:rsid w:val="004C3855"/>
    <w:rsid w:val="004C5FCF"/>
    <w:rsid w:val="004C61C7"/>
    <w:rsid w:val="004D04FA"/>
    <w:rsid w:val="004D1BB5"/>
    <w:rsid w:val="004D4281"/>
    <w:rsid w:val="004D4EE0"/>
    <w:rsid w:val="004D52CE"/>
    <w:rsid w:val="004D591F"/>
    <w:rsid w:val="004D76E5"/>
    <w:rsid w:val="004D7D82"/>
    <w:rsid w:val="004E094A"/>
    <w:rsid w:val="004E2E3A"/>
    <w:rsid w:val="004E3A0C"/>
    <w:rsid w:val="004E3DB4"/>
    <w:rsid w:val="004E5BF6"/>
    <w:rsid w:val="004F0256"/>
    <w:rsid w:val="004F2C33"/>
    <w:rsid w:val="004F5BC7"/>
    <w:rsid w:val="004F6114"/>
    <w:rsid w:val="004F658C"/>
    <w:rsid w:val="004F69A2"/>
    <w:rsid w:val="00500AED"/>
    <w:rsid w:val="00501AA9"/>
    <w:rsid w:val="0050209D"/>
    <w:rsid w:val="0050364B"/>
    <w:rsid w:val="00503E7A"/>
    <w:rsid w:val="0050597D"/>
    <w:rsid w:val="00506B4D"/>
    <w:rsid w:val="00507F12"/>
    <w:rsid w:val="00511826"/>
    <w:rsid w:val="00516A4E"/>
    <w:rsid w:val="00517D00"/>
    <w:rsid w:val="00520A34"/>
    <w:rsid w:val="00520F65"/>
    <w:rsid w:val="005212D4"/>
    <w:rsid w:val="005221CF"/>
    <w:rsid w:val="00522BF7"/>
    <w:rsid w:val="00522EF7"/>
    <w:rsid w:val="00523166"/>
    <w:rsid w:val="00523914"/>
    <w:rsid w:val="00524D65"/>
    <w:rsid w:val="0052674A"/>
    <w:rsid w:val="00526B72"/>
    <w:rsid w:val="00530C74"/>
    <w:rsid w:val="005312E5"/>
    <w:rsid w:val="00531B50"/>
    <w:rsid w:val="00532319"/>
    <w:rsid w:val="005336A4"/>
    <w:rsid w:val="005347DF"/>
    <w:rsid w:val="0053797B"/>
    <w:rsid w:val="0054089F"/>
    <w:rsid w:val="00541196"/>
    <w:rsid w:val="0054170B"/>
    <w:rsid w:val="00541C23"/>
    <w:rsid w:val="005435BB"/>
    <w:rsid w:val="00543D3A"/>
    <w:rsid w:val="005442DB"/>
    <w:rsid w:val="00546C54"/>
    <w:rsid w:val="0055276E"/>
    <w:rsid w:val="00555640"/>
    <w:rsid w:val="00557258"/>
    <w:rsid w:val="00557389"/>
    <w:rsid w:val="00560FB8"/>
    <w:rsid w:val="00561243"/>
    <w:rsid w:val="00561641"/>
    <w:rsid w:val="0056210A"/>
    <w:rsid w:val="00562A6A"/>
    <w:rsid w:val="00565C5A"/>
    <w:rsid w:val="00565FC4"/>
    <w:rsid w:val="005662ED"/>
    <w:rsid w:val="00566A40"/>
    <w:rsid w:val="005670E3"/>
    <w:rsid w:val="00573A34"/>
    <w:rsid w:val="00573E89"/>
    <w:rsid w:val="00574CAC"/>
    <w:rsid w:val="005755B2"/>
    <w:rsid w:val="00576685"/>
    <w:rsid w:val="00577B31"/>
    <w:rsid w:val="00577E76"/>
    <w:rsid w:val="00581F4A"/>
    <w:rsid w:val="00582F83"/>
    <w:rsid w:val="00583D6D"/>
    <w:rsid w:val="00584189"/>
    <w:rsid w:val="00584E71"/>
    <w:rsid w:val="0058555C"/>
    <w:rsid w:val="00585FD8"/>
    <w:rsid w:val="00587322"/>
    <w:rsid w:val="0058735A"/>
    <w:rsid w:val="005907F2"/>
    <w:rsid w:val="00594BA7"/>
    <w:rsid w:val="0059653F"/>
    <w:rsid w:val="00596E3D"/>
    <w:rsid w:val="00597146"/>
    <w:rsid w:val="005A0D38"/>
    <w:rsid w:val="005A20BF"/>
    <w:rsid w:val="005A324F"/>
    <w:rsid w:val="005A3B5F"/>
    <w:rsid w:val="005A4EBF"/>
    <w:rsid w:val="005A5171"/>
    <w:rsid w:val="005A709F"/>
    <w:rsid w:val="005A717F"/>
    <w:rsid w:val="005A7DF5"/>
    <w:rsid w:val="005B4F68"/>
    <w:rsid w:val="005B5317"/>
    <w:rsid w:val="005B5820"/>
    <w:rsid w:val="005B6AF9"/>
    <w:rsid w:val="005B7E1C"/>
    <w:rsid w:val="005C0422"/>
    <w:rsid w:val="005C3E78"/>
    <w:rsid w:val="005C457A"/>
    <w:rsid w:val="005C6D3C"/>
    <w:rsid w:val="005C6EEC"/>
    <w:rsid w:val="005C7298"/>
    <w:rsid w:val="005C7879"/>
    <w:rsid w:val="005D1CA5"/>
    <w:rsid w:val="005D3F86"/>
    <w:rsid w:val="005D5582"/>
    <w:rsid w:val="005D6916"/>
    <w:rsid w:val="005D6C16"/>
    <w:rsid w:val="005E1F6A"/>
    <w:rsid w:val="005E2B13"/>
    <w:rsid w:val="005E6ED6"/>
    <w:rsid w:val="005E715E"/>
    <w:rsid w:val="005E75F0"/>
    <w:rsid w:val="005F0393"/>
    <w:rsid w:val="005F0D05"/>
    <w:rsid w:val="005F49CA"/>
    <w:rsid w:val="005F4F36"/>
    <w:rsid w:val="005F6CF0"/>
    <w:rsid w:val="005F6E14"/>
    <w:rsid w:val="00600FAD"/>
    <w:rsid w:val="0060193B"/>
    <w:rsid w:val="00602147"/>
    <w:rsid w:val="006035B6"/>
    <w:rsid w:val="006036FB"/>
    <w:rsid w:val="00603D83"/>
    <w:rsid w:val="0060698C"/>
    <w:rsid w:val="00606A7B"/>
    <w:rsid w:val="00607131"/>
    <w:rsid w:val="00612D95"/>
    <w:rsid w:val="0061769D"/>
    <w:rsid w:val="00620280"/>
    <w:rsid w:val="0062079C"/>
    <w:rsid w:val="00621201"/>
    <w:rsid w:val="00621DD7"/>
    <w:rsid w:val="00623B37"/>
    <w:rsid w:val="006268A9"/>
    <w:rsid w:val="00634843"/>
    <w:rsid w:val="00636248"/>
    <w:rsid w:val="0064021D"/>
    <w:rsid w:val="006402D2"/>
    <w:rsid w:val="00640638"/>
    <w:rsid w:val="006406B5"/>
    <w:rsid w:val="00641D11"/>
    <w:rsid w:val="006426FD"/>
    <w:rsid w:val="0064344A"/>
    <w:rsid w:val="00644222"/>
    <w:rsid w:val="00644D32"/>
    <w:rsid w:val="00646053"/>
    <w:rsid w:val="006478DF"/>
    <w:rsid w:val="00647E90"/>
    <w:rsid w:val="00652B9D"/>
    <w:rsid w:val="006533E1"/>
    <w:rsid w:val="00657CD7"/>
    <w:rsid w:val="00666B89"/>
    <w:rsid w:val="0066794F"/>
    <w:rsid w:val="00672130"/>
    <w:rsid w:val="0067248A"/>
    <w:rsid w:val="00674053"/>
    <w:rsid w:val="00675A71"/>
    <w:rsid w:val="0067628B"/>
    <w:rsid w:val="00677D07"/>
    <w:rsid w:val="00680E75"/>
    <w:rsid w:val="006846A7"/>
    <w:rsid w:val="00685B43"/>
    <w:rsid w:val="0068755D"/>
    <w:rsid w:val="00687E36"/>
    <w:rsid w:val="006907E4"/>
    <w:rsid w:val="0069155E"/>
    <w:rsid w:val="00692C25"/>
    <w:rsid w:val="00693971"/>
    <w:rsid w:val="006939ED"/>
    <w:rsid w:val="00693B8B"/>
    <w:rsid w:val="00696256"/>
    <w:rsid w:val="00696455"/>
    <w:rsid w:val="00696E8E"/>
    <w:rsid w:val="00696F51"/>
    <w:rsid w:val="006A1182"/>
    <w:rsid w:val="006A1CDF"/>
    <w:rsid w:val="006A42AE"/>
    <w:rsid w:val="006A6386"/>
    <w:rsid w:val="006B0035"/>
    <w:rsid w:val="006B0F96"/>
    <w:rsid w:val="006B1E5C"/>
    <w:rsid w:val="006B4D60"/>
    <w:rsid w:val="006B59E5"/>
    <w:rsid w:val="006B6A63"/>
    <w:rsid w:val="006B7395"/>
    <w:rsid w:val="006C01F8"/>
    <w:rsid w:val="006C09C3"/>
    <w:rsid w:val="006C0C1D"/>
    <w:rsid w:val="006C25F1"/>
    <w:rsid w:val="006C2863"/>
    <w:rsid w:val="006C3BFB"/>
    <w:rsid w:val="006C4BAD"/>
    <w:rsid w:val="006C6A4A"/>
    <w:rsid w:val="006C6C88"/>
    <w:rsid w:val="006C6F2E"/>
    <w:rsid w:val="006D1151"/>
    <w:rsid w:val="006D2D0D"/>
    <w:rsid w:val="006D5692"/>
    <w:rsid w:val="006D5786"/>
    <w:rsid w:val="006D6161"/>
    <w:rsid w:val="006D654A"/>
    <w:rsid w:val="006D6D7D"/>
    <w:rsid w:val="006D765E"/>
    <w:rsid w:val="006D767C"/>
    <w:rsid w:val="006E1B49"/>
    <w:rsid w:val="006E29A5"/>
    <w:rsid w:val="006E3DC0"/>
    <w:rsid w:val="006E4972"/>
    <w:rsid w:val="006F15AC"/>
    <w:rsid w:val="006F25F9"/>
    <w:rsid w:val="006F2BB3"/>
    <w:rsid w:val="006F4B26"/>
    <w:rsid w:val="006F72B4"/>
    <w:rsid w:val="00700698"/>
    <w:rsid w:val="00700AE8"/>
    <w:rsid w:val="00702F6F"/>
    <w:rsid w:val="00702FD7"/>
    <w:rsid w:val="00703F56"/>
    <w:rsid w:val="00704EDB"/>
    <w:rsid w:val="0070697B"/>
    <w:rsid w:val="00707290"/>
    <w:rsid w:val="00710647"/>
    <w:rsid w:val="00712734"/>
    <w:rsid w:val="00712BBB"/>
    <w:rsid w:val="00713AA1"/>
    <w:rsid w:val="0071411C"/>
    <w:rsid w:val="00714172"/>
    <w:rsid w:val="00720948"/>
    <w:rsid w:val="00722577"/>
    <w:rsid w:val="00723327"/>
    <w:rsid w:val="007245C7"/>
    <w:rsid w:val="00724E45"/>
    <w:rsid w:val="0072516C"/>
    <w:rsid w:val="007266D1"/>
    <w:rsid w:val="00730068"/>
    <w:rsid w:val="00731D94"/>
    <w:rsid w:val="00732C45"/>
    <w:rsid w:val="007330D0"/>
    <w:rsid w:val="0073365B"/>
    <w:rsid w:val="007336AC"/>
    <w:rsid w:val="00733D9F"/>
    <w:rsid w:val="00735EC4"/>
    <w:rsid w:val="00735F26"/>
    <w:rsid w:val="007361F3"/>
    <w:rsid w:val="00737A40"/>
    <w:rsid w:val="00740624"/>
    <w:rsid w:val="00741EBC"/>
    <w:rsid w:val="00742DE5"/>
    <w:rsid w:val="0074413C"/>
    <w:rsid w:val="00744723"/>
    <w:rsid w:val="007452C5"/>
    <w:rsid w:val="00745640"/>
    <w:rsid w:val="007541D5"/>
    <w:rsid w:val="00755082"/>
    <w:rsid w:val="00756585"/>
    <w:rsid w:val="00756F45"/>
    <w:rsid w:val="007606FF"/>
    <w:rsid w:val="00762584"/>
    <w:rsid w:val="007633D1"/>
    <w:rsid w:val="0076473C"/>
    <w:rsid w:val="007705FE"/>
    <w:rsid w:val="00770E81"/>
    <w:rsid w:val="007715B1"/>
    <w:rsid w:val="00773FEF"/>
    <w:rsid w:val="00774090"/>
    <w:rsid w:val="007751CC"/>
    <w:rsid w:val="00777689"/>
    <w:rsid w:val="00777C04"/>
    <w:rsid w:val="00781B9C"/>
    <w:rsid w:val="00783EFC"/>
    <w:rsid w:val="00784E26"/>
    <w:rsid w:val="00787D42"/>
    <w:rsid w:val="0079074A"/>
    <w:rsid w:val="007914CB"/>
    <w:rsid w:val="00791558"/>
    <w:rsid w:val="007942D0"/>
    <w:rsid w:val="00795FCB"/>
    <w:rsid w:val="0079702B"/>
    <w:rsid w:val="007A2950"/>
    <w:rsid w:val="007A2EE7"/>
    <w:rsid w:val="007A6D6C"/>
    <w:rsid w:val="007A7684"/>
    <w:rsid w:val="007B1F3E"/>
    <w:rsid w:val="007B22C3"/>
    <w:rsid w:val="007B3193"/>
    <w:rsid w:val="007B593E"/>
    <w:rsid w:val="007B65FA"/>
    <w:rsid w:val="007C0818"/>
    <w:rsid w:val="007C1AF3"/>
    <w:rsid w:val="007C3BD5"/>
    <w:rsid w:val="007C7F47"/>
    <w:rsid w:val="007E16DB"/>
    <w:rsid w:val="007E2341"/>
    <w:rsid w:val="007E3364"/>
    <w:rsid w:val="007E5F76"/>
    <w:rsid w:val="007E7EA6"/>
    <w:rsid w:val="007F1B8A"/>
    <w:rsid w:val="007F2465"/>
    <w:rsid w:val="007F249A"/>
    <w:rsid w:val="007F3036"/>
    <w:rsid w:val="007F4C38"/>
    <w:rsid w:val="007F4D62"/>
    <w:rsid w:val="0080269F"/>
    <w:rsid w:val="008042E7"/>
    <w:rsid w:val="00805B8A"/>
    <w:rsid w:val="008078AF"/>
    <w:rsid w:val="00811478"/>
    <w:rsid w:val="00811A7B"/>
    <w:rsid w:val="00814E4F"/>
    <w:rsid w:val="00815478"/>
    <w:rsid w:val="0081548F"/>
    <w:rsid w:val="008160BF"/>
    <w:rsid w:val="00816724"/>
    <w:rsid w:val="00817DD5"/>
    <w:rsid w:val="00820949"/>
    <w:rsid w:val="0082476D"/>
    <w:rsid w:val="00824850"/>
    <w:rsid w:val="00826144"/>
    <w:rsid w:val="00826520"/>
    <w:rsid w:val="008277A4"/>
    <w:rsid w:val="00832CE5"/>
    <w:rsid w:val="00833D94"/>
    <w:rsid w:val="00835D92"/>
    <w:rsid w:val="00837D3C"/>
    <w:rsid w:val="0084206A"/>
    <w:rsid w:val="00843BA5"/>
    <w:rsid w:val="00843D5C"/>
    <w:rsid w:val="00846214"/>
    <w:rsid w:val="008473C2"/>
    <w:rsid w:val="008475BE"/>
    <w:rsid w:val="008515F5"/>
    <w:rsid w:val="00852D86"/>
    <w:rsid w:val="00854A94"/>
    <w:rsid w:val="008552AC"/>
    <w:rsid w:val="00860577"/>
    <w:rsid w:val="0086227B"/>
    <w:rsid w:val="008629EB"/>
    <w:rsid w:val="00862B1E"/>
    <w:rsid w:val="00862BD1"/>
    <w:rsid w:val="008631AB"/>
    <w:rsid w:val="00863B22"/>
    <w:rsid w:val="00863F39"/>
    <w:rsid w:val="0086740F"/>
    <w:rsid w:val="00867BB9"/>
    <w:rsid w:val="00870200"/>
    <w:rsid w:val="008707E6"/>
    <w:rsid w:val="00871AA9"/>
    <w:rsid w:val="00873192"/>
    <w:rsid w:val="008734D5"/>
    <w:rsid w:val="00874183"/>
    <w:rsid w:val="00875100"/>
    <w:rsid w:val="008817AB"/>
    <w:rsid w:val="008828A8"/>
    <w:rsid w:val="00882F71"/>
    <w:rsid w:val="00887F16"/>
    <w:rsid w:val="0089050A"/>
    <w:rsid w:val="008905C8"/>
    <w:rsid w:val="0089104F"/>
    <w:rsid w:val="00891983"/>
    <w:rsid w:val="00891C68"/>
    <w:rsid w:val="00892248"/>
    <w:rsid w:val="0089467A"/>
    <w:rsid w:val="0089492D"/>
    <w:rsid w:val="0089672D"/>
    <w:rsid w:val="008A3DBB"/>
    <w:rsid w:val="008A6457"/>
    <w:rsid w:val="008A71FA"/>
    <w:rsid w:val="008B007F"/>
    <w:rsid w:val="008B3548"/>
    <w:rsid w:val="008B402F"/>
    <w:rsid w:val="008B5631"/>
    <w:rsid w:val="008B6514"/>
    <w:rsid w:val="008C1F54"/>
    <w:rsid w:val="008C3D26"/>
    <w:rsid w:val="008C59D1"/>
    <w:rsid w:val="008C6055"/>
    <w:rsid w:val="008C635B"/>
    <w:rsid w:val="008C7CBE"/>
    <w:rsid w:val="008D0107"/>
    <w:rsid w:val="008D069F"/>
    <w:rsid w:val="008D0CB0"/>
    <w:rsid w:val="008D1097"/>
    <w:rsid w:val="008D1217"/>
    <w:rsid w:val="008D498C"/>
    <w:rsid w:val="008D6333"/>
    <w:rsid w:val="008E13D7"/>
    <w:rsid w:val="008E2AB1"/>
    <w:rsid w:val="008E2B0D"/>
    <w:rsid w:val="008E3687"/>
    <w:rsid w:val="008E3E52"/>
    <w:rsid w:val="008E42E0"/>
    <w:rsid w:val="008E77CA"/>
    <w:rsid w:val="008F237D"/>
    <w:rsid w:val="008F28D6"/>
    <w:rsid w:val="008F2AA5"/>
    <w:rsid w:val="008F2E69"/>
    <w:rsid w:val="008F63C3"/>
    <w:rsid w:val="008F689D"/>
    <w:rsid w:val="008F7139"/>
    <w:rsid w:val="00900204"/>
    <w:rsid w:val="00901306"/>
    <w:rsid w:val="00901454"/>
    <w:rsid w:val="00902AA9"/>
    <w:rsid w:val="0090363F"/>
    <w:rsid w:val="0090454F"/>
    <w:rsid w:val="00904F26"/>
    <w:rsid w:val="00906173"/>
    <w:rsid w:val="00906244"/>
    <w:rsid w:val="00910E31"/>
    <w:rsid w:val="00911E54"/>
    <w:rsid w:val="00912C55"/>
    <w:rsid w:val="00913857"/>
    <w:rsid w:val="00913E2D"/>
    <w:rsid w:val="00914140"/>
    <w:rsid w:val="009147A0"/>
    <w:rsid w:val="0091675F"/>
    <w:rsid w:val="00920637"/>
    <w:rsid w:val="0092073E"/>
    <w:rsid w:val="00921476"/>
    <w:rsid w:val="009239BA"/>
    <w:rsid w:val="00923A97"/>
    <w:rsid w:val="00924217"/>
    <w:rsid w:val="009246E1"/>
    <w:rsid w:val="0092560B"/>
    <w:rsid w:val="00926F65"/>
    <w:rsid w:val="00927146"/>
    <w:rsid w:val="009309CA"/>
    <w:rsid w:val="00936752"/>
    <w:rsid w:val="00936C3B"/>
    <w:rsid w:val="009371D5"/>
    <w:rsid w:val="00940CC7"/>
    <w:rsid w:val="0094157C"/>
    <w:rsid w:val="0094173B"/>
    <w:rsid w:val="009427AD"/>
    <w:rsid w:val="00944285"/>
    <w:rsid w:val="009464AA"/>
    <w:rsid w:val="00946DB1"/>
    <w:rsid w:val="009477FA"/>
    <w:rsid w:val="00947AED"/>
    <w:rsid w:val="00950A15"/>
    <w:rsid w:val="00960A62"/>
    <w:rsid w:val="009610AD"/>
    <w:rsid w:val="00961805"/>
    <w:rsid w:val="009623A1"/>
    <w:rsid w:val="009715D9"/>
    <w:rsid w:val="00971A8F"/>
    <w:rsid w:val="0097255D"/>
    <w:rsid w:val="00975BE9"/>
    <w:rsid w:val="00980F05"/>
    <w:rsid w:val="00981370"/>
    <w:rsid w:val="009816B8"/>
    <w:rsid w:val="00981755"/>
    <w:rsid w:val="00982985"/>
    <w:rsid w:val="009829EB"/>
    <w:rsid w:val="00982C7D"/>
    <w:rsid w:val="0098405C"/>
    <w:rsid w:val="00985E55"/>
    <w:rsid w:val="0098794D"/>
    <w:rsid w:val="009907F5"/>
    <w:rsid w:val="009909A8"/>
    <w:rsid w:val="00992439"/>
    <w:rsid w:val="0099326F"/>
    <w:rsid w:val="00993E4B"/>
    <w:rsid w:val="0099467D"/>
    <w:rsid w:val="00996957"/>
    <w:rsid w:val="00996E99"/>
    <w:rsid w:val="009970A3"/>
    <w:rsid w:val="0099798C"/>
    <w:rsid w:val="009A3795"/>
    <w:rsid w:val="009A40E1"/>
    <w:rsid w:val="009A4D4A"/>
    <w:rsid w:val="009A506D"/>
    <w:rsid w:val="009A7755"/>
    <w:rsid w:val="009B25E4"/>
    <w:rsid w:val="009B2BC4"/>
    <w:rsid w:val="009B451E"/>
    <w:rsid w:val="009B4A80"/>
    <w:rsid w:val="009B4E8D"/>
    <w:rsid w:val="009B5479"/>
    <w:rsid w:val="009B6AC1"/>
    <w:rsid w:val="009C3ED8"/>
    <w:rsid w:val="009C50C2"/>
    <w:rsid w:val="009C5C1F"/>
    <w:rsid w:val="009C712A"/>
    <w:rsid w:val="009C78CB"/>
    <w:rsid w:val="009D0296"/>
    <w:rsid w:val="009D0471"/>
    <w:rsid w:val="009D0CCE"/>
    <w:rsid w:val="009D19BF"/>
    <w:rsid w:val="009D2F6F"/>
    <w:rsid w:val="009D40E5"/>
    <w:rsid w:val="009D41F9"/>
    <w:rsid w:val="009D54BA"/>
    <w:rsid w:val="009D58B6"/>
    <w:rsid w:val="009D723C"/>
    <w:rsid w:val="009E03FA"/>
    <w:rsid w:val="009E0B24"/>
    <w:rsid w:val="009E60FE"/>
    <w:rsid w:val="009E6FF2"/>
    <w:rsid w:val="009E7D15"/>
    <w:rsid w:val="009F29B4"/>
    <w:rsid w:val="009F2F73"/>
    <w:rsid w:val="009F4915"/>
    <w:rsid w:val="009F4BBE"/>
    <w:rsid w:val="009F79AB"/>
    <w:rsid w:val="00A005A6"/>
    <w:rsid w:val="00A0103E"/>
    <w:rsid w:val="00A03185"/>
    <w:rsid w:val="00A050F2"/>
    <w:rsid w:val="00A07F2B"/>
    <w:rsid w:val="00A11658"/>
    <w:rsid w:val="00A12F69"/>
    <w:rsid w:val="00A13860"/>
    <w:rsid w:val="00A13D3D"/>
    <w:rsid w:val="00A1424B"/>
    <w:rsid w:val="00A155D7"/>
    <w:rsid w:val="00A17E21"/>
    <w:rsid w:val="00A2064A"/>
    <w:rsid w:val="00A2183D"/>
    <w:rsid w:val="00A25C50"/>
    <w:rsid w:val="00A26123"/>
    <w:rsid w:val="00A27259"/>
    <w:rsid w:val="00A27567"/>
    <w:rsid w:val="00A276CA"/>
    <w:rsid w:val="00A31048"/>
    <w:rsid w:val="00A33ED9"/>
    <w:rsid w:val="00A34B68"/>
    <w:rsid w:val="00A34C65"/>
    <w:rsid w:val="00A35F0F"/>
    <w:rsid w:val="00A35F6C"/>
    <w:rsid w:val="00A37952"/>
    <w:rsid w:val="00A40001"/>
    <w:rsid w:val="00A4098B"/>
    <w:rsid w:val="00A41306"/>
    <w:rsid w:val="00A41C81"/>
    <w:rsid w:val="00A41CA1"/>
    <w:rsid w:val="00A431E6"/>
    <w:rsid w:val="00A43FA7"/>
    <w:rsid w:val="00A44549"/>
    <w:rsid w:val="00A44D27"/>
    <w:rsid w:val="00A46751"/>
    <w:rsid w:val="00A47469"/>
    <w:rsid w:val="00A47617"/>
    <w:rsid w:val="00A5003A"/>
    <w:rsid w:val="00A5119B"/>
    <w:rsid w:val="00A512B9"/>
    <w:rsid w:val="00A5370A"/>
    <w:rsid w:val="00A539AF"/>
    <w:rsid w:val="00A53BDB"/>
    <w:rsid w:val="00A61445"/>
    <w:rsid w:val="00A616D8"/>
    <w:rsid w:val="00A62CB1"/>
    <w:rsid w:val="00A6597D"/>
    <w:rsid w:val="00A67221"/>
    <w:rsid w:val="00A70111"/>
    <w:rsid w:val="00A721A9"/>
    <w:rsid w:val="00A7293F"/>
    <w:rsid w:val="00A740FA"/>
    <w:rsid w:val="00A7415A"/>
    <w:rsid w:val="00A74DB5"/>
    <w:rsid w:val="00A779DF"/>
    <w:rsid w:val="00A77E19"/>
    <w:rsid w:val="00A77FF1"/>
    <w:rsid w:val="00A810F3"/>
    <w:rsid w:val="00A83391"/>
    <w:rsid w:val="00A83999"/>
    <w:rsid w:val="00A843D0"/>
    <w:rsid w:val="00A848FB"/>
    <w:rsid w:val="00A84F3D"/>
    <w:rsid w:val="00A87082"/>
    <w:rsid w:val="00A8726A"/>
    <w:rsid w:val="00A90B31"/>
    <w:rsid w:val="00A9415D"/>
    <w:rsid w:val="00A96196"/>
    <w:rsid w:val="00AA3163"/>
    <w:rsid w:val="00AA469E"/>
    <w:rsid w:val="00AA5575"/>
    <w:rsid w:val="00AA73F7"/>
    <w:rsid w:val="00AB16F7"/>
    <w:rsid w:val="00AB1F7A"/>
    <w:rsid w:val="00AB3416"/>
    <w:rsid w:val="00AB38E9"/>
    <w:rsid w:val="00AB5FE1"/>
    <w:rsid w:val="00AB6474"/>
    <w:rsid w:val="00AC14AE"/>
    <w:rsid w:val="00AC26BF"/>
    <w:rsid w:val="00AC2928"/>
    <w:rsid w:val="00AC3360"/>
    <w:rsid w:val="00AC63BA"/>
    <w:rsid w:val="00AC6C32"/>
    <w:rsid w:val="00AD09FF"/>
    <w:rsid w:val="00AD0B54"/>
    <w:rsid w:val="00AD1E10"/>
    <w:rsid w:val="00AD1EB3"/>
    <w:rsid w:val="00AD1FF1"/>
    <w:rsid w:val="00AD3631"/>
    <w:rsid w:val="00AD3C6F"/>
    <w:rsid w:val="00AE7845"/>
    <w:rsid w:val="00AF16D6"/>
    <w:rsid w:val="00AF23F1"/>
    <w:rsid w:val="00AF4710"/>
    <w:rsid w:val="00AF4E16"/>
    <w:rsid w:val="00AF4F1D"/>
    <w:rsid w:val="00AF502F"/>
    <w:rsid w:val="00AF74B5"/>
    <w:rsid w:val="00B01C43"/>
    <w:rsid w:val="00B01D7E"/>
    <w:rsid w:val="00B0356E"/>
    <w:rsid w:val="00B11411"/>
    <w:rsid w:val="00B11674"/>
    <w:rsid w:val="00B1187C"/>
    <w:rsid w:val="00B146EB"/>
    <w:rsid w:val="00B151F6"/>
    <w:rsid w:val="00B167FD"/>
    <w:rsid w:val="00B21652"/>
    <w:rsid w:val="00B21A25"/>
    <w:rsid w:val="00B2280C"/>
    <w:rsid w:val="00B2380D"/>
    <w:rsid w:val="00B2524B"/>
    <w:rsid w:val="00B309FD"/>
    <w:rsid w:val="00B3490E"/>
    <w:rsid w:val="00B34A2E"/>
    <w:rsid w:val="00B364A3"/>
    <w:rsid w:val="00B36C04"/>
    <w:rsid w:val="00B37525"/>
    <w:rsid w:val="00B37818"/>
    <w:rsid w:val="00B37CD4"/>
    <w:rsid w:val="00B4275B"/>
    <w:rsid w:val="00B43428"/>
    <w:rsid w:val="00B452C8"/>
    <w:rsid w:val="00B475D6"/>
    <w:rsid w:val="00B52538"/>
    <w:rsid w:val="00B52F2C"/>
    <w:rsid w:val="00B53A05"/>
    <w:rsid w:val="00B5493F"/>
    <w:rsid w:val="00B54A25"/>
    <w:rsid w:val="00B559B5"/>
    <w:rsid w:val="00B56892"/>
    <w:rsid w:val="00B56D60"/>
    <w:rsid w:val="00B57276"/>
    <w:rsid w:val="00B57B89"/>
    <w:rsid w:val="00B60904"/>
    <w:rsid w:val="00B64343"/>
    <w:rsid w:val="00B6458A"/>
    <w:rsid w:val="00B7057B"/>
    <w:rsid w:val="00B706DF"/>
    <w:rsid w:val="00B70A49"/>
    <w:rsid w:val="00B71923"/>
    <w:rsid w:val="00B740AE"/>
    <w:rsid w:val="00B77234"/>
    <w:rsid w:val="00B774A2"/>
    <w:rsid w:val="00B806D6"/>
    <w:rsid w:val="00B806E0"/>
    <w:rsid w:val="00B80EBF"/>
    <w:rsid w:val="00B827FA"/>
    <w:rsid w:val="00B82EC6"/>
    <w:rsid w:val="00B8309E"/>
    <w:rsid w:val="00B83FC3"/>
    <w:rsid w:val="00B84EFD"/>
    <w:rsid w:val="00B84F88"/>
    <w:rsid w:val="00B8585B"/>
    <w:rsid w:val="00B874BD"/>
    <w:rsid w:val="00B87B49"/>
    <w:rsid w:val="00B9193E"/>
    <w:rsid w:val="00B92006"/>
    <w:rsid w:val="00B93C79"/>
    <w:rsid w:val="00B950B9"/>
    <w:rsid w:val="00BA1BD5"/>
    <w:rsid w:val="00BA1E77"/>
    <w:rsid w:val="00BA31CD"/>
    <w:rsid w:val="00BA31DA"/>
    <w:rsid w:val="00BA3B23"/>
    <w:rsid w:val="00BA52AA"/>
    <w:rsid w:val="00BA7B58"/>
    <w:rsid w:val="00BB031E"/>
    <w:rsid w:val="00BB0E28"/>
    <w:rsid w:val="00BB1509"/>
    <w:rsid w:val="00BB1863"/>
    <w:rsid w:val="00BB4030"/>
    <w:rsid w:val="00BB4EF7"/>
    <w:rsid w:val="00BB5CA0"/>
    <w:rsid w:val="00BB6D5F"/>
    <w:rsid w:val="00BB6FEC"/>
    <w:rsid w:val="00BC2C01"/>
    <w:rsid w:val="00BC33F4"/>
    <w:rsid w:val="00BC6327"/>
    <w:rsid w:val="00BC7C47"/>
    <w:rsid w:val="00BD119F"/>
    <w:rsid w:val="00BD3AA8"/>
    <w:rsid w:val="00BD3AF8"/>
    <w:rsid w:val="00BD3C64"/>
    <w:rsid w:val="00BD3F72"/>
    <w:rsid w:val="00BD4B66"/>
    <w:rsid w:val="00BD56AB"/>
    <w:rsid w:val="00BE2687"/>
    <w:rsid w:val="00BE3065"/>
    <w:rsid w:val="00BE31FF"/>
    <w:rsid w:val="00BE3CB9"/>
    <w:rsid w:val="00BE52A7"/>
    <w:rsid w:val="00BE65AB"/>
    <w:rsid w:val="00BE6EF7"/>
    <w:rsid w:val="00BE716B"/>
    <w:rsid w:val="00BE7344"/>
    <w:rsid w:val="00BF0280"/>
    <w:rsid w:val="00BF0C83"/>
    <w:rsid w:val="00BF1491"/>
    <w:rsid w:val="00BF21CE"/>
    <w:rsid w:val="00BF24BF"/>
    <w:rsid w:val="00BF2BCD"/>
    <w:rsid w:val="00BF411C"/>
    <w:rsid w:val="00BF441D"/>
    <w:rsid w:val="00BF4D54"/>
    <w:rsid w:val="00BF6347"/>
    <w:rsid w:val="00C00751"/>
    <w:rsid w:val="00C01B68"/>
    <w:rsid w:val="00C04DAE"/>
    <w:rsid w:val="00C052E6"/>
    <w:rsid w:val="00C05E0F"/>
    <w:rsid w:val="00C10AB0"/>
    <w:rsid w:val="00C11AF4"/>
    <w:rsid w:val="00C12A88"/>
    <w:rsid w:val="00C20779"/>
    <w:rsid w:val="00C22CCD"/>
    <w:rsid w:val="00C24E06"/>
    <w:rsid w:val="00C254DF"/>
    <w:rsid w:val="00C25F76"/>
    <w:rsid w:val="00C27C7F"/>
    <w:rsid w:val="00C312C0"/>
    <w:rsid w:val="00C32A09"/>
    <w:rsid w:val="00C35195"/>
    <w:rsid w:val="00C355E9"/>
    <w:rsid w:val="00C368FA"/>
    <w:rsid w:val="00C369D8"/>
    <w:rsid w:val="00C375E0"/>
    <w:rsid w:val="00C41EA7"/>
    <w:rsid w:val="00C43B2B"/>
    <w:rsid w:val="00C44F88"/>
    <w:rsid w:val="00C474E0"/>
    <w:rsid w:val="00C5083F"/>
    <w:rsid w:val="00C50CF8"/>
    <w:rsid w:val="00C532D8"/>
    <w:rsid w:val="00C545D4"/>
    <w:rsid w:val="00C54D58"/>
    <w:rsid w:val="00C550E3"/>
    <w:rsid w:val="00C56F41"/>
    <w:rsid w:val="00C61DB1"/>
    <w:rsid w:val="00C62574"/>
    <w:rsid w:val="00C63138"/>
    <w:rsid w:val="00C636D7"/>
    <w:rsid w:val="00C6485A"/>
    <w:rsid w:val="00C652AD"/>
    <w:rsid w:val="00C6729C"/>
    <w:rsid w:val="00C72F23"/>
    <w:rsid w:val="00C74935"/>
    <w:rsid w:val="00C74DF2"/>
    <w:rsid w:val="00C76CAB"/>
    <w:rsid w:val="00C77D61"/>
    <w:rsid w:val="00C803C0"/>
    <w:rsid w:val="00C80409"/>
    <w:rsid w:val="00C80DC3"/>
    <w:rsid w:val="00C81D39"/>
    <w:rsid w:val="00C82D5E"/>
    <w:rsid w:val="00C83826"/>
    <w:rsid w:val="00C8514D"/>
    <w:rsid w:val="00C906BA"/>
    <w:rsid w:val="00C92D3A"/>
    <w:rsid w:val="00C93794"/>
    <w:rsid w:val="00C942AA"/>
    <w:rsid w:val="00C94CE7"/>
    <w:rsid w:val="00C964E2"/>
    <w:rsid w:val="00C97C14"/>
    <w:rsid w:val="00C97DC5"/>
    <w:rsid w:val="00CA1026"/>
    <w:rsid w:val="00CA2CFE"/>
    <w:rsid w:val="00CA4863"/>
    <w:rsid w:val="00CA5C51"/>
    <w:rsid w:val="00CA5CB2"/>
    <w:rsid w:val="00CA6BDF"/>
    <w:rsid w:val="00CA70E1"/>
    <w:rsid w:val="00CA73F0"/>
    <w:rsid w:val="00CA7AC2"/>
    <w:rsid w:val="00CB059A"/>
    <w:rsid w:val="00CB1065"/>
    <w:rsid w:val="00CB21A5"/>
    <w:rsid w:val="00CB2613"/>
    <w:rsid w:val="00CB2BE8"/>
    <w:rsid w:val="00CB3B9E"/>
    <w:rsid w:val="00CB4F4E"/>
    <w:rsid w:val="00CB5403"/>
    <w:rsid w:val="00CB5B77"/>
    <w:rsid w:val="00CB5D5E"/>
    <w:rsid w:val="00CB626A"/>
    <w:rsid w:val="00CC20F2"/>
    <w:rsid w:val="00CC231A"/>
    <w:rsid w:val="00CC4647"/>
    <w:rsid w:val="00CC611D"/>
    <w:rsid w:val="00CC7BD3"/>
    <w:rsid w:val="00CD13F9"/>
    <w:rsid w:val="00CD17EF"/>
    <w:rsid w:val="00CD4589"/>
    <w:rsid w:val="00CE0EBD"/>
    <w:rsid w:val="00CE173A"/>
    <w:rsid w:val="00CE28D3"/>
    <w:rsid w:val="00CE3188"/>
    <w:rsid w:val="00CE332F"/>
    <w:rsid w:val="00CE4234"/>
    <w:rsid w:val="00CE626D"/>
    <w:rsid w:val="00CE74BD"/>
    <w:rsid w:val="00CE76B8"/>
    <w:rsid w:val="00CF00DC"/>
    <w:rsid w:val="00CF0D08"/>
    <w:rsid w:val="00CF1C27"/>
    <w:rsid w:val="00CF2119"/>
    <w:rsid w:val="00CF4E4F"/>
    <w:rsid w:val="00CF5575"/>
    <w:rsid w:val="00CF6531"/>
    <w:rsid w:val="00D010AC"/>
    <w:rsid w:val="00D03005"/>
    <w:rsid w:val="00D038BF"/>
    <w:rsid w:val="00D11DD0"/>
    <w:rsid w:val="00D128DC"/>
    <w:rsid w:val="00D12C21"/>
    <w:rsid w:val="00D144C5"/>
    <w:rsid w:val="00D14E1B"/>
    <w:rsid w:val="00D1603C"/>
    <w:rsid w:val="00D1632C"/>
    <w:rsid w:val="00D16C07"/>
    <w:rsid w:val="00D214EB"/>
    <w:rsid w:val="00D2264D"/>
    <w:rsid w:val="00D24A63"/>
    <w:rsid w:val="00D25D61"/>
    <w:rsid w:val="00D26FA4"/>
    <w:rsid w:val="00D27482"/>
    <w:rsid w:val="00D3049D"/>
    <w:rsid w:val="00D31CC4"/>
    <w:rsid w:val="00D328FE"/>
    <w:rsid w:val="00D34690"/>
    <w:rsid w:val="00D36BBA"/>
    <w:rsid w:val="00D3775D"/>
    <w:rsid w:val="00D37B4E"/>
    <w:rsid w:val="00D43CCE"/>
    <w:rsid w:val="00D4480B"/>
    <w:rsid w:val="00D45E27"/>
    <w:rsid w:val="00D47CA4"/>
    <w:rsid w:val="00D47F84"/>
    <w:rsid w:val="00D51D6E"/>
    <w:rsid w:val="00D521A3"/>
    <w:rsid w:val="00D53564"/>
    <w:rsid w:val="00D55ED6"/>
    <w:rsid w:val="00D56FC2"/>
    <w:rsid w:val="00D573AB"/>
    <w:rsid w:val="00D63D6E"/>
    <w:rsid w:val="00D6495B"/>
    <w:rsid w:val="00D64D36"/>
    <w:rsid w:val="00D653F3"/>
    <w:rsid w:val="00D660EE"/>
    <w:rsid w:val="00D67941"/>
    <w:rsid w:val="00D70273"/>
    <w:rsid w:val="00D714BF"/>
    <w:rsid w:val="00D7465E"/>
    <w:rsid w:val="00D76A8C"/>
    <w:rsid w:val="00D77D2D"/>
    <w:rsid w:val="00D800E5"/>
    <w:rsid w:val="00D839F1"/>
    <w:rsid w:val="00D85C45"/>
    <w:rsid w:val="00D8658C"/>
    <w:rsid w:val="00D87BDC"/>
    <w:rsid w:val="00D87E03"/>
    <w:rsid w:val="00D911A0"/>
    <w:rsid w:val="00D92326"/>
    <w:rsid w:val="00D93248"/>
    <w:rsid w:val="00D96B82"/>
    <w:rsid w:val="00D976F8"/>
    <w:rsid w:val="00DA0E2C"/>
    <w:rsid w:val="00DA1DD6"/>
    <w:rsid w:val="00DA3F57"/>
    <w:rsid w:val="00DA3FD6"/>
    <w:rsid w:val="00DA4D5E"/>
    <w:rsid w:val="00DA5A63"/>
    <w:rsid w:val="00DA6772"/>
    <w:rsid w:val="00DA6894"/>
    <w:rsid w:val="00DA6F1B"/>
    <w:rsid w:val="00DA75FB"/>
    <w:rsid w:val="00DB1DC4"/>
    <w:rsid w:val="00DB3A6C"/>
    <w:rsid w:val="00DB44A9"/>
    <w:rsid w:val="00DB473B"/>
    <w:rsid w:val="00DC0C12"/>
    <w:rsid w:val="00DC2BBA"/>
    <w:rsid w:val="00DC2CC5"/>
    <w:rsid w:val="00DC577C"/>
    <w:rsid w:val="00DC6E39"/>
    <w:rsid w:val="00DC7E2F"/>
    <w:rsid w:val="00DD2C8C"/>
    <w:rsid w:val="00DD3028"/>
    <w:rsid w:val="00DD3B49"/>
    <w:rsid w:val="00DD3E9D"/>
    <w:rsid w:val="00DD5191"/>
    <w:rsid w:val="00DD6F3F"/>
    <w:rsid w:val="00DD72C8"/>
    <w:rsid w:val="00DD7301"/>
    <w:rsid w:val="00DD759B"/>
    <w:rsid w:val="00DE292C"/>
    <w:rsid w:val="00DE365D"/>
    <w:rsid w:val="00DE45C3"/>
    <w:rsid w:val="00DE5C12"/>
    <w:rsid w:val="00DF0737"/>
    <w:rsid w:val="00DF0A86"/>
    <w:rsid w:val="00DF1801"/>
    <w:rsid w:val="00DF5630"/>
    <w:rsid w:val="00DF6E85"/>
    <w:rsid w:val="00DF7C9C"/>
    <w:rsid w:val="00E00618"/>
    <w:rsid w:val="00E00AE2"/>
    <w:rsid w:val="00E00B73"/>
    <w:rsid w:val="00E00D37"/>
    <w:rsid w:val="00E02F1A"/>
    <w:rsid w:val="00E0394E"/>
    <w:rsid w:val="00E07D2F"/>
    <w:rsid w:val="00E1072C"/>
    <w:rsid w:val="00E109BF"/>
    <w:rsid w:val="00E11C85"/>
    <w:rsid w:val="00E11D54"/>
    <w:rsid w:val="00E11EDF"/>
    <w:rsid w:val="00E120BE"/>
    <w:rsid w:val="00E12EB3"/>
    <w:rsid w:val="00E15ABB"/>
    <w:rsid w:val="00E16F0E"/>
    <w:rsid w:val="00E170FF"/>
    <w:rsid w:val="00E17636"/>
    <w:rsid w:val="00E17F57"/>
    <w:rsid w:val="00E203B9"/>
    <w:rsid w:val="00E20700"/>
    <w:rsid w:val="00E233AF"/>
    <w:rsid w:val="00E26ABA"/>
    <w:rsid w:val="00E26ADC"/>
    <w:rsid w:val="00E314B7"/>
    <w:rsid w:val="00E322CB"/>
    <w:rsid w:val="00E32396"/>
    <w:rsid w:val="00E32EA2"/>
    <w:rsid w:val="00E336BA"/>
    <w:rsid w:val="00E33EEC"/>
    <w:rsid w:val="00E34D35"/>
    <w:rsid w:val="00E34D6D"/>
    <w:rsid w:val="00E34E66"/>
    <w:rsid w:val="00E35A4C"/>
    <w:rsid w:val="00E378B6"/>
    <w:rsid w:val="00E37B52"/>
    <w:rsid w:val="00E37B59"/>
    <w:rsid w:val="00E41C21"/>
    <w:rsid w:val="00E42788"/>
    <w:rsid w:val="00E46469"/>
    <w:rsid w:val="00E471B2"/>
    <w:rsid w:val="00E510E5"/>
    <w:rsid w:val="00E51D77"/>
    <w:rsid w:val="00E51E32"/>
    <w:rsid w:val="00E51F92"/>
    <w:rsid w:val="00E52A2F"/>
    <w:rsid w:val="00E54F7F"/>
    <w:rsid w:val="00E55B1C"/>
    <w:rsid w:val="00E56177"/>
    <w:rsid w:val="00E563BE"/>
    <w:rsid w:val="00E56CE3"/>
    <w:rsid w:val="00E57179"/>
    <w:rsid w:val="00E57B6A"/>
    <w:rsid w:val="00E60767"/>
    <w:rsid w:val="00E61705"/>
    <w:rsid w:val="00E62595"/>
    <w:rsid w:val="00E6538E"/>
    <w:rsid w:val="00E66C55"/>
    <w:rsid w:val="00E70625"/>
    <w:rsid w:val="00E76872"/>
    <w:rsid w:val="00E772F9"/>
    <w:rsid w:val="00E857DA"/>
    <w:rsid w:val="00E85D1D"/>
    <w:rsid w:val="00E86FA1"/>
    <w:rsid w:val="00E87734"/>
    <w:rsid w:val="00E87C70"/>
    <w:rsid w:val="00E906B5"/>
    <w:rsid w:val="00E909C7"/>
    <w:rsid w:val="00E951BB"/>
    <w:rsid w:val="00E95FBC"/>
    <w:rsid w:val="00EA28E9"/>
    <w:rsid w:val="00EA2B40"/>
    <w:rsid w:val="00EA2CF9"/>
    <w:rsid w:val="00EA5B28"/>
    <w:rsid w:val="00EB02B5"/>
    <w:rsid w:val="00EB0398"/>
    <w:rsid w:val="00EB0AFE"/>
    <w:rsid w:val="00EB200E"/>
    <w:rsid w:val="00EB3B8E"/>
    <w:rsid w:val="00EB3D22"/>
    <w:rsid w:val="00EB3DCB"/>
    <w:rsid w:val="00EB41C3"/>
    <w:rsid w:val="00EB4A51"/>
    <w:rsid w:val="00EC22B3"/>
    <w:rsid w:val="00EC2A20"/>
    <w:rsid w:val="00EC2DA6"/>
    <w:rsid w:val="00EC316F"/>
    <w:rsid w:val="00EC35A6"/>
    <w:rsid w:val="00EC45C9"/>
    <w:rsid w:val="00EC5928"/>
    <w:rsid w:val="00EC788A"/>
    <w:rsid w:val="00EC79C9"/>
    <w:rsid w:val="00ED1856"/>
    <w:rsid w:val="00ED3976"/>
    <w:rsid w:val="00ED3BAF"/>
    <w:rsid w:val="00ED3D2B"/>
    <w:rsid w:val="00ED59F5"/>
    <w:rsid w:val="00ED6131"/>
    <w:rsid w:val="00ED6C3C"/>
    <w:rsid w:val="00EE1818"/>
    <w:rsid w:val="00EE1EE0"/>
    <w:rsid w:val="00EE2941"/>
    <w:rsid w:val="00EE2DEE"/>
    <w:rsid w:val="00EE3239"/>
    <w:rsid w:val="00EE55A4"/>
    <w:rsid w:val="00EE7040"/>
    <w:rsid w:val="00EE7EA7"/>
    <w:rsid w:val="00EF0B6F"/>
    <w:rsid w:val="00EF105E"/>
    <w:rsid w:val="00EF2676"/>
    <w:rsid w:val="00EF3358"/>
    <w:rsid w:val="00EF35CA"/>
    <w:rsid w:val="00EF3CD0"/>
    <w:rsid w:val="00EF683E"/>
    <w:rsid w:val="00EF7006"/>
    <w:rsid w:val="00F036CC"/>
    <w:rsid w:val="00F0407F"/>
    <w:rsid w:val="00F04C59"/>
    <w:rsid w:val="00F07ADB"/>
    <w:rsid w:val="00F10B0A"/>
    <w:rsid w:val="00F1103E"/>
    <w:rsid w:val="00F156F8"/>
    <w:rsid w:val="00F17C64"/>
    <w:rsid w:val="00F20173"/>
    <w:rsid w:val="00F20617"/>
    <w:rsid w:val="00F22DBB"/>
    <w:rsid w:val="00F23917"/>
    <w:rsid w:val="00F24B3A"/>
    <w:rsid w:val="00F261C9"/>
    <w:rsid w:val="00F26568"/>
    <w:rsid w:val="00F265FE"/>
    <w:rsid w:val="00F2785C"/>
    <w:rsid w:val="00F30176"/>
    <w:rsid w:val="00F315EE"/>
    <w:rsid w:val="00F34924"/>
    <w:rsid w:val="00F34ACD"/>
    <w:rsid w:val="00F34FF6"/>
    <w:rsid w:val="00F35753"/>
    <w:rsid w:val="00F357C4"/>
    <w:rsid w:val="00F35B69"/>
    <w:rsid w:val="00F36B1C"/>
    <w:rsid w:val="00F3726A"/>
    <w:rsid w:val="00F378EE"/>
    <w:rsid w:val="00F478AD"/>
    <w:rsid w:val="00F479E5"/>
    <w:rsid w:val="00F52B48"/>
    <w:rsid w:val="00F53012"/>
    <w:rsid w:val="00F545DC"/>
    <w:rsid w:val="00F56F3D"/>
    <w:rsid w:val="00F604EC"/>
    <w:rsid w:val="00F62358"/>
    <w:rsid w:val="00F6697B"/>
    <w:rsid w:val="00F6715D"/>
    <w:rsid w:val="00F672DE"/>
    <w:rsid w:val="00F67C96"/>
    <w:rsid w:val="00F718F3"/>
    <w:rsid w:val="00F74F52"/>
    <w:rsid w:val="00F75E1D"/>
    <w:rsid w:val="00F7683A"/>
    <w:rsid w:val="00F7729A"/>
    <w:rsid w:val="00F8055D"/>
    <w:rsid w:val="00F80E73"/>
    <w:rsid w:val="00F8377E"/>
    <w:rsid w:val="00F87C1E"/>
    <w:rsid w:val="00F87CB0"/>
    <w:rsid w:val="00F9094E"/>
    <w:rsid w:val="00F9208E"/>
    <w:rsid w:val="00F92867"/>
    <w:rsid w:val="00F92AC6"/>
    <w:rsid w:val="00F94340"/>
    <w:rsid w:val="00F96711"/>
    <w:rsid w:val="00F97985"/>
    <w:rsid w:val="00FA052F"/>
    <w:rsid w:val="00FA4516"/>
    <w:rsid w:val="00FA4E5B"/>
    <w:rsid w:val="00FA55D4"/>
    <w:rsid w:val="00FA59CF"/>
    <w:rsid w:val="00FA5F33"/>
    <w:rsid w:val="00FB17E6"/>
    <w:rsid w:val="00FB2CD9"/>
    <w:rsid w:val="00FB2FE3"/>
    <w:rsid w:val="00FB3633"/>
    <w:rsid w:val="00FB3A32"/>
    <w:rsid w:val="00FB436D"/>
    <w:rsid w:val="00FB5210"/>
    <w:rsid w:val="00FC0B21"/>
    <w:rsid w:val="00FC10DA"/>
    <w:rsid w:val="00FC1A8D"/>
    <w:rsid w:val="00FC1F6A"/>
    <w:rsid w:val="00FC53AF"/>
    <w:rsid w:val="00FD1CB1"/>
    <w:rsid w:val="00FD20B0"/>
    <w:rsid w:val="00FD217B"/>
    <w:rsid w:val="00FD38AD"/>
    <w:rsid w:val="00FD3C47"/>
    <w:rsid w:val="00FD3D45"/>
    <w:rsid w:val="00FD3FB5"/>
    <w:rsid w:val="00FD5781"/>
    <w:rsid w:val="00FD7EF7"/>
    <w:rsid w:val="00FE03FE"/>
    <w:rsid w:val="00FE1A3B"/>
    <w:rsid w:val="00FE2266"/>
    <w:rsid w:val="00FE3808"/>
    <w:rsid w:val="00FE3F3B"/>
    <w:rsid w:val="00FE4473"/>
    <w:rsid w:val="00FE6B34"/>
    <w:rsid w:val="00FF0B39"/>
    <w:rsid w:val="00FF18B3"/>
    <w:rsid w:val="00FF1FD8"/>
    <w:rsid w:val="00FF4044"/>
    <w:rsid w:val="00FF73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73CD42D"/>
  <w15:docId w15:val="{0F4C578F-39D5-4557-8034-D41242FE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9"/>
    <w:qFormat/>
    <w:pPr>
      <w:keepNext/>
      <w:keepLines/>
      <w:pageBreakBefore/>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9"/>
    <w:qFormat/>
    <w:rsid w:val="00C54D58"/>
    <w:pPr>
      <w:keepNext/>
      <w:keepLines/>
      <w:numPr>
        <w:ilvl w:val="1"/>
        <w:numId w:val="16"/>
      </w:numPr>
      <w:spacing w:before="240" w:after="240"/>
      <w:ind w:left="68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9"/>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9"/>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663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rPr>
      <w:rFonts w:ascii="Calibri" w:eastAsiaTheme="minorHAnsi" w:hAnsi="Calibri" w:cstheme="minorBidi"/>
      <w:szCs w:val="22"/>
      <w:lang w:eastAsia="en-US"/>
    </w:rPr>
  </w:style>
  <w:style w:type="paragraph" w:styleId="Footer">
    <w:name w:val="footer"/>
    <w:basedOn w:val="Normal"/>
    <w:link w:val="FooterChar"/>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imes New Roman"/>
      <w:b/>
      <w:bCs/>
      <w:sz w:val="20"/>
      <w:szCs w:val="20"/>
    </w:rPr>
  </w:style>
  <w:style w:type="paragraph" w:styleId="BalloonText">
    <w:name w:val="Balloon Text"/>
    <w:basedOn w:val="Normal"/>
    <w:link w:val="BalloonTextChar"/>
    <w:semiHidden/>
    <w:unhideWhenUsed/>
    <w:rPr>
      <w:rFonts w:ascii="Calibri" w:hAnsi="Calibri"/>
      <w:sz w:val="18"/>
      <w:szCs w:val="18"/>
    </w:rPr>
  </w:style>
  <w:style w:type="character" w:customStyle="1" w:styleId="BalloonTextChar">
    <w:name w:val="Balloon Text Char"/>
    <w:basedOn w:val="DefaultParagraphFont"/>
    <w:link w:val="BalloonText"/>
    <w:semiHidden/>
    <w:rPr>
      <w:rFonts w:ascii="Calibri" w:eastAsia="Times New Roman" w:hAnsi="Calibr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9"/>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9"/>
    <w:rsid w:val="00C54D58"/>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9"/>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35"/>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NZ"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11"/>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11"/>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character" w:customStyle="1" w:styleId="UnresolvedMention1">
    <w:name w:val="Unresolved Mention1"/>
    <w:basedOn w:val="DefaultParagraphFont"/>
    <w:uiPriority w:val="99"/>
    <w:semiHidden/>
    <w:unhideWhenUsed/>
    <w:rsid w:val="00920637"/>
    <w:rPr>
      <w:color w:val="605E5C"/>
      <w:shd w:val="clear" w:color="auto" w:fill="E1DFDD"/>
    </w:rPr>
  </w:style>
  <w:style w:type="character" w:customStyle="1" w:styleId="Heading9Char">
    <w:name w:val="Heading 9 Char"/>
    <w:basedOn w:val="DefaultParagraphFont"/>
    <w:link w:val="Heading9"/>
    <w:uiPriority w:val="9"/>
    <w:semiHidden/>
    <w:rsid w:val="0007663D"/>
    <w:rPr>
      <w:rFonts w:asciiTheme="majorHAnsi" w:eastAsiaTheme="majorEastAsia" w:hAnsiTheme="majorHAnsi" w:cstheme="majorBidi"/>
      <w:i/>
      <w:iCs/>
      <w:color w:val="272727" w:themeColor="text1" w:themeTint="D8"/>
      <w:sz w:val="21"/>
      <w:szCs w:val="21"/>
      <w:lang w:eastAsia="en-US"/>
    </w:rPr>
  </w:style>
  <w:style w:type="paragraph" w:customStyle="1" w:styleId="Tabletext0">
    <w:name w:val="Table text"/>
    <w:basedOn w:val="Normal"/>
    <w:rsid w:val="00F604EC"/>
    <w:pPr>
      <w:keepNext/>
      <w:spacing w:before="120" w:after="120" w:line="240" w:lineRule="auto"/>
      <w:jc w:val="both"/>
    </w:pPr>
    <w:rPr>
      <w:rFonts w:ascii="Arial" w:eastAsiaTheme="minorEastAsia" w:hAnsi="Arial"/>
      <w:sz w:val="18"/>
      <w:szCs w:val="20"/>
      <w:lang w:val="en-NZ" w:bidi="en-US"/>
    </w:rPr>
  </w:style>
  <w:style w:type="paragraph" w:customStyle="1" w:styleId="Definition">
    <w:name w:val="Definition"/>
    <w:basedOn w:val="Normal"/>
    <w:rsid w:val="00A46751"/>
    <w:pPr>
      <w:tabs>
        <w:tab w:val="left" w:pos="1701"/>
      </w:tabs>
      <w:ind w:left="1701" w:hanging="1701"/>
      <w:jc w:val="both"/>
    </w:pPr>
    <w:rPr>
      <w:rFonts w:ascii="Garamond" w:eastAsiaTheme="minorEastAsia" w:hAnsi="Garamond"/>
      <w:szCs w:val="20"/>
      <w:lang w:val="en-US" w:bidi="en-US"/>
    </w:rPr>
  </w:style>
  <w:style w:type="paragraph" w:styleId="BodyText">
    <w:name w:val="Body Text"/>
    <w:basedOn w:val="Normal"/>
    <w:link w:val="BodyTextChar"/>
    <w:rsid w:val="00A46751"/>
    <w:pPr>
      <w:jc w:val="center"/>
    </w:pPr>
    <w:rPr>
      <w:rFonts w:ascii="Book Antiqua" w:eastAsiaTheme="minorEastAsia" w:hAnsi="Book Antiqua"/>
      <w:szCs w:val="20"/>
      <w:lang w:val="en-US" w:bidi="en-US"/>
    </w:rPr>
  </w:style>
  <w:style w:type="character" w:customStyle="1" w:styleId="BodyTextChar">
    <w:name w:val="Body Text Char"/>
    <w:basedOn w:val="DefaultParagraphFont"/>
    <w:link w:val="BodyText"/>
    <w:rsid w:val="00A46751"/>
    <w:rPr>
      <w:rFonts w:ascii="Book Antiqua" w:eastAsiaTheme="minorEastAsia" w:hAnsi="Book Antiqua" w:cstheme="minorBidi"/>
      <w:sz w:val="22"/>
      <w:lang w:val="en-US" w:eastAsia="en-US" w:bidi="en-US"/>
    </w:rPr>
  </w:style>
  <w:style w:type="paragraph" w:styleId="FootnoteText">
    <w:name w:val="footnote text"/>
    <w:basedOn w:val="Normal"/>
    <w:link w:val="FootnoteTextChar"/>
    <w:uiPriority w:val="99"/>
    <w:semiHidden/>
    <w:rsid w:val="00A46751"/>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uiPriority w:val="99"/>
    <w:rsid w:val="00A46751"/>
    <w:rPr>
      <w:rFonts w:ascii="Garamond" w:eastAsiaTheme="minorEastAsia" w:hAnsi="Garamond" w:cstheme="minorBidi"/>
      <w:sz w:val="22"/>
      <w:lang w:val="en-GB" w:eastAsia="en-US" w:bidi="en-US"/>
    </w:rPr>
  </w:style>
  <w:style w:type="paragraph" w:customStyle="1" w:styleId="table1">
    <w:name w:val="table 1"/>
    <w:rsid w:val="00A46751"/>
    <w:pPr>
      <w:spacing w:before="60" w:after="60" w:line="200" w:lineRule="atLeast"/>
      <w:jc w:val="both"/>
    </w:pPr>
    <w:rPr>
      <w:rFonts w:ascii="Arial" w:eastAsiaTheme="minorEastAsia" w:hAnsi="Arial" w:cstheme="minorBidi"/>
      <w:sz w:val="16"/>
      <w:lang w:eastAsia="en-US"/>
    </w:rPr>
  </w:style>
  <w:style w:type="paragraph" w:customStyle="1" w:styleId="Normalbodytext">
    <w:name w:val="Normal body text"/>
    <w:basedOn w:val="Normal"/>
    <w:link w:val="NormalbodytextChar"/>
    <w:rsid w:val="00A46751"/>
    <w:pPr>
      <w:spacing w:before="120" w:after="240" w:line="320" w:lineRule="atLeast"/>
      <w:jc w:val="both"/>
    </w:pPr>
    <w:rPr>
      <w:rFonts w:ascii="Garamond" w:eastAsiaTheme="minorEastAsia" w:hAnsi="Garamond"/>
      <w:szCs w:val="20"/>
      <w:lang w:val="en-NZ" w:bidi="en-US"/>
    </w:rPr>
  </w:style>
  <w:style w:type="character" w:customStyle="1" w:styleId="NormalbodytextChar">
    <w:name w:val="Normal body text Char"/>
    <w:basedOn w:val="DefaultParagraphFont"/>
    <w:link w:val="Normalbodytext"/>
    <w:rsid w:val="00A46751"/>
    <w:rPr>
      <w:rFonts w:ascii="Garamond" w:eastAsiaTheme="minorEastAsia" w:hAnsi="Garamond" w:cstheme="minorBidi"/>
      <w:sz w:val="22"/>
      <w:lang w:val="en-NZ" w:eastAsia="en-US" w:bidi="en-US"/>
    </w:rPr>
  </w:style>
  <w:style w:type="paragraph" w:customStyle="1" w:styleId="References">
    <w:name w:val="References"/>
    <w:basedOn w:val="Normalbodytext"/>
    <w:rsid w:val="00A46751"/>
    <w:pPr>
      <w:keepNext/>
      <w:ind w:left="284" w:right="-6" w:hanging="284"/>
    </w:pPr>
  </w:style>
  <w:style w:type="paragraph" w:styleId="Title">
    <w:name w:val="Title"/>
    <w:basedOn w:val="Normal"/>
    <w:next w:val="Normal"/>
    <w:link w:val="TitleChar"/>
    <w:uiPriority w:val="10"/>
    <w:qFormat/>
    <w:rsid w:val="00A46751"/>
    <w:pPr>
      <w:pBdr>
        <w:top w:val="single" w:sz="12" w:space="1" w:color="C0504D" w:themeColor="accent2"/>
      </w:pBdr>
      <w:spacing w:line="240" w:lineRule="auto"/>
      <w:jc w:val="right"/>
    </w:pPr>
    <w:rPr>
      <w:rFonts w:ascii="Garamond" w:eastAsiaTheme="minorEastAsia" w:hAnsi="Garamond"/>
      <w:smallCaps/>
      <w:sz w:val="48"/>
      <w:szCs w:val="48"/>
      <w:lang w:val="en-US" w:bidi="en-US"/>
    </w:rPr>
  </w:style>
  <w:style w:type="character" w:customStyle="1" w:styleId="TitleChar">
    <w:name w:val="Title Char"/>
    <w:basedOn w:val="DefaultParagraphFont"/>
    <w:link w:val="Title"/>
    <w:uiPriority w:val="10"/>
    <w:rsid w:val="00A46751"/>
    <w:rPr>
      <w:rFonts w:ascii="Garamond" w:eastAsiaTheme="minorEastAsia" w:hAnsi="Garamond" w:cstheme="minorBidi"/>
      <w:smallCaps/>
      <w:sz w:val="48"/>
      <w:szCs w:val="48"/>
      <w:lang w:val="en-US" w:eastAsia="en-US" w:bidi="en-US"/>
    </w:rPr>
  </w:style>
  <w:style w:type="paragraph" w:styleId="NoSpacing">
    <w:name w:val="No Spacing"/>
    <w:basedOn w:val="Normal"/>
    <w:link w:val="NoSpacingChar"/>
    <w:uiPriority w:val="1"/>
    <w:qFormat/>
    <w:rsid w:val="00A46751"/>
    <w:pPr>
      <w:spacing w:after="0" w:line="240" w:lineRule="auto"/>
      <w:jc w:val="both"/>
    </w:pPr>
    <w:rPr>
      <w:rFonts w:ascii="Garamond" w:eastAsiaTheme="minorEastAsia" w:hAnsi="Garamond"/>
      <w:szCs w:val="20"/>
      <w:lang w:val="en-US" w:bidi="en-US"/>
    </w:rPr>
  </w:style>
  <w:style w:type="character" w:customStyle="1" w:styleId="NoSpacingChar">
    <w:name w:val="No Spacing Char"/>
    <w:basedOn w:val="DefaultParagraphFont"/>
    <w:link w:val="NoSpacing"/>
    <w:uiPriority w:val="1"/>
    <w:rsid w:val="00A46751"/>
    <w:rPr>
      <w:rFonts w:ascii="Garamond" w:eastAsiaTheme="minorEastAsia" w:hAnsi="Garamond" w:cstheme="minorBidi"/>
      <w:sz w:val="22"/>
      <w:lang w:val="en-US" w:eastAsia="en-US" w:bidi="en-US"/>
    </w:rPr>
  </w:style>
  <w:style w:type="character" w:styleId="SubtleEmphasis">
    <w:name w:val="Subtle Emphasis"/>
    <w:uiPriority w:val="19"/>
    <w:qFormat/>
    <w:rsid w:val="00A46751"/>
    <w:rPr>
      <w:i/>
    </w:rPr>
  </w:style>
  <w:style w:type="character" w:styleId="IntenseEmphasis">
    <w:name w:val="Intense Emphasis"/>
    <w:uiPriority w:val="21"/>
    <w:qFormat/>
    <w:rsid w:val="00A46751"/>
    <w:rPr>
      <w:b/>
      <w:i/>
      <w:color w:val="C0504D" w:themeColor="accent2"/>
      <w:spacing w:val="10"/>
    </w:rPr>
  </w:style>
  <w:style w:type="character" w:styleId="SubtleReference">
    <w:name w:val="Subtle Reference"/>
    <w:uiPriority w:val="31"/>
    <w:qFormat/>
    <w:rsid w:val="00A46751"/>
    <w:rPr>
      <w:b/>
    </w:rPr>
  </w:style>
  <w:style w:type="character" w:styleId="IntenseReference">
    <w:name w:val="Intense Reference"/>
    <w:uiPriority w:val="32"/>
    <w:qFormat/>
    <w:rsid w:val="00A46751"/>
    <w:rPr>
      <w:b/>
      <w:bCs/>
      <w:smallCaps/>
      <w:spacing w:val="5"/>
      <w:sz w:val="22"/>
      <w:szCs w:val="22"/>
      <w:u w:val="single"/>
    </w:rPr>
  </w:style>
  <w:style w:type="character" w:styleId="BookTitle">
    <w:name w:val="Book Title"/>
    <w:uiPriority w:val="33"/>
    <w:qFormat/>
    <w:rsid w:val="00A46751"/>
    <w:rPr>
      <w:rFonts w:asciiTheme="majorHAnsi" w:eastAsiaTheme="majorEastAsia" w:hAnsiTheme="majorHAnsi" w:cstheme="majorBidi"/>
      <w:i/>
      <w:iCs/>
      <w:sz w:val="20"/>
      <w:szCs w:val="20"/>
    </w:rPr>
  </w:style>
  <w:style w:type="character" w:styleId="HTMLAcronym">
    <w:name w:val="HTML Acronym"/>
    <w:basedOn w:val="DefaultParagraphFont"/>
    <w:uiPriority w:val="99"/>
    <w:unhideWhenUsed/>
    <w:rsid w:val="00A46751"/>
  </w:style>
  <w:style w:type="paragraph" w:customStyle="1" w:styleId="Heading1waterquality">
    <w:name w:val="Heading 1 water quality"/>
    <w:basedOn w:val="Title"/>
    <w:link w:val="Heading1waterqualityChar"/>
    <w:qFormat/>
    <w:rsid w:val="00A46751"/>
    <w:pPr>
      <w:spacing w:after="0"/>
    </w:pPr>
    <w:rPr>
      <w:rFonts w:ascii="Myriad Pro" w:hAnsi="Myriad Pro"/>
      <w:caps/>
      <w:smallCaps w:val="0"/>
      <w:color w:val="427BA1"/>
      <w:spacing w:val="20"/>
      <w:sz w:val="32"/>
      <w:szCs w:val="32"/>
    </w:rPr>
  </w:style>
  <w:style w:type="character" w:customStyle="1" w:styleId="Heading1waterqualityChar">
    <w:name w:val="Heading 1 water quality Char"/>
    <w:basedOn w:val="Heading2Char"/>
    <w:link w:val="Heading1waterquality"/>
    <w:rsid w:val="00A46751"/>
    <w:rPr>
      <w:rFonts w:ascii="Myriad Pro" w:eastAsiaTheme="minorEastAsia" w:hAnsi="Myriad Pro" w:cstheme="minorBidi"/>
      <w:bCs w:val="0"/>
      <w:caps/>
      <w:color w:val="427BA1"/>
      <w:spacing w:val="20"/>
      <w:sz w:val="32"/>
      <w:szCs w:val="32"/>
      <w:lang w:val="en-US" w:eastAsia="en-US" w:bidi="en-US"/>
    </w:rPr>
  </w:style>
  <w:style w:type="paragraph" w:customStyle="1" w:styleId="Table1caption">
    <w:name w:val="Table 1 caption"/>
    <w:basedOn w:val="Normal"/>
    <w:link w:val="Table1captionChar"/>
    <w:qFormat/>
    <w:rsid w:val="00A46751"/>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A46751"/>
    <w:rPr>
      <w:rFonts w:ascii="Myriad Pro" w:eastAsiaTheme="minorEastAsia" w:hAnsi="Myriad Pro" w:cstheme="minorHAnsi"/>
      <w:b/>
      <w:sz w:val="18"/>
      <w:szCs w:val="18"/>
      <w:lang w:val="en-US" w:eastAsia="en-US" w:bidi="en-US"/>
    </w:rPr>
  </w:style>
  <w:style w:type="paragraph" w:customStyle="1" w:styleId="EndNoteBibliographyTitle">
    <w:name w:val="EndNote Bibliography Title"/>
    <w:basedOn w:val="Normal"/>
    <w:link w:val="EndNoteBibliographyTitleChar"/>
    <w:rsid w:val="00A46751"/>
    <w:pPr>
      <w:spacing w:after="0"/>
      <w:jc w:val="center"/>
    </w:pPr>
    <w:rPr>
      <w:rFonts w:ascii="Garamond" w:eastAsiaTheme="minorEastAsia" w:hAnsi="Garamond"/>
      <w:noProof/>
      <w:szCs w:val="20"/>
      <w:lang w:val="en-US" w:bidi="en-US"/>
    </w:rPr>
  </w:style>
  <w:style w:type="character" w:customStyle="1" w:styleId="EndNoteBibliographyTitleChar">
    <w:name w:val="EndNote Bibliography Title Char"/>
    <w:basedOn w:val="DefaultParagraphFont"/>
    <w:link w:val="EndNoteBibliographyTitle"/>
    <w:rsid w:val="00A46751"/>
    <w:rPr>
      <w:rFonts w:ascii="Garamond" w:eastAsiaTheme="minorEastAsia" w:hAnsi="Garamond" w:cstheme="minorBidi"/>
      <w:noProof/>
      <w:sz w:val="22"/>
      <w:lang w:val="en-US" w:eastAsia="en-US" w:bidi="en-US"/>
    </w:rPr>
  </w:style>
  <w:style w:type="paragraph" w:customStyle="1" w:styleId="EndNoteBibliography">
    <w:name w:val="EndNote Bibliography"/>
    <w:basedOn w:val="Normal"/>
    <w:link w:val="EndNoteBibliographyChar"/>
    <w:rsid w:val="00A46751"/>
    <w:pPr>
      <w:spacing w:line="240" w:lineRule="auto"/>
      <w:jc w:val="both"/>
    </w:pPr>
    <w:rPr>
      <w:rFonts w:ascii="Garamond" w:eastAsiaTheme="minorEastAsia" w:hAnsi="Garamond"/>
      <w:noProof/>
      <w:szCs w:val="20"/>
      <w:lang w:val="en-US" w:bidi="en-US"/>
    </w:rPr>
  </w:style>
  <w:style w:type="character" w:customStyle="1" w:styleId="EndNoteBibliographyChar">
    <w:name w:val="EndNote Bibliography Char"/>
    <w:basedOn w:val="DefaultParagraphFont"/>
    <w:link w:val="EndNoteBibliography"/>
    <w:rsid w:val="00A46751"/>
    <w:rPr>
      <w:rFonts w:ascii="Garamond" w:eastAsiaTheme="minorEastAsia" w:hAnsi="Garamond" w:cstheme="minorBidi"/>
      <w:noProof/>
      <w:sz w:val="22"/>
      <w:lang w:val="en-US" w:eastAsia="en-US" w:bidi="en-US"/>
    </w:rPr>
  </w:style>
  <w:style w:type="paragraph" w:customStyle="1" w:styleId="Default">
    <w:name w:val="Default"/>
    <w:rsid w:val="00A46751"/>
    <w:pPr>
      <w:autoSpaceDE w:val="0"/>
      <w:autoSpaceDN w:val="0"/>
      <w:adjustRightInd w:val="0"/>
    </w:pPr>
    <w:rPr>
      <w:rFonts w:ascii="Arial" w:eastAsiaTheme="minorEastAsia" w:hAnsi="Arial" w:cs="Arial"/>
      <w:color w:val="000000"/>
      <w:sz w:val="24"/>
      <w:szCs w:val="24"/>
      <w:lang w:val="en-NZ" w:eastAsia="en-US"/>
    </w:rPr>
  </w:style>
  <w:style w:type="character" w:customStyle="1" w:styleId="UnresolvedMention2">
    <w:name w:val="Unresolved Mention2"/>
    <w:basedOn w:val="DefaultParagraphFont"/>
    <w:uiPriority w:val="99"/>
    <w:semiHidden/>
    <w:unhideWhenUsed/>
    <w:rsid w:val="00A46751"/>
    <w:rPr>
      <w:color w:val="808080"/>
      <w:shd w:val="clear" w:color="auto" w:fill="E6E6E6"/>
    </w:rPr>
  </w:style>
  <w:style w:type="paragraph" w:styleId="HTMLPreformatted">
    <w:name w:val="HTML Preformatted"/>
    <w:basedOn w:val="Normal"/>
    <w:link w:val="HTMLPreformattedChar"/>
    <w:uiPriority w:val="99"/>
    <w:semiHidden/>
    <w:unhideWhenUsed/>
    <w:rsid w:val="00A46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NZ" w:eastAsia="en-NZ"/>
    </w:rPr>
  </w:style>
  <w:style w:type="character" w:customStyle="1" w:styleId="HTMLPreformattedChar">
    <w:name w:val="HTML Preformatted Char"/>
    <w:basedOn w:val="DefaultParagraphFont"/>
    <w:link w:val="HTMLPreformatted"/>
    <w:uiPriority w:val="99"/>
    <w:semiHidden/>
    <w:rsid w:val="00A46751"/>
    <w:rPr>
      <w:rFonts w:ascii="Courier New" w:eastAsia="Times New Roman" w:hAnsi="Courier New" w:cs="Courier New"/>
      <w:lang w:val="en-NZ" w:eastAsia="en-NZ"/>
    </w:rPr>
  </w:style>
  <w:style w:type="character" w:customStyle="1" w:styleId="gghfmyibcob">
    <w:name w:val="gghfmyibcob"/>
    <w:basedOn w:val="DefaultParagraphFont"/>
    <w:rsid w:val="00A46751"/>
  </w:style>
  <w:style w:type="character" w:customStyle="1" w:styleId="gghfmyibcpb">
    <w:name w:val="gghfmyibcpb"/>
    <w:basedOn w:val="DefaultParagraphFont"/>
    <w:rsid w:val="00A46751"/>
  </w:style>
  <w:style w:type="table" w:customStyle="1" w:styleId="GridTable41">
    <w:name w:val="Grid Table 41"/>
    <w:basedOn w:val="TableNormal"/>
    <w:uiPriority w:val="49"/>
    <w:rsid w:val="00A46751"/>
    <w:pPr>
      <w:jc w:val="both"/>
    </w:pPr>
    <w:rPr>
      <w:rFonts w:asciiTheme="minorHAnsi" w:eastAsiaTheme="minorEastAsia" w:hAnsiTheme="minorHAnsi" w:cstheme="minorBidi"/>
      <w:lang w:val="en-US" w:eastAsia="en-US"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soins0">
    <w:name w:val="msoins"/>
    <w:basedOn w:val="DefaultParagraphFont"/>
    <w:rsid w:val="00A4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opyright@dcceew.gov.au" TargetMode="External"/><Relationship Id="rId26" Type="http://schemas.openxmlformats.org/officeDocument/2006/relationships/footer" Target="footer2.xml"/><Relationship Id="rId39" Type="http://schemas.openxmlformats.org/officeDocument/2006/relationships/image" Target="media/image12.emf"/><Relationship Id="rId21" Type="http://schemas.openxmlformats.org/officeDocument/2006/relationships/image" Target="media/image3.jpeg"/><Relationship Id="rId34" Type="http://schemas.openxmlformats.org/officeDocument/2006/relationships/image" Target="media/image7.png"/><Relationship Id="rId42" Type="http://schemas.openxmlformats.org/officeDocument/2006/relationships/hyperlink" Target="http://dx.doi.org/10.1155/2015/783021"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3.xml"/><Relationship Id="rId37" Type="http://schemas.openxmlformats.org/officeDocument/2006/relationships/image" Target="media/image10.png"/><Relationship Id="rId40" Type="http://schemas.openxmlformats.org/officeDocument/2006/relationships/hyperlink" Target="https://echa.europa.eu/copper-voluntary-risk-assessment-reports" TargetMode="External"/><Relationship Id="rId45"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5.png"/><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www.waterquality.gov.au/anz-guidelines/guideline-values/default/water-quality-toxicants/toxicants" TargetMode="External"/><Relationship Id="rId31" Type="http://schemas.openxmlformats.org/officeDocument/2006/relationships/header" Target="header9.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waterquality.gov.au/anz-guidelines"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image" Target="media/image8.png"/><Relationship Id="rId43" Type="http://schemas.openxmlformats.org/officeDocument/2006/relationships/header" Target="header10.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creativecommons.org/licenses/by/4.0/legalcode" TargetMode="External"/><Relationship Id="rId25" Type="http://schemas.openxmlformats.org/officeDocument/2006/relationships/header" Target="header5.xml"/><Relationship Id="rId33" Type="http://schemas.openxmlformats.org/officeDocument/2006/relationships/image" Target="media/image6.emf"/><Relationship Id="rId38" Type="http://schemas.openxmlformats.org/officeDocument/2006/relationships/image" Target="media/image11.png"/><Relationship Id="rId46" Type="http://schemas.openxmlformats.org/officeDocument/2006/relationships/fontTable" Target="fontTable.xml"/><Relationship Id="rId20" Type="http://schemas.openxmlformats.org/officeDocument/2006/relationships/hyperlink" Target="mailto:waterquality@dcceew.gov.au" TargetMode="External"/><Relationship Id="rId41" Type="http://schemas.openxmlformats.org/officeDocument/2006/relationships/hyperlink" Target="https://www.ceh.ac.uk/services/windermere-humic-aqueous-model-wha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AEA2CD5EF472BA9D49BD4C6F996EE"/>
        <w:category>
          <w:name w:val="General"/>
          <w:gallery w:val="placeholder"/>
        </w:category>
        <w:types>
          <w:type w:val="bbPlcHdr"/>
        </w:types>
        <w:behaviors>
          <w:behavior w:val="content"/>
        </w:behaviors>
        <w:guid w:val="{15C2E30C-EE74-4644-B3D1-31CFE0B6455F}"/>
      </w:docPartPr>
      <w:docPartBody>
        <w:p w:rsidR="00B7057B" w:rsidRDefault="001C0DF1" w:rsidP="00B7057B">
          <w:pPr>
            <w:pStyle w:val="A8CAEA2CD5EF472BA9D49BD4C6F996EE"/>
          </w:pPr>
          <w:r w:rsidRPr="00BE52A7">
            <w:rPr>
              <w:rStyle w:val="PlaceholderText"/>
            </w:rPr>
            <w:t>Click here to enter text.</w:t>
          </w:r>
        </w:p>
      </w:docPartBody>
    </w:docPart>
    <w:docPart>
      <w:docPartPr>
        <w:name w:val="B20CCC024575420DB346A2897E1BFAA1"/>
        <w:category>
          <w:name w:val="General"/>
          <w:gallery w:val="placeholder"/>
        </w:category>
        <w:types>
          <w:type w:val="bbPlcHdr"/>
        </w:types>
        <w:behaviors>
          <w:behavior w:val="content"/>
        </w:behaviors>
        <w:guid w:val="{59AC9F7E-4FA2-490F-98B6-D985F0F8EDE1}"/>
      </w:docPartPr>
      <w:docPartBody>
        <w:p w:rsidR="00B7057B" w:rsidRDefault="001C0DF1" w:rsidP="00B7057B">
          <w:pPr>
            <w:pStyle w:val="B20CCC024575420DB346A2897E1BFAA1"/>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7B"/>
    <w:rsid w:val="000138F0"/>
    <w:rsid w:val="000B4DF2"/>
    <w:rsid w:val="000B71B7"/>
    <w:rsid w:val="00166C19"/>
    <w:rsid w:val="001C0DF1"/>
    <w:rsid w:val="001D6539"/>
    <w:rsid w:val="00261963"/>
    <w:rsid w:val="00311AA4"/>
    <w:rsid w:val="003A6A1B"/>
    <w:rsid w:val="003C719B"/>
    <w:rsid w:val="003D5795"/>
    <w:rsid w:val="003E7F27"/>
    <w:rsid w:val="004340DE"/>
    <w:rsid w:val="00442B95"/>
    <w:rsid w:val="004E7233"/>
    <w:rsid w:val="005012F6"/>
    <w:rsid w:val="00530213"/>
    <w:rsid w:val="005943FB"/>
    <w:rsid w:val="005A4C9B"/>
    <w:rsid w:val="0061211F"/>
    <w:rsid w:val="00663BA5"/>
    <w:rsid w:val="00664624"/>
    <w:rsid w:val="0066495A"/>
    <w:rsid w:val="00734A69"/>
    <w:rsid w:val="00750303"/>
    <w:rsid w:val="00756703"/>
    <w:rsid w:val="007A1ECE"/>
    <w:rsid w:val="007E1690"/>
    <w:rsid w:val="009D4BB8"/>
    <w:rsid w:val="009F41F8"/>
    <w:rsid w:val="00A37624"/>
    <w:rsid w:val="00A50FC0"/>
    <w:rsid w:val="00AE13FF"/>
    <w:rsid w:val="00B7057B"/>
    <w:rsid w:val="00C65DCE"/>
    <w:rsid w:val="00E40837"/>
    <w:rsid w:val="00E51995"/>
    <w:rsid w:val="00E776D6"/>
    <w:rsid w:val="00EC7038"/>
    <w:rsid w:val="00EF74E6"/>
    <w:rsid w:val="00F11C39"/>
    <w:rsid w:val="00F4090B"/>
    <w:rsid w:val="00F938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837"/>
    <w:rPr>
      <w:color w:val="808080"/>
    </w:rPr>
  </w:style>
  <w:style w:type="paragraph" w:customStyle="1" w:styleId="A8CAEA2CD5EF472BA9D49BD4C6F996EE">
    <w:name w:val="A8CAEA2CD5EF472BA9D49BD4C6F996EE"/>
    <w:rsid w:val="00B7057B"/>
  </w:style>
  <w:style w:type="paragraph" w:customStyle="1" w:styleId="B20CCC024575420DB346A2897E1BFAA1">
    <w:name w:val="B20CCC024575420DB346A2897E1BFAA1"/>
    <w:rsid w:val="00B70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5E17AFEC-2DAE-4542-A916-9B2660D50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06863-A282-4A7F-93B8-EFA8F03D719B}">
  <ds:schemaRefs>
    <ds:schemaRef ds:uri="http://schemas.openxmlformats.org/officeDocument/2006/bibliography"/>
  </ds:schemaRefs>
</ds:datastoreItem>
</file>

<file path=customXml/itemProps3.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4.xml><?xml version="1.0" encoding="utf-8"?>
<ds:datastoreItem xmlns:ds="http://schemas.openxmlformats.org/officeDocument/2006/customXml" ds:itemID="{A1D323EF-822C-4E4A-9DA5-304476EA7B2B}">
  <ds:schemaRefs>
    <ds:schemaRef ds:uri="http://schemas.openxmlformats.org/package/2006/metadata/core-properties"/>
    <ds:schemaRef ds:uri="http://purl.org/dc/terms/"/>
    <ds:schemaRef ds:uri="b98728ac-f998-415c-abee-6b046fb1441e"/>
    <ds:schemaRef ds:uri="d869c146-c82e-4435-92e4-da91542262fd"/>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16638</Words>
  <Characters>94840</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 Dissolved copper in marine water - Technical brief - May 2023</vt:lpstr>
    </vt:vector>
  </TitlesOfParts>
  <Company/>
  <LinksUpToDate>false</LinksUpToDate>
  <CharactersWithSpaces>111256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 Dissolved copper in marine water - Technical brief - May 2023</dc:title>
  <dc:creator>Australian Government</dc:creator>
  <cp:lastModifiedBy>Nguyen, Lien</cp:lastModifiedBy>
  <cp:revision>3</cp:revision>
  <cp:lastPrinted>2023-05-23T02:36:00Z</cp:lastPrinted>
  <dcterms:created xsi:type="dcterms:W3CDTF">2023-05-23T03:31:00Z</dcterms:created>
  <dcterms:modified xsi:type="dcterms:W3CDTF">2023-05-23T06:32:00Z</dcterms:modified>
</cp:coreProperties>
</file>