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6.xml" ContentType="application/vnd.openxmlformats-officedocument.customXml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54955" w14:textId="77777777" w:rsidR="001C0D1C" w:rsidRDefault="00576A22">
      <w:pPr>
        <w:pStyle w:val="Heading1"/>
      </w:pPr>
      <w:r>
        <w:t>Toxicant default guideline values for aquatic ecosystem protection</w:t>
      </w:r>
    </w:p>
    <w:p w14:paraId="5B854956" w14:textId="77777777" w:rsidR="001C0D1C" w:rsidRDefault="00576A22">
      <w:pPr>
        <w:pStyle w:val="Subtitle"/>
      </w:pPr>
      <w:r>
        <w:t>Dioxin</w:t>
      </w:r>
      <w:r w:rsidR="00C46CEF">
        <w:t>s</w:t>
      </w:r>
      <w:r w:rsidR="00EE7040">
        <w:t xml:space="preserve"> </w:t>
      </w:r>
      <w:r w:rsidR="004D52CE">
        <w:t>in freshwater</w:t>
      </w:r>
    </w:p>
    <w:p w14:paraId="5B854957" w14:textId="77777777" w:rsidR="001C0D1C" w:rsidRDefault="00576A22">
      <w:pPr>
        <w:pStyle w:val="Documenttype"/>
      </w:pPr>
      <w:r>
        <w:t>Technical brief</w:t>
      </w:r>
    </w:p>
    <w:p w14:paraId="5B854958" w14:textId="77777777" w:rsidR="001C0D1C" w:rsidRDefault="00576A22">
      <w:pPr>
        <w:pStyle w:val="Publicationdate"/>
        <w:rPr>
          <w:highlight w:val="yellow"/>
        </w:rPr>
      </w:pPr>
      <w:r>
        <w:t>July</w:t>
      </w:r>
      <w:r w:rsidR="0081608B">
        <w:t xml:space="preserve"> </w:t>
      </w:r>
      <w:r w:rsidR="00087D0E">
        <w:t>202</w:t>
      </w:r>
      <w:r w:rsidR="00AF65E4">
        <w:t>3</w:t>
      </w:r>
    </w:p>
    <w:p w14:paraId="5B854959" w14:textId="77777777" w:rsidR="001C0D1C" w:rsidRDefault="00576A22">
      <w:pPr>
        <w:spacing w:after="0" w:line="240" w:lineRule="auto"/>
        <w:rPr>
          <w:noProof/>
          <w:lang w:eastAsia="en-AU"/>
        </w:rPr>
      </w:pPr>
      <w:r>
        <w:br w:type="page"/>
      </w:r>
    </w:p>
    <w:p w14:paraId="5B85495A" w14:textId="77777777" w:rsidR="000411B0" w:rsidRDefault="000411B0">
      <w:pPr>
        <w:rPr>
          <w:sz w:val="18"/>
          <w:szCs w:val="18"/>
        </w:rPr>
        <w:sectPr w:rsidR="000411B0" w:rsidSect="00E120BE">
          <w:headerReference w:type="default" r:id="rId13"/>
          <w:footerReference w:type="default" r:id="rId14"/>
          <w:headerReference w:type="first" r:id="rId15"/>
          <w:pgSz w:w="11906" w:h="16838" w:code="9"/>
          <w:pgMar w:top="1418" w:right="1418" w:bottom="1418" w:left="1418" w:header="567" w:footer="284" w:gutter="0"/>
          <w:pgNumType w:fmt="lowerRoman" w:start="1"/>
          <w:cols w:space="708"/>
          <w:titlePg/>
          <w:docGrid w:linePitch="360"/>
        </w:sectPr>
      </w:pPr>
    </w:p>
    <w:p w14:paraId="5B85495B" w14:textId="77777777" w:rsidR="001C0D1C" w:rsidRDefault="00576A22">
      <w:pPr>
        <w:rPr>
          <w:sz w:val="18"/>
          <w:szCs w:val="18"/>
        </w:rPr>
      </w:pPr>
      <w:r>
        <w:rPr>
          <w:sz w:val="18"/>
          <w:szCs w:val="18"/>
        </w:rPr>
        <w:lastRenderedPageBreak/>
        <w:t xml:space="preserve">© Commonwealth of Australia </w:t>
      </w:r>
      <w:r w:rsidR="000408F1">
        <w:rPr>
          <w:sz w:val="18"/>
          <w:szCs w:val="18"/>
        </w:rPr>
        <w:t>202</w:t>
      </w:r>
      <w:r w:rsidR="00AF65E4">
        <w:rPr>
          <w:sz w:val="18"/>
          <w:szCs w:val="18"/>
        </w:rPr>
        <w:t>3</w:t>
      </w:r>
    </w:p>
    <w:p w14:paraId="5B85495C" w14:textId="77777777" w:rsidR="001C0D1C" w:rsidRDefault="00576A22">
      <w:pPr>
        <w:spacing w:after="0"/>
        <w:rPr>
          <w:rFonts w:ascii="Calibri" w:hAnsi="Calibri"/>
          <w:b/>
          <w:sz w:val="18"/>
          <w:szCs w:val="18"/>
        </w:rPr>
      </w:pPr>
      <w:r>
        <w:rPr>
          <w:rFonts w:ascii="Calibri" w:hAnsi="Calibri"/>
          <w:b/>
          <w:sz w:val="18"/>
          <w:szCs w:val="18"/>
        </w:rPr>
        <w:t>Ownership of intellectual property rights</w:t>
      </w:r>
    </w:p>
    <w:p w14:paraId="5B85495D" w14:textId="77777777" w:rsidR="004D52CE" w:rsidRDefault="00576A22" w:rsidP="004D52CE">
      <w:pPr>
        <w:rPr>
          <w:sz w:val="18"/>
          <w:szCs w:val="18"/>
        </w:rPr>
      </w:pPr>
      <w:r>
        <w:rPr>
          <w:sz w:val="18"/>
          <w:szCs w:val="18"/>
        </w:rPr>
        <w:t xml:space="preserve">Unless otherwise noted, copyright (and any </w:t>
      </w:r>
      <w:r>
        <w:rPr>
          <w:sz w:val="18"/>
          <w:szCs w:val="18"/>
        </w:rPr>
        <w:t>other intellectual property rights, if any) in this publication is owned by the Commonwealth of Australia (referred to as the Commonwealth).</w:t>
      </w:r>
    </w:p>
    <w:p w14:paraId="5B85495E" w14:textId="77777777" w:rsidR="00B151F6" w:rsidRDefault="00576A22" w:rsidP="00B151F6">
      <w:pPr>
        <w:spacing w:after="0"/>
        <w:rPr>
          <w:rFonts w:ascii="Calibri" w:hAnsi="Calibri"/>
          <w:b/>
          <w:sz w:val="18"/>
          <w:szCs w:val="18"/>
        </w:rPr>
      </w:pPr>
      <w:r>
        <w:rPr>
          <w:rFonts w:ascii="Calibri" w:hAnsi="Calibri"/>
          <w:b/>
          <w:sz w:val="18"/>
          <w:szCs w:val="18"/>
        </w:rPr>
        <w:t>Creative Commons licence</w:t>
      </w:r>
    </w:p>
    <w:p w14:paraId="5B85495F" w14:textId="77777777" w:rsidR="00B151F6" w:rsidRDefault="00576A22" w:rsidP="00B151F6">
      <w:pPr>
        <w:rPr>
          <w:sz w:val="18"/>
          <w:szCs w:val="18"/>
        </w:rPr>
      </w:pPr>
      <w:r>
        <w:rPr>
          <w:sz w:val="18"/>
          <w:szCs w:val="18"/>
        </w:rPr>
        <w:t>All material in this publication is licensed under a Creative Commons Attribution 4.0 Aust</w:t>
      </w:r>
      <w:r>
        <w:rPr>
          <w:sz w:val="18"/>
          <w:szCs w:val="18"/>
        </w:rPr>
        <w:t>ralia Licence, save for content supplied by third parties, photographic images, logos and the Commonwealth Coat of Arms.</w:t>
      </w:r>
    </w:p>
    <w:p w14:paraId="5B854960" w14:textId="77777777" w:rsidR="00B151F6" w:rsidRDefault="00576A22" w:rsidP="00B151F6">
      <w:pPr>
        <w:rPr>
          <w:sz w:val="18"/>
          <w:szCs w:val="18"/>
        </w:rPr>
      </w:pPr>
      <w:r>
        <w:rPr>
          <w:noProof/>
          <w:sz w:val="18"/>
          <w:szCs w:val="18"/>
          <w:lang w:eastAsia="en-AU"/>
        </w:rPr>
        <w:drawing>
          <wp:anchor distT="0" distB="0" distL="114300" distR="114300" simplePos="0" relativeHeight="251658240" behindDoc="0" locked="0" layoutInCell="1" allowOverlap="1" wp14:anchorId="5B854CD5" wp14:editId="5B854CD6">
            <wp:simplePos x="0" y="0"/>
            <wp:positionH relativeFrom="column">
              <wp:align>left</wp:align>
            </wp:positionH>
            <wp:positionV relativeFrom="paragraph">
              <wp:align>top</wp:align>
            </wp:positionV>
            <wp:extent cx="723900" cy="255905"/>
            <wp:effectExtent l="0" t="0" r="0" b="0"/>
            <wp:wrapSquare wrapText="bothSides"/>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164759" name="Picture 1" descr="by"/>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23900" cy="255905"/>
                    </a:xfrm>
                    <a:prstGeom prst="rect">
                      <a:avLst/>
                    </a:prstGeom>
                    <a:noFill/>
                    <a:ln w="9525">
                      <a:noFill/>
                      <a:miter lim="800000"/>
                      <a:headEnd/>
                      <a:tailEnd/>
                    </a:ln>
                  </pic:spPr>
                </pic:pic>
              </a:graphicData>
            </a:graphic>
          </wp:anchor>
        </w:drawing>
      </w:r>
      <w:r>
        <w:rPr>
          <w:sz w:val="18"/>
          <w:szCs w:val="18"/>
        </w:rPr>
        <w:br w:type="textWrapping" w:clear="all"/>
      </w:r>
      <w:r>
        <w:rPr>
          <w:sz w:val="18"/>
          <w:szCs w:val="18"/>
        </w:rPr>
        <w:t>Creative Commons Attribution 4.0 Australia Licence is a standard form licence agreement that allows you to copy, distribute, transmit</w:t>
      </w:r>
      <w:r>
        <w:rPr>
          <w:sz w:val="18"/>
          <w:szCs w:val="18"/>
        </w:rPr>
        <w:t xml:space="preserve"> and adapt this publication provided you attribute the work. See the </w:t>
      </w:r>
      <w:hyperlink r:id="rId17" w:history="1">
        <w:r>
          <w:rPr>
            <w:rStyle w:val="Hyperlink"/>
            <w:sz w:val="18"/>
            <w:szCs w:val="18"/>
          </w:rPr>
          <w:t>summary of the licence terms</w:t>
        </w:r>
      </w:hyperlink>
      <w:r>
        <w:rPr>
          <w:sz w:val="18"/>
          <w:szCs w:val="18"/>
        </w:rPr>
        <w:t xml:space="preserve"> or the full licence terms.</w:t>
      </w:r>
    </w:p>
    <w:p w14:paraId="5B854961" w14:textId="77777777" w:rsidR="00B151F6" w:rsidRDefault="00576A22" w:rsidP="00B151F6">
      <w:pPr>
        <w:rPr>
          <w:sz w:val="18"/>
          <w:szCs w:val="18"/>
        </w:rPr>
      </w:pPr>
      <w:r>
        <w:rPr>
          <w:sz w:val="18"/>
          <w:szCs w:val="18"/>
        </w:rPr>
        <w:t>Inquiries about the licence and any</w:t>
      </w:r>
      <w:r>
        <w:rPr>
          <w:sz w:val="18"/>
          <w:szCs w:val="18"/>
        </w:rPr>
        <w:t xml:space="preserve"> use of this document should be emailed to </w:t>
      </w:r>
      <w:hyperlink r:id="rId18" w:history="1">
        <w:r w:rsidRPr="00B87B49">
          <w:rPr>
            <w:rStyle w:val="Hyperlink"/>
            <w:sz w:val="18"/>
            <w:szCs w:val="18"/>
          </w:rPr>
          <w:t>copyright@dcceew.gov.au</w:t>
        </w:r>
      </w:hyperlink>
      <w:r>
        <w:rPr>
          <w:sz w:val="18"/>
          <w:szCs w:val="18"/>
        </w:rPr>
        <w:t>.</w:t>
      </w:r>
    </w:p>
    <w:p w14:paraId="5B854962" w14:textId="77777777" w:rsidR="001C0D1C" w:rsidRDefault="00576A22">
      <w:pPr>
        <w:spacing w:after="0"/>
        <w:rPr>
          <w:rFonts w:ascii="Calibri" w:hAnsi="Calibri"/>
          <w:b/>
          <w:sz w:val="18"/>
          <w:szCs w:val="18"/>
        </w:rPr>
      </w:pPr>
      <w:r>
        <w:rPr>
          <w:rFonts w:ascii="Calibri" w:hAnsi="Calibri"/>
          <w:b/>
          <w:sz w:val="18"/>
          <w:szCs w:val="18"/>
        </w:rPr>
        <w:t>Cataloguing data</w:t>
      </w:r>
    </w:p>
    <w:p w14:paraId="5B854963" w14:textId="77777777" w:rsidR="00B151F6" w:rsidRDefault="00576A22" w:rsidP="00B151F6">
      <w:pPr>
        <w:rPr>
          <w:sz w:val="18"/>
          <w:szCs w:val="18"/>
        </w:rPr>
      </w:pPr>
      <w:r>
        <w:rPr>
          <w:sz w:val="18"/>
          <w:szCs w:val="18"/>
        </w:rPr>
        <w:t xml:space="preserve">This publication (and any material sourced from it) should be attributed as: </w:t>
      </w:r>
      <w:r w:rsidR="00343147">
        <w:rPr>
          <w:sz w:val="18"/>
          <w:szCs w:val="18"/>
        </w:rPr>
        <w:t>ANZG</w:t>
      </w:r>
      <w:r>
        <w:rPr>
          <w:sz w:val="18"/>
          <w:szCs w:val="18"/>
        </w:rPr>
        <w:t xml:space="preserve"> </w:t>
      </w:r>
      <w:r w:rsidR="000408F1">
        <w:rPr>
          <w:sz w:val="18"/>
          <w:szCs w:val="18"/>
        </w:rPr>
        <w:t>202</w:t>
      </w:r>
      <w:r w:rsidR="00AF65E4">
        <w:rPr>
          <w:sz w:val="18"/>
          <w:szCs w:val="18"/>
        </w:rPr>
        <w:t>3</w:t>
      </w:r>
      <w:r>
        <w:rPr>
          <w:sz w:val="18"/>
          <w:szCs w:val="18"/>
        </w:rPr>
        <w:t>,</w:t>
      </w:r>
      <w:r w:rsidR="00DF1801">
        <w:rPr>
          <w:sz w:val="18"/>
          <w:szCs w:val="18"/>
        </w:rPr>
        <w:t xml:space="preserve"> </w:t>
      </w:r>
      <w:r>
        <w:rPr>
          <w:i/>
          <w:sz w:val="18"/>
          <w:szCs w:val="18"/>
        </w:rPr>
        <w:t xml:space="preserve">Toxicant default guideline values for aquatic ecosystem protection: </w:t>
      </w:r>
      <w:r w:rsidR="00CE67B7">
        <w:rPr>
          <w:i/>
          <w:sz w:val="18"/>
          <w:szCs w:val="18"/>
        </w:rPr>
        <w:t>Dioxin</w:t>
      </w:r>
      <w:r w:rsidR="00C46CEF">
        <w:rPr>
          <w:i/>
          <w:sz w:val="18"/>
          <w:szCs w:val="18"/>
        </w:rPr>
        <w:t>s</w:t>
      </w:r>
      <w:r>
        <w:rPr>
          <w:i/>
          <w:sz w:val="18"/>
          <w:szCs w:val="18"/>
        </w:rPr>
        <w:t xml:space="preserve"> in freshwater. </w:t>
      </w:r>
      <w:r w:rsidR="00343147">
        <w:rPr>
          <w:sz w:val="18"/>
          <w:szCs w:val="18"/>
        </w:rPr>
        <w:t>Australian and New Zealand Guidelines for Fresh and Marine Water Quality.</w:t>
      </w:r>
      <w:r w:rsidR="00343147" w:rsidRPr="00D47CA4">
        <w:rPr>
          <w:sz w:val="18"/>
          <w:szCs w:val="18"/>
        </w:rPr>
        <w:t xml:space="preserve"> </w:t>
      </w:r>
      <w:r w:rsidRPr="00D47CA4">
        <w:rPr>
          <w:sz w:val="18"/>
          <w:szCs w:val="18"/>
        </w:rPr>
        <w:t xml:space="preserve">CC BY 4.0. Australian and New Zealand Governments and Australian state and </w:t>
      </w:r>
      <w:r w:rsidRPr="00D47CA4">
        <w:rPr>
          <w:sz w:val="18"/>
          <w:szCs w:val="18"/>
        </w:rPr>
        <w:t>territory governments, Canberra, ACT, Australia</w:t>
      </w:r>
      <w:r>
        <w:rPr>
          <w:sz w:val="18"/>
          <w:szCs w:val="18"/>
        </w:rPr>
        <w:t>.</w:t>
      </w:r>
    </w:p>
    <w:p w14:paraId="5B854964" w14:textId="77777777" w:rsidR="00B151F6" w:rsidRDefault="00576A22" w:rsidP="00B151F6">
      <w:pPr>
        <w:rPr>
          <w:sz w:val="18"/>
          <w:szCs w:val="18"/>
        </w:rPr>
      </w:pPr>
      <w:r>
        <w:rPr>
          <w:sz w:val="18"/>
          <w:szCs w:val="18"/>
        </w:rPr>
        <w:t xml:space="preserve">This publication is available at </w:t>
      </w:r>
      <w:hyperlink r:id="rId19" w:history="1">
        <w:r w:rsidRPr="00017770">
          <w:rPr>
            <w:rStyle w:val="Hyperlink"/>
            <w:sz w:val="18"/>
            <w:szCs w:val="18"/>
          </w:rPr>
          <w:t>waterquality.gov.au/anz-guidelines/guideline-values/defa</w:t>
        </w:r>
        <w:r w:rsidRPr="00017770">
          <w:rPr>
            <w:rStyle w:val="Hyperlink"/>
            <w:sz w:val="18"/>
            <w:szCs w:val="18"/>
          </w:rPr>
          <w:t>ult/water-quality-toxicants/toxicants</w:t>
        </w:r>
      </w:hyperlink>
      <w:r>
        <w:rPr>
          <w:sz w:val="18"/>
          <w:szCs w:val="18"/>
        </w:rPr>
        <w:t>.</w:t>
      </w:r>
    </w:p>
    <w:p w14:paraId="5B854965" w14:textId="77777777" w:rsidR="00824850" w:rsidRDefault="00576A22" w:rsidP="00824850">
      <w:pPr>
        <w:spacing w:after="0"/>
        <w:rPr>
          <w:b/>
          <w:sz w:val="18"/>
          <w:szCs w:val="18"/>
        </w:rPr>
      </w:pPr>
      <w:r w:rsidRPr="00824850">
        <w:rPr>
          <w:b/>
          <w:sz w:val="18"/>
          <w:szCs w:val="18"/>
        </w:rPr>
        <w:t>Contact</w:t>
      </w:r>
    </w:p>
    <w:p w14:paraId="5B854966" w14:textId="77777777" w:rsidR="00824850" w:rsidRDefault="00576A22" w:rsidP="00824850">
      <w:pPr>
        <w:spacing w:after="0"/>
        <w:rPr>
          <w:b/>
          <w:sz w:val="18"/>
          <w:szCs w:val="18"/>
        </w:rPr>
      </w:pPr>
      <w:r>
        <w:rPr>
          <w:sz w:val="18"/>
          <w:szCs w:val="18"/>
        </w:rPr>
        <w:t xml:space="preserve">Australian Government Department of </w:t>
      </w:r>
      <w:r w:rsidR="00975852">
        <w:rPr>
          <w:sz w:val="18"/>
          <w:szCs w:val="18"/>
        </w:rPr>
        <w:t>Climate Change, Energy, the Environment and Water</w:t>
      </w:r>
    </w:p>
    <w:p w14:paraId="5B854967" w14:textId="77777777" w:rsidR="001C0D1C" w:rsidRPr="00824850" w:rsidRDefault="00576A22" w:rsidP="00824850">
      <w:pPr>
        <w:spacing w:after="0"/>
        <w:rPr>
          <w:b/>
          <w:sz w:val="18"/>
          <w:szCs w:val="18"/>
        </w:rPr>
      </w:pPr>
      <w:r>
        <w:rPr>
          <w:sz w:val="18"/>
          <w:szCs w:val="18"/>
        </w:rPr>
        <w:t>GPO Box 858 Canberra ACT 2601</w:t>
      </w:r>
    </w:p>
    <w:p w14:paraId="5B854968" w14:textId="77777777" w:rsidR="001C0D1C" w:rsidRDefault="00576A22" w:rsidP="00824850">
      <w:pPr>
        <w:spacing w:after="0"/>
        <w:rPr>
          <w:sz w:val="18"/>
          <w:szCs w:val="18"/>
        </w:rPr>
      </w:pPr>
      <w:r>
        <w:rPr>
          <w:sz w:val="18"/>
          <w:szCs w:val="18"/>
        </w:rPr>
        <w:t>Switchboard +61 2 6272 3933 or 1800 900 090</w:t>
      </w:r>
    </w:p>
    <w:p w14:paraId="5B854969" w14:textId="77777777" w:rsidR="001C0D1C" w:rsidRDefault="00576A22" w:rsidP="00824850">
      <w:pPr>
        <w:spacing w:after="120"/>
        <w:rPr>
          <w:sz w:val="18"/>
          <w:szCs w:val="18"/>
        </w:rPr>
      </w:pPr>
      <w:r>
        <w:rPr>
          <w:sz w:val="18"/>
          <w:szCs w:val="18"/>
        </w:rPr>
        <w:t xml:space="preserve">Email </w:t>
      </w:r>
      <w:hyperlink r:id="rId20" w:history="1">
        <w:r w:rsidRPr="00B87B49">
          <w:rPr>
            <w:rStyle w:val="Hyperlink"/>
            <w:sz w:val="18"/>
            <w:szCs w:val="18"/>
          </w:rPr>
          <w:t>waterquality@dcceew.gov.au</w:t>
        </w:r>
      </w:hyperlink>
    </w:p>
    <w:p w14:paraId="5B85496A" w14:textId="77777777" w:rsidR="00B151F6" w:rsidRDefault="00576A22" w:rsidP="00B151F6">
      <w:pPr>
        <w:spacing w:after="0"/>
        <w:rPr>
          <w:rFonts w:ascii="Calibri" w:hAnsi="Calibri"/>
          <w:b/>
          <w:sz w:val="18"/>
          <w:szCs w:val="18"/>
        </w:rPr>
      </w:pPr>
      <w:r>
        <w:rPr>
          <w:rFonts w:ascii="Calibri" w:hAnsi="Calibri"/>
          <w:b/>
          <w:sz w:val="18"/>
          <w:szCs w:val="18"/>
        </w:rPr>
        <w:t>Disclaimer</w:t>
      </w:r>
    </w:p>
    <w:p w14:paraId="5B85496B" w14:textId="77777777" w:rsidR="00B151F6" w:rsidRDefault="00576A22" w:rsidP="00B151F6">
      <w:pPr>
        <w:spacing w:after="0"/>
        <w:rPr>
          <w:sz w:val="18"/>
          <w:szCs w:val="18"/>
        </w:rPr>
      </w:pPr>
      <w:r>
        <w:rPr>
          <w:sz w:val="18"/>
          <w:szCs w:val="18"/>
        </w:rPr>
        <w:t xml:space="preserve">The author(s) of this publication, all other entities associated with funding this publication or preparing and compiling this </w:t>
      </w:r>
      <w:r>
        <w:rPr>
          <w:sz w:val="18"/>
          <w:szCs w:val="18"/>
        </w:rPr>
        <w:t>publication, and the publisher of this publication, and their employees and advisers, disclaim all liability, including liability for negligence and for any loss, damage, injury, expense or cost incurred by any person as a result of accessing, using or rel</w:t>
      </w:r>
      <w:r>
        <w:rPr>
          <w:sz w:val="18"/>
          <w:szCs w:val="18"/>
        </w:rPr>
        <w:t>ying on any of the information or data in this publication to the maximum extent permitted by law.</w:t>
      </w:r>
    </w:p>
    <w:p w14:paraId="5B85496C" w14:textId="77777777" w:rsidR="00B151F6" w:rsidRDefault="00B151F6" w:rsidP="00B151F6">
      <w:pPr>
        <w:spacing w:after="0"/>
        <w:rPr>
          <w:sz w:val="18"/>
          <w:szCs w:val="18"/>
        </w:rPr>
      </w:pPr>
    </w:p>
    <w:p w14:paraId="5B85496D" w14:textId="77777777" w:rsidR="00B151F6" w:rsidRDefault="00576A22" w:rsidP="00B151F6">
      <w:pPr>
        <w:spacing w:after="0"/>
        <w:rPr>
          <w:rFonts w:ascii="Calibri" w:hAnsi="Calibri"/>
          <w:b/>
          <w:sz w:val="18"/>
          <w:szCs w:val="18"/>
        </w:rPr>
      </w:pPr>
      <w:r>
        <w:rPr>
          <w:rFonts w:ascii="Calibri" w:hAnsi="Calibri"/>
          <w:b/>
          <w:sz w:val="18"/>
          <w:szCs w:val="18"/>
        </w:rPr>
        <w:t>Acknowledgements</w:t>
      </w:r>
    </w:p>
    <w:p w14:paraId="5B85496E" w14:textId="77777777" w:rsidR="001C0D1C" w:rsidRDefault="00576A22">
      <w:pPr>
        <w:rPr>
          <w:sz w:val="18"/>
          <w:szCs w:val="18"/>
        </w:rPr>
      </w:pPr>
      <w:r>
        <w:rPr>
          <w:sz w:val="18"/>
          <w:szCs w:val="18"/>
        </w:rPr>
        <w:t>These</w:t>
      </w:r>
      <w:r w:rsidRPr="002A695A">
        <w:rPr>
          <w:sz w:val="18"/>
          <w:szCs w:val="18"/>
        </w:rPr>
        <w:t xml:space="preserve"> </w:t>
      </w:r>
      <w:r>
        <w:rPr>
          <w:sz w:val="18"/>
          <w:szCs w:val="18"/>
        </w:rPr>
        <w:t xml:space="preserve">default </w:t>
      </w:r>
      <w:r w:rsidRPr="002A695A">
        <w:rPr>
          <w:sz w:val="18"/>
          <w:szCs w:val="18"/>
        </w:rPr>
        <w:t>guideline</w:t>
      </w:r>
      <w:r>
        <w:rPr>
          <w:sz w:val="18"/>
          <w:szCs w:val="18"/>
        </w:rPr>
        <w:t xml:space="preserve"> values</w:t>
      </w:r>
      <w:r w:rsidR="001B1DB2">
        <w:rPr>
          <w:sz w:val="18"/>
          <w:szCs w:val="18"/>
        </w:rPr>
        <w:t xml:space="preserve"> (</w:t>
      </w:r>
      <w:r w:rsidR="00343147">
        <w:rPr>
          <w:sz w:val="18"/>
          <w:szCs w:val="18"/>
        </w:rPr>
        <w:t>DGVs</w:t>
      </w:r>
      <w:r w:rsidR="001B1DB2">
        <w:rPr>
          <w:sz w:val="18"/>
          <w:szCs w:val="18"/>
        </w:rPr>
        <w:t>)</w:t>
      </w:r>
      <w:r>
        <w:rPr>
          <w:sz w:val="18"/>
          <w:szCs w:val="18"/>
        </w:rPr>
        <w:t xml:space="preserve"> were derived by </w:t>
      </w:r>
      <w:r w:rsidR="00810E9E" w:rsidRPr="00810E9E">
        <w:rPr>
          <w:sz w:val="18"/>
          <w:szCs w:val="18"/>
        </w:rPr>
        <w:t>Dr John C Chapman. Thanks are due to RM Sunderam (Honorary Scientific Fellow, Office of Environment and Heritage NSW) for assistance with quality checking of references and spreadsheets and formatting of graphs</w:t>
      </w:r>
      <w:r w:rsidR="00762B63">
        <w:rPr>
          <w:sz w:val="18"/>
          <w:szCs w:val="18"/>
        </w:rPr>
        <w:t>,</w:t>
      </w:r>
      <w:r w:rsidR="00810E9E" w:rsidRPr="00810E9E">
        <w:rPr>
          <w:sz w:val="18"/>
          <w:szCs w:val="18"/>
        </w:rPr>
        <w:t xml:space="preserve"> and Olivia King </w:t>
      </w:r>
      <w:r w:rsidR="00762B63">
        <w:rPr>
          <w:sz w:val="18"/>
          <w:szCs w:val="18"/>
        </w:rPr>
        <w:t>(</w:t>
      </w:r>
      <w:r w:rsidR="00810E9E" w:rsidRPr="00810E9E">
        <w:rPr>
          <w:sz w:val="18"/>
          <w:szCs w:val="18"/>
        </w:rPr>
        <w:t xml:space="preserve">DSITI Qld) for assistance with modality check. Thanks also to Dr Graeme Batley </w:t>
      </w:r>
      <w:r w:rsidR="00762B63">
        <w:rPr>
          <w:sz w:val="18"/>
          <w:szCs w:val="18"/>
        </w:rPr>
        <w:t>(</w:t>
      </w:r>
      <w:r w:rsidR="00810E9E" w:rsidRPr="00810E9E">
        <w:rPr>
          <w:sz w:val="18"/>
          <w:szCs w:val="18"/>
        </w:rPr>
        <w:t>CSIRO</w:t>
      </w:r>
      <w:r w:rsidR="00762B63">
        <w:rPr>
          <w:sz w:val="18"/>
          <w:szCs w:val="18"/>
        </w:rPr>
        <w:t>)</w:t>
      </w:r>
      <w:r w:rsidR="00810E9E" w:rsidRPr="00810E9E">
        <w:rPr>
          <w:sz w:val="18"/>
          <w:szCs w:val="18"/>
        </w:rPr>
        <w:t xml:space="preserve">, who reviewed the draft before submission and provided useful comments. </w:t>
      </w:r>
      <w:r w:rsidR="00AB7619">
        <w:rPr>
          <w:sz w:val="18"/>
          <w:szCs w:val="18"/>
        </w:rPr>
        <w:t>The DGVs were</w:t>
      </w:r>
      <w:r w:rsidR="00AB7619" w:rsidRPr="003E3F6A">
        <w:rPr>
          <w:sz w:val="18"/>
          <w:szCs w:val="18"/>
        </w:rPr>
        <w:t xml:space="preserve"> </w:t>
      </w:r>
      <w:r w:rsidR="00AB7619">
        <w:rPr>
          <w:sz w:val="18"/>
          <w:szCs w:val="18"/>
        </w:rPr>
        <w:t xml:space="preserve">peer reviewed by two anonymous reviewers and </w:t>
      </w:r>
      <w:r w:rsidR="000408F1">
        <w:rPr>
          <w:sz w:val="18"/>
          <w:szCs w:val="18"/>
        </w:rPr>
        <w:t xml:space="preserve">by </w:t>
      </w:r>
      <w:r w:rsidR="00AB7619">
        <w:rPr>
          <w:sz w:val="18"/>
          <w:szCs w:val="18"/>
        </w:rPr>
        <w:t>two contracted technical advisors, Dr Rick van Dam and Alicia Hogan</w:t>
      </w:r>
      <w:r w:rsidR="00810E9E" w:rsidRPr="00810E9E">
        <w:rPr>
          <w:sz w:val="18"/>
          <w:szCs w:val="18"/>
        </w:rPr>
        <w:t>.</w:t>
      </w:r>
      <w:r w:rsidR="009A3352">
        <w:rPr>
          <w:sz w:val="18"/>
          <w:szCs w:val="18"/>
        </w:rPr>
        <w:t xml:space="preserve"> The DGVs were also reviewed and approved by jurisdictional technical and policy oversight groups and a National Water Reform committee prior to being published.</w:t>
      </w:r>
      <w:r w:rsidR="009A3352">
        <w:rPr>
          <w:noProof/>
          <w:sz w:val="18"/>
          <w:szCs w:val="18"/>
          <w:lang w:eastAsia="en-AU"/>
        </w:rPr>
        <w:t xml:space="preserve"> </w:t>
      </w:r>
      <w:r w:rsidR="00E55B1C">
        <w:rPr>
          <w:noProof/>
          <w:sz w:val="18"/>
          <w:szCs w:val="18"/>
          <w:lang w:eastAsia="en-AU"/>
        </w:rPr>
        <w:drawing>
          <wp:inline distT="0" distB="0" distL="0" distR="0" wp14:anchorId="5B854CD7" wp14:editId="5B854CD8">
            <wp:extent cx="5753468" cy="1639330"/>
            <wp:effectExtent l="0" t="0" r="0" b="0"/>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563982" name="DA2834_1216_Water Quality state logos.jpg"/>
                    <pic:cNvPicPr/>
                  </pic:nvPicPr>
                  <pic:blipFill>
                    <a:blip r:embed="rId21">
                      <a:extLst>
                        <a:ext uri="{28A0092B-C50C-407E-A947-70E740481C1C}">
                          <a14:useLocalDpi xmlns:a14="http://schemas.microsoft.com/office/drawing/2010/main" val="0"/>
                        </a:ext>
                      </a:extLst>
                    </a:blip>
                    <a:srcRect t="23712" b="4120"/>
                    <a:stretch>
                      <a:fillRect/>
                    </a:stretch>
                  </pic:blipFill>
                  <pic:spPr bwMode="auto">
                    <a:xfrm>
                      <a:off x="0" y="0"/>
                      <a:ext cx="5754381" cy="1639590"/>
                    </a:xfrm>
                    <a:prstGeom prst="rect">
                      <a:avLst/>
                    </a:prstGeom>
                    <a:ln>
                      <a:noFill/>
                    </a:ln>
                    <a:extLst>
                      <a:ext uri="{53640926-AAD7-44D8-BBD7-CCE9431645EC}">
                        <a14:shadowObscured xmlns:a14="http://schemas.microsoft.com/office/drawing/2010/main"/>
                      </a:ext>
                    </a:extLst>
                  </pic:spPr>
                </pic:pic>
              </a:graphicData>
            </a:graphic>
          </wp:inline>
        </w:drawing>
      </w:r>
    </w:p>
    <w:p w14:paraId="5B85496F" w14:textId="77777777" w:rsidR="001C0D1C" w:rsidRDefault="00576A22" w:rsidP="00184A2E">
      <w:pPr>
        <w:pStyle w:val="TOCHeading"/>
        <w:outlineLvl w:val="0"/>
      </w:pPr>
      <w:r>
        <w:lastRenderedPageBreak/>
        <w:t>Contents</w:t>
      </w:r>
    </w:p>
    <w:p w14:paraId="5B854970" w14:textId="77777777" w:rsidR="002211D5" w:rsidRDefault="00576A22">
      <w:pPr>
        <w:pStyle w:val="TOC1"/>
        <w:rPr>
          <w:rFonts w:eastAsiaTheme="minorEastAsia"/>
          <w:b w:val="0"/>
          <w:kern w:val="2"/>
          <w:sz w:val="24"/>
          <w:szCs w:val="24"/>
          <w:lang w:eastAsia="en-GB"/>
          <w14:ligatures w14:val="standardContextual"/>
        </w:rPr>
      </w:pPr>
      <w:r>
        <w:rPr>
          <w:bCs/>
          <w:szCs w:val="24"/>
        </w:rPr>
        <w:fldChar w:fldCharType="begin"/>
      </w:r>
      <w:r>
        <w:rPr>
          <w:bCs/>
          <w:szCs w:val="24"/>
        </w:rPr>
        <w:instrText xml:space="preserve"> TOC \t "Heading 2,1,Heading 3,2" </w:instrText>
      </w:r>
      <w:r>
        <w:rPr>
          <w:bCs/>
          <w:szCs w:val="24"/>
        </w:rPr>
        <w:fldChar w:fldCharType="separate"/>
      </w:r>
      <w:r>
        <w:t>Summary</w:t>
      </w:r>
      <w:r>
        <w:tab/>
      </w:r>
      <w:r>
        <w:fldChar w:fldCharType="begin"/>
      </w:r>
      <w:r>
        <w:instrText xml:space="preserve"> PAGEREF _Toc132885691 \h </w:instrText>
      </w:r>
      <w:r>
        <w:fldChar w:fldCharType="separate"/>
      </w:r>
      <w:r w:rsidR="008E67C0">
        <w:t>v</w:t>
      </w:r>
      <w:r>
        <w:fldChar w:fldCharType="end"/>
      </w:r>
    </w:p>
    <w:p w14:paraId="5B854971" w14:textId="77777777" w:rsidR="002211D5" w:rsidRDefault="00576A22">
      <w:pPr>
        <w:pStyle w:val="TOC1"/>
        <w:rPr>
          <w:rFonts w:eastAsiaTheme="minorEastAsia"/>
          <w:b w:val="0"/>
          <w:kern w:val="2"/>
          <w:sz w:val="24"/>
          <w:szCs w:val="24"/>
          <w:lang w:eastAsia="en-GB"/>
          <w14:ligatures w14:val="standardContextual"/>
        </w:rPr>
      </w:pPr>
      <w:r w:rsidRPr="00AE6551">
        <w:t>1</w:t>
      </w:r>
      <w:r>
        <w:rPr>
          <w:rFonts w:eastAsiaTheme="minorEastAsia"/>
          <w:b w:val="0"/>
          <w:kern w:val="2"/>
          <w:sz w:val="24"/>
          <w:szCs w:val="24"/>
          <w:lang w:eastAsia="en-GB"/>
          <w14:ligatures w14:val="standardContextual"/>
        </w:rPr>
        <w:tab/>
      </w:r>
      <w:r>
        <w:t>Introduction</w:t>
      </w:r>
      <w:r>
        <w:tab/>
      </w:r>
      <w:r>
        <w:fldChar w:fldCharType="begin"/>
      </w:r>
      <w:r>
        <w:instrText xml:space="preserve"> PAGEREF _Toc132885692 \h </w:instrText>
      </w:r>
      <w:r>
        <w:fldChar w:fldCharType="separate"/>
      </w:r>
      <w:r w:rsidR="008E67C0">
        <w:t>1</w:t>
      </w:r>
      <w:r>
        <w:fldChar w:fldCharType="end"/>
      </w:r>
    </w:p>
    <w:p w14:paraId="5B854972" w14:textId="77777777" w:rsidR="002211D5" w:rsidRDefault="00576A22">
      <w:pPr>
        <w:pStyle w:val="TOC1"/>
        <w:rPr>
          <w:rFonts w:eastAsiaTheme="minorEastAsia"/>
          <w:b w:val="0"/>
          <w:kern w:val="2"/>
          <w:sz w:val="24"/>
          <w:szCs w:val="24"/>
          <w:lang w:eastAsia="en-GB"/>
          <w14:ligatures w14:val="standardContextual"/>
        </w:rPr>
      </w:pPr>
      <w:r w:rsidRPr="00AE6551">
        <w:t>2</w:t>
      </w:r>
      <w:r>
        <w:rPr>
          <w:rFonts w:eastAsiaTheme="minorEastAsia"/>
          <w:b w:val="0"/>
          <w:kern w:val="2"/>
          <w:sz w:val="24"/>
          <w:szCs w:val="24"/>
          <w:lang w:eastAsia="en-GB"/>
          <w14:ligatures w14:val="standardContextual"/>
        </w:rPr>
        <w:tab/>
      </w:r>
      <w:r>
        <w:t>Aquatic toxicology</w:t>
      </w:r>
      <w:r>
        <w:tab/>
      </w:r>
      <w:r>
        <w:fldChar w:fldCharType="begin"/>
      </w:r>
      <w:r>
        <w:instrText xml:space="preserve"> PAGEREF _Toc132885693 \h </w:instrText>
      </w:r>
      <w:r>
        <w:fldChar w:fldCharType="separate"/>
      </w:r>
      <w:r w:rsidR="008E67C0">
        <w:t>3</w:t>
      </w:r>
      <w:r>
        <w:fldChar w:fldCharType="end"/>
      </w:r>
    </w:p>
    <w:p w14:paraId="5B854973" w14:textId="77777777" w:rsidR="002211D5" w:rsidRDefault="00576A22">
      <w:pPr>
        <w:pStyle w:val="TOC2"/>
        <w:tabs>
          <w:tab w:val="left" w:pos="960"/>
        </w:tabs>
        <w:rPr>
          <w:rFonts w:eastAsiaTheme="minorEastAsia"/>
          <w:kern w:val="2"/>
          <w:sz w:val="24"/>
          <w:szCs w:val="24"/>
          <w:lang w:eastAsia="en-GB"/>
          <w14:ligatures w14:val="standardContextual"/>
        </w:rPr>
      </w:pPr>
      <w:r>
        <w:t>2.1</w:t>
      </w:r>
      <w:r>
        <w:rPr>
          <w:rFonts w:eastAsiaTheme="minorEastAsia"/>
          <w:kern w:val="2"/>
          <w:sz w:val="24"/>
          <w:szCs w:val="24"/>
          <w:lang w:eastAsia="en-GB"/>
          <w14:ligatures w14:val="standardContextual"/>
        </w:rPr>
        <w:tab/>
      </w:r>
      <w:r>
        <w:t>Overview of dioxin toxicity</w:t>
      </w:r>
      <w:r>
        <w:tab/>
      </w:r>
      <w:r>
        <w:fldChar w:fldCharType="begin"/>
      </w:r>
      <w:r>
        <w:instrText xml:space="preserve"> PAGEREF _Toc132885694 \h </w:instrText>
      </w:r>
      <w:r>
        <w:fldChar w:fldCharType="separate"/>
      </w:r>
      <w:r w:rsidR="008E67C0">
        <w:t>3</w:t>
      </w:r>
      <w:r>
        <w:fldChar w:fldCharType="end"/>
      </w:r>
    </w:p>
    <w:p w14:paraId="5B854974" w14:textId="77777777" w:rsidR="002211D5" w:rsidRDefault="00576A22">
      <w:pPr>
        <w:pStyle w:val="TOC2"/>
        <w:tabs>
          <w:tab w:val="left" w:pos="960"/>
        </w:tabs>
        <w:rPr>
          <w:rFonts w:eastAsiaTheme="minorEastAsia"/>
          <w:kern w:val="2"/>
          <w:sz w:val="24"/>
          <w:szCs w:val="24"/>
          <w:lang w:eastAsia="en-GB"/>
          <w14:ligatures w14:val="standardContextual"/>
        </w:rPr>
      </w:pPr>
      <w:r>
        <w:t>2.2</w:t>
      </w:r>
      <w:r>
        <w:rPr>
          <w:rFonts w:eastAsiaTheme="minorEastAsia"/>
          <w:kern w:val="2"/>
          <w:sz w:val="24"/>
          <w:szCs w:val="24"/>
          <w:lang w:eastAsia="en-GB"/>
          <w14:ligatures w14:val="standardContextual"/>
        </w:rPr>
        <w:tab/>
      </w:r>
      <w:r>
        <w:t>Characteristics of dioxin toxicity</w:t>
      </w:r>
      <w:r>
        <w:tab/>
      </w:r>
      <w:r>
        <w:fldChar w:fldCharType="begin"/>
      </w:r>
      <w:r>
        <w:instrText xml:space="preserve"> PAGEREF _Toc132885695 \h </w:instrText>
      </w:r>
      <w:r>
        <w:fldChar w:fldCharType="separate"/>
      </w:r>
      <w:r w:rsidR="008E67C0">
        <w:t>4</w:t>
      </w:r>
      <w:r>
        <w:fldChar w:fldCharType="end"/>
      </w:r>
    </w:p>
    <w:p w14:paraId="5B854975" w14:textId="77777777" w:rsidR="002211D5" w:rsidRDefault="00576A22">
      <w:pPr>
        <w:pStyle w:val="TOC2"/>
        <w:tabs>
          <w:tab w:val="left" w:pos="960"/>
        </w:tabs>
        <w:rPr>
          <w:rFonts w:eastAsiaTheme="minorEastAsia"/>
          <w:kern w:val="2"/>
          <w:sz w:val="24"/>
          <w:szCs w:val="24"/>
          <w:lang w:eastAsia="en-GB"/>
          <w14:ligatures w14:val="standardContextual"/>
        </w:rPr>
      </w:pPr>
      <w:r>
        <w:t>2.3</w:t>
      </w:r>
      <w:r>
        <w:rPr>
          <w:rFonts w:eastAsiaTheme="minorEastAsia"/>
          <w:kern w:val="2"/>
          <w:sz w:val="24"/>
          <w:szCs w:val="24"/>
          <w:lang w:eastAsia="en-GB"/>
          <w14:ligatures w14:val="standardContextual"/>
        </w:rPr>
        <w:tab/>
      </w:r>
      <w:r>
        <w:t>Delayed toxicity</w:t>
      </w:r>
      <w:r>
        <w:tab/>
      </w:r>
      <w:r>
        <w:fldChar w:fldCharType="begin"/>
      </w:r>
      <w:r>
        <w:instrText xml:space="preserve"> PAGEREF _Toc132885696 \h </w:instrText>
      </w:r>
      <w:r>
        <w:fldChar w:fldCharType="separate"/>
      </w:r>
      <w:r w:rsidR="008E67C0">
        <w:t>5</w:t>
      </w:r>
      <w:r>
        <w:fldChar w:fldCharType="end"/>
      </w:r>
    </w:p>
    <w:p w14:paraId="5B854976" w14:textId="77777777" w:rsidR="002211D5" w:rsidRDefault="00576A22">
      <w:pPr>
        <w:pStyle w:val="TOC2"/>
        <w:tabs>
          <w:tab w:val="left" w:pos="960"/>
        </w:tabs>
        <w:rPr>
          <w:rFonts w:eastAsiaTheme="minorEastAsia"/>
          <w:kern w:val="2"/>
          <w:sz w:val="24"/>
          <w:szCs w:val="24"/>
          <w:lang w:eastAsia="en-GB"/>
          <w14:ligatures w14:val="standardContextual"/>
        </w:rPr>
      </w:pPr>
      <w:r>
        <w:t>2.4</w:t>
      </w:r>
      <w:r>
        <w:rPr>
          <w:rFonts w:eastAsiaTheme="minorEastAsia"/>
          <w:kern w:val="2"/>
          <w:sz w:val="24"/>
          <w:szCs w:val="24"/>
          <w:lang w:eastAsia="en-GB"/>
          <w14:ligatures w14:val="standardContextual"/>
        </w:rPr>
        <w:tab/>
      </w:r>
      <w:r>
        <w:t>Field exposure and effects</w:t>
      </w:r>
      <w:r>
        <w:tab/>
      </w:r>
      <w:r>
        <w:fldChar w:fldCharType="begin"/>
      </w:r>
      <w:r>
        <w:instrText xml:space="preserve"> PAGEREF _Toc132885697 \h </w:instrText>
      </w:r>
      <w:r>
        <w:fldChar w:fldCharType="separate"/>
      </w:r>
      <w:r w:rsidR="008E67C0">
        <w:t>5</w:t>
      </w:r>
      <w:r>
        <w:fldChar w:fldCharType="end"/>
      </w:r>
    </w:p>
    <w:p w14:paraId="5B854977" w14:textId="77777777" w:rsidR="002211D5" w:rsidRDefault="00576A22">
      <w:pPr>
        <w:pStyle w:val="TOC2"/>
        <w:tabs>
          <w:tab w:val="left" w:pos="960"/>
        </w:tabs>
        <w:rPr>
          <w:rFonts w:eastAsiaTheme="minorEastAsia"/>
          <w:kern w:val="2"/>
          <w:sz w:val="24"/>
          <w:szCs w:val="24"/>
          <w:lang w:eastAsia="en-GB"/>
          <w14:ligatures w14:val="standardContextual"/>
        </w:rPr>
      </w:pPr>
      <w:r>
        <w:t>2.5</w:t>
      </w:r>
      <w:r>
        <w:rPr>
          <w:rFonts w:eastAsiaTheme="minorEastAsia"/>
          <w:kern w:val="2"/>
          <w:sz w:val="24"/>
          <w:szCs w:val="24"/>
          <w:lang w:eastAsia="en-GB"/>
          <w14:ligatures w14:val="standardContextual"/>
        </w:rPr>
        <w:tab/>
      </w:r>
      <w:r>
        <w:t>Toxicity to freshwater biota</w:t>
      </w:r>
      <w:r>
        <w:tab/>
      </w:r>
      <w:r>
        <w:fldChar w:fldCharType="begin"/>
      </w:r>
      <w:r>
        <w:instrText xml:space="preserve"> PAGEREF _Toc132885698 \h </w:instrText>
      </w:r>
      <w:r>
        <w:fldChar w:fldCharType="separate"/>
      </w:r>
      <w:r w:rsidR="008E67C0">
        <w:t>6</w:t>
      </w:r>
      <w:r>
        <w:fldChar w:fldCharType="end"/>
      </w:r>
    </w:p>
    <w:p w14:paraId="5B854978" w14:textId="77777777" w:rsidR="002211D5" w:rsidRDefault="00576A22">
      <w:pPr>
        <w:pStyle w:val="TOC2"/>
        <w:tabs>
          <w:tab w:val="left" w:pos="960"/>
        </w:tabs>
        <w:rPr>
          <w:rFonts w:eastAsiaTheme="minorEastAsia"/>
          <w:kern w:val="2"/>
          <w:sz w:val="24"/>
          <w:szCs w:val="24"/>
          <w:lang w:eastAsia="en-GB"/>
          <w14:ligatures w14:val="standardContextual"/>
        </w:rPr>
      </w:pPr>
      <w:r>
        <w:t>2.6</w:t>
      </w:r>
      <w:r>
        <w:rPr>
          <w:rFonts w:eastAsiaTheme="minorEastAsia"/>
          <w:kern w:val="2"/>
          <w:sz w:val="24"/>
          <w:szCs w:val="24"/>
          <w:lang w:eastAsia="en-GB"/>
          <w14:ligatures w14:val="standardContextual"/>
        </w:rPr>
        <w:tab/>
      </w:r>
      <w:r>
        <w:t>Toxicity to marine biota</w:t>
      </w:r>
      <w:r>
        <w:tab/>
      </w:r>
      <w:r>
        <w:fldChar w:fldCharType="begin"/>
      </w:r>
      <w:r>
        <w:instrText xml:space="preserve"> PAGEREF _Toc132885699 \h </w:instrText>
      </w:r>
      <w:r>
        <w:fldChar w:fldCharType="separate"/>
      </w:r>
      <w:r w:rsidR="008E67C0">
        <w:t>7</w:t>
      </w:r>
      <w:r>
        <w:fldChar w:fldCharType="end"/>
      </w:r>
    </w:p>
    <w:p w14:paraId="5B854979" w14:textId="77777777" w:rsidR="002211D5" w:rsidRDefault="00576A22">
      <w:pPr>
        <w:pStyle w:val="TOC1"/>
        <w:rPr>
          <w:rFonts w:eastAsiaTheme="minorEastAsia"/>
          <w:b w:val="0"/>
          <w:kern w:val="2"/>
          <w:sz w:val="24"/>
          <w:szCs w:val="24"/>
          <w:lang w:eastAsia="en-GB"/>
          <w14:ligatures w14:val="standardContextual"/>
        </w:rPr>
      </w:pPr>
      <w:r w:rsidRPr="00AE6551">
        <w:t>3</w:t>
      </w:r>
      <w:r>
        <w:rPr>
          <w:rFonts w:eastAsiaTheme="minorEastAsia"/>
          <w:b w:val="0"/>
          <w:kern w:val="2"/>
          <w:sz w:val="24"/>
          <w:szCs w:val="24"/>
          <w:lang w:eastAsia="en-GB"/>
          <w14:ligatures w14:val="standardContextual"/>
        </w:rPr>
        <w:tab/>
      </w:r>
      <w:r>
        <w:t>Factors affecting toxicity</w:t>
      </w:r>
      <w:r>
        <w:tab/>
      </w:r>
      <w:r>
        <w:fldChar w:fldCharType="begin"/>
      </w:r>
      <w:r>
        <w:instrText xml:space="preserve"> PAGEREF _Toc132885700 \h </w:instrText>
      </w:r>
      <w:r>
        <w:fldChar w:fldCharType="separate"/>
      </w:r>
      <w:r w:rsidR="008E67C0">
        <w:t>7</w:t>
      </w:r>
      <w:r>
        <w:fldChar w:fldCharType="end"/>
      </w:r>
    </w:p>
    <w:p w14:paraId="5B85497A" w14:textId="77777777" w:rsidR="002211D5" w:rsidRDefault="00576A22">
      <w:pPr>
        <w:pStyle w:val="TOC1"/>
        <w:rPr>
          <w:rFonts w:eastAsiaTheme="minorEastAsia"/>
          <w:b w:val="0"/>
          <w:kern w:val="2"/>
          <w:sz w:val="24"/>
          <w:szCs w:val="24"/>
          <w:lang w:eastAsia="en-GB"/>
          <w14:ligatures w14:val="standardContextual"/>
        </w:rPr>
      </w:pPr>
      <w:r w:rsidRPr="00AE6551">
        <w:t>4</w:t>
      </w:r>
      <w:r>
        <w:rPr>
          <w:rFonts w:eastAsiaTheme="minorEastAsia"/>
          <w:b w:val="0"/>
          <w:kern w:val="2"/>
          <w:sz w:val="24"/>
          <w:szCs w:val="24"/>
          <w:lang w:eastAsia="en-GB"/>
          <w14:ligatures w14:val="standardContextual"/>
        </w:rPr>
        <w:tab/>
      </w:r>
      <w:r>
        <w:t>Default guideline value derivation</w:t>
      </w:r>
      <w:r>
        <w:tab/>
      </w:r>
      <w:r>
        <w:fldChar w:fldCharType="begin"/>
      </w:r>
      <w:r>
        <w:instrText xml:space="preserve"> PAGEREF _Toc132885701 \h </w:instrText>
      </w:r>
      <w:r>
        <w:fldChar w:fldCharType="separate"/>
      </w:r>
      <w:r w:rsidR="008E67C0">
        <w:t>8</w:t>
      </w:r>
      <w:r>
        <w:fldChar w:fldCharType="end"/>
      </w:r>
    </w:p>
    <w:p w14:paraId="5B85497B" w14:textId="77777777" w:rsidR="002211D5" w:rsidRDefault="00576A22">
      <w:pPr>
        <w:pStyle w:val="TOC2"/>
        <w:tabs>
          <w:tab w:val="left" w:pos="960"/>
        </w:tabs>
        <w:rPr>
          <w:rFonts w:eastAsiaTheme="minorEastAsia"/>
          <w:kern w:val="2"/>
          <w:sz w:val="24"/>
          <w:szCs w:val="24"/>
          <w:lang w:eastAsia="en-GB"/>
          <w14:ligatures w14:val="standardContextual"/>
        </w:rPr>
      </w:pPr>
      <w:r>
        <w:t>4.1</w:t>
      </w:r>
      <w:r>
        <w:rPr>
          <w:rFonts w:eastAsiaTheme="minorEastAsia"/>
          <w:kern w:val="2"/>
          <w:sz w:val="24"/>
          <w:szCs w:val="24"/>
          <w:lang w:eastAsia="en-GB"/>
          <w14:ligatures w14:val="standardContextual"/>
        </w:rPr>
        <w:tab/>
      </w:r>
      <w:r>
        <w:t>Toxicity data used in derivation</w:t>
      </w:r>
      <w:r>
        <w:tab/>
      </w:r>
      <w:r>
        <w:fldChar w:fldCharType="begin"/>
      </w:r>
      <w:r>
        <w:instrText xml:space="preserve"> PAGEREF _Toc132885702 \h </w:instrText>
      </w:r>
      <w:r>
        <w:fldChar w:fldCharType="separate"/>
      </w:r>
      <w:r w:rsidR="008E67C0">
        <w:t>8</w:t>
      </w:r>
      <w:r>
        <w:fldChar w:fldCharType="end"/>
      </w:r>
    </w:p>
    <w:p w14:paraId="5B85497C" w14:textId="77777777" w:rsidR="002211D5" w:rsidRDefault="00576A22">
      <w:pPr>
        <w:pStyle w:val="TOC2"/>
        <w:tabs>
          <w:tab w:val="left" w:pos="960"/>
        </w:tabs>
        <w:rPr>
          <w:rFonts w:eastAsiaTheme="minorEastAsia"/>
          <w:kern w:val="2"/>
          <w:sz w:val="24"/>
          <w:szCs w:val="24"/>
          <w:lang w:eastAsia="en-GB"/>
          <w14:ligatures w14:val="standardContextual"/>
        </w:rPr>
      </w:pPr>
      <w:r>
        <w:t>4.2</w:t>
      </w:r>
      <w:r>
        <w:rPr>
          <w:rFonts w:eastAsiaTheme="minorEastAsia"/>
          <w:kern w:val="2"/>
          <w:sz w:val="24"/>
          <w:szCs w:val="24"/>
          <w:lang w:eastAsia="en-GB"/>
          <w14:ligatures w14:val="standardContextual"/>
        </w:rPr>
        <w:tab/>
      </w:r>
      <w:r>
        <w:t>Species sensitivity distribution</w:t>
      </w:r>
      <w:r>
        <w:tab/>
      </w:r>
      <w:r>
        <w:fldChar w:fldCharType="begin"/>
      </w:r>
      <w:r>
        <w:instrText xml:space="preserve"> PAGEREF _Toc132885703 \h </w:instrText>
      </w:r>
      <w:r>
        <w:fldChar w:fldCharType="separate"/>
      </w:r>
      <w:r w:rsidR="008E67C0">
        <w:t>11</w:t>
      </w:r>
      <w:r>
        <w:fldChar w:fldCharType="end"/>
      </w:r>
    </w:p>
    <w:p w14:paraId="5B85497D" w14:textId="77777777" w:rsidR="002211D5" w:rsidRDefault="00576A22">
      <w:pPr>
        <w:pStyle w:val="TOC2"/>
        <w:tabs>
          <w:tab w:val="left" w:pos="960"/>
        </w:tabs>
        <w:rPr>
          <w:rFonts w:eastAsiaTheme="minorEastAsia"/>
          <w:kern w:val="2"/>
          <w:sz w:val="24"/>
          <w:szCs w:val="24"/>
          <w:lang w:eastAsia="en-GB"/>
          <w14:ligatures w14:val="standardContextual"/>
        </w:rPr>
      </w:pPr>
      <w:r>
        <w:t>4.3</w:t>
      </w:r>
      <w:r>
        <w:rPr>
          <w:rFonts w:eastAsiaTheme="minorEastAsia"/>
          <w:kern w:val="2"/>
          <w:sz w:val="24"/>
          <w:szCs w:val="24"/>
          <w:lang w:eastAsia="en-GB"/>
          <w14:ligatures w14:val="standardContextual"/>
        </w:rPr>
        <w:tab/>
      </w:r>
      <w:r>
        <w:t>Default guideline values</w:t>
      </w:r>
      <w:r>
        <w:tab/>
      </w:r>
      <w:r>
        <w:fldChar w:fldCharType="begin"/>
      </w:r>
      <w:r>
        <w:instrText xml:space="preserve"> PAGEREF _Toc132885704 \h </w:instrText>
      </w:r>
      <w:r>
        <w:fldChar w:fldCharType="separate"/>
      </w:r>
      <w:r w:rsidR="008E67C0">
        <w:t>12</w:t>
      </w:r>
      <w:r>
        <w:fldChar w:fldCharType="end"/>
      </w:r>
    </w:p>
    <w:p w14:paraId="5B85497E" w14:textId="77777777" w:rsidR="002211D5" w:rsidRDefault="00576A22">
      <w:pPr>
        <w:pStyle w:val="TOC2"/>
        <w:tabs>
          <w:tab w:val="left" w:pos="960"/>
        </w:tabs>
        <w:rPr>
          <w:rFonts w:eastAsiaTheme="minorEastAsia"/>
          <w:kern w:val="2"/>
          <w:sz w:val="24"/>
          <w:szCs w:val="24"/>
          <w:lang w:eastAsia="en-GB"/>
          <w14:ligatures w14:val="standardContextual"/>
        </w:rPr>
      </w:pPr>
      <w:r>
        <w:t>4.4</w:t>
      </w:r>
      <w:r>
        <w:rPr>
          <w:rFonts w:eastAsiaTheme="minorEastAsia"/>
          <w:kern w:val="2"/>
          <w:sz w:val="24"/>
          <w:szCs w:val="24"/>
          <w:lang w:eastAsia="en-GB"/>
          <w14:ligatures w14:val="standardContextual"/>
        </w:rPr>
        <w:tab/>
      </w:r>
      <w:r>
        <w:t>Reliability classification</w:t>
      </w:r>
      <w:r>
        <w:tab/>
      </w:r>
      <w:r>
        <w:fldChar w:fldCharType="begin"/>
      </w:r>
      <w:r>
        <w:instrText xml:space="preserve"> PAGEREF _Toc132885722 \h </w:instrText>
      </w:r>
      <w:r>
        <w:fldChar w:fldCharType="separate"/>
      </w:r>
      <w:r w:rsidR="008E67C0">
        <w:t>13</w:t>
      </w:r>
      <w:r>
        <w:fldChar w:fldCharType="end"/>
      </w:r>
    </w:p>
    <w:p w14:paraId="5B85497F" w14:textId="77777777" w:rsidR="002211D5" w:rsidRDefault="00576A22">
      <w:pPr>
        <w:pStyle w:val="TOC1"/>
        <w:rPr>
          <w:rFonts w:eastAsiaTheme="minorEastAsia"/>
          <w:b w:val="0"/>
          <w:kern w:val="2"/>
          <w:sz w:val="24"/>
          <w:szCs w:val="24"/>
          <w:lang w:eastAsia="en-GB"/>
          <w14:ligatures w14:val="standardContextual"/>
        </w:rPr>
      </w:pPr>
      <w:r w:rsidRPr="00AE6551">
        <w:t>5</w:t>
      </w:r>
      <w:r>
        <w:rPr>
          <w:rFonts w:eastAsiaTheme="minorEastAsia"/>
          <w:b w:val="0"/>
          <w:kern w:val="2"/>
          <w:sz w:val="24"/>
          <w:szCs w:val="24"/>
          <w:lang w:eastAsia="en-GB"/>
          <w14:ligatures w14:val="standardContextual"/>
        </w:rPr>
        <w:tab/>
      </w:r>
      <w:r>
        <w:t>Toxicity equivalence factors</w:t>
      </w:r>
      <w:r>
        <w:tab/>
      </w:r>
      <w:r>
        <w:fldChar w:fldCharType="begin"/>
      </w:r>
      <w:r>
        <w:instrText xml:space="preserve"> PAGEREF _Toc132885723 \h </w:instrText>
      </w:r>
      <w:r>
        <w:fldChar w:fldCharType="separate"/>
      </w:r>
      <w:r w:rsidR="008E67C0">
        <w:t>13</w:t>
      </w:r>
      <w:r>
        <w:fldChar w:fldCharType="end"/>
      </w:r>
    </w:p>
    <w:p w14:paraId="5B854980" w14:textId="77777777" w:rsidR="002211D5" w:rsidRDefault="00576A22">
      <w:pPr>
        <w:pStyle w:val="TOC1"/>
        <w:rPr>
          <w:rFonts w:eastAsiaTheme="minorEastAsia"/>
          <w:b w:val="0"/>
          <w:kern w:val="2"/>
          <w:sz w:val="24"/>
          <w:szCs w:val="24"/>
          <w:lang w:eastAsia="en-GB"/>
          <w14:ligatures w14:val="standardContextual"/>
        </w:rPr>
      </w:pPr>
      <w:r>
        <w:t>Glossary</w:t>
      </w:r>
      <w:r>
        <w:tab/>
      </w:r>
      <w:r>
        <w:fldChar w:fldCharType="begin"/>
      </w:r>
      <w:r>
        <w:instrText xml:space="preserve"> PAGEREF _Toc132885724 \h </w:instrText>
      </w:r>
      <w:r>
        <w:fldChar w:fldCharType="separate"/>
      </w:r>
      <w:r w:rsidR="008E67C0">
        <w:t>17</w:t>
      </w:r>
      <w:r>
        <w:fldChar w:fldCharType="end"/>
      </w:r>
    </w:p>
    <w:p w14:paraId="5B854981" w14:textId="77777777" w:rsidR="002211D5" w:rsidRDefault="00576A22">
      <w:pPr>
        <w:pStyle w:val="TOC1"/>
        <w:rPr>
          <w:rFonts w:eastAsiaTheme="minorEastAsia"/>
          <w:b w:val="0"/>
          <w:kern w:val="2"/>
          <w:sz w:val="24"/>
          <w:szCs w:val="24"/>
          <w:lang w:eastAsia="en-GB"/>
          <w14:ligatures w14:val="standardContextual"/>
        </w:rPr>
      </w:pPr>
      <w:r>
        <w:t>Appendix A: Toxicity data that passed the screening and quality assessment and we</w:t>
      </w:r>
      <w:r>
        <w:t>re used to derive the default guideline values</w:t>
      </w:r>
      <w:r>
        <w:tab/>
      </w:r>
      <w:r>
        <w:fldChar w:fldCharType="begin"/>
      </w:r>
      <w:r>
        <w:instrText xml:space="preserve"> PAGEREF _Toc132885725 \h </w:instrText>
      </w:r>
      <w:r>
        <w:fldChar w:fldCharType="separate"/>
      </w:r>
      <w:r w:rsidR="008E67C0">
        <w:t>20</w:t>
      </w:r>
      <w:r>
        <w:fldChar w:fldCharType="end"/>
      </w:r>
    </w:p>
    <w:p w14:paraId="5B854982" w14:textId="77777777" w:rsidR="002211D5" w:rsidRDefault="00576A22">
      <w:pPr>
        <w:pStyle w:val="TOC1"/>
        <w:rPr>
          <w:rFonts w:eastAsiaTheme="minorEastAsia"/>
          <w:b w:val="0"/>
          <w:kern w:val="2"/>
          <w:sz w:val="24"/>
          <w:szCs w:val="24"/>
          <w:lang w:eastAsia="en-GB"/>
          <w14:ligatures w14:val="standardContextual"/>
        </w:rPr>
      </w:pPr>
      <w:r>
        <w:t>Appendix B: Modality assessment for dioxin</w:t>
      </w:r>
      <w:r>
        <w:tab/>
      </w:r>
      <w:r>
        <w:fldChar w:fldCharType="begin"/>
      </w:r>
      <w:r>
        <w:instrText xml:space="preserve"> PAGEREF _Toc132885726 \h </w:instrText>
      </w:r>
      <w:r>
        <w:fldChar w:fldCharType="separate"/>
      </w:r>
      <w:r w:rsidR="008E67C0">
        <w:t>22</w:t>
      </w:r>
      <w:r>
        <w:fldChar w:fldCharType="end"/>
      </w:r>
    </w:p>
    <w:p w14:paraId="5B854983" w14:textId="77777777" w:rsidR="002211D5" w:rsidRDefault="00576A22">
      <w:pPr>
        <w:pStyle w:val="TOC1"/>
        <w:rPr>
          <w:rFonts w:eastAsiaTheme="minorEastAsia"/>
          <w:b w:val="0"/>
          <w:kern w:val="2"/>
          <w:sz w:val="24"/>
          <w:szCs w:val="24"/>
          <w:lang w:eastAsia="en-GB"/>
          <w14:ligatures w14:val="standardContextual"/>
        </w:rPr>
      </w:pPr>
      <w:r>
        <w:t>References</w:t>
      </w:r>
      <w:r>
        <w:tab/>
      </w:r>
      <w:r>
        <w:fldChar w:fldCharType="begin"/>
      </w:r>
      <w:r>
        <w:instrText xml:space="preserve"> PAGEREF _Toc132885727 \h </w:instrText>
      </w:r>
      <w:r>
        <w:fldChar w:fldCharType="separate"/>
      </w:r>
      <w:r w:rsidR="008E67C0">
        <w:t>25</w:t>
      </w:r>
      <w:r>
        <w:fldChar w:fldCharType="end"/>
      </w:r>
    </w:p>
    <w:p w14:paraId="5B854984" w14:textId="77777777" w:rsidR="001C0D1C" w:rsidRDefault="00576A22" w:rsidP="00184A2E">
      <w:pPr>
        <w:pStyle w:val="TOCHeading2"/>
        <w:outlineLvl w:val="0"/>
      </w:pPr>
      <w:r>
        <w:rPr>
          <w:rFonts w:asciiTheme="minorHAnsi" w:eastAsiaTheme="minorHAnsi" w:hAnsiTheme="minorHAnsi" w:cstheme="minorBidi"/>
          <w:noProof/>
          <w:color w:val="auto"/>
          <w:sz w:val="22"/>
          <w:szCs w:val="24"/>
          <w:lang w:val="en-AU"/>
        </w:rPr>
        <w:fldChar w:fldCharType="end"/>
      </w:r>
      <w:r>
        <w:t>Figures</w:t>
      </w:r>
    </w:p>
    <w:p w14:paraId="5B854985" w14:textId="77777777" w:rsidR="007D66A6" w:rsidRPr="007D66A6" w:rsidRDefault="00576A22">
      <w:pPr>
        <w:pStyle w:val="TableofFigures"/>
        <w:tabs>
          <w:tab w:val="right" w:leader="dot" w:pos="9060"/>
        </w:tabs>
        <w:rPr>
          <w:rFonts w:eastAsiaTheme="minorEastAsia"/>
          <w:noProof/>
          <w:sz w:val="24"/>
          <w:szCs w:val="24"/>
          <w:lang w:eastAsia="en-GB"/>
        </w:rPr>
      </w:pPr>
      <w:r w:rsidRPr="00E26B96">
        <w:fldChar w:fldCharType="begin"/>
      </w:r>
      <w:r w:rsidRPr="00E26B96">
        <w:instrText xml:space="preserve"> TOC \c "Figure" </w:instrText>
      </w:r>
      <w:r w:rsidRPr="00E26B96">
        <w:fldChar w:fldCharType="separate"/>
      </w:r>
      <w:r w:rsidRPr="007D66A6">
        <w:rPr>
          <w:rFonts w:eastAsiaTheme="majorEastAsia" w:cstheme="majorBidi"/>
          <w:noProof/>
          <w:color w:val="000000" w:themeColor="text1"/>
        </w:rPr>
        <w:t>Figure 1 Chemical structure of PCDD</w:t>
      </w:r>
      <w:r w:rsidRPr="007D66A6">
        <w:rPr>
          <w:noProof/>
        </w:rPr>
        <w:tab/>
      </w:r>
      <w:r w:rsidRPr="007D66A6">
        <w:rPr>
          <w:noProof/>
        </w:rPr>
        <w:fldChar w:fldCharType="begin"/>
      </w:r>
      <w:r w:rsidRPr="007D66A6">
        <w:rPr>
          <w:noProof/>
        </w:rPr>
        <w:instrText xml:space="preserve"> PAGEREF _Toc47526053 \h </w:instrText>
      </w:r>
      <w:r w:rsidRPr="007D66A6">
        <w:rPr>
          <w:noProof/>
        </w:rPr>
      </w:r>
      <w:r w:rsidRPr="007D66A6">
        <w:rPr>
          <w:noProof/>
        </w:rPr>
        <w:fldChar w:fldCharType="separate"/>
      </w:r>
      <w:r w:rsidR="008E67C0">
        <w:rPr>
          <w:noProof/>
        </w:rPr>
        <w:t>1</w:t>
      </w:r>
      <w:r w:rsidRPr="007D66A6">
        <w:rPr>
          <w:noProof/>
        </w:rPr>
        <w:fldChar w:fldCharType="end"/>
      </w:r>
    </w:p>
    <w:p w14:paraId="5B854986" w14:textId="77777777" w:rsidR="007D66A6" w:rsidRPr="007D66A6" w:rsidRDefault="00576A22">
      <w:pPr>
        <w:pStyle w:val="TableofFigures"/>
        <w:tabs>
          <w:tab w:val="right" w:leader="dot" w:pos="9060"/>
        </w:tabs>
        <w:rPr>
          <w:rFonts w:eastAsiaTheme="minorEastAsia"/>
          <w:noProof/>
          <w:sz w:val="24"/>
          <w:szCs w:val="24"/>
          <w:lang w:eastAsia="en-GB"/>
        </w:rPr>
      </w:pPr>
      <w:r w:rsidRPr="007D66A6">
        <w:rPr>
          <w:rFonts w:eastAsiaTheme="majorEastAsia" w:cstheme="majorBidi"/>
          <w:noProof/>
          <w:color w:val="000000" w:themeColor="text1"/>
        </w:rPr>
        <w:t>Figure 2 Chemical structure of 2,3,7,8-TCDD</w:t>
      </w:r>
      <w:r w:rsidRPr="007D66A6">
        <w:rPr>
          <w:noProof/>
        </w:rPr>
        <w:tab/>
      </w:r>
      <w:r w:rsidRPr="007D66A6">
        <w:rPr>
          <w:noProof/>
        </w:rPr>
        <w:fldChar w:fldCharType="begin"/>
      </w:r>
      <w:r w:rsidRPr="007D66A6">
        <w:rPr>
          <w:noProof/>
        </w:rPr>
        <w:instrText xml:space="preserve"> PAGEREF _Toc47526054 \h </w:instrText>
      </w:r>
      <w:r w:rsidRPr="007D66A6">
        <w:rPr>
          <w:noProof/>
        </w:rPr>
      </w:r>
      <w:r w:rsidRPr="007D66A6">
        <w:rPr>
          <w:noProof/>
        </w:rPr>
        <w:fldChar w:fldCharType="separate"/>
      </w:r>
      <w:r w:rsidR="008E67C0">
        <w:rPr>
          <w:noProof/>
        </w:rPr>
        <w:t>1</w:t>
      </w:r>
      <w:r w:rsidRPr="007D66A6">
        <w:rPr>
          <w:noProof/>
        </w:rPr>
        <w:fldChar w:fldCharType="end"/>
      </w:r>
    </w:p>
    <w:p w14:paraId="5B854987" w14:textId="77777777" w:rsidR="007D66A6" w:rsidRPr="007D66A6" w:rsidRDefault="00576A22">
      <w:pPr>
        <w:pStyle w:val="TableofFigures"/>
        <w:tabs>
          <w:tab w:val="right" w:leader="dot" w:pos="9060"/>
        </w:tabs>
        <w:rPr>
          <w:rFonts w:eastAsiaTheme="minorEastAsia"/>
          <w:noProof/>
          <w:sz w:val="24"/>
          <w:szCs w:val="24"/>
          <w:lang w:eastAsia="en-GB"/>
        </w:rPr>
      </w:pPr>
      <w:r w:rsidRPr="007D66A6">
        <w:rPr>
          <w:rFonts w:eastAsiaTheme="majorEastAsia" w:cstheme="majorBidi"/>
          <w:noProof/>
          <w:color w:val="000000" w:themeColor="text1"/>
        </w:rPr>
        <w:t>Figure 3 Chemical structure of PCDF</w:t>
      </w:r>
      <w:r w:rsidRPr="007D66A6">
        <w:rPr>
          <w:noProof/>
        </w:rPr>
        <w:tab/>
      </w:r>
      <w:r w:rsidRPr="007D66A6">
        <w:rPr>
          <w:noProof/>
        </w:rPr>
        <w:fldChar w:fldCharType="begin"/>
      </w:r>
      <w:r w:rsidRPr="007D66A6">
        <w:rPr>
          <w:noProof/>
        </w:rPr>
        <w:instrText xml:space="preserve"> PAGEREF _Toc47526</w:instrText>
      </w:r>
      <w:r w:rsidRPr="007D66A6">
        <w:rPr>
          <w:noProof/>
        </w:rPr>
        <w:instrText xml:space="preserve">055 \h </w:instrText>
      </w:r>
      <w:r w:rsidRPr="007D66A6">
        <w:rPr>
          <w:noProof/>
        </w:rPr>
      </w:r>
      <w:r w:rsidRPr="007D66A6">
        <w:rPr>
          <w:noProof/>
        </w:rPr>
        <w:fldChar w:fldCharType="separate"/>
      </w:r>
      <w:r w:rsidR="008E67C0">
        <w:rPr>
          <w:noProof/>
        </w:rPr>
        <w:t>1</w:t>
      </w:r>
      <w:r w:rsidRPr="007D66A6">
        <w:rPr>
          <w:noProof/>
        </w:rPr>
        <w:fldChar w:fldCharType="end"/>
      </w:r>
    </w:p>
    <w:p w14:paraId="5B854988" w14:textId="77777777" w:rsidR="007D66A6" w:rsidRPr="007D66A6" w:rsidRDefault="00576A22">
      <w:pPr>
        <w:pStyle w:val="TableofFigures"/>
        <w:tabs>
          <w:tab w:val="right" w:leader="dot" w:pos="9060"/>
        </w:tabs>
        <w:rPr>
          <w:rFonts w:eastAsiaTheme="minorEastAsia"/>
          <w:noProof/>
          <w:sz w:val="24"/>
          <w:szCs w:val="24"/>
          <w:lang w:eastAsia="en-GB"/>
        </w:rPr>
      </w:pPr>
      <w:r w:rsidRPr="007D66A6">
        <w:rPr>
          <w:rFonts w:eastAsiaTheme="majorEastAsia" w:cstheme="majorBidi"/>
          <w:noProof/>
          <w:color w:val="000000" w:themeColor="text1"/>
        </w:rPr>
        <w:t>Figure 4 Chemical structure of dl-PCB</w:t>
      </w:r>
      <w:r w:rsidRPr="007D66A6">
        <w:rPr>
          <w:noProof/>
        </w:rPr>
        <w:tab/>
      </w:r>
      <w:r w:rsidRPr="007D66A6">
        <w:rPr>
          <w:noProof/>
        </w:rPr>
        <w:fldChar w:fldCharType="begin"/>
      </w:r>
      <w:r w:rsidRPr="007D66A6">
        <w:rPr>
          <w:noProof/>
        </w:rPr>
        <w:instrText xml:space="preserve"> PAGEREF _Toc47526056 \h </w:instrText>
      </w:r>
      <w:r w:rsidRPr="007D66A6">
        <w:rPr>
          <w:noProof/>
        </w:rPr>
      </w:r>
      <w:r w:rsidRPr="007D66A6">
        <w:rPr>
          <w:noProof/>
        </w:rPr>
        <w:fldChar w:fldCharType="separate"/>
      </w:r>
      <w:r w:rsidR="008E67C0">
        <w:rPr>
          <w:noProof/>
        </w:rPr>
        <w:t>1</w:t>
      </w:r>
      <w:r w:rsidRPr="007D66A6">
        <w:rPr>
          <w:noProof/>
        </w:rPr>
        <w:fldChar w:fldCharType="end"/>
      </w:r>
    </w:p>
    <w:p w14:paraId="5B854989" w14:textId="77777777" w:rsidR="007D66A6" w:rsidRDefault="00576A22">
      <w:pPr>
        <w:pStyle w:val="TableofFigures"/>
        <w:tabs>
          <w:tab w:val="right" w:leader="dot" w:pos="9060"/>
        </w:tabs>
        <w:rPr>
          <w:rFonts w:eastAsiaTheme="minorEastAsia"/>
          <w:noProof/>
          <w:sz w:val="24"/>
          <w:szCs w:val="24"/>
          <w:lang w:eastAsia="en-GB"/>
        </w:rPr>
      </w:pPr>
      <w:r>
        <w:rPr>
          <w:noProof/>
        </w:rPr>
        <w:t xml:space="preserve">Figure 5 Species sensitivity </w:t>
      </w:r>
      <w:r>
        <w:rPr>
          <w:noProof/>
        </w:rPr>
        <w:t>distribution, 2,3,7,8-TCDD in freshwater</w:t>
      </w:r>
      <w:r>
        <w:rPr>
          <w:noProof/>
        </w:rPr>
        <w:tab/>
      </w:r>
      <w:r>
        <w:rPr>
          <w:noProof/>
        </w:rPr>
        <w:fldChar w:fldCharType="begin"/>
      </w:r>
      <w:r>
        <w:rPr>
          <w:noProof/>
        </w:rPr>
        <w:instrText xml:space="preserve"> PAGEREF _Toc47526057 \h </w:instrText>
      </w:r>
      <w:r>
        <w:rPr>
          <w:noProof/>
        </w:rPr>
      </w:r>
      <w:r>
        <w:rPr>
          <w:noProof/>
        </w:rPr>
        <w:fldChar w:fldCharType="separate"/>
      </w:r>
      <w:r w:rsidR="008E67C0">
        <w:rPr>
          <w:noProof/>
        </w:rPr>
        <w:t>12</w:t>
      </w:r>
      <w:r>
        <w:rPr>
          <w:noProof/>
        </w:rPr>
        <w:fldChar w:fldCharType="end"/>
      </w:r>
    </w:p>
    <w:p w14:paraId="5B85498A" w14:textId="77777777" w:rsidR="001C0D1C" w:rsidRDefault="00576A22">
      <w:pPr>
        <w:pStyle w:val="TOCHeading2"/>
      </w:pPr>
      <w:r w:rsidRPr="00E26B96">
        <w:rPr>
          <w:rFonts w:ascii="Cambria" w:hAnsi="Cambria"/>
          <w:color w:val="auto"/>
          <w:sz w:val="22"/>
          <w:szCs w:val="24"/>
        </w:rPr>
        <w:fldChar w:fldCharType="end"/>
      </w:r>
      <w:r>
        <w:t>Tables</w:t>
      </w:r>
    </w:p>
    <w:p w14:paraId="5B85498B" w14:textId="77777777" w:rsidR="002211D5" w:rsidRDefault="00576A22">
      <w:pPr>
        <w:pStyle w:val="TableofFigures"/>
        <w:tabs>
          <w:tab w:val="right" w:leader="dot" w:pos="9060"/>
        </w:tabs>
        <w:rPr>
          <w:rFonts w:eastAsiaTheme="minorEastAsia"/>
          <w:noProof/>
          <w:kern w:val="2"/>
          <w:sz w:val="24"/>
          <w:szCs w:val="24"/>
          <w:lang w:eastAsia="en-GB"/>
          <w14:ligatures w14:val="standardContextual"/>
        </w:rPr>
      </w:pPr>
      <w:r>
        <w:rPr>
          <w:bCs/>
          <w:szCs w:val="24"/>
        </w:rPr>
        <w:fldChar w:fldCharType="begin"/>
      </w:r>
      <w:r>
        <w:rPr>
          <w:bCs/>
        </w:rPr>
        <w:instrText xml:space="preserve"> TOC \c "Table" </w:instrText>
      </w:r>
      <w:r>
        <w:rPr>
          <w:bCs/>
          <w:szCs w:val="24"/>
        </w:rPr>
        <w:fldChar w:fldCharType="separate"/>
      </w:r>
      <w:r>
        <w:rPr>
          <w:noProof/>
        </w:rPr>
        <w:t>Table 1 Summary of single toxicity values, all species used to derive default guideline values</w:t>
      </w:r>
      <w:r>
        <w:rPr>
          <w:noProof/>
        </w:rPr>
        <w:t xml:space="preserve"> for 2,3,7,8-TCDD in freshwater</w:t>
      </w:r>
      <w:r>
        <w:rPr>
          <w:noProof/>
        </w:rPr>
        <w:tab/>
      </w:r>
      <w:r>
        <w:rPr>
          <w:noProof/>
        </w:rPr>
        <w:fldChar w:fldCharType="begin"/>
      </w:r>
      <w:r>
        <w:rPr>
          <w:noProof/>
        </w:rPr>
        <w:instrText xml:space="preserve"> PAGEREF _Toc132885733 \h </w:instrText>
      </w:r>
      <w:r>
        <w:rPr>
          <w:noProof/>
        </w:rPr>
      </w:r>
      <w:r>
        <w:rPr>
          <w:noProof/>
        </w:rPr>
        <w:fldChar w:fldCharType="separate"/>
      </w:r>
      <w:r w:rsidR="008E67C0">
        <w:rPr>
          <w:noProof/>
        </w:rPr>
        <w:t>11</w:t>
      </w:r>
      <w:r>
        <w:rPr>
          <w:noProof/>
        </w:rPr>
        <w:fldChar w:fldCharType="end"/>
      </w:r>
    </w:p>
    <w:p w14:paraId="5B85498C" w14:textId="77777777" w:rsidR="002211D5" w:rsidRDefault="00576A22">
      <w:pPr>
        <w:pStyle w:val="TableofFigures"/>
        <w:tabs>
          <w:tab w:val="right" w:leader="dot" w:pos="9060"/>
        </w:tabs>
        <w:rPr>
          <w:rFonts w:eastAsiaTheme="minorEastAsia"/>
          <w:noProof/>
          <w:kern w:val="2"/>
          <w:sz w:val="24"/>
          <w:szCs w:val="24"/>
          <w:lang w:eastAsia="en-GB"/>
          <w14:ligatures w14:val="standardContextual"/>
        </w:rPr>
      </w:pPr>
      <w:r>
        <w:rPr>
          <w:noProof/>
        </w:rPr>
        <w:t>Table 2 Toxicant default guideline values, 2,3,7,8-TCDD in freshwater, moderate reliability</w:t>
      </w:r>
      <w:r>
        <w:rPr>
          <w:noProof/>
        </w:rPr>
        <w:tab/>
      </w:r>
      <w:r>
        <w:rPr>
          <w:noProof/>
        </w:rPr>
        <w:fldChar w:fldCharType="begin"/>
      </w:r>
      <w:r>
        <w:rPr>
          <w:noProof/>
        </w:rPr>
        <w:instrText xml:space="preserve"> PAGEREF _Toc132885734 \h </w:instrText>
      </w:r>
      <w:r>
        <w:rPr>
          <w:noProof/>
        </w:rPr>
      </w:r>
      <w:r>
        <w:rPr>
          <w:noProof/>
        </w:rPr>
        <w:fldChar w:fldCharType="separate"/>
      </w:r>
      <w:r w:rsidR="008E67C0">
        <w:rPr>
          <w:noProof/>
        </w:rPr>
        <w:t>12</w:t>
      </w:r>
      <w:r>
        <w:rPr>
          <w:noProof/>
        </w:rPr>
        <w:fldChar w:fldCharType="end"/>
      </w:r>
    </w:p>
    <w:p w14:paraId="5B85498D" w14:textId="77777777" w:rsidR="002211D5" w:rsidRDefault="00576A22">
      <w:pPr>
        <w:pStyle w:val="TableofFigures"/>
        <w:tabs>
          <w:tab w:val="right" w:leader="dot" w:pos="9060"/>
        </w:tabs>
        <w:rPr>
          <w:rFonts w:eastAsiaTheme="minorEastAsia"/>
          <w:noProof/>
          <w:kern w:val="2"/>
          <w:sz w:val="24"/>
          <w:szCs w:val="24"/>
          <w:lang w:eastAsia="en-GB"/>
          <w14:ligatures w14:val="standardContextual"/>
        </w:rPr>
      </w:pPr>
      <w:r>
        <w:rPr>
          <w:noProof/>
        </w:rPr>
        <w:t>Table 3</w:t>
      </w:r>
      <w:r>
        <w:rPr>
          <w:noProof/>
          <w:lang w:eastAsia="ja-JP"/>
        </w:rPr>
        <w:t xml:space="preserve"> Toxicity equivalence factors used to extrapolate toxicity of 2,3,7,8-TCDD to other dioxins, furans and dl-PCBs</w:t>
      </w:r>
      <w:r>
        <w:rPr>
          <w:noProof/>
        </w:rPr>
        <w:tab/>
      </w:r>
      <w:r>
        <w:rPr>
          <w:noProof/>
        </w:rPr>
        <w:fldChar w:fldCharType="begin"/>
      </w:r>
      <w:r>
        <w:rPr>
          <w:noProof/>
        </w:rPr>
        <w:instrText xml:space="preserve"> PAGEREF _Toc132885735 \h </w:instrText>
      </w:r>
      <w:r>
        <w:rPr>
          <w:noProof/>
        </w:rPr>
      </w:r>
      <w:r>
        <w:rPr>
          <w:noProof/>
        </w:rPr>
        <w:fldChar w:fldCharType="separate"/>
      </w:r>
      <w:r w:rsidR="008E67C0">
        <w:rPr>
          <w:noProof/>
        </w:rPr>
        <w:t>15</w:t>
      </w:r>
      <w:r>
        <w:rPr>
          <w:noProof/>
        </w:rPr>
        <w:fldChar w:fldCharType="end"/>
      </w:r>
    </w:p>
    <w:p w14:paraId="5B85498E" w14:textId="77777777" w:rsidR="00401C43" w:rsidRDefault="00576A22" w:rsidP="00401C43">
      <w:pPr>
        <w:pStyle w:val="TOCHeading2"/>
        <w:rPr>
          <w:bCs w:val="0"/>
          <w:szCs w:val="24"/>
        </w:rPr>
      </w:pPr>
      <w:r>
        <w:lastRenderedPageBreak/>
        <w:fldChar w:fldCharType="end"/>
      </w:r>
      <w:r>
        <w:rPr>
          <w:bCs w:val="0"/>
          <w:szCs w:val="24"/>
        </w:rPr>
        <w:t>Appendix tables</w:t>
      </w:r>
    </w:p>
    <w:p w14:paraId="5B85498F" w14:textId="77777777" w:rsidR="007D66A6" w:rsidRDefault="00576A22" w:rsidP="00401C43">
      <w:pPr>
        <w:pStyle w:val="TableofFigures"/>
        <w:tabs>
          <w:tab w:val="right" w:leader="dot" w:pos="9060"/>
        </w:tabs>
        <w:rPr>
          <w:noProof/>
        </w:rPr>
      </w:pPr>
      <w:r>
        <w:rPr>
          <w:bCs/>
        </w:rPr>
        <w:fldChar w:fldCharType="begin"/>
      </w:r>
      <w:r>
        <w:rPr>
          <w:bCs/>
        </w:rPr>
        <w:instrText xml:space="preserve"> TOC \h \z \c "Table A" </w:instrText>
      </w:r>
      <w:r>
        <w:rPr>
          <w:bCs/>
        </w:rPr>
        <w:fldChar w:fldCharType="separate"/>
      </w:r>
      <w:hyperlink w:anchor="_Toc47526115" w:history="1">
        <w:r w:rsidRPr="00287843">
          <w:rPr>
            <w:rStyle w:val="Hyperlink"/>
            <w:noProof/>
          </w:rPr>
          <w:t>Table A 1 Summary, toxicity data that passed the screening and quality assurance processes, dioxin in freshwater</w:t>
        </w:r>
        <w:r>
          <w:rPr>
            <w:noProof/>
            <w:webHidden/>
          </w:rPr>
          <w:tab/>
        </w:r>
        <w:r>
          <w:rPr>
            <w:noProof/>
            <w:webHidden/>
          </w:rPr>
          <w:fldChar w:fldCharType="begin"/>
        </w:r>
        <w:r>
          <w:rPr>
            <w:noProof/>
            <w:webHidden/>
          </w:rPr>
          <w:instrText xml:space="preserve"> PAGEREF _Toc47526115 \h </w:instrText>
        </w:r>
        <w:r>
          <w:rPr>
            <w:noProof/>
            <w:webHidden/>
          </w:rPr>
        </w:r>
        <w:r>
          <w:rPr>
            <w:noProof/>
            <w:webHidden/>
          </w:rPr>
          <w:fldChar w:fldCharType="separate"/>
        </w:r>
        <w:r w:rsidR="008E67C0">
          <w:rPr>
            <w:noProof/>
            <w:webHidden/>
          </w:rPr>
          <w:t>20</w:t>
        </w:r>
        <w:r>
          <w:rPr>
            <w:noProof/>
            <w:webHidden/>
          </w:rPr>
          <w:fldChar w:fldCharType="end"/>
        </w:r>
      </w:hyperlink>
      <w:r>
        <w:rPr>
          <w:bCs/>
        </w:rPr>
        <w:fldChar w:fldCharType="end"/>
      </w:r>
      <w:r>
        <w:rPr>
          <w:bCs/>
        </w:rPr>
        <w:fldChar w:fldCharType="begin"/>
      </w:r>
      <w:r>
        <w:rPr>
          <w:bCs/>
        </w:rPr>
        <w:instrText xml:space="preserve"> TOC \h \z \c "Table B" </w:instrText>
      </w:r>
      <w:r>
        <w:rPr>
          <w:bCs/>
        </w:rPr>
        <w:fldChar w:fldCharType="separate"/>
      </w:r>
    </w:p>
    <w:p w14:paraId="5B854990" w14:textId="77777777" w:rsidR="007D66A6" w:rsidRDefault="00576A22">
      <w:pPr>
        <w:pStyle w:val="TableofFigures"/>
        <w:tabs>
          <w:tab w:val="right" w:leader="dot" w:pos="9060"/>
        </w:tabs>
        <w:rPr>
          <w:rFonts w:eastAsiaTheme="minorEastAsia"/>
          <w:noProof/>
          <w:sz w:val="24"/>
          <w:szCs w:val="24"/>
          <w:lang w:eastAsia="en-GB"/>
        </w:rPr>
      </w:pPr>
      <w:hyperlink w:anchor="_Toc47526132" w:history="1">
        <w:r w:rsidR="007F36C3" w:rsidRPr="00FD50BF">
          <w:rPr>
            <w:rStyle w:val="Hyperlink"/>
            <w:noProof/>
          </w:rPr>
          <w:t>Table B 1 Lowest toxicity value, each species that passed the screening and quality assessment stipulated in Warne et al. (2018)</w:t>
        </w:r>
        <w:r w:rsidR="007F36C3">
          <w:rPr>
            <w:noProof/>
            <w:webHidden/>
          </w:rPr>
          <w:tab/>
        </w:r>
        <w:r w:rsidR="007F36C3">
          <w:rPr>
            <w:noProof/>
            <w:webHidden/>
          </w:rPr>
          <w:fldChar w:fldCharType="begin"/>
        </w:r>
        <w:r w:rsidR="007F36C3">
          <w:rPr>
            <w:noProof/>
            <w:webHidden/>
          </w:rPr>
          <w:instrText xml:space="preserve"> PAGEREF _Toc47526132 \h </w:instrText>
        </w:r>
        <w:r w:rsidR="007F36C3">
          <w:rPr>
            <w:noProof/>
            <w:webHidden/>
          </w:rPr>
        </w:r>
        <w:r w:rsidR="007F36C3">
          <w:rPr>
            <w:noProof/>
            <w:webHidden/>
          </w:rPr>
          <w:fldChar w:fldCharType="separate"/>
        </w:r>
        <w:r w:rsidR="008E67C0">
          <w:rPr>
            <w:noProof/>
            <w:webHidden/>
          </w:rPr>
          <w:t>23</w:t>
        </w:r>
        <w:r w:rsidR="007F36C3">
          <w:rPr>
            <w:noProof/>
            <w:webHidden/>
          </w:rPr>
          <w:fldChar w:fldCharType="end"/>
        </w:r>
      </w:hyperlink>
    </w:p>
    <w:p w14:paraId="5B854991" w14:textId="77777777" w:rsidR="00225D79" w:rsidRDefault="00576A22" w:rsidP="00225D79">
      <w:pPr>
        <w:pStyle w:val="TOCHeading2"/>
        <w:rPr>
          <w:bCs w:val="0"/>
          <w:szCs w:val="24"/>
        </w:rPr>
      </w:pPr>
      <w:r>
        <w:rPr>
          <w:rFonts w:asciiTheme="minorHAnsi" w:eastAsiaTheme="minorHAnsi" w:hAnsiTheme="minorHAnsi" w:cstheme="minorBidi"/>
          <w:bCs w:val="0"/>
          <w:color w:val="auto"/>
          <w:sz w:val="22"/>
          <w:szCs w:val="22"/>
          <w:lang w:val="en-AU"/>
        </w:rPr>
        <w:fldChar w:fldCharType="end"/>
      </w:r>
      <w:r>
        <w:rPr>
          <w:bCs w:val="0"/>
          <w:szCs w:val="24"/>
        </w:rPr>
        <w:t>Appendix figures</w:t>
      </w:r>
    </w:p>
    <w:p w14:paraId="5B854992" w14:textId="77777777" w:rsidR="007D66A6" w:rsidRDefault="00576A22">
      <w:pPr>
        <w:pStyle w:val="TableofFigures"/>
        <w:tabs>
          <w:tab w:val="right" w:leader="dot" w:pos="9060"/>
        </w:tabs>
        <w:rPr>
          <w:rFonts w:eastAsiaTheme="minorEastAsia"/>
          <w:noProof/>
          <w:sz w:val="24"/>
          <w:szCs w:val="24"/>
          <w:lang w:eastAsia="en-GB"/>
        </w:rPr>
      </w:pPr>
      <w:r>
        <w:fldChar w:fldCharType="begin"/>
      </w:r>
      <w:r>
        <w:instrText xml:space="preserve"> TOC \c "Figure B" </w:instrText>
      </w:r>
      <w:r>
        <w:fldChar w:fldCharType="separate"/>
      </w:r>
      <w:r>
        <w:rPr>
          <w:noProof/>
        </w:rPr>
        <w:t xml:space="preserve">Figure B 1 Histogram, ln transformed toxicity </w:t>
      </w:r>
      <w:r>
        <w:rPr>
          <w:noProof/>
        </w:rPr>
        <w:t>data, 2,3,7,8-TCDD</w:t>
      </w:r>
      <w:r>
        <w:rPr>
          <w:noProof/>
        </w:rPr>
        <w:tab/>
      </w:r>
      <w:r>
        <w:rPr>
          <w:noProof/>
        </w:rPr>
        <w:fldChar w:fldCharType="begin"/>
      </w:r>
      <w:r>
        <w:rPr>
          <w:noProof/>
        </w:rPr>
        <w:instrText xml:space="preserve"> PAGEREF _Toc47526138 \h </w:instrText>
      </w:r>
      <w:r>
        <w:rPr>
          <w:noProof/>
        </w:rPr>
      </w:r>
      <w:r>
        <w:rPr>
          <w:noProof/>
        </w:rPr>
        <w:fldChar w:fldCharType="separate"/>
      </w:r>
      <w:r w:rsidR="008E67C0">
        <w:rPr>
          <w:noProof/>
        </w:rPr>
        <w:t>23</w:t>
      </w:r>
      <w:r>
        <w:rPr>
          <w:noProof/>
        </w:rPr>
        <w:fldChar w:fldCharType="end"/>
      </w:r>
    </w:p>
    <w:p w14:paraId="5B854993" w14:textId="77777777" w:rsidR="007D66A6" w:rsidRDefault="00576A22">
      <w:pPr>
        <w:pStyle w:val="TableofFigures"/>
        <w:tabs>
          <w:tab w:val="right" w:leader="dot" w:pos="9060"/>
        </w:tabs>
        <w:rPr>
          <w:rFonts w:eastAsiaTheme="minorEastAsia"/>
          <w:noProof/>
          <w:sz w:val="24"/>
          <w:szCs w:val="24"/>
          <w:lang w:eastAsia="en-GB"/>
        </w:rPr>
      </w:pPr>
      <w:r>
        <w:rPr>
          <w:noProof/>
        </w:rPr>
        <w:t>Figure B 2 Histogram, ln transformed toxicity data, 2,3,7,8-TCDD</w:t>
      </w:r>
      <w:r>
        <w:rPr>
          <w:noProof/>
        </w:rPr>
        <w:tab/>
      </w:r>
      <w:r>
        <w:rPr>
          <w:noProof/>
        </w:rPr>
        <w:fldChar w:fldCharType="begin"/>
      </w:r>
      <w:r>
        <w:rPr>
          <w:noProof/>
        </w:rPr>
        <w:instrText xml:space="preserve"> PAGEREF _Toc47526139 \h </w:instrText>
      </w:r>
      <w:r>
        <w:rPr>
          <w:noProof/>
        </w:rPr>
      </w:r>
      <w:r>
        <w:rPr>
          <w:noProof/>
        </w:rPr>
        <w:fldChar w:fldCharType="separate"/>
      </w:r>
      <w:r w:rsidR="008E67C0">
        <w:rPr>
          <w:noProof/>
        </w:rPr>
        <w:t>24</w:t>
      </w:r>
      <w:r>
        <w:rPr>
          <w:noProof/>
        </w:rPr>
        <w:fldChar w:fldCharType="end"/>
      </w:r>
    </w:p>
    <w:p w14:paraId="5B854994" w14:textId="77777777" w:rsidR="00225D79" w:rsidRPr="00225D79" w:rsidRDefault="00576A22" w:rsidP="00225D79">
      <w:pPr>
        <w:pStyle w:val="TableofFigures"/>
        <w:tabs>
          <w:tab w:val="right" w:leader="dot" w:pos="9060"/>
        </w:tabs>
        <w:spacing w:before="80" w:after="0"/>
        <w:rPr>
          <w:noProof/>
        </w:rPr>
      </w:pPr>
      <w:r>
        <w:rPr>
          <w:noProof/>
        </w:rPr>
        <w:fldChar w:fldCharType="end"/>
      </w:r>
    </w:p>
    <w:p w14:paraId="5B854995" w14:textId="77777777" w:rsidR="00401C43" w:rsidRDefault="00576A22" w:rsidP="00810E9E">
      <w:pPr>
        <w:pStyle w:val="TOCHeading2"/>
      </w:pPr>
      <w:r>
        <w:br w:type="page"/>
      </w:r>
    </w:p>
    <w:p w14:paraId="5B854996" w14:textId="77777777" w:rsidR="001C0D1C" w:rsidRPr="006E56B2" w:rsidRDefault="00576A22" w:rsidP="006E56B2">
      <w:pPr>
        <w:pStyle w:val="Heading2"/>
        <w:numPr>
          <w:ilvl w:val="0"/>
          <w:numId w:val="0"/>
        </w:numPr>
        <w:ind w:left="680" w:hanging="680"/>
      </w:pPr>
      <w:bookmarkStart w:id="0" w:name="_Toc20407782"/>
      <w:bookmarkStart w:id="1" w:name="_Toc20408688"/>
      <w:bookmarkStart w:id="2" w:name="_Toc20408740"/>
      <w:bookmarkStart w:id="3" w:name="_Toc20408926"/>
      <w:bookmarkStart w:id="4" w:name="_Toc20409368"/>
      <w:bookmarkStart w:id="5" w:name="_Toc20409538"/>
      <w:bookmarkStart w:id="6" w:name="_Toc132885691"/>
      <w:r w:rsidRPr="006E56B2">
        <w:lastRenderedPageBreak/>
        <w:t>Summary</w:t>
      </w:r>
      <w:bookmarkEnd w:id="0"/>
      <w:bookmarkEnd w:id="1"/>
      <w:bookmarkEnd w:id="2"/>
      <w:bookmarkEnd w:id="3"/>
      <w:bookmarkEnd w:id="4"/>
      <w:bookmarkEnd w:id="5"/>
      <w:bookmarkEnd w:id="6"/>
    </w:p>
    <w:p w14:paraId="5B854997" w14:textId="77777777" w:rsidR="00BF0280" w:rsidRDefault="00576A22" w:rsidP="007336AC">
      <w:sdt>
        <w:sdtPr>
          <w:alias w:val="Compulsary - text and location locked to Summary"/>
          <w:tag w:val="Compulsary text"/>
          <w:id w:val="-1841920371"/>
          <w:lock w:val="contentLocked"/>
          <w:placeholder>
            <w:docPart w:val="6F273A4F34B74539A3186BE0804F5F9D"/>
          </w:placeholder>
          <w:text/>
        </w:sdtPr>
        <w:sdtEndPr/>
        <w:sdtContent>
          <w:r w:rsidR="000408F1" w:rsidRPr="00BF6347">
            <w:t xml:space="preserve">The default guideline values (DGVs) and associated information in this technical brief should be used in accordance with the detailed guidance provided in the Australian and New Zealand Guidelines for Fresh and Marine Water Quality website (www.waterquality.gov.au/anz-guidelines). </w:t>
          </w:r>
        </w:sdtContent>
      </w:sdt>
    </w:p>
    <w:p w14:paraId="5B854998" w14:textId="77777777" w:rsidR="004809C6" w:rsidRDefault="00576A22" w:rsidP="004809C6">
      <w:r>
        <w:t>Polychlorinated dibenzo-</w:t>
      </w:r>
      <w:r w:rsidRPr="004809C6">
        <w:rPr>
          <w:rStyle w:val="Emphasis"/>
        </w:rPr>
        <w:t>p</w:t>
      </w:r>
      <w:r>
        <w:t>-dioxins (PCDDs or ‘dioxins’), dioxin-like coplanar polychlorinated biphenyls (dl-PCBs) and polychlorinated dibenzofurans (PCDFs or ‘furans’) are highly toxic organic com</w:t>
      </w:r>
      <w:r>
        <w:t>pounds that have very low water solubility and bind readily to organic matter. They are resistant to biological and chemical breakdown and tend to bioaccumulate in organisms. They are highly potent toxicants at very low concentrations and can disrupt the d</w:t>
      </w:r>
      <w:r>
        <w:t>evelopment of the endocrine, reproductive, immune and nervous system</w:t>
      </w:r>
      <w:r w:rsidR="000C7C2A">
        <w:t>s</w:t>
      </w:r>
      <w:r>
        <w:t xml:space="preserve"> of the offspring of fish, birds and mammals when exposed from conception through post-natal or post-hatching stages</w:t>
      </w:r>
      <w:r w:rsidR="00156B8C">
        <w:t xml:space="preserve"> (</w:t>
      </w:r>
      <w:r w:rsidR="00156B8C" w:rsidRPr="00156B8C">
        <w:t>Gatehouse 2004</w:t>
      </w:r>
      <w:r w:rsidR="00156B8C">
        <w:t>)</w:t>
      </w:r>
      <w:r>
        <w:t>. The most toxic of these is 2,3,7,8-tetrachlorodibenz</w:t>
      </w:r>
      <w:r>
        <w:t>o-</w:t>
      </w:r>
      <w:r w:rsidRPr="004809C6">
        <w:rPr>
          <w:rStyle w:val="Emphasis"/>
        </w:rPr>
        <w:t>p</w:t>
      </w:r>
      <w:r>
        <w:t xml:space="preserve">-dioxin (2,3,7,8-TCDD; CAS </w:t>
      </w:r>
      <w:r w:rsidR="00624AC4">
        <w:t>no.</w:t>
      </w:r>
      <w:r>
        <w:t xml:space="preserve"> 1746–01–6)</w:t>
      </w:r>
      <w:r w:rsidR="00156B8C">
        <w:t xml:space="preserve"> (</w:t>
      </w:r>
      <w:r w:rsidR="00156B8C" w:rsidRPr="00156B8C">
        <w:t>Grimwood &amp; Dobbs 1995</w:t>
      </w:r>
      <w:r w:rsidR="00156B8C">
        <w:t>)</w:t>
      </w:r>
      <w:r>
        <w:t xml:space="preserve">. </w:t>
      </w:r>
    </w:p>
    <w:p w14:paraId="5B854999" w14:textId="77777777" w:rsidR="004809C6" w:rsidRDefault="00576A22" w:rsidP="004809C6">
      <w:r>
        <w:t xml:space="preserve">The PCDDs, dl-PCBs and PCDFs are among a group of </w:t>
      </w:r>
      <w:r w:rsidR="00156B8C">
        <w:t xml:space="preserve">12 </w:t>
      </w:r>
      <w:r>
        <w:t xml:space="preserve">persistent organic pollutants that were identified in the Stockholm Convention Treaty (2001) on Persistent Organic </w:t>
      </w:r>
      <w:r>
        <w:t>Pollutants as priority substances for elimination or restriction of release worldwide, which entered into force on 17</w:t>
      </w:r>
      <w:r w:rsidR="00156B8C">
        <w:t> May</w:t>
      </w:r>
      <w:r>
        <w:t xml:space="preserve"> 2004</w:t>
      </w:r>
      <w:r w:rsidR="00156B8C">
        <w:t xml:space="preserve"> (</w:t>
      </w:r>
      <w:r w:rsidR="00156B8C" w:rsidRPr="00156B8C">
        <w:t>Gatehouse 2004</w:t>
      </w:r>
      <w:r w:rsidR="00156B8C">
        <w:t>)</w:t>
      </w:r>
      <w:r>
        <w:t xml:space="preserve">. However, due to their </w:t>
      </w:r>
      <w:r w:rsidR="00156B8C">
        <w:t>persistenc</w:t>
      </w:r>
      <w:r w:rsidR="00D43838">
        <w:t>e</w:t>
      </w:r>
      <w:r w:rsidR="00156B8C">
        <w:t xml:space="preserve"> and </w:t>
      </w:r>
      <w:r>
        <w:t>formation as unintentional by-products, dioxins are still present in cons</w:t>
      </w:r>
      <w:r>
        <w:t>iderable amounts in the environment (Kanan &amp; Samara 2018).</w:t>
      </w:r>
    </w:p>
    <w:p w14:paraId="5B85499A" w14:textId="77777777" w:rsidR="004809C6" w:rsidRDefault="00576A22" w:rsidP="004809C6">
      <w:r>
        <w:t xml:space="preserve">PCDDs, PCDFs and dl-PCBs are formed as by-products of the synthesis or combustion of chlorine-based compounds that include some of the most toxic chemical substrates. Their formation is mostly due </w:t>
      </w:r>
      <w:r>
        <w:t xml:space="preserve">to anthropogenic activities, including the burning of fossil fuels, wood and garbage (Kanan &amp; Samara 2018). </w:t>
      </w:r>
    </w:p>
    <w:p w14:paraId="5B85499B" w14:textId="77777777" w:rsidR="004809C6" w:rsidRDefault="00576A22" w:rsidP="004809C6">
      <w:r>
        <w:t>Although there is extensive ecotoxicological literature on 2,3,7,8-TCDD, there were limited</w:t>
      </w:r>
      <w:r w:rsidR="00C46CEF">
        <w:t xml:space="preserve">, albeit sufficient, </w:t>
      </w:r>
      <w:r>
        <w:t>data that were suitable for derivat</w:t>
      </w:r>
      <w:r>
        <w:t>ion of default guideline value</w:t>
      </w:r>
      <w:r w:rsidR="00581B40">
        <w:t>s</w:t>
      </w:r>
      <w:r>
        <w:t xml:space="preserve"> (DGV</w:t>
      </w:r>
      <w:r w:rsidR="00581B40">
        <w:t>s</w:t>
      </w:r>
      <w:r>
        <w:t xml:space="preserve">). Many of the more recent data </w:t>
      </w:r>
      <w:r w:rsidR="00F02B58">
        <w:t xml:space="preserve">are </w:t>
      </w:r>
      <w:r>
        <w:t>related to toxic effects from egg injection, dietary intake or from sediments</w:t>
      </w:r>
      <w:r w:rsidR="00F02B58">
        <w:t>,</w:t>
      </w:r>
      <w:r>
        <w:t xml:space="preserve"> </w:t>
      </w:r>
      <w:r w:rsidR="00581B40">
        <w:t xml:space="preserve">with </w:t>
      </w:r>
      <w:r>
        <w:t xml:space="preserve">the major focus </w:t>
      </w:r>
      <w:r w:rsidR="00581B40">
        <w:t>being</w:t>
      </w:r>
      <w:r>
        <w:t xml:space="preserve"> on mechanisms, biomarkers, deformities and histopathological effects. There w</w:t>
      </w:r>
      <w:r>
        <w:t xml:space="preserve">ere no toxicity data on local species. A significant characteristic of dioxin toxicity </w:t>
      </w:r>
      <w:r w:rsidR="00581B40">
        <w:t xml:space="preserve">is </w:t>
      </w:r>
      <w:r>
        <w:t>the delayed response to short-term exposure</w:t>
      </w:r>
      <w:r w:rsidR="00581B40">
        <w:t>;</w:t>
      </w:r>
      <w:r>
        <w:t xml:space="preserve"> </w:t>
      </w:r>
      <w:r w:rsidR="00581B40">
        <w:t xml:space="preserve">numerous </w:t>
      </w:r>
      <w:r>
        <w:t xml:space="preserve">fish studies </w:t>
      </w:r>
      <w:r w:rsidR="00581B40">
        <w:t xml:space="preserve">have </w:t>
      </w:r>
      <w:r>
        <w:t xml:space="preserve">reported </w:t>
      </w:r>
      <w:r w:rsidR="00581B40">
        <w:t xml:space="preserve">delayed </w:t>
      </w:r>
      <w:r>
        <w:t xml:space="preserve">effects over weeks and months following </w:t>
      </w:r>
      <w:r w:rsidR="00581B40">
        <w:t xml:space="preserve">acute </w:t>
      </w:r>
      <w:r>
        <w:t xml:space="preserve">exposures </w:t>
      </w:r>
      <w:r w:rsidR="00F02B58">
        <w:t xml:space="preserve">of </w:t>
      </w:r>
      <w:r>
        <w:t>a few minutes</w:t>
      </w:r>
      <w:r w:rsidR="00F02B58">
        <w:t xml:space="preserve"> (Elonen et al. 1998)</w:t>
      </w:r>
      <w:r>
        <w:t xml:space="preserve"> to </w:t>
      </w:r>
      <w:r w:rsidR="000408F1">
        <w:t>4 </w:t>
      </w:r>
      <w:r>
        <w:t xml:space="preserve">days. </w:t>
      </w:r>
      <w:r w:rsidR="00581B40">
        <w:t>Fish are typically highly sensitive to dioxin</w:t>
      </w:r>
      <w:r w:rsidR="000C32B1">
        <w:t>s</w:t>
      </w:r>
      <w:r w:rsidR="001E3CDA">
        <w:t>,</w:t>
      </w:r>
      <w:r w:rsidR="00581B40">
        <w:t xml:space="preserve"> whereas i</w:t>
      </w:r>
      <w:r>
        <w:t xml:space="preserve">nvertebrates, plants and amphibians </w:t>
      </w:r>
      <w:r w:rsidR="00581B40">
        <w:t xml:space="preserve">are </w:t>
      </w:r>
      <w:r>
        <w:t>relatively insensitive to dioxin</w:t>
      </w:r>
      <w:r w:rsidR="000C32B1">
        <w:t>s</w:t>
      </w:r>
      <w:r>
        <w:t xml:space="preserve">. </w:t>
      </w:r>
    </w:p>
    <w:p w14:paraId="5B85499C" w14:textId="77777777" w:rsidR="00F02B58" w:rsidRDefault="00576A22" w:rsidP="004809C6">
      <w:r>
        <w:t>Based on an acceptable quality dataset of 2,3,7,8-TCDD toxicity to 12 freshwater species from f</w:t>
      </w:r>
      <w:r>
        <w:t xml:space="preserve">ive taxonomic groups (eight fish, insect, mollusc, oligochaete and frog), 2,3,7,8-TCDD was </w:t>
      </w:r>
      <w:r w:rsidR="004809C6">
        <w:t xml:space="preserve">significantly more toxic to fish than to non-fish (invertebrates and </w:t>
      </w:r>
      <w:r w:rsidR="005C78F8">
        <w:t>amphibians</w:t>
      </w:r>
      <w:r w:rsidR="004809C6">
        <w:t xml:space="preserve">), </w:t>
      </w:r>
      <w:r>
        <w:t>with</w:t>
      </w:r>
      <w:r w:rsidR="004809C6">
        <w:t xml:space="preserve"> a parametric two-sample </w:t>
      </w:r>
      <w:r w:rsidR="004809C6" w:rsidRPr="004809C6">
        <w:rPr>
          <w:rStyle w:val="Emphasis"/>
        </w:rPr>
        <w:t>t</w:t>
      </w:r>
      <w:r w:rsidR="00BD1A74">
        <w:t> </w:t>
      </w:r>
      <w:r w:rsidR="004809C6">
        <w:t xml:space="preserve">test </w:t>
      </w:r>
      <w:r>
        <w:t xml:space="preserve">result </w:t>
      </w:r>
      <w:r w:rsidR="004809C6">
        <w:t>indicat</w:t>
      </w:r>
      <w:r>
        <w:t>ing</w:t>
      </w:r>
      <w:r w:rsidR="004809C6">
        <w:t xml:space="preserve"> the dataset had a bimodal distribution. </w:t>
      </w:r>
      <w:r>
        <w:t>Therefore,</w:t>
      </w:r>
      <w:r w:rsidR="004809C6">
        <w:t xml:space="preserve"> the DGV</w:t>
      </w:r>
      <w:r>
        <w:t>s</w:t>
      </w:r>
      <w:r w:rsidR="004809C6">
        <w:t xml:space="preserve"> </w:t>
      </w:r>
      <w:r>
        <w:t xml:space="preserve">were </w:t>
      </w:r>
      <w:r w:rsidR="004809C6">
        <w:t xml:space="preserve">derived using a mix of chronic and acute toxicity data for </w:t>
      </w:r>
      <w:r>
        <w:t xml:space="preserve">only </w:t>
      </w:r>
      <w:r w:rsidR="004809C6">
        <w:t xml:space="preserve">the </w:t>
      </w:r>
      <w:r w:rsidR="000408F1">
        <w:t>eight</w:t>
      </w:r>
      <w:r w:rsidR="004809C6">
        <w:t xml:space="preserve"> fish species. Rainbow trout</w:t>
      </w:r>
      <w:r>
        <w:t>,</w:t>
      </w:r>
      <w:r w:rsidR="004809C6">
        <w:t xml:space="preserve"> </w:t>
      </w:r>
      <w:r w:rsidR="004809C6" w:rsidRPr="004809C6">
        <w:rPr>
          <w:rStyle w:val="Emphasis"/>
        </w:rPr>
        <w:t>Oncorhynchus mykiss</w:t>
      </w:r>
      <w:r w:rsidRPr="00F02B58">
        <w:t>,</w:t>
      </w:r>
      <w:r w:rsidR="004809C6" w:rsidRPr="00F02B58">
        <w:t xml:space="preserve"> </w:t>
      </w:r>
      <w:r w:rsidR="004809C6">
        <w:t xml:space="preserve">was the most sensitive species to </w:t>
      </w:r>
      <w:r w:rsidR="00B66A1D">
        <w:t>2,3,7,8-</w:t>
      </w:r>
      <w:r w:rsidR="004809C6">
        <w:t>TCDD, with a chronic LOEC of 0.038</w:t>
      </w:r>
      <w:r>
        <w:t> </w:t>
      </w:r>
      <w:r w:rsidR="004809C6">
        <w:t>ng/L (0.000038</w:t>
      </w:r>
      <w:r>
        <w:t> </w:t>
      </w:r>
      <w:r w:rsidR="004809C6">
        <w:t>µg/L)</w:t>
      </w:r>
      <w:r>
        <w:t xml:space="preserve"> (Mehrle et al. 1988)</w:t>
      </w:r>
      <w:r w:rsidR="004809C6">
        <w:t>, although carp and pike had acute LOECs of 0.1</w:t>
      </w:r>
      <w:r>
        <w:t> </w:t>
      </w:r>
      <w:r w:rsidR="004809C6">
        <w:t xml:space="preserve">ng/L. </w:t>
      </w:r>
    </w:p>
    <w:p w14:paraId="5B85499D" w14:textId="77777777" w:rsidR="004809C6" w:rsidRDefault="00576A22" w:rsidP="004809C6">
      <w:r>
        <w:lastRenderedPageBreak/>
        <w:t xml:space="preserve">Based on the number and type of data, and a good fit of the </w:t>
      </w:r>
      <w:r w:rsidR="00F02B58">
        <w:t>species sensitivity distribution</w:t>
      </w:r>
      <w:r>
        <w:t xml:space="preserve"> model to the data, moderate reliability DGV</w:t>
      </w:r>
      <w:r w:rsidR="00246F0E">
        <w:t>s</w:t>
      </w:r>
      <w:r>
        <w:t xml:space="preserve"> for 2,3,7,8</w:t>
      </w:r>
      <w:r>
        <w:t xml:space="preserve">-TCDD in freshwater </w:t>
      </w:r>
      <w:r w:rsidR="000C32B1">
        <w:t>were</w:t>
      </w:r>
      <w:r>
        <w:t xml:space="preserve"> derived. </w:t>
      </w:r>
      <w:r w:rsidR="00F176DE">
        <w:t xml:space="preserve">The DGVs for </w:t>
      </w:r>
      <w:r w:rsidR="00F176DE">
        <w:rPr>
          <w:bCs/>
        </w:rPr>
        <w:t>99, 95, 90 and 80% species protection are</w:t>
      </w:r>
      <w:r w:rsidR="00F176DE">
        <w:t xml:space="preserve"> 0.000</w:t>
      </w:r>
      <w:r w:rsidR="0096723E">
        <w:t>2</w:t>
      </w:r>
      <w:r w:rsidR="00BD1A74">
        <w:t> </w:t>
      </w:r>
      <w:r w:rsidR="00F176DE">
        <w:t>ng/L, 0.00</w:t>
      </w:r>
      <w:r w:rsidR="0096723E">
        <w:t>5</w:t>
      </w:r>
      <w:r w:rsidR="00BD1A74">
        <w:t> </w:t>
      </w:r>
      <w:r w:rsidR="00F176DE">
        <w:rPr>
          <w:rFonts w:cstheme="minorHAnsi"/>
        </w:rPr>
        <w:t>n</w:t>
      </w:r>
      <w:r w:rsidR="00F176DE">
        <w:t>g/L, 0.0</w:t>
      </w:r>
      <w:r w:rsidR="0096723E">
        <w:t>2</w:t>
      </w:r>
      <w:r w:rsidR="00BD1A74">
        <w:t> </w:t>
      </w:r>
      <w:r w:rsidR="00F176DE">
        <w:rPr>
          <w:rFonts w:cstheme="minorHAnsi"/>
        </w:rPr>
        <w:t>n</w:t>
      </w:r>
      <w:r w:rsidR="00F176DE">
        <w:t>g/L and 0.0</w:t>
      </w:r>
      <w:r w:rsidR="0096723E">
        <w:t>8</w:t>
      </w:r>
      <w:r w:rsidR="00BD1A74">
        <w:t> </w:t>
      </w:r>
      <w:r w:rsidR="00F176DE">
        <w:t xml:space="preserve">ng/L, respectively. Due to the bioaccumulative nature of dioxins, the 99% species protection level </w:t>
      </w:r>
      <w:r w:rsidR="0096723E">
        <w:t>(</w:t>
      </w:r>
      <w:r w:rsidR="00F176DE">
        <w:t>0.000</w:t>
      </w:r>
      <w:r w:rsidR="0096723E">
        <w:t>2</w:t>
      </w:r>
      <w:r w:rsidR="00BD1A74">
        <w:t> </w:t>
      </w:r>
      <w:r w:rsidR="00F176DE">
        <w:t xml:space="preserve">ng/L </w:t>
      </w:r>
      <w:r w:rsidR="0096723E">
        <w:t>or 0.2</w:t>
      </w:r>
      <w:r w:rsidR="00BD1A74">
        <w:t> </w:t>
      </w:r>
      <w:r w:rsidR="0096723E">
        <w:t xml:space="preserve">pg/L) </w:t>
      </w:r>
      <w:r w:rsidR="00F176DE">
        <w:t>would be recommended for slightly</w:t>
      </w:r>
      <w:r w:rsidR="00BD1A74">
        <w:t>-</w:t>
      </w:r>
      <w:r w:rsidR="00F176DE">
        <w:t>to</w:t>
      </w:r>
      <w:r w:rsidR="00BD1A74">
        <w:t>-</w:t>
      </w:r>
      <w:r w:rsidR="00F176DE">
        <w:t>moderately disturbed ecosystems. However, this concentration</w:t>
      </w:r>
      <w:r>
        <w:t xml:space="preserve"> would be unmeasurable, so any exceedence of the 95% </w:t>
      </w:r>
      <w:r w:rsidR="000C32B1">
        <w:t xml:space="preserve">DGV should </w:t>
      </w:r>
      <w:r>
        <w:t>lead to examination of sediment and tissue residues</w:t>
      </w:r>
      <w:r w:rsidR="000C32B1">
        <w:t>, as well as other line</w:t>
      </w:r>
      <w:r w:rsidR="00BD1A74">
        <w:t>s</w:t>
      </w:r>
      <w:r w:rsidR="000C32B1">
        <w:t xml:space="preserve"> of evidence,</w:t>
      </w:r>
      <w:r>
        <w:t xml:space="preserve"> in a weight</w:t>
      </w:r>
      <w:r w:rsidR="00246F0E">
        <w:t xml:space="preserve"> </w:t>
      </w:r>
      <w:r>
        <w:t>of</w:t>
      </w:r>
      <w:r w:rsidR="00246F0E">
        <w:t xml:space="preserve"> </w:t>
      </w:r>
      <w:r>
        <w:t xml:space="preserve">evidence assessment. </w:t>
      </w:r>
      <w:r w:rsidR="00F176DE">
        <w:t xml:space="preserve">As the DGVs were derived using only data from fish, which are known to be more sensitive to dioxins than other taxonomic groups, the DGVs </w:t>
      </w:r>
      <w:r w:rsidR="00F176DE" w:rsidRPr="008F1B13">
        <w:t>may be over-protective in freshwater ecosystems where fish are not present</w:t>
      </w:r>
      <w:r w:rsidR="00BD1A74">
        <w:t xml:space="preserve">. </w:t>
      </w:r>
      <w:r>
        <w:t>Due t</w:t>
      </w:r>
      <w:r>
        <w:t>o the strong hydrophobicity of these compounds, guideline values based on tissue residues and sediment quality, although not yet developed for Australia and New Zealand, would ideally be used alongside water quality DGVs in a weight</w:t>
      </w:r>
      <w:r w:rsidR="00246F0E">
        <w:t xml:space="preserve"> </w:t>
      </w:r>
      <w:r>
        <w:t>of</w:t>
      </w:r>
      <w:r w:rsidR="00246F0E">
        <w:t xml:space="preserve"> </w:t>
      </w:r>
      <w:r>
        <w:t>evidence approach.</w:t>
      </w:r>
    </w:p>
    <w:p w14:paraId="5B85499E" w14:textId="77777777" w:rsidR="004809C6" w:rsidRDefault="00576A22" w:rsidP="004809C6">
      <w:r>
        <w:t>B</w:t>
      </w:r>
      <w:r>
        <w:t>ased on existing, albeit limited, dioxin toxicity data for marine species, the freshwater DGV</w:t>
      </w:r>
      <w:r w:rsidR="00246F0E">
        <w:t>s</w:t>
      </w:r>
      <w:r>
        <w:t xml:space="preserve"> appear to be conservatively protective of marine species.</w:t>
      </w:r>
    </w:p>
    <w:p w14:paraId="5B85499F" w14:textId="77777777" w:rsidR="004809C6" w:rsidRDefault="00576A22" w:rsidP="004809C6">
      <w:pPr>
        <w:rPr>
          <w:highlight w:val="yellow"/>
        </w:rPr>
      </w:pPr>
      <w:r>
        <w:t xml:space="preserve">Although insufficient data were available to derive separate </w:t>
      </w:r>
      <w:r w:rsidR="00246F0E">
        <w:t>DGVs</w:t>
      </w:r>
      <w:r>
        <w:t xml:space="preserve"> for the other PCDDs, PCDFs or dl-PCBs</w:t>
      </w:r>
      <w:r>
        <w:t xml:space="preserve">, guidance is given </w:t>
      </w:r>
      <w:r w:rsidR="00BD1A74">
        <w:t>in S</w:t>
      </w:r>
      <w:r w:rsidR="005C78F8">
        <w:t>ection</w:t>
      </w:r>
      <w:r w:rsidR="007152D6">
        <w:t> </w:t>
      </w:r>
      <w:r w:rsidR="007152D6">
        <w:fldChar w:fldCharType="begin"/>
      </w:r>
      <w:r w:rsidR="007152D6">
        <w:instrText xml:space="preserve"> REF _Ref37255158 \r \h </w:instrText>
      </w:r>
      <w:r w:rsidR="007152D6">
        <w:fldChar w:fldCharType="separate"/>
      </w:r>
      <w:r w:rsidR="008E67C0">
        <w:t>5</w:t>
      </w:r>
      <w:r w:rsidR="007152D6">
        <w:fldChar w:fldCharType="end"/>
      </w:r>
      <w:r w:rsidR="005C78F8">
        <w:t xml:space="preserve"> </w:t>
      </w:r>
      <w:r>
        <w:t xml:space="preserve">on </w:t>
      </w:r>
      <w:r w:rsidR="00246F0E">
        <w:t xml:space="preserve">the </w:t>
      </w:r>
      <w:r>
        <w:t>use of accepted toxicity equivalence factors (TEFs)</w:t>
      </w:r>
      <w:r w:rsidR="00A50A8E">
        <w:t>. The TEFs</w:t>
      </w:r>
      <w:r>
        <w:t xml:space="preserve"> will assist in understanding additive toxicity of </w:t>
      </w:r>
      <w:r w:rsidR="00A50A8E">
        <w:t xml:space="preserve">dioxin </w:t>
      </w:r>
      <w:r>
        <w:t>mixtur</w:t>
      </w:r>
      <w:r>
        <w:t xml:space="preserve">es </w:t>
      </w:r>
      <w:r w:rsidR="00A50A8E">
        <w:t xml:space="preserve">and accounting for </w:t>
      </w:r>
      <w:r w:rsidR="000E29FA">
        <w:t xml:space="preserve">the relative potency of different </w:t>
      </w:r>
      <w:r w:rsidR="00A50A8E">
        <w:t>dioxin</w:t>
      </w:r>
      <w:r w:rsidR="000E29FA">
        <w:t>s</w:t>
      </w:r>
      <w:r w:rsidR="00A50A8E">
        <w:t xml:space="preserve"> when applying the DGVs</w:t>
      </w:r>
      <w:r>
        <w:t>.</w:t>
      </w:r>
    </w:p>
    <w:p w14:paraId="5B8549A0" w14:textId="77777777" w:rsidR="00810E9E" w:rsidRPr="00810E9E" w:rsidRDefault="00810E9E" w:rsidP="00810E9E">
      <w:pPr>
        <w:rPr>
          <w:lang w:val="en-US"/>
        </w:rPr>
      </w:pPr>
    </w:p>
    <w:p w14:paraId="5B8549A1" w14:textId="77777777" w:rsidR="00810E9E" w:rsidRDefault="00810E9E" w:rsidP="00810E9E">
      <w:pPr>
        <w:pStyle w:val="TOCHeading2"/>
        <w:sectPr w:rsidR="00810E9E" w:rsidSect="00810E9E">
          <w:type w:val="continuous"/>
          <w:pgSz w:w="11906" w:h="16838" w:code="9"/>
          <w:pgMar w:top="1418" w:right="1418" w:bottom="1418" w:left="1418" w:header="567" w:footer="284" w:gutter="0"/>
          <w:pgNumType w:fmt="lowerRoman"/>
          <w:cols w:space="708"/>
          <w:docGrid w:linePitch="360"/>
        </w:sectPr>
      </w:pPr>
    </w:p>
    <w:p w14:paraId="5B8549A2" w14:textId="77777777" w:rsidR="001C0D1C" w:rsidRDefault="00576A22" w:rsidP="005D1CA5">
      <w:pPr>
        <w:pStyle w:val="Heading2"/>
        <w:keepNext w:val="0"/>
        <w:keepLines w:val="0"/>
        <w:widowControl w:val="0"/>
      </w:pPr>
      <w:bookmarkStart w:id="7" w:name="_Toc132885692"/>
      <w:r>
        <w:t>Introduction</w:t>
      </w:r>
      <w:bookmarkEnd w:id="7"/>
    </w:p>
    <w:p w14:paraId="5B8549A3" w14:textId="77777777" w:rsidR="004809C6" w:rsidRPr="004809C6" w:rsidRDefault="00576A22" w:rsidP="004809C6">
      <w:pPr>
        <w:rPr>
          <w:bCs/>
        </w:rPr>
      </w:pPr>
      <w:r w:rsidRPr="004809C6">
        <w:rPr>
          <w:bCs/>
        </w:rPr>
        <w:t>Polychlorinated dibenzo-</w:t>
      </w:r>
      <w:r w:rsidRPr="00C2629F">
        <w:rPr>
          <w:rStyle w:val="Emphasis"/>
        </w:rPr>
        <w:t>p</w:t>
      </w:r>
      <w:r w:rsidRPr="004809C6">
        <w:rPr>
          <w:bCs/>
        </w:rPr>
        <w:t xml:space="preserve">-dioxins (PCDDs or </w:t>
      </w:r>
      <w:r w:rsidR="00C2629F">
        <w:rPr>
          <w:bCs/>
        </w:rPr>
        <w:t>‘</w:t>
      </w:r>
      <w:r w:rsidRPr="004809C6">
        <w:rPr>
          <w:bCs/>
        </w:rPr>
        <w:t>dioxins</w:t>
      </w:r>
      <w:r w:rsidR="00C2629F">
        <w:rPr>
          <w:bCs/>
        </w:rPr>
        <w:t>’</w:t>
      </w:r>
      <w:r w:rsidRPr="004809C6">
        <w:rPr>
          <w:bCs/>
        </w:rPr>
        <w:t>), dioxin-like coplanar polychlorinated biphenyls (dl-PCBs) and polychlorinated dibenzofurans (PCDFs or ‘furans’) are persistent, bioaccumulative and toxic compounds that are produced as by-products of the synthesis or combustion of certain chlorinated org</w:t>
      </w:r>
      <w:r w:rsidRPr="004809C6">
        <w:rPr>
          <w:bCs/>
        </w:rPr>
        <w:t xml:space="preserve">anic chemicals, such as some commercial herbicides and (ortho) chlorophenols, and the burning of fossil fuels, wood and garbage </w:t>
      </w:r>
      <w:r w:rsidR="00C2629F">
        <w:rPr>
          <w:bCs/>
        </w:rPr>
        <w:t>(</w:t>
      </w:r>
      <w:r w:rsidR="00C2629F" w:rsidRPr="00C2629F">
        <w:rPr>
          <w:bCs/>
        </w:rPr>
        <w:t>Grimwood &amp; Dobbs 1995</w:t>
      </w:r>
      <w:r w:rsidR="00C2629F">
        <w:rPr>
          <w:bCs/>
        </w:rPr>
        <w:t>, Wenning et al. 2011</w:t>
      </w:r>
      <w:r w:rsidR="00484C14">
        <w:rPr>
          <w:bCs/>
        </w:rPr>
        <w:t xml:space="preserve">, </w:t>
      </w:r>
      <w:r w:rsidR="00484C14" w:rsidRPr="004809C6">
        <w:rPr>
          <w:bCs/>
        </w:rPr>
        <w:t>Kanan &amp; Samara 2018</w:t>
      </w:r>
      <w:r w:rsidR="00C2629F">
        <w:rPr>
          <w:bCs/>
        </w:rPr>
        <w:t>)</w:t>
      </w:r>
      <w:r w:rsidRPr="004809C6">
        <w:rPr>
          <w:bCs/>
        </w:rPr>
        <w:t xml:space="preserve">. The PCDDs, dl-PCBs and PCDFs are among a group of </w:t>
      </w:r>
      <w:r w:rsidR="00C2629F">
        <w:rPr>
          <w:bCs/>
        </w:rPr>
        <w:t>12</w:t>
      </w:r>
      <w:r w:rsidR="00C2629F" w:rsidRPr="004809C6">
        <w:rPr>
          <w:bCs/>
        </w:rPr>
        <w:t xml:space="preserve"> </w:t>
      </w:r>
      <w:r w:rsidRPr="004809C6">
        <w:rPr>
          <w:bCs/>
        </w:rPr>
        <w:t>persistent organic pollutants that were identified in the Stockholm Convention Treaty (2001) on Persistent Organic Pollutants as priority substances for elimination or restriction of release worldwide,</w:t>
      </w:r>
      <w:r w:rsidRPr="004809C6">
        <w:rPr>
          <w:bCs/>
        </w:rPr>
        <w:t xml:space="preserve"> which entered into force on 17</w:t>
      </w:r>
      <w:r w:rsidR="00C2629F" w:rsidRPr="00C2629F">
        <w:rPr>
          <w:bCs/>
        </w:rPr>
        <w:t xml:space="preserve"> </w:t>
      </w:r>
      <w:r w:rsidR="00C2629F" w:rsidRPr="004809C6">
        <w:rPr>
          <w:bCs/>
        </w:rPr>
        <w:t>May</w:t>
      </w:r>
      <w:r w:rsidRPr="004809C6">
        <w:rPr>
          <w:bCs/>
        </w:rPr>
        <w:t xml:space="preserve"> 2004</w:t>
      </w:r>
      <w:r w:rsidR="00C2629F">
        <w:rPr>
          <w:bCs/>
        </w:rPr>
        <w:t xml:space="preserve"> (</w:t>
      </w:r>
      <w:r w:rsidR="00C2629F">
        <w:t>Gatehouse 2004</w:t>
      </w:r>
      <w:r w:rsidR="00C2629F">
        <w:rPr>
          <w:bCs/>
        </w:rPr>
        <w:t>)</w:t>
      </w:r>
      <w:r w:rsidRPr="004809C6">
        <w:rPr>
          <w:bCs/>
        </w:rPr>
        <w:t xml:space="preserve">. However, notwithstanding the Treaty, their </w:t>
      </w:r>
      <w:r w:rsidR="00A50A8E" w:rsidRPr="004809C6">
        <w:rPr>
          <w:bCs/>
        </w:rPr>
        <w:t>persistenc</w:t>
      </w:r>
      <w:r w:rsidR="00A50A8E">
        <w:rPr>
          <w:bCs/>
        </w:rPr>
        <w:t>e</w:t>
      </w:r>
      <w:r w:rsidR="00A50A8E" w:rsidRPr="004809C6">
        <w:rPr>
          <w:bCs/>
        </w:rPr>
        <w:t xml:space="preserve"> </w:t>
      </w:r>
      <w:r w:rsidRPr="004809C6">
        <w:rPr>
          <w:bCs/>
        </w:rPr>
        <w:t>and unintentional formation means that dioxins are still present in considerable amounts in the environment (Kanan &amp; Samara 2018).</w:t>
      </w:r>
    </w:p>
    <w:p w14:paraId="5B8549A4" w14:textId="77777777" w:rsidR="004809C6" w:rsidRDefault="00576A22" w:rsidP="004809C6">
      <w:pPr>
        <w:rPr>
          <w:bCs/>
        </w:rPr>
      </w:pPr>
      <w:r w:rsidRPr="004809C6">
        <w:rPr>
          <w:bCs/>
        </w:rPr>
        <w:t>The PCDDs a</w:t>
      </w:r>
      <w:r w:rsidRPr="004809C6">
        <w:rPr>
          <w:bCs/>
        </w:rPr>
        <w:t>re a group of chemicals composed of 75 chemically related compounds; in addition</w:t>
      </w:r>
      <w:r w:rsidR="00C2629F">
        <w:rPr>
          <w:bCs/>
        </w:rPr>
        <w:t>,</w:t>
      </w:r>
      <w:r w:rsidRPr="004809C6">
        <w:rPr>
          <w:bCs/>
        </w:rPr>
        <w:t xml:space="preserve"> there are 135</w:t>
      </w:r>
      <w:r w:rsidR="00C2629F">
        <w:rPr>
          <w:bCs/>
        </w:rPr>
        <w:t> </w:t>
      </w:r>
      <w:r w:rsidRPr="004809C6">
        <w:rPr>
          <w:bCs/>
        </w:rPr>
        <w:t>PCDFs and 209</w:t>
      </w:r>
      <w:r w:rsidR="00C2629F">
        <w:rPr>
          <w:bCs/>
        </w:rPr>
        <w:t> </w:t>
      </w:r>
      <w:r w:rsidRPr="004809C6">
        <w:rPr>
          <w:bCs/>
        </w:rPr>
        <w:t>dl-PCBs</w:t>
      </w:r>
      <w:r w:rsidR="00C2629F">
        <w:rPr>
          <w:bCs/>
        </w:rPr>
        <w:t xml:space="preserve"> (USEPA 1984, 1993, Rice et al. 2003)</w:t>
      </w:r>
      <w:r w:rsidRPr="004809C6">
        <w:rPr>
          <w:bCs/>
        </w:rPr>
        <w:t xml:space="preserve">. However, </w:t>
      </w:r>
      <w:r w:rsidR="00C2629F">
        <w:rPr>
          <w:bCs/>
        </w:rPr>
        <w:t xml:space="preserve">only </w:t>
      </w:r>
      <w:r w:rsidR="00864B07">
        <w:rPr>
          <w:bCs/>
        </w:rPr>
        <w:t>seven</w:t>
      </w:r>
      <w:r w:rsidR="00C2629F">
        <w:rPr>
          <w:bCs/>
        </w:rPr>
        <w:t> PCDDs, 10 </w:t>
      </w:r>
      <w:r w:rsidR="00C2629F" w:rsidRPr="004809C6">
        <w:rPr>
          <w:bCs/>
        </w:rPr>
        <w:t>PCDFs and 12</w:t>
      </w:r>
      <w:r w:rsidR="00C2629F">
        <w:rPr>
          <w:bCs/>
        </w:rPr>
        <w:t> </w:t>
      </w:r>
      <w:r w:rsidR="00C2629F" w:rsidRPr="004809C6">
        <w:rPr>
          <w:bCs/>
        </w:rPr>
        <w:t xml:space="preserve">dl-PCBs </w:t>
      </w:r>
      <w:r w:rsidR="00C2629F">
        <w:rPr>
          <w:bCs/>
        </w:rPr>
        <w:t>are</w:t>
      </w:r>
      <w:r w:rsidRPr="004809C6">
        <w:rPr>
          <w:bCs/>
        </w:rPr>
        <w:t xml:space="preserve"> accepted as having dioxin-like structure and </w:t>
      </w:r>
      <w:r w:rsidRPr="004809C6">
        <w:rPr>
          <w:bCs/>
        </w:rPr>
        <w:t>toxicity</w:t>
      </w:r>
      <w:r w:rsidR="00C2629F">
        <w:rPr>
          <w:bCs/>
        </w:rPr>
        <w:t xml:space="preserve"> (USEPA 2008)</w:t>
      </w:r>
      <w:r w:rsidRPr="004809C6">
        <w:rPr>
          <w:bCs/>
        </w:rPr>
        <w:t>. These molecules are planar, chloro-substituted polycyclic aromatic hydrocarbons. The most toxic dioxin is 2,3,7,8-tetrachlorodibenzo-</w:t>
      </w:r>
      <w:r w:rsidRPr="00B66A1D">
        <w:rPr>
          <w:rStyle w:val="Emphasis"/>
        </w:rPr>
        <w:t>p</w:t>
      </w:r>
      <w:r w:rsidRPr="004809C6">
        <w:rPr>
          <w:bCs/>
        </w:rPr>
        <w:t>-dioxin (</w:t>
      </w:r>
      <w:r w:rsidR="00B66A1D">
        <w:rPr>
          <w:bCs/>
        </w:rPr>
        <w:t>2</w:t>
      </w:r>
      <w:r w:rsidR="00B66A1D" w:rsidRPr="004809C6">
        <w:rPr>
          <w:bCs/>
        </w:rPr>
        <w:t>,3,7,8-</w:t>
      </w:r>
      <w:r w:rsidRPr="004809C6">
        <w:rPr>
          <w:bCs/>
        </w:rPr>
        <w:t>TCDD</w:t>
      </w:r>
      <w:r w:rsidR="00EE44D2">
        <w:rPr>
          <w:bCs/>
        </w:rPr>
        <w:t xml:space="preserve">; </w:t>
      </w:r>
      <w:r w:rsidR="0092045A">
        <w:rPr>
          <w:bCs/>
        </w:rPr>
        <w:t xml:space="preserve">generally </w:t>
      </w:r>
      <w:r w:rsidR="00EE44D2">
        <w:rPr>
          <w:bCs/>
        </w:rPr>
        <w:t xml:space="preserve">referred to </w:t>
      </w:r>
      <w:r w:rsidR="001370BE">
        <w:rPr>
          <w:bCs/>
        </w:rPr>
        <w:t xml:space="preserve">herein </w:t>
      </w:r>
      <w:r w:rsidR="00EE44D2">
        <w:rPr>
          <w:bCs/>
        </w:rPr>
        <w:t>as TCDD</w:t>
      </w:r>
      <w:r w:rsidRPr="004809C6">
        <w:rPr>
          <w:bCs/>
        </w:rPr>
        <w:t>), a symmetrical, almost planar, molecul</w:t>
      </w:r>
      <w:r w:rsidRPr="004809C6">
        <w:rPr>
          <w:bCs/>
        </w:rPr>
        <w:t>e with formula C</w:t>
      </w:r>
      <w:r w:rsidRPr="00B66A1D">
        <w:rPr>
          <w:bCs/>
          <w:vertAlign w:val="subscript"/>
        </w:rPr>
        <w:t>12</w:t>
      </w:r>
      <w:r w:rsidRPr="004809C6">
        <w:rPr>
          <w:bCs/>
        </w:rPr>
        <w:t>H</w:t>
      </w:r>
      <w:r w:rsidRPr="00B66A1D">
        <w:rPr>
          <w:bCs/>
          <w:vertAlign w:val="subscript"/>
        </w:rPr>
        <w:t>4</w:t>
      </w:r>
      <w:r w:rsidRPr="004809C6">
        <w:rPr>
          <w:bCs/>
        </w:rPr>
        <w:t>Cl</w:t>
      </w:r>
      <w:r w:rsidRPr="00B66A1D">
        <w:rPr>
          <w:bCs/>
          <w:vertAlign w:val="subscript"/>
        </w:rPr>
        <w:t>4</w:t>
      </w:r>
      <w:r w:rsidRPr="004809C6">
        <w:rPr>
          <w:bCs/>
        </w:rPr>
        <w:t>O</w:t>
      </w:r>
      <w:r w:rsidRPr="00B66A1D">
        <w:rPr>
          <w:bCs/>
          <w:vertAlign w:val="subscript"/>
        </w:rPr>
        <w:t>2</w:t>
      </w:r>
      <w:r w:rsidRPr="004809C6">
        <w:rPr>
          <w:bCs/>
        </w:rPr>
        <w:t xml:space="preserve"> and molecular weight of 321.9. Its water solubility is between 0.2</w:t>
      </w:r>
      <w:r w:rsidR="00B66A1D">
        <w:rPr>
          <w:bCs/>
        </w:rPr>
        <w:t> </w:t>
      </w:r>
      <w:r w:rsidR="00B66A1D" w:rsidRPr="004809C6">
        <w:rPr>
          <w:bCs/>
        </w:rPr>
        <w:t>ng/L</w:t>
      </w:r>
      <w:r w:rsidRPr="004809C6">
        <w:rPr>
          <w:bCs/>
        </w:rPr>
        <w:t xml:space="preserve"> and 480</w:t>
      </w:r>
      <w:r w:rsidR="00B66A1D">
        <w:rPr>
          <w:bCs/>
        </w:rPr>
        <w:t> </w:t>
      </w:r>
      <w:r w:rsidRPr="004809C6">
        <w:rPr>
          <w:bCs/>
        </w:rPr>
        <w:t>ng/L</w:t>
      </w:r>
      <w:r w:rsidR="00B66A1D">
        <w:rPr>
          <w:bCs/>
        </w:rPr>
        <w:t xml:space="preserve"> (Fletcher &amp; McKay 1993)</w:t>
      </w:r>
      <w:r w:rsidRPr="004809C6">
        <w:rPr>
          <w:bCs/>
        </w:rPr>
        <w:t xml:space="preserve"> and its log K</w:t>
      </w:r>
      <w:r w:rsidRPr="00816365">
        <w:rPr>
          <w:bCs/>
          <w:vertAlign w:val="subscript"/>
        </w:rPr>
        <w:t>ow</w:t>
      </w:r>
      <w:r w:rsidRPr="004809C6">
        <w:rPr>
          <w:bCs/>
        </w:rPr>
        <w:t xml:space="preserve"> is </w:t>
      </w:r>
      <w:r w:rsidR="00816365">
        <w:rPr>
          <w:bCs/>
        </w:rPr>
        <w:t>approximately</w:t>
      </w:r>
      <w:r w:rsidR="00816365" w:rsidRPr="004809C6">
        <w:rPr>
          <w:bCs/>
        </w:rPr>
        <w:t xml:space="preserve"> </w:t>
      </w:r>
      <w:r w:rsidRPr="004809C6">
        <w:rPr>
          <w:bCs/>
        </w:rPr>
        <w:t>6.2</w:t>
      </w:r>
      <w:r w:rsidR="00816365">
        <w:rPr>
          <w:bCs/>
        </w:rPr>
        <w:t xml:space="preserve"> (USEPA 1984)</w:t>
      </w:r>
      <w:r w:rsidRPr="004809C6">
        <w:rPr>
          <w:bCs/>
        </w:rPr>
        <w:t>.</w:t>
      </w:r>
      <w:r w:rsidR="00816365">
        <w:rPr>
          <w:bCs/>
        </w:rPr>
        <w:t xml:space="preserve"> The chemical structures of PCDD, TCDD, </w:t>
      </w:r>
      <w:r w:rsidR="00670F87">
        <w:rPr>
          <w:bCs/>
        </w:rPr>
        <w:t xml:space="preserve">PCDF, and </w:t>
      </w:r>
      <w:r w:rsidR="00816365">
        <w:rPr>
          <w:bCs/>
        </w:rPr>
        <w:t xml:space="preserve">dl-PCB are shown in </w:t>
      </w:r>
      <w:r w:rsidR="001B3D7B">
        <w:rPr>
          <w:bCs/>
        </w:rPr>
        <w:fldChar w:fldCharType="begin"/>
      </w:r>
      <w:r w:rsidR="001B3D7B">
        <w:rPr>
          <w:bCs/>
        </w:rPr>
        <w:instrText xml:space="preserve"> REF _Ref37254500 \h </w:instrText>
      </w:r>
      <w:r w:rsidR="001B3D7B">
        <w:rPr>
          <w:bCs/>
        </w:rPr>
      </w:r>
      <w:r w:rsidR="001B3D7B">
        <w:rPr>
          <w:bCs/>
        </w:rPr>
        <w:fldChar w:fldCharType="separate"/>
      </w:r>
      <w:r w:rsidR="008E67C0" w:rsidRPr="004C6B16">
        <w:rPr>
          <w:rStyle w:val="CaptionChar"/>
        </w:rPr>
        <w:t>Figure </w:t>
      </w:r>
      <w:r w:rsidR="008E67C0">
        <w:rPr>
          <w:rStyle w:val="CaptionChar"/>
          <w:noProof/>
        </w:rPr>
        <w:t>1</w:t>
      </w:r>
      <w:r w:rsidR="001B3D7B">
        <w:rPr>
          <w:bCs/>
        </w:rPr>
        <w:fldChar w:fldCharType="end"/>
      </w:r>
      <w:r w:rsidR="00816365">
        <w:rPr>
          <w:bCs/>
        </w:rPr>
        <w:t xml:space="preserve">, </w:t>
      </w:r>
      <w:r w:rsidR="001B3D7B">
        <w:rPr>
          <w:bCs/>
        </w:rPr>
        <w:fldChar w:fldCharType="begin"/>
      </w:r>
      <w:r w:rsidR="001B3D7B">
        <w:rPr>
          <w:bCs/>
        </w:rPr>
        <w:instrText xml:space="preserve"> REF _Ref37254506 \h </w:instrText>
      </w:r>
      <w:r w:rsidR="001B3D7B">
        <w:rPr>
          <w:bCs/>
        </w:rPr>
      </w:r>
      <w:r w:rsidR="001B3D7B">
        <w:rPr>
          <w:bCs/>
        </w:rPr>
        <w:fldChar w:fldCharType="separate"/>
      </w:r>
      <w:r w:rsidR="008E67C0" w:rsidRPr="004C6B16">
        <w:rPr>
          <w:rStyle w:val="CaptionChar"/>
        </w:rPr>
        <w:t>Figure </w:t>
      </w:r>
      <w:r w:rsidR="008E67C0">
        <w:rPr>
          <w:rStyle w:val="CaptionChar"/>
          <w:noProof/>
        </w:rPr>
        <w:t>2</w:t>
      </w:r>
      <w:r w:rsidR="001B3D7B">
        <w:rPr>
          <w:bCs/>
        </w:rPr>
        <w:fldChar w:fldCharType="end"/>
      </w:r>
      <w:r w:rsidR="00816365">
        <w:rPr>
          <w:bCs/>
        </w:rPr>
        <w:t xml:space="preserve">, </w:t>
      </w:r>
      <w:r w:rsidR="001B3D7B">
        <w:rPr>
          <w:bCs/>
        </w:rPr>
        <w:fldChar w:fldCharType="begin"/>
      </w:r>
      <w:r w:rsidR="001B3D7B">
        <w:rPr>
          <w:bCs/>
        </w:rPr>
        <w:instrText xml:space="preserve"> REF _Ref37254510 \h </w:instrText>
      </w:r>
      <w:r w:rsidR="001B3D7B">
        <w:rPr>
          <w:bCs/>
        </w:rPr>
      </w:r>
      <w:r w:rsidR="001B3D7B">
        <w:rPr>
          <w:bCs/>
        </w:rPr>
        <w:fldChar w:fldCharType="separate"/>
      </w:r>
      <w:r w:rsidR="008E67C0" w:rsidRPr="004C6B16">
        <w:rPr>
          <w:rStyle w:val="CaptionChar"/>
        </w:rPr>
        <w:t>Figure </w:t>
      </w:r>
      <w:r w:rsidR="008E67C0">
        <w:rPr>
          <w:rStyle w:val="CaptionChar"/>
          <w:noProof/>
        </w:rPr>
        <w:t>3</w:t>
      </w:r>
      <w:r w:rsidR="001B3D7B">
        <w:rPr>
          <w:bCs/>
        </w:rPr>
        <w:fldChar w:fldCharType="end"/>
      </w:r>
      <w:r w:rsidR="001B3D7B">
        <w:rPr>
          <w:bCs/>
        </w:rPr>
        <w:t xml:space="preserve"> </w:t>
      </w:r>
      <w:r w:rsidR="00816365">
        <w:rPr>
          <w:bCs/>
        </w:rPr>
        <w:t xml:space="preserve">and </w:t>
      </w:r>
      <w:r w:rsidR="001B3D7B">
        <w:rPr>
          <w:bCs/>
        </w:rPr>
        <w:fldChar w:fldCharType="begin"/>
      </w:r>
      <w:r w:rsidR="001B3D7B">
        <w:rPr>
          <w:bCs/>
        </w:rPr>
        <w:instrText xml:space="preserve"> REF _Ref37254516 \h </w:instrText>
      </w:r>
      <w:r w:rsidR="001B3D7B">
        <w:rPr>
          <w:bCs/>
        </w:rPr>
      </w:r>
      <w:r w:rsidR="001B3D7B">
        <w:rPr>
          <w:bCs/>
        </w:rPr>
        <w:fldChar w:fldCharType="separate"/>
      </w:r>
      <w:r w:rsidR="008E67C0" w:rsidRPr="004C6B16">
        <w:rPr>
          <w:rStyle w:val="CaptionChar"/>
        </w:rPr>
        <w:t>Figure </w:t>
      </w:r>
      <w:r w:rsidR="008E67C0">
        <w:rPr>
          <w:rStyle w:val="CaptionChar"/>
          <w:noProof/>
        </w:rPr>
        <w:t>4</w:t>
      </w:r>
      <w:r w:rsidR="001B3D7B">
        <w:rPr>
          <w:bCs/>
        </w:rPr>
        <w:fldChar w:fldCharType="end"/>
      </w:r>
      <w:r w:rsidR="00670F87">
        <w:rPr>
          <w:bCs/>
        </w:rPr>
        <w:t>, respectively</w:t>
      </w:r>
      <w:r w:rsidR="00816365">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6A7BE0" w14:paraId="5B8549A7" w14:textId="77777777" w:rsidTr="004C6B16">
        <w:tc>
          <w:tcPr>
            <w:tcW w:w="4643" w:type="dxa"/>
          </w:tcPr>
          <w:p w14:paraId="5B8549A5" w14:textId="77777777" w:rsidR="004C6B16" w:rsidRDefault="00576A22" w:rsidP="00F07880">
            <w:pPr>
              <w:spacing w:after="120"/>
              <w:rPr>
                <w:bCs/>
              </w:rPr>
            </w:pPr>
            <w:r>
              <w:rPr>
                <w:noProof/>
                <w:lang w:eastAsia="en-AU"/>
              </w:rPr>
              <w:drawing>
                <wp:inline distT="0" distB="0" distL="0" distR="0" wp14:anchorId="5B854CD9" wp14:editId="5B854CDA">
                  <wp:extent cx="2505693" cy="795647"/>
                  <wp:effectExtent l="0" t="0" r="0" b="5080"/>
                  <wp:docPr id="10" name="Picture 10" descr="Figure shows the structural formula of polychlorinated dibenzo-p-dioxins (PCDDs)." title="Chemical structure of PC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64156" name="Picture 3"/>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2505693" cy="795647"/>
                          </a:xfrm>
                          <a:prstGeom prst="rect">
                            <a:avLst/>
                          </a:prstGeom>
                          <a:noFill/>
                          <a:ln>
                            <a:noFill/>
                          </a:ln>
                        </pic:spPr>
                      </pic:pic>
                    </a:graphicData>
                  </a:graphic>
                </wp:inline>
              </w:drawing>
            </w:r>
          </w:p>
        </w:tc>
        <w:tc>
          <w:tcPr>
            <w:tcW w:w="4643" w:type="dxa"/>
          </w:tcPr>
          <w:p w14:paraId="5B8549A6" w14:textId="77777777" w:rsidR="004C6B16" w:rsidRDefault="00576A22" w:rsidP="00F07880">
            <w:pPr>
              <w:spacing w:after="120"/>
              <w:rPr>
                <w:bCs/>
              </w:rPr>
            </w:pPr>
            <w:r>
              <w:rPr>
                <w:noProof/>
                <w:lang w:eastAsia="en-AU"/>
              </w:rPr>
              <w:drawing>
                <wp:inline distT="0" distB="0" distL="0" distR="0" wp14:anchorId="5B854CDB" wp14:editId="5B854CDC">
                  <wp:extent cx="2500685" cy="794993"/>
                  <wp:effectExtent l="0" t="0" r="0" b="5715"/>
                  <wp:docPr id="11" name="Picture 11" descr="Figure shows the structural formula of 2,3,7,8-tetrachlorodibenzo-p-dioxin (2,3,7,8-TCDD)." title="Chemical structure of 2,3,7,8-TC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066994" name="Picture 4"/>
                          <pic:cNvPicPr>
                            <a:picLocks noChangeAspect="1" noChangeArrowheads="1"/>
                          </pic:cNvPicPr>
                        </pic:nvPicPr>
                        <pic:blipFill>
                          <a:blip r:embed="rId23">
                            <a:extLst>
                              <a:ext uri="{28A0092B-C50C-407E-A947-70E740481C1C}">
                                <a14:useLocalDpi xmlns:a14="http://schemas.microsoft.com/office/drawing/2010/main" val="0"/>
                              </a:ext>
                            </a:extLst>
                          </a:blip>
                          <a:srcRect l="1894" t="9422" r="3594" b="7817"/>
                          <a:stretch>
                            <a:fillRect/>
                          </a:stretch>
                        </pic:blipFill>
                        <pic:spPr bwMode="auto">
                          <a:xfrm>
                            <a:off x="0" y="0"/>
                            <a:ext cx="2500685" cy="794993"/>
                          </a:xfrm>
                          <a:prstGeom prst="rect">
                            <a:avLst/>
                          </a:prstGeom>
                          <a:noFill/>
                          <a:ln w="9525">
                            <a:noFill/>
                            <a:round/>
                            <a:headEnd/>
                            <a:tailEnd/>
                          </a:ln>
                          <a:extLst>
                            <a:ext uri="{53640926-AAD7-44D8-BBD7-CCE9431645EC}">
                              <a14:shadowObscured xmlns:a14="http://schemas.microsoft.com/office/drawing/2010/main"/>
                            </a:ext>
                          </a:extLst>
                        </pic:spPr>
                      </pic:pic>
                    </a:graphicData>
                  </a:graphic>
                </wp:inline>
              </w:drawing>
            </w:r>
          </w:p>
        </w:tc>
      </w:tr>
      <w:tr w:rsidR="006A7BE0" w14:paraId="5B8549AA" w14:textId="77777777" w:rsidTr="004C6B16">
        <w:tc>
          <w:tcPr>
            <w:tcW w:w="4643" w:type="dxa"/>
          </w:tcPr>
          <w:p w14:paraId="5B8549A8" w14:textId="77777777" w:rsidR="00F07880" w:rsidRDefault="00576A22" w:rsidP="007F1AC7">
            <w:pPr>
              <w:rPr>
                <w:noProof/>
                <w:lang w:eastAsia="en-AU"/>
              </w:rPr>
            </w:pPr>
            <w:bookmarkStart w:id="8" w:name="_Ref37254500"/>
            <w:bookmarkStart w:id="9" w:name="_Toc47526053"/>
            <w:r w:rsidRPr="004C6B16">
              <w:rPr>
                <w:rStyle w:val="CaptionChar"/>
              </w:rPr>
              <w:t>Figure </w:t>
            </w:r>
            <w:r w:rsidRPr="004C6B16">
              <w:rPr>
                <w:rStyle w:val="CaptionChar"/>
              </w:rPr>
              <w:fldChar w:fldCharType="begin"/>
            </w:r>
            <w:r w:rsidRPr="004C6B16">
              <w:rPr>
                <w:rStyle w:val="CaptionChar"/>
              </w:rPr>
              <w:instrText xml:space="preserve"> SEQ Figure \* ARABIC </w:instrText>
            </w:r>
            <w:r w:rsidRPr="004C6B16">
              <w:rPr>
                <w:rStyle w:val="CaptionChar"/>
              </w:rPr>
              <w:fldChar w:fldCharType="separate"/>
            </w:r>
            <w:r w:rsidR="008E67C0">
              <w:rPr>
                <w:rStyle w:val="CaptionChar"/>
                <w:noProof/>
              </w:rPr>
              <w:t>1</w:t>
            </w:r>
            <w:r w:rsidRPr="004C6B16">
              <w:rPr>
                <w:rStyle w:val="CaptionChar"/>
              </w:rPr>
              <w:fldChar w:fldCharType="end"/>
            </w:r>
            <w:bookmarkEnd w:id="8"/>
            <w:r w:rsidRPr="004C6B16">
              <w:rPr>
                <w:rStyle w:val="CaptionChar"/>
              </w:rPr>
              <w:t xml:space="preserve"> Chemical structure of PCDD</w:t>
            </w:r>
            <w:bookmarkEnd w:id="9"/>
          </w:p>
        </w:tc>
        <w:tc>
          <w:tcPr>
            <w:tcW w:w="4643" w:type="dxa"/>
          </w:tcPr>
          <w:p w14:paraId="5B8549A9" w14:textId="77777777" w:rsidR="00F07880" w:rsidRDefault="00576A22" w:rsidP="007F1AC7">
            <w:pPr>
              <w:rPr>
                <w:noProof/>
                <w:lang w:eastAsia="en-AU"/>
              </w:rPr>
            </w:pPr>
            <w:bookmarkStart w:id="10" w:name="_Ref37254506"/>
            <w:bookmarkStart w:id="11" w:name="_Toc47526054"/>
            <w:r w:rsidRPr="004C6B16">
              <w:rPr>
                <w:rStyle w:val="CaptionChar"/>
              </w:rPr>
              <w:t>Figure </w:t>
            </w:r>
            <w:r w:rsidRPr="004C6B16">
              <w:rPr>
                <w:rStyle w:val="CaptionChar"/>
              </w:rPr>
              <w:fldChar w:fldCharType="begin"/>
            </w:r>
            <w:r w:rsidRPr="004C6B16">
              <w:rPr>
                <w:rStyle w:val="CaptionChar"/>
              </w:rPr>
              <w:instrText xml:space="preserve"> SEQ Figure \* ARABIC </w:instrText>
            </w:r>
            <w:r w:rsidRPr="004C6B16">
              <w:rPr>
                <w:rStyle w:val="CaptionChar"/>
              </w:rPr>
              <w:fldChar w:fldCharType="separate"/>
            </w:r>
            <w:r w:rsidR="008E67C0">
              <w:rPr>
                <w:rStyle w:val="CaptionChar"/>
                <w:noProof/>
              </w:rPr>
              <w:t>2</w:t>
            </w:r>
            <w:r w:rsidRPr="004C6B16">
              <w:rPr>
                <w:rStyle w:val="CaptionChar"/>
              </w:rPr>
              <w:fldChar w:fldCharType="end"/>
            </w:r>
            <w:bookmarkEnd w:id="10"/>
            <w:r w:rsidRPr="004C6B16">
              <w:rPr>
                <w:rStyle w:val="CaptionChar"/>
              </w:rPr>
              <w:t xml:space="preserve"> Chemical structure of 2,3,7,8-TCDD</w:t>
            </w:r>
            <w:bookmarkEnd w:id="11"/>
          </w:p>
        </w:tc>
      </w:tr>
      <w:tr w:rsidR="006A7BE0" w14:paraId="5B8549AD" w14:textId="77777777" w:rsidTr="004C6B16">
        <w:tc>
          <w:tcPr>
            <w:tcW w:w="4643" w:type="dxa"/>
          </w:tcPr>
          <w:p w14:paraId="5B8549AB" w14:textId="77777777" w:rsidR="004C6B16" w:rsidRDefault="00576A22" w:rsidP="00F07880">
            <w:pPr>
              <w:spacing w:after="120"/>
              <w:rPr>
                <w:bCs/>
              </w:rPr>
            </w:pPr>
            <w:r>
              <w:rPr>
                <w:noProof/>
                <w:lang w:eastAsia="en-AU"/>
              </w:rPr>
              <w:drawing>
                <wp:inline distT="0" distB="0" distL="0" distR="0" wp14:anchorId="5B854CDD" wp14:editId="5B854CDE">
                  <wp:extent cx="2505693" cy="902525"/>
                  <wp:effectExtent l="0" t="0" r="9525" b="0"/>
                  <wp:docPr id="12" name="Picture 12" descr="Figure shows the structural formula of polychlorinated dibenzofurans (PCDFs)." title="Chemical structure of PC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404579" name="Picture 5"/>
                          <pic:cNvPicPr>
                            <a:picLocks noChangeAspect="1" noChangeArrowheads="1"/>
                          </pic:cNvPicPr>
                        </pic:nvPicPr>
                        <pic:blipFill>
                          <a:blip r:embed="rId24">
                            <a:extLst>
                              <a:ext uri="{28A0092B-C50C-407E-A947-70E740481C1C}">
                                <a14:useLocalDpi xmlns:a14="http://schemas.microsoft.com/office/drawing/2010/main" val="0"/>
                              </a:ext>
                            </a:extLst>
                          </a:blip>
                          <a:srcRect l="1670" t="3000" r="1412" b="3933"/>
                          <a:stretch>
                            <a:fillRect/>
                          </a:stretch>
                        </pic:blipFill>
                        <pic:spPr bwMode="auto">
                          <a:xfrm>
                            <a:off x="0" y="0"/>
                            <a:ext cx="2505693" cy="902525"/>
                          </a:xfrm>
                          <a:prstGeom prst="rect">
                            <a:avLst/>
                          </a:prstGeom>
                          <a:noFill/>
                          <a:ln w="9525">
                            <a:noFill/>
                            <a:round/>
                            <a:headEnd/>
                            <a:tailEnd/>
                          </a:ln>
                          <a:extLst>
                            <a:ext uri="{53640926-AAD7-44D8-BBD7-CCE9431645EC}">
                              <a14:shadowObscured xmlns:a14="http://schemas.microsoft.com/office/drawing/2010/main"/>
                            </a:ext>
                          </a:extLst>
                        </pic:spPr>
                      </pic:pic>
                    </a:graphicData>
                  </a:graphic>
                </wp:inline>
              </w:drawing>
            </w:r>
          </w:p>
        </w:tc>
        <w:tc>
          <w:tcPr>
            <w:tcW w:w="4643" w:type="dxa"/>
          </w:tcPr>
          <w:p w14:paraId="5B8549AC" w14:textId="77777777" w:rsidR="004C6B16" w:rsidRPr="004C6B16" w:rsidRDefault="00576A22" w:rsidP="00F07880">
            <w:pPr>
              <w:spacing w:after="120"/>
            </w:pPr>
            <w:r w:rsidRPr="004C6B16">
              <w:rPr>
                <w:noProof/>
                <w:lang w:eastAsia="en-AU"/>
              </w:rPr>
              <w:drawing>
                <wp:inline distT="0" distB="0" distL="0" distR="0" wp14:anchorId="5B854CDF" wp14:editId="5B854CE0">
                  <wp:extent cx="2501978" cy="902338"/>
                  <wp:effectExtent l="0" t="0" r="0" b="0"/>
                  <wp:docPr id="14" name="Picture 14" descr="Figure shows the structural formula of dioxin-like coplanar polychlorinated biphenyls (dl-PCBs)." title="Chemical structure of dl-PC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54496" name="Picture 6"/>
                          <pic:cNvPicPr>
                            <a:picLocks noChangeAspect="1" noChangeArrowheads="1"/>
                          </pic:cNvPicPr>
                        </pic:nvPicPr>
                        <pic:blipFill>
                          <a:blip r:embed="rId25">
                            <a:extLst>
                              <a:ext uri="{28A0092B-C50C-407E-A947-70E740481C1C}">
                                <a14:useLocalDpi xmlns:a14="http://schemas.microsoft.com/office/drawing/2010/main" val="0"/>
                              </a:ext>
                            </a:extLst>
                          </a:blip>
                          <a:srcRect l="1771" t="7361" r="6701" b="14111"/>
                          <a:stretch>
                            <a:fillRect/>
                          </a:stretch>
                        </pic:blipFill>
                        <pic:spPr bwMode="auto">
                          <a:xfrm>
                            <a:off x="0" y="0"/>
                            <a:ext cx="2501978" cy="902338"/>
                          </a:xfrm>
                          <a:prstGeom prst="rect">
                            <a:avLst/>
                          </a:prstGeom>
                          <a:noFill/>
                          <a:ln w="9525">
                            <a:noFill/>
                            <a:round/>
                            <a:headEnd/>
                            <a:tailEnd/>
                          </a:ln>
                          <a:extLst>
                            <a:ext uri="{53640926-AAD7-44D8-BBD7-CCE9431645EC}">
                              <a14:shadowObscured xmlns:a14="http://schemas.microsoft.com/office/drawing/2010/main"/>
                            </a:ext>
                          </a:extLst>
                        </pic:spPr>
                      </pic:pic>
                    </a:graphicData>
                  </a:graphic>
                </wp:inline>
              </w:drawing>
            </w:r>
          </w:p>
        </w:tc>
      </w:tr>
      <w:tr w:rsidR="006A7BE0" w14:paraId="5B8549B0" w14:textId="77777777" w:rsidTr="004C6B16">
        <w:tc>
          <w:tcPr>
            <w:tcW w:w="4643" w:type="dxa"/>
          </w:tcPr>
          <w:p w14:paraId="5B8549AE" w14:textId="77777777" w:rsidR="00F07880" w:rsidRDefault="00576A22" w:rsidP="007F1AC7">
            <w:pPr>
              <w:rPr>
                <w:noProof/>
                <w:lang w:eastAsia="en-AU"/>
              </w:rPr>
            </w:pPr>
            <w:bookmarkStart w:id="12" w:name="_Ref37254510"/>
            <w:bookmarkStart w:id="13" w:name="_Toc47526055"/>
            <w:r w:rsidRPr="004C6B16">
              <w:rPr>
                <w:rStyle w:val="CaptionChar"/>
              </w:rPr>
              <w:t>Figure </w:t>
            </w:r>
            <w:r w:rsidRPr="004C6B16">
              <w:rPr>
                <w:rStyle w:val="CaptionChar"/>
              </w:rPr>
              <w:fldChar w:fldCharType="begin"/>
            </w:r>
            <w:r w:rsidRPr="004C6B16">
              <w:rPr>
                <w:rStyle w:val="CaptionChar"/>
              </w:rPr>
              <w:instrText xml:space="preserve"> SEQ Figure \* ARABIC </w:instrText>
            </w:r>
            <w:r w:rsidRPr="004C6B16">
              <w:rPr>
                <w:rStyle w:val="CaptionChar"/>
              </w:rPr>
              <w:fldChar w:fldCharType="separate"/>
            </w:r>
            <w:r w:rsidR="008E67C0">
              <w:rPr>
                <w:rStyle w:val="CaptionChar"/>
                <w:noProof/>
              </w:rPr>
              <w:t>3</w:t>
            </w:r>
            <w:r w:rsidRPr="004C6B16">
              <w:rPr>
                <w:rStyle w:val="CaptionChar"/>
              </w:rPr>
              <w:fldChar w:fldCharType="end"/>
            </w:r>
            <w:bookmarkEnd w:id="12"/>
            <w:r w:rsidRPr="004C6B16">
              <w:rPr>
                <w:rStyle w:val="CaptionChar"/>
              </w:rPr>
              <w:t xml:space="preserve"> Chemical structure of PCDF</w:t>
            </w:r>
            <w:bookmarkEnd w:id="13"/>
          </w:p>
        </w:tc>
        <w:tc>
          <w:tcPr>
            <w:tcW w:w="4643" w:type="dxa"/>
          </w:tcPr>
          <w:p w14:paraId="5B8549AF" w14:textId="77777777" w:rsidR="00F07880" w:rsidRPr="004C6B16" w:rsidRDefault="00576A22" w:rsidP="007F1AC7">
            <w:bookmarkStart w:id="14" w:name="_Ref37254516"/>
            <w:bookmarkStart w:id="15" w:name="_Toc47526056"/>
            <w:r w:rsidRPr="004C6B16">
              <w:rPr>
                <w:rStyle w:val="CaptionChar"/>
              </w:rPr>
              <w:t>Figure </w:t>
            </w:r>
            <w:r w:rsidRPr="004C6B16">
              <w:rPr>
                <w:rStyle w:val="CaptionChar"/>
              </w:rPr>
              <w:fldChar w:fldCharType="begin"/>
            </w:r>
            <w:r w:rsidRPr="004C6B16">
              <w:rPr>
                <w:rStyle w:val="CaptionChar"/>
              </w:rPr>
              <w:instrText xml:space="preserve"> SEQ Figure \* ARABIC </w:instrText>
            </w:r>
            <w:r w:rsidRPr="004C6B16">
              <w:rPr>
                <w:rStyle w:val="CaptionChar"/>
              </w:rPr>
              <w:fldChar w:fldCharType="separate"/>
            </w:r>
            <w:r w:rsidR="008E67C0">
              <w:rPr>
                <w:rStyle w:val="CaptionChar"/>
                <w:noProof/>
              </w:rPr>
              <w:t>4</w:t>
            </w:r>
            <w:r w:rsidRPr="004C6B16">
              <w:rPr>
                <w:rStyle w:val="CaptionChar"/>
              </w:rPr>
              <w:fldChar w:fldCharType="end"/>
            </w:r>
            <w:bookmarkEnd w:id="14"/>
            <w:r w:rsidRPr="004C6B16">
              <w:rPr>
                <w:rStyle w:val="CaptionChar"/>
              </w:rPr>
              <w:t xml:space="preserve"> Chemical structure of dl-PCB</w:t>
            </w:r>
            <w:bookmarkEnd w:id="15"/>
          </w:p>
        </w:tc>
      </w:tr>
    </w:tbl>
    <w:p w14:paraId="5B8549B1" w14:textId="77777777" w:rsidR="00165210" w:rsidRPr="00165210" w:rsidRDefault="00576A22" w:rsidP="00165210">
      <w:pPr>
        <w:rPr>
          <w:bCs/>
        </w:rPr>
      </w:pPr>
      <w:r w:rsidRPr="00165210">
        <w:rPr>
          <w:bCs/>
        </w:rPr>
        <w:t>Di</w:t>
      </w:r>
      <w:r w:rsidRPr="00165210">
        <w:rPr>
          <w:bCs/>
        </w:rPr>
        <w:t xml:space="preserve">oxins are highly toxic. The most toxic dioxin and dioxin-like compounds are those </w:t>
      </w:r>
      <w:r w:rsidR="00A50A8E">
        <w:rPr>
          <w:bCs/>
        </w:rPr>
        <w:t xml:space="preserve">12 compounds </w:t>
      </w:r>
      <w:r w:rsidRPr="00165210">
        <w:rPr>
          <w:bCs/>
        </w:rPr>
        <w:t xml:space="preserve">that are chlorinated in lateral positions (2, 3, 7 and 8) with </w:t>
      </w:r>
      <w:r w:rsidR="00A50A8E">
        <w:rPr>
          <w:bCs/>
        </w:rPr>
        <w:t xml:space="preserve">four to six </w:t>
      </w:r>
      <w:r w:rsidRPr="00165210">
        <w:rPr>
          <w:bCs/>
        </w:rPr>
        <w:t xml:space="preserve">6 chlorine atoms; dioxins can have up to </w:t>
      </w:r>
      <w:r w:rsidR="00AD427C">
        <w:rPr>
          <w:bCs/>
        </w:rPr>
        <w:t>eight</w:t>
      </w:r>
      <w:r w:rsidRPr="00165210">
        <w:rPr>
          <w:bCs/>
        </w:rPr>
        <w:t xml:space="preserve"> chlorine atoms attached. Dioxins are ex</w:t>
      </w:r>
      <w:r w:rsidRPr="00165210">
        <w:rPr>
          <w:bCs/>
        </w:rPr>
        <w:t>tremely hydrophobic and have very low water solubility (0.0001</w:t>
      </w:r>
      <w:r w:rsidR="00AA01CB">
        <w:rPr>
          <w:bCs/>
        </w:rPr>
        <w:t>–</w:t>
      </w:r>
      <w:r w:rsidRPr="00165210">
        <w:rPr>
          <w:bCs/>
        </w:rPr>
        <w:t>1</w:t>
      </w:r>
      <w:r w:rsidR="00AA01CB">
        <w:rPr>
          <w:bCs/>
        </w:rPr>
        <w:t> </w:t>
      </w:r>
      <w:r w:rsidRPr="00165210">
        <w:rPr>
          <w:bCs/>
        </w:rPr>
        <w:t>µg/L) and high log K</w:t>
      </w:r>
      <w:r w:rsidRPr="00AA01CB">
        <w:rPr>
          <w:bCs/>
          <w:vertAlign w:val="subscript"/>
        </w:rPr>
        <w:t>ow</w:t>
      </w:r>
      <w:r w:rsidRPr="00165210">
        <w:rPr>
          <w:bCs/>
        </w:rPr>
        <w:t xml:space="preserve"> </w:t>
      </w:r>
      <w:r w:rsidR="00AA01CB">
        <w:rPr>
          <w:bCs/>
        </w:rPr>
        <w:t>(</w:t>
      </w:r>
      <w:r w:rsidRPr="00165210">
        <w:rPr>
          <w:bCs/>
        </w:rPr>
        <w:t>5.0</w:t>
      </w:r>
      <w:r w:rsidR="00AA01CB">
        <w:rPr>
          <w:bCs/>
        </w:rPr>
        <w:t>–</w:t>
      </w:r>
      <w:r w:rsidRPr="00165210">
        <w:rPr>
          <w:bCs/>
        </w:rPr>
        <w:t>10.3</w:t>
      </w:r>
      <w:r w:rsidR="00AA01CB">
        <w:rPr>
          <w:bCs/>
        </w:rPr>
        <w:t>)</w:t>
      </w:r>
      <w:r w:rsidRPr="00165210">
        <w:rPr>
          <w:bCs/>
        </w:rPr>
        <w:t>. As they are highly hydrophobic compounds, measurement of their concentrations in water is very difficult</w:t>
      </w:r>
      <w:r w:rsidR="00AA01CB">
        <w:rPr>
          <w:bCs/>
        </w:rPr>
        <w:t xml:space="preserve"> (USEPA 2008)</w:t>
      </w:r>
      <w:r w:rsidRPr="00165210">
        <w:rPr>
          <w:bCs/>
        </w:rPr>
        <w:t>. They partition strongly to organic ma</w:t>
      </w:r>
      <w:r w:rsidRPr="00165210">
        <w:rPr>
          <w:bCs/>
        </w:rPr>
        <w:t xml:space="preserve">tter or sediments in aquatic environments, </w:t>
      </w:r>
      <w:r w:rsidR="00AA01CB">
        <w:rPr>
          <w:bCs/>
        </w:rPr>
        <w:t>and</w:t>
      </w:r>
      <w:r w:rsidRPr="00165210">
        <w:rPr>
          <w:bCs/>
        </w:rPr>
        <w:t xml:space="preserve"> it is probably more useful to present dioxin guideline</w:t>
      </w:r>
      <w:r w:rsidR="0092045A">
        <w:rPr>
          <w:bCs/>
        </w:rPr>
        <w:t xml:space="preserve"> value</w:t>
      </w:r>
      <w:r w:rsidRPr="00165210">
        <w:rPr>
          <w:bCs/>
        </w:rPr>
        <w:t>s as sediment quality or tissue residue guideline</w:t>
      </w:r>
      <w:r w:rsidR="0092045A">
        <w:rPr>
          <w:bCs/>
        </w:rPr>
        <w:t xml:space="preserve"> value</w:t>
      </w:r>
      <w:r w:rsidRPr="00165210">
        <w:rPr>
          <w:bCs/>
        </w:rPr>
        <w:t xml:space="preserve">s than water quality </w:t>
      </w:r>
      <w:r w:rsidR="0092045A">
        <w:rPr>
          <w:bCs/>
        </w:rPr>
        <w:t>guideline value</w:t>
      </w:r>
      <w:r w:rsidRPr="00165210">
        <w:rPr>
          <w:bCs/>
        </w:rPr>
        <w:t>s</w:t>
      </w:r>
      <w:r w:rsidR="00AA01CB">
        <w:rPr>
          <w:bCs/>
        </w:rPr>
        <w:t xml:space="preserve"> (CCME 2001a, 2001b)</w:t>
      </w:r>
      <w:r w:rsidRPr="00165210">
        <w:rPr>
          <w:bCs/>
        </w:rPr>
        <w:t xml:space="preserve">. Dioxins are resistant to </w:t>
      </w:r>
      <w:r w:rsidRPr="00165210">
        <w:rPr>
          <w:bCs/>
        </w:rPr>
        <w:t>biodegradation, are persistent in the environment and bioaccumulate in organisms</w:t>
      </w:r>
      <w:r w:rsidR="00AA01CB">
        <w:rPr>
          <w:bCs/>
        </w:rPr>
        <w:t xml:space="preserve"> (</w:t>
      </w:r>
      <w:r w:rsidR="00AA01CB">
        <w:t>Grimwood &amp; Dobbs 1995</w:t>
      </w:r>
      <w:r w:rsidR="00AA01CB">
        <w:rPr>
          <w:bCs/>
        </w:rPr>
        <w:t>),</w:t>
      </w:r>
      <w:r w:rsidRPr="00165210">
        <w:rPr>
          <w:bCs/>
        </w:rPr>
        <w:t xml:space="preserve"> and are found commonly in sediments and tissues of fish, birds and mammals, even at remote locations. </w:t>
      </w:r>
    </w:p>
    <w:p w14:paraId="5B8549B2" w14:textId="77777777" w:rsidR="004809C6" w:rsidRDefault="00576A22" w:rsidP="00165210">
      <w:pPr>
        <w:rPr>
          <w:bCs/>
          <w:highlight w:val="yellow"/>
        </w:rPr>
      </w:pPr>
      <w:r w:rsidRPr="00165210">
        <w:rPr>
          <w:bCs/>
        </w:rPr>
        <w:t xml:space="preserve">Concentrations in fauna reflect </w:t>
      </w:r>
      <w:r w:rsidR="0092045A">
        <w:rPr>
          <w:bCs/>
        </w:rPr>
        <w:t>an</w:t>
      </w:r>
      <w:r w:rsidR="0092045A" w:rsidRPr="00165210">
        <w:rPr>
          <w:bCs/>
        </w:rPr>
        <w:t xml:space="preserve"> </w:t>
      </w:r>
      <w:r w:rsidRPr="00165210">
        <w:rPr>
          <w:bCs/>
        </w:rPr>
        <w:t>animal’s position in the food chain, with high trophic level aquatic and terrestrial organisms having the highest levels of dioxins in their bodies relative to other organisms in the same environment</w:t>
      </w:r>
      <w:r w:rsidR="00AA01CB">
        <w:rPr>
          <w:bCs/>
        </w:rPr>
        <w:t xml:space="preserve"> (</w:t>
      </w:r>
      <w:r w:rsidR="00AA01CB">
        <w:t>Gatehouse 2004</w:t>
      </w:r>
      <w:r w:rsidR="00AA01CB">
        <w:rPr>
          <w:bCs/>
        </w:rPr>
        <w:t>)</w:t>
      </w:r>
      <w:r w:rsidRPr="00165210">
        <w:rPr>
          <w:bCs/>
        </w:rPr>
        <w:t>. Con</w:t>
      </w:r>
      <w:r w:rsidRPr="00165210">
        <w:rPr>
          <w:bCs/>
        </w:rPr>
        <w:t>centrations of dioxins and related furans have been found at cleaner sites at between 1</w:t>
      </w:r>
      <w:r w:rsidR="00AA01CB">
        <w:rPr>
          <w:bCs/>
        </w:rPr>
        <w:t> </w:t>
      </w:r>
      <w:r w:rsidR="00AA01CB" w:rsidRPr="00165210">
        <w:rPr>
          <w:bCs/>
        </w:rPr>
        <w:t>pg/L</w:t>
      </w:r>
      <w:r w:rsidRPr="00165210">
        <w:rPr>
          <w:bCs/>
        </w:rPr>
        <w:t xml:space="preserve"> and 5</w:t>
      </w:r>
      <w:r w:rsidR="00AA01CB">
        <w:rPr>
          <w:bCs/>
        </w:rPr>
        <w:t> </w:t>
      </w:r>
      <w:r w:rsidRPr="00165210">
        <w:rPr>
          <w:bCs/>
        </w:rPr>
        <w:t>pg/L (10</w:t>
      </w:r>
      <w:r w:rsidRPr="00165210">
        <w:rPr>
          <w:bCs/>
          <w:vertAlign w:val="superscript"/>
        </w:rPr>
        <w:t>-12</w:t>
      </w:r>
      <w:r w:rsidR="00AA01CB">
        <w:rPr>
          <w:bCs/>
        </w:rPr>
        <w:t> </w:t>
      </w:r>
      <w:r w:rsidRPr="00165210">
        <w:rPr>
          <w:bCs/>
        </w:rPr>
        <w:t>g/L) and at up to 100</w:t>
      </w:r>
      <w:r w:rsidR="00AA01CB">
        <w:rPr>
          <w:bCs/>
        </w:rPr>
        <w:t> </w:t>
      </w:r>
      <w:r w:rsidRPr="00165210">
        <w:rPr>
          <w:bCs/>
        </w:rPr>
        <w:t>pg/L (0.1</w:t>
      </w:r>
      <w:r w:rsidR="00AA01CB">
        <w:rPr>
          <w:bCs/>
        </w:rPr>
        <w:t> </w:t>
      </w:r>
      <w:r w:rsidRPr="00165210">
        <w:rPr>
          <w:bCs/>
        </w:rPr>
        <w:t>ng/L) at more contaminated sites</w:t>
      </w:r>
      <w:r w:rsidR="00AA01CB">
        <w:rPr>
          <w:bCs/>
        </w:rPr>
        <w:t xml:space="preserve"> (</w:t>
      </w:r>
      <w:r w:rsidR="00AA01CB" w:rsidRPr="00AA01CB">
        <w:rPr>
          <w:bCs/>
        </w:rPr>
        <w:t>Sijm &amp; Opperhuizen 1996</w:t>
      </w:r>
      <w:r w:rsidR="00AA01CB">
        <w:rPr>
          <w:bCs/>
        </w:rPr>
        <w:t>)</w:t>
      </w:r>
      <w:r w:rsidRPr="00165210">
        <w:rPr>
          <w:bCs/>
        </w:rPr>
        <w:t>.</w:t>
      </w:r>
    </w:p>
    <w:p w14:paraId="5B8549B3" w14:textId="77777777" w:rsidR="004809C6" w:rsidRDefault="00576A22" w:rsidP="00BF0280">
      <w:pPr>
        <w:rPr>
          <w:bCs/>
        </w:rPr>
      </w:pPr>
      <w:r w:rsidRPr="00165210">
        <w:rPr>
          <w:bCs/>
        </w:rPr>
        <w:t>Dioxins are more readily associated with sediment</w:t>
      </w:r>
      <w:r w:rsidR="00AA01CB">
        <w:rPr>
          <w:bCs/>
        </w:rPr>
        <w:t>,</w:t>
      </w:r>
      <w:r w:rsidRPr="00165210">
        <w:rPr>
          <w:bCs/>
        </w:rPr>
        <w:t xml:space="preserve"> an</w:t>
      </w:r>
      <w:r w:rsidRPr="00165210">
        <w:rPr>
          <w:bCs/>
        </w:rPr>
        <w:t>d TCDD is usually less than 15% of total dioxins. An Australia-wide survey of dioxin</w:t>
      </w:r>
      <w:r w:rsidR="006C5125">
        <w:rPr>
          <w:bCs/>
        </w:rPr>
        <w:t>s</w:t>
      </w:r>
      <w:r w:rsidRPr="00165210">
        <w:rPr>
          <w:bCs/>
        </w:rPr>
        <w:t xml:space="preserve"> in sediments</w:t>
      </w:r>
      <w:r w:rsidR="00AA01CB">
        <w:rPr>
          <w:bCs/>
        </w:rPr>
        <w:t xml:space="preserve"> (</w:t>
      </w:r>
      <w:r w:rsidR="00AA01CB" w:rsidRPr="00AA01CB">
        <w:rPr>
          <w:bCs/>
        </w:rPr>
        <w:t xml:space="preserve">Müller </w:t>
      </w:r>
      <w:r w:rsidR="00AA01CB">
        <w:rPr>
          <w:bCs/>
        </w:rPr>
        <w:t>et al. 2004)</w:t>
      </w:r>
      <w:r w:rsidRPr="00165210">
        <w:rPr>
          <w:bCs/>
        </w:rPr>
        <w:t xml:space="preserve"> found that the highest concentrations were in estuaries, with a median concentration of 2.3</w:t>
      </w:r>
      <w:r w:rsidR="00AA01CB">
        <w:rPr>
          <w:bCs/>
        </w:rPr>
        <w:t> </w:t>
      </w:r>
      <w:r w:rsidRPr="00165210">
        <w:rPr>
          <w:bCs/>
        </w:rPr>
        <w:t>ng</w:t>
      </w:r>
      <w:r w:rsidR="00AA01CB">
        <w:rPr>
          <w:bCs/>
        </w:rPr>
        <w:t> </w:t>
      </w:r>
      <w:r w:rsidR="00A86237">
        <w:rPr>
          <w:bCs/>
        </w:rPr>
        <w:t>toxic equivalen</w:t>
      </w:r>
      <w:r w:rsidR="0082716C">
        <w:rPr>
          <w:bCs/>
        </w:rPr>
        <w:t xml:space="preserve">cy </w:t>
      </w:r>
      <w:r w:rsidR="00A86237">
        <w:rPr>
          <w:bCs/>
        </w:rPr>
        <w:t>(</w:t>
      </w:r>
      <w:r w:rsidRPr="00165210">
        <w:rPr>
          <w:bCs/>
        </w:rPr>
        <w:t>TEQ</w:t>
      </w:r>
      <w:r w:rsidR="00A86237">
        <w:rPr>
          <w:bCs/>
        </w:rPr>
        <w:t>)</w:t>
      </w:r>
      <w:r w:rsidRPr="00165210">
        <w:rPr>
          <w:bCs/>
        </w:rPr>
        <w:t>/kg</w:t>
      </w:r>
      <w:r w:rsidR="00AA01CB">
        <w:rPr>
          <w:bCs/>
        </w:rPr>
        <w:t> </w:t>
      </w:r>
      <w:r w:rsidRPr="00165210">
        <w:rPr>
          <w:bCs/>
        </w:rPr>
        <w:t>d</w:t>
      </w:r>
      <w:r w:rsidR="006C5125">
        <w:rPr>
          <w:bCs/>
        </w:rPr>
        <w:t>ry weight (dw)</w:t>
      </w:r>
      <w:r w:rsidRPr="00165210">
        <w:rPr>
          <w:bCs/>
        </w:rPr>
        <w:t>, generally higher than those in New Zealand. In contrast</w:t>
      </w:r>
      <w:r w:rsidR="00AA01CB">
        <w:rPr>
          <w:bCs/>
        </w:rPr>
        <w:t>,</w:t>
      </w:r>
      <w:r w:rsidRPr="00165210">
        <w:rPr>
          <w:bCs/>
        </w:rPr>
        <w:t xml:space="preserve"> </w:t>
      </w:r>
      <w:r w:rsidR="006C5125">
        <w:rPr>
          <w:bCs/>
        </w:rPr>
        <w:t xml:space="preserve">the </w:t>
      </w:r>
      <w:r w:rsidRPr="00165210">
        <w:rPr>
          <w:bCs/>
        </w:rPr>
        <w:t>median concentration in freshwater sediments was an order of magnitude lower, at 0.2</w:t>
      </w:r>
      <w:r w:rsidR="00AA01CB">
        <w:rPr>
          <w:bCs/>
        </w:rPr>
        <w:t> </w:t>
      </w:r>
      <w:r w:rsidRPr="00165210">
        <w:rPr>
          <w:bCs/>
        </w:rPr>
        <w:t>ng</w:t>
      </w:r>
      <w:r w:rsidR="00AA01CB">
        <w:rPr>
          <w:bCs/>
        </w:rPr>
        <w:t> </w:t>
      </w:r>
      <w:r w:rsidRPr="00165210">
        <w:rPr>
          <w:bCs/>
        </w:rPr>
        <w:t>TEQ/kg</w:t>
      </w:r>
      <w:r w:rsidR="00AA01CB">
        <w:rPr>
          <w:bCs/>
        </w:rPr>
        <w:t> </w:t>
      </w:r>
      <w:r w:rsidRPr="00165210">
        <w:rPr>
          <w:bCs/>
        </w:rPr>
        <w:t>dw, which is similar to levels in marine sediments. The survey note</w:t>
      </w:r>
      <w:r w:rsidR="00AA01CB">
        <w:rPr>
          <w:bCs/>
        </w:rPr>
        <w:t>d</w:t>
      </w:r>
      <w:r w:rsidRPr="00165210">
        <w:rPr>
          <w:bCs/>
        </w:rPr>
        <w:t xml:space="preserve"> that the higher median value and most of the high value outliers from estuarine locations were reflective of the </w:t>
      </w:r>
      <w:r w:rsidR="00AA01CB">
        <w:rPr>
          <w:bCs/>
        </w:rPr>
        <w:t>placement of</w:t>
      </w:r>
      <w:r w:rsidRPr="00165210">
        <w:rPr>
          <w:bCs/>
        </w:rPr>
        <w:t xml:space="preserve"> most urban/industrial land</w:t>
      </w:r>
      <w:r w:rsidR="00E059C2">
        <w:rPr>
          <w:bCs/>
        </w:rPr>
        <w:t xml:space="preserve"> </w:t>
      </w:r>
      <w:r w:rsidRPr="00165210">
        <w:rPr>
          <w:bCs/>
        </w:rPr>
        <w:t xml:space="preserve">use in Australia adjacent to estuarine environments. As an example of this, Birch et al. </w:t>
      </w:r>
      <w:r w:rsidR="00AA01CB">
        <w:rPr>
          <w:bCs/>
        </w:rPr>
        <w:t>(2007)</w:t>
      </w:r>
      <w:r w:rsidRPr="00165210">
        <w:rPr>
          <w:bCs/>
        </w:rPr>
        <w:t xml:space="preserve"> cited </w:t>
      </w:r>
      <w:r w:rsidRPr="00165210">
        <w:rPr>
          <w:bCs/>
        </w:rPr>
        <w:t>an unpublished consultant document from 1998 that reported a maximum concentration of TCDD on the eastern shore of Homebush Bay, NSW, near historical industrial contamination, of 16.3</w:t>
      </w:r>
      <w:r w:rsidR="00AA01CB">
        <w:rPr>
          <w:bCs/>
        </w:rPr>
        <w:t> </w:t>
      </w:r>
      <w:r w:rsidRPr="00165210">
        <w:rPr>
          <w:bCs/>
        </w:rPr>
        <w:t>µg/kg, while a 2002 document reported a maximum total dioxins plus furan</w:t>
      </w:r>
      <w:r w:rsidRPr="00165210">
        <w:rPr>
          <w:bCs/>
        </w:rPr>
        <w:t>s concentration in the estuarine bay sediment of 6</w:t>
      </w:r>
      <w:r w:rsidR="00AA01CB">
        <w:rPr>
          <w:bCs/>
        </w:rPr>
        <w:t> </w:t>
      </w:r>
      <w:r w:rsidRPr="00165210">
        <w:rPr>
          <w:bCs/>
        </w:rPr>
        <w:t>290</w:t>
      </w:r>
      <w:r w:rsidR="00AA01CB">
        <w:rPr>
          <w:bCs/>
        </w:rPr>
        <w:t> </w:t>
      </w:r>
      <w:r w:rsidRPr="00165210">
        <w:rPr>
          <w:bCs/>
        </w:rPr>
        <w:t>µg/kg</w:t>
      </w:r>
      <w:r w:rsidR="00AA01CB">
        <w:rPr>
          <w:bCs/>
        </w:rPr>
        <w:t> </w:t>
      </w:r>
      <w:r w:rsidRPr="00165210">
        <w:rPr>
          <w:bCs/>
        </w:rPr>
        <w:t>dw, which is the highest recorded in Australia</w:t>
      </w:r>
      <w:r w:rsidR="00AA01CB">
        <w:rPr>
          <w:bCs/>
        </w:rPr>
        <w:t xml:space="preserve"> (</w:t>
      </w:r>
      <w:r w:rsidR="00AA01CB" w:rsidRPr="00165210">
        <w:rPr>
          <w:bCs/>
        </w:rPr>
        <w:t xml:space="preserve">Birch et al. </w:t>
      </w:r>
      <w:r w:rsidR="00AA01CB">
        <w:rPr>
          <w:bCs/>
        </w:rPr>
        <w:t>2007)</w:t>
      </w:r>
      <w:r w:rsidRPr="00165210">
        <w:rPr>
          <w:bCs/>
        </w:rPr>
        <w:t xml:space="preserve">. Such high levels resulted in </w:t>
      </w:r>
      <w:r w:rsidR="00AA01CB">
        <w:rPr>
          <w:bCs/>
        </w:rPr>
        <w:t xml:space="preserve">the </w:t>
      </w:r>
      <w:r w:rsidRPr="00165210">
        <w:rPr>
          <w:bCs/>
        </w:rPr>
        <w:t xml:space="preserve">imposition of a fishing ban in the </w:t>
      </w:r>
      <w:r w:rsidR="00AA01CB">
        <w:rPr>
          <w:bCs/>
        </w:rPr>
        <w:t>b</w:t>
      </w:r>
      <w:r w:rsidRPr="00165210">
        <w:rPr>
          <w:bCs/>
        </w:rPr>
        <w:t>ay and advisories across Sydney Harbour. PCDD concentratio</w:t>
      </w:r>
      <w:r w:rsidRPr="00165210">
        <w:rPr>
          <w:bCs/>
        </w:rPr>
        <w:t>ns throughout Port Jackson were strongly correlated with the proximity of sites to Homebush Bay</w:t>
      </w:r>
      <w:r w:rsidR="00836CFC">
        <w:rPr>
          <w:bCs/>
        </w:rPr>
        <w:t xml:space="preserve"> (Roach et al. 2009),</w:t>
      </w:r>
      <w:r w:rsidRPr="00165210">
        <w:rPr>
          <w:bCs/>
        </w:rPr>
        <w:t xml:space="preserve"> and elevated dioxin concentrations in fish in Port Jackson were traced to this source</w:t>
      </w:r>
      <w:r w:rsidR="00836CFC">
        <w:rPr>
          <w:bCs/>
        </w:rPr>
        <w:t xml:space="preserve"> (Manning et al. 2007)</w:t>
      </w:r>
      <w:r w:rsidRPr="00165210">
        <w:rPr>
          <w:bCs/>
        </w:rPr>
        <w:t xml:space="preserve">. </w:t>
      </w:r>
    </w:p>
    <w:p w14:paraId="5B8549B4" w14:textId="77777777" w:rsidR="00165210" w:rsidRDefault="00576A22" w:rsidP="00BF0280">
      <w:pPr>
        <w:rPr>
          <w:bCs/>
        </w:rPr>
      </w:pPr>
      <w:r w:rsidRPr="00165210">
        <w:rPr>
          <w:bCs/>
        </w:rPr>
        <w:t>The bioconcentration factor (</w:t>
      </w:r>
      <w:r w:rsidRPr="00165210">
        <w:rPr>
          <w:bCs/>
        </w:rPr>
        <w:t>BCF) for TCDD in whole fish ranged between 7</w:t>
      </w:r>
      <w:r w:rsidR="00836CFC">
        <w:rPr>
          <w:bCs/>
        </w:rPr>
        <w:t> </w:t>
      </w:r>
      <w:r w:rsidRPr="00165210">
        <w:rPr>
          <w:bCs/>
        </w:rPr>
        <w:t>760 and 28</w:t>
      </w:r>
      <w:r w:rsidR="00836CFC">
        <w:rPr>
          <w:bCs/>
        </w:rPr>
        <w:t> </w:t>
      </w:r>
      <w:r w:rsidRPr="00165210">
        <w:rPr>
          <w:bCs/>
        </w:rPr>
        <w:t>700</w:t>
      </w:r>
      <w:r w:rsidR="00836CFC">
        <w:rPr>
          <w:bCs/>
        </w:rPr>
        <w:t xml:space="preserve"> (</w:t>
      </w:r>
      <w:r w:rsidR="00836CFC">
        <w:t>Mehrle</w:t>
      </w:r>
      <w:r w:rsidR="00836CFC" w:rsidRPr="00165210">
        <w:rPr>
          <w:bCs/>
        </w:rPr>
        <w:t xml:space="preserve"> </w:t>
      </w:r>
      <w:r w:rsidR="00836CFC">
        <w:rPr>
          <w:bCs/>
        </w:rPr>
        <w:t>et al. 1988,</w:t>
      </w:r>
      <w:r w:rsidR="00836CFC" w:rsidRPr="00836CFC">
        <w:t xml:space="preserve"> </w:t>
      </w:r>
      <w:r w:rsidR="00836CFC" w:rsidRPr="00836CFC">
        <w:rPr>
          <w:bCs/>
        </w:rPr>
        <w:t>Fletcher &amp; McKay 1993</w:t>
      </w:r>
      <w:r w:rsidR="00836CFC">
        <w:rPr>
          <w:bCs/>
        </w:rPr>
        <w:t>)</w:t>
      </w:r>
      <w:r w:rsidRPr="00165210">
        <w:rPr>
          <w:bCs/>
        </w:rPr>
        <w:t>. As dietary uptake is potentially more significant than uptake through gill membranes, emphasis shifted to measurement of bioaccumulation factors</w:t>
      </w:r>
      <w:r w:rsidR="00836CFC">
        <w:rPr>
          <w:bCs/>
        </w:rPr>
        <w:t xml:space="preserve"> (BAFs)</w:t>
      </w:r>
      <w:r w:rsidRPr="00165210">
        <w:rPr>
          <w:bCs/>
        </w:rPr>
        <w:t>, which estimate the net uptake and retention of a chemical through all routes of exposure, uptake, and elimination</w:t>
      </w:r>
      <w:r w:rsidR="00836CFC">
        <w:rPr>
          <w:bCs/>
        </w:rPr>
        <w:t xml:space="preserve"> (</w:t>
      </w:r>
      <w:r w:rsidR="00836CFC">
        <w:t>USEPA 2008</w:t>
      </w:r>
      <w:r w:rsidR="00836CFC">
        <w:rPr>
          <w:bCs/>
        </w:rPr>
        <w:t>)</w:t>
      </w:r>
      <w:r w:rsidRPr="00165210">
        <w:rPr>
          <w:bCs/>
        </w:rPr>
        <w:t>. Fletcher and McKay</w:t>
      </w:r>
      <w:r w:rsidR="00836CFC">
        <w:rPr>
          <w:bCs/>
        </w:rPr>
        <w:t xml:space="preserve"> (1993)</w:t>
      </w:r>
      <w:r w:rsidRPr="00165210">
        <w:rPr>
          <w:bCs/>
        </w:rPr>
        <w:t xml:space="preserve"> reported a BAF </w:t>
      </w:r>
      <w:r w:rsidR="00836CFC">
        <w:rPr>
          <w:bCs/>
        </w:rPr>
        <w:t xml:space="preserve">of 0.47 </w:t>
      </w:r>
      <w:r w:rsidRPr="00165210">
        <w:rPr>
          <w:bCs/>
        </w:rPr>
        <w:t>for TCDD. USEPA</w:t>
      </w:r>
      <w:r w:rsidR="00836CFC">
        <w:rPr>
          <w:bCs/>
        </w:rPr>
        <w:t xml:space="preserve"> (1984)</w:t>
      </w:r>
      <w:r w:rsidRPr="00165210">
        <w:rPr>
          <w:bCs/>
        </w:rPr>
        <w:t xml:space="preserve"> did not derive a guideline </w:t>
      </w:r>
      <w:r w:rsidR="000749E7">
        <w:rPr>
          <w:bCs/>
        </w:rPr>
        <w:t>value</w:t>
      </w:r>
      <w:r w:rsidR="000749E7" w:rsidRPr="00165210">
        <w:rPr>
          <w:bCs/>
        </w:rPr>
        <w:t xml:space="preserve"> </w:t>
      </w:r>
      <w:r w:rsidRPr="00165210">
        <w:rPr>
          <w:bCs/>
        </w:rPr>
        <w:t>but considered that w</w:t>
      </w:r>
      <w:r w:rsidRPr="00165210">
        <w:rPr>
          <w:bCs/>
        </w:rPr>
        <w:t>ater concentrations &gt;0.01</w:t>
      </w:r>
      <w:r w:rsidR="00836CFC">
        <w:rPr>
          <w:bCs/>
        </w:rPr>
        <w:t> </w:t>
      </w:r>
      <w:r w:rsidRPr="00165210">
        <w:rPr>
          <w:bCs/>
        </w:rPr>
        <w:t xml:space="preserve">ng/L TCDD could lead to excessive levels of dioxin in fish and shellfish for human consumption, assuming a BCF </w:t>
      </w:r>
      <w:r w:rsidR="00836CFC">
        <w:rPr>
          <w:bCs/>
        </w:rPr>
        <w:t xml:space="preserve">of </w:t>
      </w:r>
      <w:r w:rsidRPr="00165210">
        <w:rPr>
          <w:bCs/>
        </w:rPr>
        <w:t>&gt;5</w:t>
      </w:r>
      <w:r w:rsidR="00836CFC">
        <w:rPr>
          <w:bCs/>
        </w:rPr>
        <w:t> </w:t>
      </w:r>
      <w:r w:rsidRPr="00165210">
        <w:rPr>
          <w:bCs/>
        </w:rPr>
        <w:t>000. Biota</w:t>
      </w:r>
      <w:r w:rsidR="00836CFC">
        <w:rPr>
          <w:bCs/>
        </w:rPr>
        <w:t>-</w:t>
      </w:r>
      <w:r w:rsidRPr="00165210">
        <w:rPr>
          <w:bCs/>
        </w:rPr>
        <w:t xml:space="preserve">sediment accumulation factors </w:t>
      </w:r>
      <w:r w:rsidR="00ED6A09">
        <w:rPr>
          <w:bCs/>
        </w:rPr>
        <w:t>(</w:t>
      </w:r>
      <w:r w:rsidRPr="00165210">
        <w:rPr>
          <w:bCs/>
        </w:rPr>
        <w:t>BSAFs</w:t>
      </w:r>
      <w:r w:rsidR="00ED6A09">
        <w:rPr>
          <w:bCs/>
        </w:rPr>
        <w:t>)</w:t>
      </w:r>
      <w:r w:rsidR="00ED6A09" w:rsidRPr="00165210">
        <w:rPr>
          <w:bCs/>
        </w:rPr>
        <w:t xml:space="preserve"> </w:t>
      </w:r>
      <w:r w:rsidRPr="00165210">
        <w:rPr>
          <w:bCs/>
        </w:rPr>
        <w:t>for TCDD were generally below 3</w:t>
      </w:r>
      <w:r w:rsidR="00836CFC">
        <w:rPr>
          <w:bCs/>
        </w:rPr>
        <w:t xml:space="preserve"> (Niimi 1996)</w:t>
      </w:r>
      <w:r w:rsidRPr="00165210">
        <w:rPr>
          <w:bCs/>
        </w:rPr>
        <w:t xml:space="preserve">. BAFs and </w:t>
      </w:r>
      <w:r w:rsidRPr="00165210">
        <w:rPr>
          <w:bCs/>
        </w:rPr>
        <w:t>BSAFs are obtained from direct measurements in the environment or modelling uptake and elimination rates of each chemical as a result of all routes of exposure</w:t>
      </w:r>
      <w:r w:rsidR="00836CFC">
        <w:rPr>
          <w:bCs/>
        </w:rPr>
        <w:t xml:space="preserve"> (</w:t>
      </w:r>
      <w:r w:rsidR="00836CFC">
        <w:t>USEPA 2008</w:t>
      </w:r>
      <w:r w:rsidR="00836CFC">
        <w:rPr>
          <w:bCs/>
        </w:rPr>
        <w:t>)</w:t>
      </w:r>
      <w:r w:rsidRPr="00165210">
        <w:rPr>
          <w:bCs/>
        </w:rPr>
        <w:t>.</w:t>
      </w:r>
    </w:p>
    <w:p w14:paraId="5B8549B5" w14:textId="77777777" w:rsidR="00524E5A" w:rsidRDefault="00576A22" w:rsidP="00524E5A">
      <w:pPr>
        <w:rPr>
          <w:bCs/>
          <w:highlight w:val="yellow"/>
        </w:rPr>
      </w:pPr>
      <w:r w:rsidRPr="00F27C85">
        <w:rPr>
          <w:bCs/>
        </w:rPr>
        <w:t xml:space="preserve">This </w:t>
      </w:r>
      <w:r>
        <w:rPr>
          <w:bCs/>
        </w:rPr>
        <w:t>technical brief</w:t>
      </w:r>
      <w:r w:rsidRPr="00F27C85">
        <w:rPr>
          <w:bCs/>
        </w:rPr>
        <w:t xml:space="preserve"> provides </w:t>
      </w:r>
      <w:r>
        <w:rPr>
          <w:bCs/>
        </w:rPr>
        <w:t>new</w:t>
      </w:r>
      <w:r w:rsidRPr="00F27C85">
        <w:rPr>
          <w:bCs/>
        </w:rPr>
        <w:t xml:space="preserve"> </w:t>
      </w:r>
      <w:r>
        <w:rPr>
          <w:bCs/>
        </w:rPr>
        <w:t>D</w:t>
      </w:r>
      <w:r w:rsidRPr="00F27C85">
        <w:rPr>
          <w:bCs/>
        </w:rPr>
        <w:t xml:space="preserve">GVs for </w:t>
      </w:r>
      <w:r>
        <w:rPr>
          <w:bCs/>
        </w:rPr>
        <w:t>dioxins in fresh</w:t>
      </w:r>
      <w:r w:rsidRPr="00F27C85">
        <w:rPr>
          <w:bCs/>
        </w:rPr>
        <w:t>water</w:t>
      </w:r>
      <w:r>
        <w:rPr>
          <w:bCs/>
        </w:rPr>
        <w:t xml:space="preserve"> that</w:t>
      </w:r>
      <w:r w:rsidRPr="00F27C85">
        <w:rPr>
          <w:bCs/>
        </w:rPr>
        <w:t xml:space="preserve"> supersede th</w:t>
      </w:r>
      <w:r w:rsidRPr="00F27C85">
        <w:rPr>
          <w:bCs/>
        </w:rPr>
        <w:t xml:space="preserve">e </w:t>
      </w:r>
      <w:r>
        <w:rPr>
          <w:bCs/>
        </w:rPr>
        <w:t xml:space="preserve">information on dioxins in </w:t>
      </w:r>
      <w:r w:rsidRPr="00F27C85">
        <w:rPr>
          <w:bCs/>
        </w:rPr>
        <w:t>ANZECC/ARMCANZ (2000)</w:t>
      </w:r>
      <w:r>
        <w:rPr>
          <w:bCs/>
        </w:rPr>
        <w:t xml:space="preserve"> DGVs.</w:t>
      </w:r>
    </w:p>
    <w:p w14:paraId="5B8549B6" w14:textId="77777777" w:rsidR="00524E5A" w:rsidRDefault="00524E5A" w:rsidP="00BF0280">
      <w:pPr>
        <w:rPr>
          <w:bCs/>
          <w:highlight w:val="yellow"/>
        </w:rPr>
      </w:pPr>
    </w:p>
    <w:p w14:paraId="5B8549B7" w14:textId="77777777" w:rsidR="00BF0280" w:rsidRPr="00D77528" w:rsidRDefault="00576A22" w:rsidP="00D77528">
      <w:pPr>
        <w:pStyle w:val="Heading2"/>
      </w:pPr>
      <w:bookmarkStart w:id="16" w:name="_Toc132885693"/>
      <w:r w:rsidRPr="00D77528">
        <w:t>Aquatic toxicology</w:t>
      </w:r>
      <w:bookmarkEnd w:id="16"/>
    </w:p>
    <w:p w14:paraId="5B8549B8" w14:textId="77777777" w:rsidR="00165210" w:rsidRPr="009D1D57" w:rsidRDefault="00576A22" w:rsidP="009D1D57">
      <w:pPr>
        <w:pStyle w:val="Heading3"/>
      </w:pPr>
      <w:bookmarkStart w:id="17" w:name="_Ref37255254"/>
      <w:bookmarkStart w:id="18" w:name="_Toc132885694"/>
      <w:r w:rsidRPr="009D1D57">
        <w:t>Overview of dioxin toxicity</w:t>
      </w:r>
      <w:bookmarkEnd w:id="17"/>
      <w:bookmarkEnd w:id="18"/>
    </w:p>
    <w:p w14:paraId="5B8549B9" w14:textId="77777777" w:rsidR="00935528" w:rsidRDefault="00576A22" w:rsidP="00935528">
      <w:r>
        <w:t>There have been a number of reviews on TCDD</w:t>
      </w:r>
      <w:r w:rsidR="006C5125">
        <w:t xml:space="preserve"> that have</w:t>
      </w:r>
      <w:r>
        <w:t xml:space="preserve"> provided useful background information on transport, fate and effects in the environment</w:t>
      </w:r>
      <w:r w:rsidR="00417100">
        <w:t xml:space="preserve"> (</w:t>
      </w:r>
      <w:r w:rsidR="000E6B2F">
        <w:t xml:space="preserve">USEPA 1984, 1993, Fletcher &amp; McKay 1993, Grimwood &amp; Dobbs 1995, </w:t>
      </w:r>
      <w:r w:rsidR="000E6B2F" w:rsidRPr="00417100">
        <w:t>Niimi 1996</w:t>
      </w:r>
      <w:r w:rsidR="000E6B2F">
        <w:t xml:space="preserve">, Rice et al. 2003, </w:t>
      </w:r>
      <w:r w:rsidR="00417100">
        <w:t xml:space="preserve">Gatehouse 2004, </w:t>
      </w:r>
      <w:r w:rsidR="000E6B2F">
        <w:t>Müller et al. 2004</w:t>
      </w:r>
      <w:r w:rsidR="00417100">
        <w:t xml:space="preserve">, </w:t>
      </w:r>
      <w:r w:rsidR="000E6B2F">
        <w:t xml:space="preserve">USEPA 2008, </w:t>
      </w:r>
      <w:r w:rsidR="00417100">
        <w:t>Wenning et al. 2011)</w:t>
      </w:r>
      <w:r>
        <w:t>. USEPA</w:t>
      </w:r>
      <w:r w:rsidR="000E6B2F">
        <w:t xml:space="preserve"> (2008)</w:t>
      </w:r>
      <w:r>
        <w:t xml:space="preserve"> provided a summary (their Table 3) of the effects of dioxin-like chemicals on fish, mam</w:t>
      </w:r>
      <w:r>
        <w:t>mals and birds. Of the 117 supporti</w:t>
      </w:r>
      <w:r w:rsidR="00E014D0">
        <w:t>ng references to this table, 22 </w:t>
      </w:r>
      <w:r>
        <w:t>provided information on effects in fish</w:t>
      </w:r>
      <w:r w:rsidR="000E6B2F">
        <w:t>,</w:t>
      </w:r>
      <w:r>
        <w:t xml:space="preserve"> and a further </w:t>
      </w:r>
      <w:r w:rsidR="000E6B2F">
        <w:t>three</w:t>
      </w:r>
      <w:r>
        <w:t xml:space="preserve"> references </w:t>
      </w:r>
      <w:r w:rsidR="000E6B2F">
        <w:t xml:space="preserve">provided information </w:t>
      </w:r>
      <w:r>
        <w:t>on aquatic mammals</w:t>
      </w:r>
      <w:r w:rsidR="000E6B2F">
        <w:t>.</w:t>
      </w:r>
      <w:r>
        <w:t xml:space="preserve"> </w:t>
      </w:r>
    </w:p>
    <w:p w14:paraId="5B8549BA" w14:textId="77777777" w:rsidR="00935528" w:rsidRDefault="00576A22" w:rsidP="00935528">
      <w:r>
        <w:t>The most</w:t>
      </w:r>
      <w:r w:rsidR="00F178C1">
        <w:t>-</w:t>
      </w:r>
      <w:r>
        <w:t xml:space="preserve">studied chemical in the group of PCDDs, PCDFs and co-planar </w:t>
      </w:r>
      <w:r w:rsidR="00447754">
        <w:t>dl-</w:t>
      </w:r>
      <w:r>
        <w:t>PCB</w:t>
      </w:r>
      <w:r>
        <w:t>s is TCDD; hence</w:t>
      </w:r>
      <w:r w:rsidR="006C5125">
        <w:t>,</w:t>
      </w:r>
      <w:r>
        <w:t xml:space="preserve"> most of the aquatic toxicity data are </w:t>
      </w:r>
      <w:r w:rsidR="006C5125">
        <w:t xml:space="preserve">for </w:t>
      </w:r>
      <w:r>
        <w:t>this compound. Demonstrated toxic effects of TCDD in fish, birds and mammals include adverse effects on reproduction, development, and endocrine functions, wasting syndrome, deformities, immunotox</w:t>
      </w:r>
      <w:r>
        <w:t>icity, hepatotoxicity, carcinogenicity and mortality at very low concentrations</w:t>
      </w:r>
      <w:r w:rsidR="000E6B2F">
        <w:t xml:space="preserve"> (</w:t>
      </w:r>
      <w:r w:rsidR="000E6B2F" w:rsidRPr="000E6B2F">
        <w:t>USEPA 2008</w:t>
      </w:r>
      <w:r w:rsidR="000E6B2F">
        <w:t>)</w:t>
      </w:r>
      <w:r>
        <w:t xml:space="preserve">. Several PCDDs, PCDFs, and </w:t>
      </w:r>
      <w:r w:rsidR="000E6B2F">
        <w:t>dl-</w:t>
      </w:r>
      <w:r>
        <w:t xml:space="preserve">PCBs have been shown to cause toxic responses similar to TCDD, in both laboratory and field situations. They exert such </w:t>
      </w:r>
      <w:r>
        <w:t>effects through binding to the aryl hydrocarbon receptor (</w:t>
      </w:r>
      <w:r w:rsidR="007E18E7">
        <w:t>AhR</w:t>
      </w:r>
      <w:r>
        <w:t xml:space="preserve">), and </w:t>
      </w:r>
      <w:r w:rsidR="000E6B2F">
        <w:t xml:space="preserve">they </w:t>
      </w:r>
      <w:r>
        <w:t>cause a wide spectrum of adverse toxic effects in many vertebrate species</w:t>
      </w:r>
      <w:r w:rsidR="0006310D">
        <w:t xml:space="preserve"> (Van den Berg et al. 1998, 2006, Mandal 2005)</w:t>
      </w:r>
      <w:r>
        <w:t>.</w:t>
      </w:r>
      <w:r w:rsidR="00287AAC">
        <w:t xml:space="preserve"> </w:t>
      </w:r>
      <w:r w:rsidR="00287AAC" w:rsidRPr="00287AAC">
        <w:rPr>
          <w:bCs/>
          <w:lang w:val="en-GB"/>
        </w:rPr>
        <w:t>Although AhR homologs exist in invertebrates, they do not bind with dioxins and dioxin-like compounds</w:t>
      </w:r>
      <w:r w:rsidR="005E7764">
        <w:rPr>
          <w:bCs/>
          <w:lang w:val="en-GB"/>
        </w:rPr>
        <w:t>;</w:t>
      </w:r>
      <w:r w:rsidR="00287AAC">
        <w:rPr>
          <w:bCs/>
          <w:lang w:val="en-GB"/>
        </w:rPr>
        <w:t xml:space="preserve"> as such, invertebrates are typically less sensitive to dioxin and dioxin-like compounds than vertebrates</w:t>
      </w:r>
      <w:r w:rsidR="00287AAC" w:rsidRPr="00287AAC">
        <w:rPr>
          <w:bCs/>
          <w:lang w:val="en-GB"/>
        </w:rPr>
        <w:t xml:space="preserve"> (Hahn 2002, Hahn et al. 2017)</w:t>
      </w:r>
    </w:p>
    <w:p w14:paraId="5B8549BB" w14:textId="77777777" w:rsidR="00935528" w:rsidRDefault="00576A22" w:rsidP="00935528">
      <w:r>
        <w:t>Fish are generally the most sensitive of purely aquatic species to TCDD; salmoni</w:t>
      </w:r>
      <w:r>
        <w:t xml:space="preserve">ds </w:t>
      </w:r>
      <w:r w:rsidR="002A22F1">
        <w:t xml:space="preserve">are </w:t>
      </w:r>
      <w:r>
        <w:t>the most sensitive</w:t>
      </w:r>
      <w:r w:rsidR="002A22F1">
        <w:t>,</w:t>
      </w:r>
      <w:r>
        <w:t xml:space="preserve"> and zebrafish</w:t>
      </w:r>
      <w:r w:rsidR="002A22F1">
        <w:t xml:space="preserve"> are</w:t>
      </w:r>
      <w:r>
        <w:t xml:space="preserve"> generally the least sensitive </w:t>
      </w:r>
      <w:r w:rsidR="00D43838">
        <w:t xml:space="preserve">fish </w:t>
      </w:r>
      <w:r>
        <w:t>species</w:t>
      </w:r>
      <w:r w:rsidR="002A22F1">
        <w:t xml:space="preserve"> (</w:t>
      </w:r>
      <w:r w:rsidR="001C5AE5">
        <w:t>Walker &amp; Peterson 1994, Henry et al. 1997, Elonen et al. 1998, Tanguay et al. 2003)</w:t>
      </w:r>
      <w:r>
        <w:t>. Acute effects for freshwater fish species exposed to TCDD in water occur at concen</w:t>
      </w:r>
      <w:r>
        <w:t>trations greater than 1.0</w:t>
      </w:r>
      <w:r w:rsidR="008B76D4">
        <w:t> </w:t>
      </w:r>
      <w:r>
        <w:t>μg/L</w:t>
      </w:r>
      <w:r w:rsidR="008B76D4">
        <w:t>,</w:t>
      </w:r>
      <w:r>
        <w:t xml:space="preserve"> but concentrations that cause delayed or chronic toxicity to early life stages of fish </w:t>
      </w:r>
      <w:r w:rsidR="006C5125">
        <w:t xml:space="preserve">following acute exposures </w:t>
      </w:r>
      <w:r>
        <w:t>are often less than 10</w:t>
      </w:r>
      <w:r w:rsidR="008B76D4">
        <w:t> </w:t>
      </w:r>
      <w:r>
        <w:t>ng/L</w:t>
      </w:r>
      <w:r w:rsidR="008B76D4">
        <w:t xml:space="preserve"> (USEPA 1984)</w:t>
      </w:r>
      <w:r>
        <w:t>. The more sensitive fish show TCDD effects on mortality, growth and be</w:t>
      </w:r>
      <w:r>
        <w:t>haviour at between 0.038</w:t>
      </w:r>
      <w:r w:rsidR="008B76D4">
        <w:t> ng/L</w:t>
      </w:r>
      <w:r>
        <w:t xml:space="preserve"> and 40</w:t>
      </w:r>
      <w:r w:rsidR="008B76D4">
        <w:t> </w:t>
      </w:r>
      <w:r>
        <w:t>ng/L</w:t>
      </w:r>
      <w:r w:rsidR="008B76D4">
        <w:t xml:space="preserve"> (Grimwood &amp; Dobbs 1995)</w:t>
      </w:r>
      <w:r>
        <w:t xml:space="preserve">, the lowest </w:t>
      </w:r>
      <w:r w:rsidR="00D11183">
        <w:t>values</w:t>
      </w:r>
      <w:r>
        <w:t xml:space="preserve"> being for rainbow trout (</w:t>
      </w:r>
      <w:r w:rsidR="00811C3B" w:rsidRPr="00935528">
        <w:rPr>
          <w:rStyle w:val="Emphasis"/>
        </w:rPr>
        <w:t>O</w:t>
      </w:r>
      <w:r w:rsidR="00811C3B">
        <w:rPr>
          <w:rStyle w:val="Emphasis"/>
        </w:rPr>
        <w:t>.</w:t>
      </w:r>
      <w:r w:rsidR="00811C3B" w:rsidRPr="00935528">
        <w:rPr>
          <w:rStyle w:val="Emphasis"/>
        </w:rPr>
        <w:t xml:space="preserve"> </w:t>
      </w:r>
      <w:r w:rsidRPr="00935528">
        <w:rPr>
          <w:rStyle w:val="Emphasis"/>
        </w:rPr>
        <w:t>mykiss</w:t>
      </w:r>
      <w:r>
        <w:t>) larvae</w:t>
      </w:r>
      <w:r w:rsidR="008B76D4">
        <w:t xml:space="preserve"> (Mehrle et al. 1988)</w:t>
      </w:r>
      <w:r>
        <w:t>. The most toxic furan was TCDF</w:t>
      </w:r>
      <w:r w:rsidR="008B76D4">
        <w:t>,</w:t>
      </w:r>
      <w:r>
        <w:t xml:space="preserve"> with effects on </w:t>
      </w:r>
      <w:r w:rsidRPr="00935528">
        <w:rPr>
          <w:rStyle w:val="Emphasis"/>
        </w:rPr>
        <w:t>O. mykiss</w:t>
      </w:r>
      <w:r>
        <w:t xml:space="preserve"> larvae at 1.79</w:t>
      </w:r>
      <w:r w:rsidR="008B76D4">
        <w:t> </w:t>
      </w:r>
      <w:r>
        <w:t>ng/L</w:t>
      </w:r>
      <w:r w:rsidR="008B76D4">
        <w:t xml:space="preserve"> (Mehrle et al. 1988)</w:t>
      </w:r>
      <w:r>
        <w:t>. Frogs a</w:t>
      </w:r>
      <w:r>
        <w:t>nd toads are considerably less sensitive to TCDD than fish</w:t>
      </w:r>
      <w:r w:rsidR="008B76D4">
        <w:t xml:space="preserve"> (Jung &amp; Walker 1997, USEPA 2008)</w:t>
      </w:r>
      <w:r w:rsidR="006C5125">
        <w:t>, while p</w:t>
      </w:r>
      <w:r>
        <w:t>lants and invertebrates have very low sensitivity to TCDD</w:t>
      </w:r>
      <w:r w:rsidR="008B76D4">
        <w:t xml:space="preserve"> (USEPA 1993, West et al. 1997, Barber et al. 1998, USEPA 2008)</w:t>
      </w:r>
      <w:r>
        <w:t xml:space="preserve">. </w:t>
      </w:r>
    </w:p>
    <w:p w14:paraId="5B8549BC" w14:textId="77777777" w:rsidR="00935528" w:rsidRDefault="00576A22" w:rsidP="00935528">
      <w:r>
        <w:t>Most of the aquatic toxicity data using waterborne exposure pre-dates the mid</w:t>
      </w:r>
      <w:r w:rsidR="00F178C1">
        <w:t>-</w:t>
      </w:r>
      <w:r>
        <w:t>1990s. Since then</w:t>
      </w:r>
      <w:r w:rsidR="001D4250">
        <w:t>,</w:t>
      </w:r>
      <w:r>
        <w:t xml:space="preserve"> the emphasis has shifted to exposure by intraperitoneal injection of eggs</w:t>
      </w:r>
      <w:r w:rsidR="001D4250">
        <w:t xml:space="preserve"> (Wannemacher et al. 1992)</w:t>
      </w:r>
      <w:r>
        <w:t>, dietary exposure</w:t>
      </w:r>
      <w:r w:rsidR="001D4250">
        <w:t xml:space="preserve"> (West et al. 1997, Tietge et al. 1998, Giesy et al. 2002)</w:t>
      </w:r>
      <w:r>
        <w:t xml:space="preserve"> or maternal transfer</w:t>
      </w:r>
      <w:r w:rsidR="001D4250">
        <w:t xml:space="preserve"> (Johnson et al. 1998, Nichols et al. 1998, Tietge et al. 1998, Heiden et al. 2005, Arnoldsson et al. 2012)</w:t>
      </w:r>
      <w:r>
        <w:t xml:space="preserve">, usually reporting data as concentrations in </w:t>
      </w:r>
      <w:r>
        <w:t>eggs regardless of the exposure route</w:t>
      </w:r>
      <w:r w:rsidR="00970C2F">
        <w:t xml:space="preserve"> (Toomey et al. 2001, Teraoka et al. 2002, 2009)</w:t>
      </w:r>
      <w:r>
        <w:t>. Between 39</w:t>
      </w:r>
      <w:r w:rsidR="00970C2F">
        <w:t>%</w:t>
      </w:r>
      <w:r>
        <w:t xml:space="preserve"> and 50% of the TCDD body burden in the female adult fish is maternally transferred to eggs</w:t>
      </w:r>
      <w:r w:rsidR="00970C2F">
        <w:t xml:space="preserve"> (Wannemacher et al. 1992)</w:t>
      </w:r>
      <w:r>
        <w:t xml:space="preserve">. </w:t>
      </w:r>
    </w:p>
    <w:p w14:paraId="5B8549BD" w14:textId="77777777" w:rsidR="00165210" w:rsidRDefault="00576A22" w:rsidP="00935528">
      <w:pPr>
        <w:rPr>
          <w:highlight w:val="yellow"/>
        </w:rPr>
      </w:pPr>
      <w:r>
        <w:t>USEPA</w:t>
      </w:r>
      <w:r w:rsidR="00970C2F">
        <w:t xml:space="preserve"> (2008)</w:t>
      </w:r>
      <w:r>
        <w:t xml:space="preserve"> suggested that the relati</w:t>
      </w:r>
      <w:r>
        <w:t xml:space="preserve">ve sensitivity of species is better measured on the basis of concentrations of PCDDs, PCDFs, and </w:t>
      </w:r>
      <w:r w:rsidR="00970C2F">
        <w:t>dl-</w:t>
      </w:r>
      <w:r>
        <w:t>PCBs in tissues of the species than on a water concentration or administered dose. Jarvinen and Ankley</w:t>
      </w:r>
      <w:r w:rsidR="00970C2F">
        <w:t xml:space="preserve"> (1999)</w:t>
      </w:r>
      <w:r>
        <w:t xml:space="preserve"> listed data on tissue residues and associated </w:t>
      </w:r>
      <w:r>
        <w:t xml:space="preserve">effects </w:t>
      </w:r>
      <w:r w:rsidR="00970C2F">
        <w:t xml:space="preserve">of </w:t>
      </w:r>
      <w:r>
        <w:t xml:space="preserve">TCDD for 12 freshwater species and </w:t>
      </w:r>
      <w:r w:rsidR="00970C2F">
        <w:t>one</w:t>
      </w:r>
      <w:r>
        <w:t xml:space="preserve"> marine species. Much of the more recent literature on TCDD toxicity report</w:t>
      </w:r>
      <w:r w:rsidR="00970C2F">
        <w:t>s</w:t>
      </w:r>
      <w:r>
        <w:t xml:space="preserve"> toxic effects of lethal doses in eggs (pg/g wet weight) or in sublethal biomarker effects or gene expression</w:t>
      </w:r>
      <w:r w:rsidR="00970C2F">
        <w:t xml:space="preserve"> (Prasch et al. 2003, Bello et al. 2004, Carney et al. 2006, Jönsson et al. 2007)</w:t>
      </w:r>
      <w:r>
        <w:t xml:space="preserve">. In a few cases, it was possible to interpolate back to water concentrations suitable for </w:t>
      </w:r>
      <w:r w:rsidR="006C5125">
        <w:t xml:space="preserve">the current </w:t>
      </w:r>
      <w:r>
        <w:t>DGV derivation</w:t>
      </w:r>
      <w:r w:rsidR="00970C2F">
        <w:t>,</w:t>
      </w:r>
      <w:r>
        <w:t xml:space="preserve"> but in most cases such </w:t>
      </w:r>
      <w:r w:rsidR="006C5125">
        <w:t xml:space="preserve">studies </w:t>
      </w:r>
      <w:r>
        <w:t>could not be used</w:t>
      </w:r>
      <w:r w:rsidR="006C5125">
        <w:t xml:space="preserve"> for the derivation</w:t>
      </w:r>
      <w:r>
        <w:t xml:space="preserve">. Based on </w:t>
      </w:r>
      <w:r>
        <w:t>concentrations in eggs, Walker et al.</w:t>
      </w:r>
      <w:r w:rsidR="00970C2F">
        <w:t xml:space="preserve"> (1991, 1992)</w:t>
      </w:r>
      <w:r>
        <w:t xml:space="preserve"> found toxicity of TCDD to be only slightly higher for exposure by injection than for waterborne exposure.</w:t>
      </w:r>
    </w:p>
    <w:p w14:paraId="5B8549BE" w14:textId="77777777" w:rsidR="00165210" w:rsidRPr="00935528" w:rsidRDefault="00576A22" w:rsidP="00935528">
      <w:pPr>
        <w:pStyle w:val="Heading3"/>
      </w:pPr>
      <w:bookmarkStart w:id="19" w:name="_Ref37255191"/>
      <w:bookmarkStart w:id="20" w:name="_Toc132885695"/>
      <w:r w:rsidRPr="00935528">
        <w:t>Characteristics of dioxin toxicity</w:t>
      </w:r>
      <w:bookmarkEnd w:id="19"/>
      <w:bookmarkEnd w:id="20"/>
    </w:p>
    <w:p w14:paraId="5B8549BF" w14:textId="77777777" w:rsidR="003117D0" w:rsidRDefault="00576A22" w:rsidP="003117D0">
      <w:r>
        <w:t>Vertebrate embryos are particularly sensitive to TCDD</w:t>
      </w:r>
      <w:r w:rsidR="003F650B">
        <w:t xml:space="preserve"> (Grimwood &amp; Dobbs 1995)</w:t>
      </w:r>
      <w:r>
        <w:t>. Dioxin</w:t>
      </w:r>
      <w:r w:rsidR="006C5125">
        <w:t>s</w:t>
      </w:r>
      <w:r>
        <w:t xml:space="preserve"> </w:t>
      </w:r>
      <w:r w:rsidR="0012725B">
        <w:t>cause</w:t>
      </w:r>
      <w:r>
        <w:t xml:space="preserve"> developmental toxicity, so exposure to fish embryos, even for very short periods (minutes) </w:t>
      </w:r>
      <w:r w:rsidR="003F650B">
        <w:t>(Elonen et al. 1998)</w:t>
      </w:r>
      <w:r>
        <w:t xml:space="preserve"> causes toxicity to sac</w:t>
      </w:r>
      <w:r w:rsidR="00940073">
        <w:t xml:space="preserve"> </w:t>
      </w:r>
      <w:r>
        <w:t xml:space="preserve">fry weeks </w:t>
      </w:r>
      <w:r w:rsidR="0012725B">
        <w:t xml:space="preserve">to </w:t>
      </w:r>
      <w:r>
        <w:t>months after transfer of the embryos to clean water. The toxic responses follow</w:t>
      </w:r>
      <w:r>
        <w:t>ing exposure to dioxins, furans and dl-PCBs are similar irrespective of the exposure duration or route, although early life stage fish are significantly more sensitive to the toxic effects of dioxins than adult or juvenile fish</w:t>
      </w:r>
      <w:r w:rsidR="003F650B">
        <w:t xml:space="preserve"> (Gatehouse 2004)</w:t>
      </w:r>
      <w:r>
        <w:t xml:space="preserve">. The toxic </w:t>
      </w:r>
      <w:r>
        <w:t>effects to early life stages include delayed mortality, decreased food consumption and body weight and histological lesions, yolk-sac oedema, head and spinal deformities, heart deformities, reduced blood flow, haemorrhages and apoptosis (cell death)</w:t>
      </w:r>
      <w:r w:rsidR="003F650B">
        <w:t xml:space="preserve"> (Helder &amp; Seinen 1985, Sijm &amp; Opperhuizen 1996, Dong et al. 2002, Teraoka et al. 2002, Antkiewicz et al. 2005)</w:t>
      </w:r>
      <w:r>
        <w:t>. Responses in older fish include lesions, fin necrosis, histopathological changes and death</w:t>
      </w:r>
      <w:r w:rsidR="002F6BF7">
        <w:t xml:space="preserve"> (USEPA 1993)</w:t>
      </w:r>
      <w:r>
        <w:t>. Increased expression of the enzyme cytochrome</w:t>
      </w:r>
      <w:r>
        <w:t xml:space="preserve"> P450A1 (CYP1A) and immune suppression appear to occur in fish at tissue concentrations that ultimately cause lethal effects</w:t>
      </w:r>
      <w:r w:rsidR="002F6BF7">
        <w:t xml:space="preserve"> (Teraoka et al. 2003)</w:t>
      </w:r>
      <w:r>
        <w:t>. TCDD induction of CYP1A is often used as a biomarker for exposure to dioxin-like compounds</w:t>
      </w:r>
      <w:r w:rsidR="002F6BF7">
        <w:t xml:space="preserve"> (USEPA 1993, Cantrell et al. 1998, Toomey et al. 2001)</w:t>
      </w:r>
      <w:r>
        <w:t xml:space="preserve">. Much of </w:t>
      </w:r>
      <w:r w:rsidR="00793B15">
        <w:t>the recent literature has focus</w:t>
      </w:r>
      <w:r>
        <w:t>ed on toxic mechanisms and linking these various effects</w:t>
      </w:r>
      <w:r w:rsidR="002F6BF7">
        <w:t xml:space="preserve"> (Teraoka et al. 2009, Parhizgari &amp; Li 2014)</w:t>
      </w:r>
      <w:r>
        <w:t xml:space="preserve">. </w:t>
      </w:r>
    </w:p>
    <w:p w14:paraId="5B8549C0" w14:textId="77777777" w:rsidR="003117D0" w:rsidRDefault="00576A22" w:rsidP="003117D0">
      <w:r>
        <w:t>Higher doses, as well as longer exposure times with lower doses</w:t>
      </w:r>
      <w:r w:rsidR="002F6BF7">
        <w:t>,</w:t>
      </w:r>
      <w:r>
        <w:t xml:space="preserve"> resulted in increased severity of effects, including mortality</w:t>
      </w:r>
      <w:r w:rsidR="002F6BF7">
        <w:t xml:space="preserve"> (Gatehouse 2004)</w:t>
      </w:r>
      <w:r>
        <w:t>. TCDD displayed steep dose</w:t>
      </w:r>
      <w:r w:rsidR="00E059C2">
        <w:t>–</w:t>
      </w:r>
      <w:r>
        <w:t>response curves, where there is only a small difference between the levels causing no effects and those causing lethal effects. Longer-term exposure</w:t>
      </w:r>
      <w:r>
        <w:t xml:space="preserve"> to TCDD resulted in higher mortalities at lower concentrations. For example, exposure of the swim</w:t>
      </w:r>
      <w:r w:rsidR="00E059C2">
        <w:t>-</w:t>
      </w:r>
      <w:r>
        <w:t>up fry of rainbow trout to 0.176</w:t>
      </w:r>
      <w:r w:rsidR="00BA15BD">
        <w:t> </w:t>
      </w:r>
      <w:r>
        <w:t>ng/L for 28</w:t>
      </w:r>
      <w:r w:rsidR="00BA15BD">
        <w:t> </w:t>
      </w:r>
      <w:r>
        <w:t>days resulted in 50% mortality (and 95% after a further 28-d depuration)</w:t>
      </w:r>
      <w:r w:rsidR="00BA15BD">
        <w:t xml:space="preserve"> (Mehrle et al, 1988)</w:t>
      </w:r>
      <w:r>
        <w:t>, compared to lower</w:t>
      </w:r>
      <w:r>
        <w:t xml:space="preserve"> mortality and reduced growth when sac fry were exposed to 1</w:t>
      </w:r>
      <w:r w:rsidR="00BA15BD">
        <w:t> </w:t>
      </w:r>
      <w:r>
        <w:t>ng/L for 96</w:t>
      </w:r>
      <w:r w:rsidR="001F4AE6">
        <w:t> </w:t>
      </w:r>
      <w:r>
        <w:t>h</w:t>
      </w:r>
      <w:r w:rsidR="00BA15BD">
        <w:t xml:space="preserve"> (USEPA 1993)</w:t>
      </w:r>
      <w:r>
        <w:t>.</w:t>
      </w:r>
    </w:p>
    <w:p w14:paraId="5B8549C1" w14:textId="77777777" w:rsidR="00165210" w:rsidRDefault="00576A22" w:rsidP="003117D0">
      <w:pPr>
        <w:rPr>
          <w:highlight w:val="yellow"/>
        </w:rPr>
      </w:pPr>
      <w:r>
        <w:t>The observed effects from exposure to TCDD (and other dioxins that bioaccumulate) occur as a function of body burden, rather than the concentration or dose administere</w:t>
      </w:r>
      <w:r>
        <w:t>d. Dioxins accumulate in tissue until a threshold concentration for a given effect is reached, which explains</w:t>
      </w:r>
      <w:r w:rsidR="005A6F91">
        <w:t>,</w:t>
      </w:r>
      <w:r>
        <w:t xml:space="preserve"> in part</w:t>
      </w:r>
      <w:r w:rsidR="005A6F91">
        <w:t>,</w:t>
      </w:r>
      <w:r>
        <w:t xml:space="preserve"> the delayed effects. The increased severity of effects at higher doses or longer exposure periods occurs because residues in organisms r</w:t>
      </w:r>
      <w:r>
        <w:t>each a threshold level more rapidly with increasing exposure concentration and time</w:t>
      </w:r>
      <w:r w:rsidR="005A6F91">
        <w:t xml:space="preserve"> (USEPA 1993)</w:t>
      </w:r>
      <w:r>
        <w:t xml:space="preserve">. </w:t>
      </w:r>
      <w:r w:rsidR="005A6F91">
        <w:t>M</w:t>
      </w:r>
      <w:r>
        <w:t>ortality to older fish would be expected when the fish accumulate between 1</w:t>
      </w:r>
      <w:r w:rsidR="005A6F91">
        <w:t> </w:t>
      </w:r>
      <w:r>
        <w:t>000</w:t>
      </w:r>
      <w:r w:rsidR="005A6F91">
        <w:t> pg/g</w:t>
      </w:r>
      <w:r>
        <w:t xml:space="preserve"> and 15</w:t>
      </w:r>
      <w:r w:rsidR="005A6F91">
        <w:t> </w:t>
      </w:r>
      <w:r>
        <w:t>000</w:t>
      </w:r>
      <w:r w:rsidR="005A6F91">
        <w:t> </w:t>
      </w:r>
      <w:r>
        <w:t>pg/g</w:t>
      </w:r>
      <w:r w:rsidR="005A6F91">
        <w:t xml:space="preserve"> (USEPA 1993)</w:t>
      </w:r>
      <w:r>
        <w:t>. Early life stage mortality from TCDD has b</w:t>
      </w:r>
      <w:r>
        <w:t>een found at residue levels between 65</w:t>
      </w:r>
      <w:r w:rsidR="005A6F91">
        <w:t> pg/g</w:t>
      </w:r>
      <w:r>
        <w:t xml:space="preserve"> and 400</w:t>
      </w:r>
      <w:r w:rsidR="005A6F91">
        <w:t> </w:t>
      </w:r>
      <w:r>
        <w:t>pg/g for eggs of two species of freshwater trout</w:t>
      </w:r>
      <w:r w:rsidR="005A6F91">
        <w:t xml:space="preserve"> (Sijm &amp; Opperhuizen 1996)</w:t>
      </w:r>
      <w:r>
        <w:t xml:space="preserve">. The lowest LOEC for inhibition of growth from eggs of </w:t>
      </w:r>
      <w:r w:rsidR="00811C3B" w:rsidRPr="003117D0">
        <w:rPr>
          <w:rStyle w:val="Emphasis"/>
        </w:rPr>
        <w:t>O</w:t>
      </w:r>
      <w:r w:rsidR="00811C3B">
        <w:rPr>
          <w:rStyle w:val="Emphasis"/>
        </w:rPr>
        <w:t>.</w:t>
      </w:r>
      <w:r w:rsidR="00811C3B" w:rsidRPr="003117D0">
        <w:rPr>
          <w:rStyle w:val="Emphasis"/>
        </w:rPr>
        <w:t xml:space="preserve"> </w:t>
      </w:r>
      <w:r w:rsidRPr="003117D0">
        <w:rPr>
          <w:rStyle w:val="Emphasis"/>
        </w:rPr>
        <w:t>mykiss</w:t>
      </w:r>
      <w:r>
        <w:t xml:space="preserve"> was less than 0.1</w:t>
      </w:r>
      <w:r w:rsidR="005A6F91">
        <w:t> </w:t>
      </w:r>
      <w:r>
        <w:t>ng/L, corresponding to a body burden of 0.3</w:t>
      </w:r>
      <w:r w:rsidR="005A6F91">
        <w:t> </w:t>
      </w:r>
      <w:r>
        <w:t>pg</w:t>
      </w:r>
      <w:r>
        <w:t>/g of egg.</w:t>
      </w:r>
    </w:p>
    <w:p w14:paraId="5B8549C2" w14:textId="77777777" w:rsidR="00935528" w:rsidRPr="003117D0" w:rsidRDefault="00576A22" w:rsidP="003117D0">
      <w:pPr>
        <w:pStyle w:val="Heading3"/>
      </w:pPr>
      <w:bookmarkStart w:id="21" w:name="_Ref37255204"/>
      <w:bookmarkStart w:id="22" w:name="_Toc132885696"/>
      <w:r w:rsidRPr="003117D0">
        <w:t>Delayed toxicity</w:t>
      </w:r>
      <w:bookmarkEnd w:id="21"/>
      <w:bookmarkEnd w:id="22"/>
    </w:p>
    <w:p w14:paraId="5B8549C3" w14:textId="77777777" w:rsidR="00FA5297" w:rsidRDefault="00576A22" w:rsidP="00FA5297">
      <w:r>
        <w:t xml:space="preserve">Fish exposed to TCDD can appear healthy during the exposure period, but may begin to show characteristic toxicity effects </w:t>
      </w:r>
      <w:r w:rsidR="0006310D">
        <w:t xml:space="preserve">after </w:t>
      </w:r>
      <w:r>
        <w:t>significant depuration periods in clean water, with delayed mortality occurring from weeks to severa</w:t>
      </w:r>
      <w:r>
        <w:t>l months after cessation of initial exposure</w:t>
      </w:r>
      <w:r w:rsidR="00544DAD">
        <w:t xml:space="preserve"> (Gatehouse 2004)</w:t>
      </w:r>
      <w:r>
        <w:t>. For example, in one study, rainbow trout fingerlings exposed to 107</w:t>
      </w:r>
      <w:r w:rsidR="00E260E0">
        <w:t> </w:t>
      </w:r>
      <w:r>
        <w:t>ng</w:t>
      </w:r>
      <w:r w:rsidR="00E260E0">
        <w:t> </w:t>
      </w:r>
      <w:r>
        <w:t xml:space="preserve">TCDD/L for </w:t>
      </w:r>
      <w:r w:rsidR="00BE7C10">
        <w:t>6 h</w:t>
      </w:r>
      <w:r>
        <w:t xml:space="preserve"> and then placed in clean water initially appeared healthy, but exhibited delayed mortality up to 139</w:t>
      </w:r>
      <w:r w:rsidR="00D46BE7">
        <w:t> </w:t>
      </w:r>
      <w:r>
        <w:t>days after exposure</w:t>
      </w:r>
      <w:r w:rsidR="00D46BE7">
        <w:t xml:space="preserve"> (Branson 1985)</w:t>
      </w:r>
      <w:r>
        <w:t>. Similar effects are seen when fertilised fish eggs are exposed to TCDD for short periods</w:t>
      </w:r>
      <w:r w:rsidR="00D46BE7">
        <w:t xml:space="preserve"> (USEPA 1993, Elonen et al. 1998)</w:t>
      </w:r>
      <w:r>
        <w:t>.</w:t>
      </w:r>
    </w:p>
    <w:p w14:paraId="5B8549C4" w14:textId="77777777" w:rsidR="00935528" w:rsidRDefault="00576A22" w:rsidP="00FA5297">
      <w:pPr>
        <w:rPr>
          <w:highlight w:val="yellow"/>
        </w:rPr>
      </w:pPr>
      <w:r>
        <w:t>The toxic effects often manifest in the developing fish soon after hatching. For example, Helder</w:t>
      </w:r>
      <w:r w:rsidR="0024074B">
        <w:t xml:space="preserve"> (1981)</w:t>
      </w:r>
      <w:r>
        <w:t xml:space="preserve"> exposed trout eggs to concentrations of 0.10</w:t>
      </w:r>
      <w:r w:rsidR="0024074B">
        <w:t> </w:t>
      </w:r>
      <w:r>
        <w:t>ng</w:t>
      </w:r>
      <w:r w:rsidR="0024074B">
        <w:t> </w:t>
      </w:r>
      <w:r>
        <w:t>TCDD/L for 96</w:t>
      </w:r>
      <w:r w:rsidR="00645EA6">
        <w:t> </w:t>
      </w:r>
      <w:r>
        <w:t>h but, after hatching, the fry displayed delayed development and reduced growth for u</w:t>
      </w:r>
      <w:r>
        <w:t>p to 160</w:t>
      </w:r>
      <w:r w:rsidR="0024074B">
        <w:t> </w:t>
      </w:r>
      <w:r>
        <w:t>days after exposure ceased. Many other species showed similar effects after short-term exposure</w:t>
      </w:r>
      <w:r w:rsidR="0024074B">
        <w:t xml:space="preserve"> (</w:t>
      </w:r>
      <w:r w:rsidR="001746AD">
        <w:t xml:space="preserve">Norris &amp; Miller 1974, Miller et al. 1979, Adams et al. 1986, </w:t>
      </w:r>
      <w:r w:rsidR="0024074B">
        <w:t xml:space="preserve">Walker &amp; Peterson 1994, </w:t>
      </w:r>
      <w:r w:rsidR="001746AD">
        <w:t xml:space="preserve">Spitzbergen et al. 1991, </w:t>
      </w:r>
      <w:r w:rsidR="0024074B">
        <w:t>Walker et al. 1991</w:t>
      </w:r>
      <w:r w:rsidR="001746AD">
        <w:t xml:space="preserve">, </w:t>
      </w:r>
      <w:r w:rsidR="0024074B">
        <w:t>Olivieri &amp; Cooper 1997</w:t>
      </w:r>
      <w:r w:rsidR="001746AD">
        <w:t>)</w:t>
      </w:r>
      <w:r>
        <w:t>. Even exposures less than 1</w:t>
      </w:r>
      <w:r w:rsidR="00D573D0">
        <w:t> </w:t>
      </w:r>
      <w:r>
        <w:t xml:space="preserve">h </w:t>
      </w:r>
      <w:r w:rsidR="000749E7">
        <w:t>cause</w:t>
      </w:r>
      <w:r w:rsidR="00986E88">
        <w:t>d</w:t>
      </w:r>
      <w:r>
        <w:t xml:space="preserve"> significant mortality and other effects in fish at 32</w:t>
      </w:r>
      <w:r w:rsidR="009678DD">
        <w:t> </w:t>
      </w:r>
      <w:r>
        <w:t>days after exposure</w:t>
      </w:r>
      <w:r w:rsidR="009678DD">
        <w:t xml:space="preserve"> (Elonen et al. 1998)</w:t>
      </w:r>
      <w:r>
        <w:t xml:space="preserve">. For the purposes of </w:t>
      </w:r>
      <w:r w:rsidR="0012725B">
        <w:t xml:space="preserve">the current DGV </w:t>
      </w:r>
      <w:r>
        <w:t xml:space="preserve">derivation, </w:t>
      </w:r>
      <w:r w:rsidR="0012725B">
        <w:t xml:space="preserve">the delayed effects associated with such </w:t>
      </w:r>
      <w:r>
        <w:t>short-term</w:t>
      </w:r>
      <w:r w:rsidR="00583EBC">
        <w:t xml:space="preserve"> exposures were considered </w:t>
      </w:r>
      <w:r w:rsidR="0012725B">
        <w:t xml:space="preserve">to represent </w:t>
      </w:r>
      <w:r w:rsidR="00583EBC">
        <w:t>‘</w:t>
      </w:r>
      <w:r>
        <w:t>acute</w:t>
      </w:r>
      <w:r w:rsidR="00583EBC">
        <w:t>’</w:t>
      </w:r>
      <w:r>
        <w:t xml:space="preserve"> toxicity</w:t>
      </w:r>
      <w:r w:rsidR="0012725B">
        <w:t xml:space="preserve"> because the exposures were acute</w:t>
      </w:r>
      <w:r>
        <w:t>.</w:t>
      </w:r>
    </w:p>
    <w:p w14:paraId="5B8549C5" w14:textId="77777777" w:rsidR="003117D0" w:rsidRPr="00E11B8C" w:rsidRDefault="00576A22" w:rsidP="00E11B8C">
      <w:pPr>
        <w:pStyle w:val="Heading3"/>
      </w:pPr>
      <w:bookmarkStart w:id="23" w:name="_Toc132885697"/>
      <w:r w:rsidRPr="00E11B8C">
        <w:t>Field</w:t>
      </w:r>
      <w:r w:rsidR="00B3668E">
        <w:t xml:space="preserve"> exposure and</w:t>
      </w:r>
      <w:r w:rsidRPr="00E11B8C">
        <w:t xml:space="preserve"> effects</w:t>
      </w:r>
      <w:bookmarkEnd w:id="23"/>
    </w:p>
    <w:p w14:paraId="5B8549C6" w14:textId="77777777" w:rsidR="00E11B8C" w:rsidRDefault="00576A22" w:rsidP="00E11B8C">
      <w:r>
        <w:t>The predominant route of dioxin exposure to pelagic fish in the wild is expected to be through the diet, with direct waterborne exposure through the gills lik</w:t>
      </w:r>
      <w:r>
        <w:t>ely to be a minor route of uptake owing to the insolubility of dioxins in water. Dietary exposure data indicate that the toxic responses from exposure to TCDD in food are similar to those observed for aquatic exposure.</w:t>
      </w:r>
    </w:p>
    <w:p w14:paraId="5B8549C7" w14:textId="77777777" w:rsidR="00E11B8C" w:rsidRDefault="00576A22" w:rsidP="00E11B8C">
      <w:r>
        <w:t>Residues of TCDD and related chemical</w:t>
      </w:r>
      <w:r>
        <w:t>s in fish have not been reported to approach lethal levels in adults, but USEPA</w:t>
      </w:r>
      <w:r w:rsidR="00124B75">
        <w:t xml:space="preserve"> (1993)</w:t>
      </w:r>
      <w:r>
        <w:t xml:space="preserve"> has suggested that population declines through adult mortality may have occurred through undocumented exposures in small localised waterways directly contaminated by nea</w:t>
      </w:r>
      <w:r>
        <w:t>rby sources of TCDD and/or mixtures of related chemicals. The strongest evidence for a link between TCDD contamination and declines in fish population comes from parts of the Great Lakes of North America</w:t>
      </w:r>
      <w:r w:rsidR="00124B75">
        <w:t xml:space="preserve"> (USEPA 1993, 2002, Cook et al. 2003)</w:t>
      </w:r>
      <w:r>
        <w:t>. Early life</w:t>
      </w:r>
      <w:r w:rsidR="00124B75">
        <w:t xml:space="preserve"> </w:t>
      </w:r>
      <w:r>
        <w:t>sta</w:t>
      </w:r>
      <w:r>
        <w:t>ge lethality, as described above, is more likely to cause fish population declines</w:t>
      </w:r>
      <w:r w:rsidR="00124B75">
        <w:t xml:space="preserve"> (Walker et al. 1991)</w:t>
      </w:r>
      <w:r>
        <w:t>.</w:t>
      </w:r>
    </w:p>
    <w:p w14:paraId="5B8549C8" w14:textId="77777777" w:rsidR="003117D0" w:rsidRDefault="00576A22" w:rsidP="00E11B8C">
      <w:pPr>
        <w:rPr>
          <w:highlight w:val="yellow"/>
        </w:rPr>
      </w:pPr>
      <w:r>
        <w:t>In an Australian field study, European carp (</w:t>
      </w:r>
      <w:r w:rsidRPr="00E11B8C">
        <w:rPr>
          <w:rStyle w:val="Emphasis"/>
        </w:rPr>
        <w:t>Cyprinus carpio</w:t>
      </w:r>
      <w:r>
        <w:t xml:space="preserve">) exposed to highly treated pulp mill effluent in Lake Coleman, Victoria, showed </w:t>
      </w:r>
      <w:r>
        <w:t>significantly elevated hepatic biomarker levels relative to fish in nearby unexposed water bodies, and this was correlated to low levels of PCDD</w:t>
      </w:r>
      <w:r w:rsidR="00124B75">
        <w:t>s</w:t>
      </w:r>
      <w:r>
        <w:t>/PCDFs measured in carp muscle, which decreased with increasing distance from effluent point sources</w:t>
      </w:r>
      <w:r w:rsidR="00124B75">
        <w:t xml:space="preserve"> (Ahokas et al. 1994)</w:t>
      </w:r>
      <w:r>
        <w:t xml:space="preserve">. Sezmis et al. </w:t>
      </w:r>
      <w:r w:rsidR="00124B75">
        <w:t>(2014)</w:t>
      </w:r>
      <w:r>
        <w:t xml:space="preserve"> and Roach et al. </w:t>
      </w:r>
      <w:r w:rsidR="00124B75">
        <w:t>(2007)</w:t>
      </w:r>
      <w:r>
        <w:t xml:space="preserve"> found that lipid content, range of species, diet and distance from the most contaminated area at Homebush Bay all affected the concentrations of PCDDs, PCDFs</w:t>
      </w:r>
      <w:r w:rsidR="00124B75">
        <w:t xml:space="preserve"> and</w:t>
      </w:r>
      <w:r>
        <w:t xml:space="preserve"> </w:t>
      </w:r>
      <w:r w:rsidR="00124B75">
        <w:t>dl-</w:t>
      </w:r>
      <w:r>
        <w:t>PCBs in fish in Sydney Harbour. Ga</w:t>
      </w:r>
      <w:r>
        <w:t>tehouse</w:t>
      </w:r>
      <w:r w:rsidR="00124B75">
        <w:t xml:space="preserve"> </w:t>
      </w:r>
      <w:r w:rsidR="0012725B">
        <w:t>(</w:t>
      </w:r>
      <w:r w:rsidR="00124B75">
        <w:t>2004)</w:t>
      </w:r>
      <w:r>
        <w:t xml:space="preserve"> estimated a </w:t>
      </w:r>
      <w:r w:rsidR="00124B75">
        <w:t>‘</w:t>
      </w:r>
      <w:r>
        <w:t>low risk to fish from exposure to ambient dioxin levels found in the Australian aquatic environment</w:t>
      </w:r>
      <w:r w:rsidR="00124B75">
        <w:t>’</w:t>
      </w:r>
      <w:r>
        <w:t>, and this is</w:t>
      </w:r>
      <w:r w:rsidR="00B3668E">
        <w:t xml:space="preserve"> also</w:t>
      </w:r>
      <w:r>
        <w:t xml:space="preserve"> likely to be the case in New Zealand</w:t>
      </w:r>
      <w:r w:rsidR="00124B75">
        <w:t xml:space="preserve"> (Müller et al. 2004)</w:t>
      </w:r>
      <w:r>
        <w:t>.</w:t>
      </w:r>
    </w:p>
    <w:p w14:paraId="5B8549C9" w14:textId="77777777" w:rsidR="00E11B8C" w:rsidRPr="00564705" w:rsidRDefault="00576A22" w:rsidP="00564705">
      <w:pPr>
        <w:pStyle w:val="Heading3"/>
      </w:pPr>
      <w:bookmarkStart w:id="24" w:name="_Ref37255227"/>
      <w:bookmarkStart w:id="25" w:name="_Toc132885698"/>
      <w:r>
        <w:t>T</w:t>
      </w:r>
      <w:r w:rsidR="00564705" w:rsidRPr="00564705">
        <w:t xml:space="preserve">oxicity </w:t>
      </w:r>
      <w:r>
        <w:t>to freshwater biota</w:t>
      </w:r>
      <w:bookmarkEnd w:id="24"/>
      <w:bookmarkEnd w:id="25"/>
      <w:r w:rsidRPr="00564705">
        <w:t xml:space="preserve"> </w:t>
      </w:r>
    </w:p>
    <w:p w14:paraId="5B8549CA" w14:textId="77777777" w:rsidR="00D573D0" w:rsidRDefault="00576A22" w:rsidP="00D573D0">
      <w:pPr>
        <w:pStyle w:val="Heading4"/>
      </w:pPr>
      <w:r>
        <w:t>Fish</w:t>
      </w:r>
    </w:p>
    <w:p w14:paraId="5B8549CB" w14:textId="77777777" w:rsidR="00E61660" w:rsidRDefault="00576A22" w:rsidP="00564705">
      <w:r>
        <w:t>Given the extre</w:t>
      </w:r>
      <w:r>
        <w:t>me sensitivity</w:t>
      </w:r>
      <w:r w:rsidR="00806CA0">
        <w:t xml:space="preserve"> of fish</w:t>
      </w:r>
      <w:r>
        <w:t xml:space="preserve">, there is a vast literature on toxicity of TCDD and related compounds to </w:t>
      </w:r>
      <w:r w:rsidR="00806CA0">
        <w:t>this taxonomic group</w:t>
      </w:r>
      <w:r>
        <w:t xml:space="preserve">. However, only a relatively small dataset is suitable for water quality guideline </w:t>
      </w:r>
      <w:r w:rsidR="00B3668E">
        <w:t xml:space="preserve">value </w:t>
      </w:r>
      <w:r>
        <w:t xml:space="preserve">derivation, mostly dating from </w:t>
      </w:r>
      <w:r w:rsidR="00991D25">
        <w:t xml:space="preserve">the </w:t>
      </w:r>
      <w:r>
        <w:t>early 1970s to m</w:t>
      </w:r>
      <w:r>
        <w:t>id-1990s</w:t>
      </w:r>
      <w:r w:rsidR="00806CA0">
        <w:t xml:space="preserve"> (see </w:t>
      </w:r>
      <w:r w:rsidR="00C97DC0">
        <w:t>S</w:t>
      </w:r>
      <w:r w:rsidR="007152D6">
        <w:t>ection </w:t>
      </w:r>
      <w:r w:rsidR="007152D6">
        <w:fldChar w:fldCharType="begin"/>
      </w:r>
      <w:r w:rsidR="007152D6">
        <w:instrText xml:space="preserve"> REF _Ref37255178 \r \h </w:instrText>
      </w:r>
      <w:r w:rsidR="007152D6">
        <w:fldChar w:fldCharType="separate"/>
      </w:r>
      <w:r w:rsidR="008E67C0">
        <w:t>4.1</w:t>
      </w:r>
      <w:r w:rsidR="007152D6">
        <w:fldChar w:fldCharType="end"/>
      </w:r>
      <w:r w:rsidR="00806CA0">
        <w:t>)</w:t>
      </w:r>
      <w:r>
        <w:t>.</w:t>
      </w:r>
      <w:r w:rsidR="00991D25">
        <w:t xml:space="preserve"> T</w:t>
      </w:r>
      <w:r>
        <w:t xml:space="preserve">his is because publications have focused on exposure routes through diet, egg injection or sediment since then, and even when waterborne </w:t>
      </w:r>
      <w:r>
        <w:t xml:space="preserve">exposures have been used, the toxicity </w:t>
      </w:r>
      <w:r w:rsidR="00991D25">
        <w:t xml:space="preserve">has </w:t>
      </w:r>
      <w:r>
        <w:t>often been expressed in terms of TCDD concentration in eggs or fry (</w:t>
      </w:r>
      <w:r w:rsidR="00806CA0">
        <w:t xml:space="preserve">e.g. as </w:t>
      </w:r>
      <w:r>
        <w:t>pg/g)</w:t>
      </w:r>
      <w:r w:rsidR="00806CA0">
        <w:t xml:space="preserve"> rather than the waterborne concentration</w:t>
      </w:r>
      <w:r>
        <w:t xml:space="preserve">. </w:t>
      </w:r>
      <w:r w:rsidR="00C02365">
        <w:t>T</w:t>
      </w:r>
      <w:r>
        <w:t xml:space="preserve">here has </w:t>
      </w:r>
      <w:r w:rsidR="00C02365">
        <w:t xml:space="preserve">also </w:t>
      </w:r>
      <w:r>
        <w:t>been significant research effort into important issues such as understandi</w:t>
      </w:r>
      <w:r>
        <w:t>ng mechanisms of PCDD toxicity (often using model species such as zebrafish</w:t>
      </w:r>
      <w:r w:rsidR="00C02365">
        <w:t xml:space="preserve"> (Hill et al. 2005)</w:t>
      </w:r>
      <w:r>
        <w:t>), developing biomarkers and genetic tools, understanding the significance of tissue body burdens, bioaccumulation</w:t>
      </w:r>
      <w:r w:rsidR="00C02365">
        <w:t xml:space="preserve"> (West et al. 1997, Heiden et al. 2005)</w:t>
      </w:r>
      <w:r>
        <w:t xml:space="preserve"> and food web models</w:t>
      </w:r>
      <w:r w:rsidR="00C02365">
        <w:t xml:space="preserve"> (Loonen et al. 1996, Wintermeyer &amp; Cooper 2007)</w:t>
      </w:r>
      <w:r>
        <w:t>, field exposures</w:t>
      </w:r>
      <w:r w:rsidR="00C02365">
        <w:t xml:space="preserve"> (Roach et al. 2009, Segstro et al. 1995)</w:t>
      </w:r>
      <w:r>
        <w:t>, and determining toxic equivalen</w:t>
      </w:r>
      <w:r w:rsidR="0082716C">
        <w:t>cy</w:t>
      </w:r>
      <w:r w:rsidR="00806CA0">
        <w:t xml:space="preserve"> </w:t>
      </w:r>
      <w:r w:rsidR="00C02365">
        <w:t>(Hornung et al. 1996, Safe 1998, Bhavsar et al. 2008)</w:t>
      </w:r>
      <w:r>
        <w:t>.</w:t>
      </w:r>
      <w:r w:rsidR="00806CA0">
        <w:t xml:space="preserve"> Thus, m</w:t>
      </w:r>
      <w:r>
        <w:t xml:space="preserve">any of the data were </w:t>
      </w:r>
      <w:r w:rsidR="00806CA0">
        <w:t xml:space="preserve">generated </w:t>
      </w:r>
      <w:r>
        <w:t>f</w:t>
      </w:r>
      <w:r>
        <w:t xml:space="preserve">or purposes other than developing a </w:t>
      </w:r>
      <w:r w:rsidR="00806CA0">
        <w:t>concentration</w:t>
      </w:r>
      <w:r w:rsidR="00010F48">
        <w:t>–</w:t>
      </w:r>
      <w:r>
        <w:t xml:space="preserve">response relationship in water. </w:t>
      </w:r>
    </w:p>
    <w:p w14:paraId="5B8549CC" w14:textId="77777777" w:rsidR="00564705" w:rsidRDefault="00576A22" w:rsidP="00564705">
      <w:r>
        <w:t xml:space="preserve">A peculiarity of dioxin toxicity </w:t>
      </w:r>
      <w:r w:rsidR="00E61660">
        <w:t xml:space="preserve">is </w:t>
      </w:r>
      <w:r>
        <w:t xml:space="preserve">the delayed </w:t>
      </w:r>
      <w:r w:rsidR="00E61660">
        <w:t xml:space="preserve">toxicity observed </w:t>
      </w:r>
      <w:r>
        <w:t>in fish</w:t>
      </w:r>
      <w:r w:rsidR="00E61660">
        <w:t xml:space="preserve"> (see </w:t>
      </w:r>
      <w:r w:rsidR="002B588F">
        <w:t>S</w:t>
      </w:r>
      <w:r w:rsidR="00E61660">
        <w:t>ection</w:t>
      </w:r>
      <w:r w:rsidR="007152D6">
        <w:t> </w:t>
      </w:r>
      <w:r w:rsidR="007152D6">
        <w:fldChar w:fldCharType="begin"/>
      </w:r>
      <w:r w:rsidR="007152D6">
        <w:instrText xml:space="preserve"> REF _Ref37255191 \r \h </w:instrText>
      </w:r>
      <w:r w:rsidR="007152D6">
        <w:fldChar w:fldCharType="separate"/>
      </w:r>
      <w:r w:rsidR="008E67C0">
        <w:t>2.2</w:t>
      </w:r>
      <w:r w:rsidR="007152D6">
        <w:fldChar w:fldCharType="end"/>
      </w:r>
      <w:r w:rsidR="007152D6">
        <w:t xml:space="preserve"> </w:t>
      </w:r>
      <w:r w:rsidR="00E61660">
        <w:t xml:space="preserve">and </w:t>
      </w:r>
      <w:r w:rsidR="002B588F">
        <w:t>Section</w:t>
      </w:r>
      <w:r w:rsidR="007152D6">
        <w:t> </w:t>
      </w:r>
      <w:r w:rsidR="007152D6">
        <w:fldChar w:fldCharType="begin"/>
      </w:r>
      <w:r w:rsidR="007152D6">
        <w:instrText xml:space="preserve"> REF _Ref37255204 \r \h </w:instrText>
      </w:r>
      <w:r w:rsidR="007152D6">
        <w:fldChar w:fldCharType="separate"/>
      </w:r>
      <w:r w:rsidR="008E67C0">
        <w:t>2.3</w:t>
      </w:r>
      <w:r w:rsidR="007152D6">
        <w:fldChar w:fldCharType="end"/>
      </w:r>
      <w:r w:rsidR="00E61660">
        <w:t>).</w:t>
      </w:r>
      <w:r>
        <w:t xml:space="preserve"> </w:t>
      </w:r>
      <w:r w:rsidR="00E61660">
        <w:t>In studies assessing this, t</w:t>
      </w:r>
      <w:r>
        <w:t>oxicity frequently occurred shortly after fish hatched from previously exposed eggs</w:t>
      </w:r>
      <w:r w:rsidR="00010F48">
        <w:t xml:space="preserve"> (Grimwood &amp; Dobbs 1995, Spitzbergen et al. 1991),</w:t>
      </w:r>
      <w:r>
        <w:t xml:space="preserve"> and yolk-sac fry were often the most sensitive life</w:t>
      </w:r>
      <w:r w:rsidR="00010F48">
        <w:t xml:space="preserve"> </w:t>
      </w:r>
      <w:r>
        <w:t xml:space="preserve">stage. </w:t>
      </w:r>
      <w:r w:rsidR="00E61660">
        <w:t xml:space="preserve">Many of these </w:t>
      </w:r>
      <w:r>
        <w:t xml:space="preserve">data </w:t>
      </w:r>
      <w:r w:rsidR="00E61660">
        <w:t xml:space="preserve">are </w:t>
      </w:r>
      <w:r>
        <w:t xml:space="preserve">reported as acute NOECs or LOECs, and sometimes with only one or </w:t>
      </w:r>
      <w:r w:rsidR="0071288B">
        <w:t>no more than</w:t>
      </w:r>
      <w:r w:rsidR="00A86237">
        <w:t xml:space="preserve"> three</w:t>
      </w:r>
      <w:r>
        <w:t xml:space="preserve"> concentrations. </w:t>
      </w:r>
      <w:r w:rsidR="002C6EB6">
        <w:t xml:space="preserve">Juvenile coho salmon </w:t>
      </w:r>
      <w:r w:rsidR="002C6EB6" w:rsidRPr="00564705">
        <w:rPr>
          <w:rStyle w:val="Emphasis"/>
        </w:rPr>
        <w:t>Oncorhync</w:t>
      </w:r>
      <w:r w:rsidR="002C6EB6">
        <w:rPr>
          <w:rStyle w:val="Emphasis"/>
        </w:rPr>
        <w:t>h</w:t>
      </w:r>
      <w:r w:rsidR="002C6EB6" w:rsidRPr="00564705">
        <w:rPr>
          <w:rStyle w:val="Emphasis"/>
        </w:rPr>
        <w:t>us kisutch</w:t>
      </w:r>
      <w:r w:rsidR="002C6EB6">
        <w:t xml:space="preserve"> were very sensitive to TCDD when exposed for 4 days </w:t>
      </w:r>
      <w:r w:rsidR="00E014D0">
        <w:t>and observed in clean water for</w:t>
      </w:r>
      <w:r w:rsidR="00E014D0">
        <w:br/>
      </w:r>
      <w:r w:rsidR="002C6EB6">
        <w:t>60</w:t>
      </w:r>
      <w:r w:rsidR="007D6FB5">
        <w:t xml:space="preserve"> to </w:t>
      </w:r>
      <w:r w:rsidR="002C6EB6">
        <w:t>114 days (Miller et al. 1973, Miller et al. 1979); a 12% mortality was reported at 0.056 ng/L after 60</w:t>
      </w:r>
      <w:r w:rsidR="007D6FB5">
        <w:t> </w:t>
      </w:r>
      <w:r w:rsidR="002C6EB6">
        <w:t>d</w:t>
      </w:r>
      <w:r w:rsidR="007D6FB5">
        <w:t>ays</w:t>
      </w:r>
      <w:r w:rsidR="002C6EB6">
        <w:t xml:space="preserve">, and other mortality NOECs were reported at 0.56 ng/L and 1.05 ng/L (growth NOECs were slightly higher). Northern pike </w:t>
      </w:r>
      <w:r w:rsidR="002C6EB6" w:rsidRPr="00564705">
        <w:rPr>
          <w:rStyle w:val="Emphasis"/>
        </w:rPr>
        <w:t>Esox lucius</w:t>
      </w:r>
      <w:r w:rsidR="002C6EB6">
        <w:t xml:space="preserve"> sac fry were also very sensitive when embryos were exposed to TCDD for 4 days and observed for up to 21 days (Helder 1980); various adverse effects occurred between 0.1 ng/L and 1 ng/L, with 100% mortality at 10 ng/L. Zebrafish and medaka were among the less sensitive fish (Wisk &amp; Cooper 1990, Henry et al. 1997).</w:t>
      </w:r>
    </w:p>
    <w:p w14:paraId="5B8549CD" w14:textId="77777777" w:rsidR="00564705" w:rsidRDefault="00576A22" w:rsidP="00564705">
      <w:r>
        <w:t>Elonen et al.</w:t>
      </w:r>
      <w:r w:rsidR="00010F48">
        <w:t xml:space="preserve"> (1998)</w:t>
      </w:r>
      <w:r>
        <w:t xml:space="preserve"> undertook some direct species comparisons fo</w:t>
      </w:r>
      <w:r>
        <w:t>r seven freshwater fish species based on TCDD concentration in eggs that caused significant decreases in survival or growth of juveniles. NOECs were between 175</w:t>
      </w:r>
      <w:r w:rsidR="000E1DC6">
        <w:t> pg/g</w:t>
      </w:r>
      <w:r>
        <w:t xml:space="preserve"> and 1</w:t>
      </w:r>
      <w:r w:rsidR="000E1DC6">
        <w:t> </w:t>
      </w:r>
      <w:r>
        <w:t>190</w:t>
      </w:r>
      <w:r w:rsidR="000E1DC6">
        <w:t> </w:t>
      </w:r>
      <w:r>
        <w:t>pg/g</w:t>
      </w:r>
      <w:r w:rsidR="000E1DC6">
        <w:t>,</w:t>
      </w:r>
      <w:r>
        <w:t xml:space="preserve"> and LOECs were between 270</w:t>
      </w:r>
      <w:r w:rsidR="000E1DC6">
        <w:t> pg/g</w:t>
      </w:r>
      <w:r>
        <w:t xml:space="preserve"> and 2</w:t>
      </w:r>
      <w:r w:rsidR="000E1DC6">
        <w:t> </w:t>
      </w:r>
      <w:r>
        <w:t>000</w:t>
      </w:r>
      <w:r w:rsidR="000E1DC6">
        <w:t> </w:t>
      </w:r>
      <w:r>
        <w:t xml:space="preserve">pg/g. Lake herring </w:t>
      </w:r>
      <w:r w:rsidRPr="00564705">
        <w:rPr>
          <w:rStyle w:val="Emphasis"/>
        </w:rPr>
        <w:t>Coregonus art</w:t>
      </w:r>
      <w:r w:rsidRPr="00564705">
        <w:rPr>
          <w:rStyle w:val="Emphasis"/>
        </w:rPr>
        <w:t>edii</w:t>
      </w:r>
      <w:r>
        <w:t xml:space="preserve"> and fathead minnow </w:t>
      </w:r>
      <w:r w:rsidRPr="00564705">
        <w:rPr>
          <w:rStyle w:val="Emphasis"/>
        </w:rPr>
        <w:t>Pimephales promelas</w:t>
      </w:r>
      <w:r>
        <w:t xml:space="preserve"> were most sensitive (the zebrafish </w:t>
      </w:r>
      <w:r w:rsidRPr="00564705">
        <w:rPr>
          <w:rStyle w:val="Emphasis"/>
        </w:rPr>
        <w:t>Danio rerio</w:t>
      </w:r>
      <w:r>
        <w:t xml:space="preserve"> was the least)</w:t>
      </w:r>
      <w:r w:rsidR="000E1DC6">
        <w:t>,</w:t>
      </w:r>
      <w:r>
        <w:t xml:space="preserve"> but even these were at least </w:t>
      </w:r>
      <w:r w:rsidR="000E1DC6">
        <w:t>eight</w:t>
      </w:r>
      <w:r>
        <w:t xml:space="preserve"> times less sensitive than lake trout </w:t>
      </w:r>
      <w:r w:rsidRPr="00564705">
        <w:rPr>
          <w:rStyle w:val="Emphasis"/>
        </w:rPr>
        <w:t>Salvelinus namaycush</w:t>
      </w:r>
      <w:r>
        <w:t xml:space="preserve"> (40</w:t>
      </w:r>
      <w:r w:rsidR="000E1DC6">
        <w:t> </w:t>
      </w:r>
      <w:r>
        <w:t>ng/kg)</w:t>
      </w:r>
      <w:r w:rsidR="000E1DC6">
        <w:t xml:space="preserve"> (Spitzbergen et al. 1991)</w:t>
      </w:r>
      <w:r>
        <w:t>. Although it was po</w:t>
      </w:r>
      <w:r>
        <w:t xml:space="preserve">ssible to deduce equivalent nominal water concentrations for NOECs and LOECs, the data could not be used </w:t>
      </w:r>
      <w:r w:rsidR="00725BAE">
        <w:t xml:space="preserve">for DGV derivation </w:t>
      </w:r>
      <w:r>
        <w:t>because, although they reported graded concentrations of TCDD in eggs, they achieved this by varying the time of exposure, rather th</w:t>
      </w:r>
      <w:r>
        <w:t>an water concentrations, which were adjusted for different species according to egg size.</w:t>
      </w:r>
    </w:p>
    <w:p w14:paraId="5B8549CE" w14:textId="77777777" w:rsidR="00564705" w:rsidRDefault="00576A22" w:rsidP="00564705">
      <w:r>
        <w:t xml:space="preserve">Chronic </w:t>
      </w:r>
      <w:r w:rsidR="00725BAE">
        <w:t xml:space="preserve">toxicity </w:t>
      </w:r>
      <w:r>
        <w:t xml:space="preserve">data that linked water exposure to toxic effects were available </w:t>
      </w:r>
      <w:r w:rsidR="00FC4D81">
        <w:t>for four</w:t>
      </w:r>
      <w:r>
        <w:t xml:space="preserve"> fish species</w:t>
      </w:r>
      <w:r w:rsidR="00BC2424">
        <w:t>:</w:t>
      </w:r>
      <w:r>
        <w:t xml:space="preserve"> carp </w:t>
      </w:r>
      <w:r w:rsidR="00811C3B" w:rsidRPr="00564705">
        <w:rPr>
          <w:rStyle w:val="Emphasis"/>
        </w:rPr>
        <w:t>C</w:t>
      </w:r>
      <w:r w:rsidR="00811C3B">
        <w:rPr>
          <w:rStyle w:val="Emphasis"/>
        </w:rPr>
        <w:t>.</w:t>
      </w:r>
      <w:r w:rsidR="00811C3B" w:rsidRPr="00564705">
        <w:rPr>
          <w:rStyle w:val="Emphasis"/>
        </w:rPr>
        <w:t xml:space="preserve"> </w:t>
      </w:r>
      <w:r w:rsidRPr="00564705">
        <w:rPr>
          <w:rStyle w:val="Emphasis"/>
        </w:rPr>
        <w:t>carpio</w:t>
      </w:r>
      <w:r>
        <w:t xml:space="preserve">, rainbow trout </w:t>
      </w:r>
      <w:r w:rsidR="00811C3B" w:rsidRPr="00564705">
        <w:rPr>
          <w:rStyle w:val="Emphasis"/>
        </w:rPr>
        <w:t>O</w:t>
      </w:r>
      <w:r w:rsidR="00811C3B">
        <w:rPr>
          <w:rStyle w:val="Emphasis"/>
        </w:rPr>
        <w:t>.</w:t>
      </w:r>
      <w:r w:rsidR="00811C3B" w:rsidRPr="00564705">
        <w:rPr>
          <w:rStyle w:val="Emphasis"/>
        </w:rPr>
        <w:t xml:space="preserve"> </w:t>
      </w:r>
      <w:r w:rsidRPr="00564705">
        <w:rPr>
          <w:rStyle w:val="Emphasis"/>
        </w:rPr>
        <w:t>mykiss</w:t>
      </w:r>
      <w:r>
        <w:t xml:space="preserve">, lake trout </w:t>
      </w:r>
      <w:r w:rsidR="00811C3B" w:rsidRPr="00564705">
        <w:rPr>
          <w:rStyle w:val="Emphasis"/>
        </w:rPr>
        <w:t>S</w:t>
      </w:r>
      <w:r w:rsidR="00811C3B">
        <w:rPr>
          <w:rStyle w:val="Emphasis"/>
        </w:rPr>
        <w:t>.</w:t>
      </w:r>
      <w:r w:rsidR="00811C3B" w:rsidRPr="00564705">
        <w:rPr>
          <w:rStyle w:val="Emphasis"/>
        </w:rPr>
        <w:t xml:space="preserve"> </w:t>
      </w:r>
      <w:r w:rsidRPr="00564705">
        <w:rPr>
          <w:rStyle w:val="Emphasis"/>
        </w:rPr>
        <w:t>namaycu</w:t>
      </w:r>
      <w:r w:rsidRPr="00564705">
        <w:rPr>
          <w:rStyle w:val="Emphasis"/>
        </w:rPr>
        <w:t>sh</w:t>
      </w:r>
      <w:r>
        <w:t xml:space="preserve">, and medaka </w:t>
      </w:r>
      <w:r w:rsidRPr="00564705">
        <w:rPr>
          <w:rStyle w:val="Emphasis"/>
        </w:rPr>
        <w:t>Oryzias latipes</w:t>
      </w:r>
      <w:r>
        <w:t xml:space="preserve">. The most sensitive fish was rainbow trout </w:t>
      </w:r>
      <w:r w:rsidRPr="00564705">
        <w:rPr>
          <w:rStyle w:val="Emphasis"/>
        </w:rPr>
        <w:t>O. mykiss</w:t>
      </w:r>
      <w:r>
        <w:t xml:space="preserve"> swim-up fry</w:t>
      </w:r>
      <w:r w:rsidR="00FC4D81">
        <w:t>,</w:t>
      </w:r>
      <w:r>
        <w:t xml:space="preserve"> with chronic LOEC for growth inhibition of 0.038</w:t>
      </w:r>
      <w:r w:rsidR="00FC4D81">
        <w:t> </w:t>
      </w:r>
      <w:r>
        <w:t>ng/L after 28-d exposure and mortality after a further 28-d depuration period</w:t>
      </w:r>
      <w:r w:rsidR="00E014D0">
        <w:t xml:space="preserve"> (Mehrle et al. </w:t>
      </w:r>
      <w:r w:rsidR="00FC4D81">
        <w:t>1988)</w:t>
      </w:r>
      <w:r>
        <w:t xml:space="preserve">. </w:t>
      </w:r>
    </w:p>
    <w:p w14:paraId="5B8549CF" w14:textId="77777777" w:rsidR="00D573D0" w:rsidRDefault="00576A22" w:rsidP="00D573D0">
      <w:pPr>
        <w:pStyle w:val="Heading4"/>
      </w:pPr>
      <w:r>
        <w:t>Other biota</w:t>
      </w:r>
    </w:p>
    <w:p w14:paraId="5B8549D0" w14:textId="77777777" w:rsidR="00D573D0" w:rsidRDefault="00576A22" w:rsidP="00D573D0">
      <w:r>
        <w:t>Freshwater plants (algae and macrophytes) and invertebrates appear to be relatively insensitive to dioxins compared to fish. Several papers describing model ecosystem effects, although failing quality checks for the current DGV derivation, prov</w:t>
      </w:r>
      <w:r>
        <w:t xml:space="preserve">ided useful information on the lack of TCDD toxicity to non-fish species in contrast to fish toxicity. The alga </w:t>
      </w:r>
      <w:r w:rsidRPr="00564705">
        <w:rPr>
          <w:rStyle w:val="Emphasis"/>
        </w:rPr>
        <w:t>Oedogonium cardiacum</w:t>
      </w:r>
      <w:r>
        <w:t xml:space="preserve">, the duckweed </w:t>
      </w:r>
      <w:r w:rsidRPr="00564705">
        <w:rPr>
          <w:rStyle w:val="Emphasis"/>
        </w:rPr>
        <w:t>Lemna minor</w:t>
      </w:r>
      <w:r>
        <w:t xml:space="preserve"> and the snail </w:t>
      </w:r>
      <w:r w:rsidRPr="00564705">
        <w:rPr>
          <w:rStyle w:val="Emphasis"/>
        </w:rPr>
        <w:t xml:space="preserve">Physa </w:t>
      </w:r>
      <w:r w:rsidRPr="00806CA0">
        <w:rPr>
          <w:rStyle w:val="Emphasis"/>
          <w:i w:val="0"/>
          <w:iCs w:val="0"/>
        </w:rPr>
        <w:t>sp.</w:t>
      </w:r>
      <w:r>
        <w:t xml:space="preserve"> were not affected by 30-d exposures to between 710 ng/L and 1 300 ng/L (I</w:t>
      </w:r>
      <w:r>
        <w:t xml:space="preserve">sensee 1978, Isensee &amp; Jones 1978). A model ecosystem exposed to 2.4 to 4.2 ng/L TCDD resulted in 100% mortality of mosquitofish and channel catfish within 20 days (Yockim et al. 1978), but showed no effects on </w:t>
      </w:r>
      <w:r w:rsidRPr="00564705">
        <w:rPr>
          <w:rStyle w:val="Emphasis"/>
        </w:rPr>
        <w:t>O</w:t>
      </w:r>
      <w:r>
        <w:rPr>
          <w:rStyle w:val="Emphasis"/>
        </w:rPr>
        <w:t>.</w:t>
      </w:r>
      <w:r w:rsidRPr="00564705">
        <w:rPr>
          <w:rStyle w:val="Emphasis"/>
        </w:rPr>
        <w:t xml:space="preserve"> cardiacum</w:t>
      </w:r>
      <w:r>
        <w:t xml:space="preserve"> or the snail </w:t>
      </w:r>
      <w:r w:rsidRPr="00564705">
        <w:rPr>
          <w:rStyle w:val="Emphasis"/>
        </w:rPr>
        <w:t xml:space="preserve">Helosoma </w:t>
      </w:r>
      <w:r w:rsidRPr="00F536AE">
        <w:rPr>
          <w:rStyle w:val="Emphasis"/>
          <w:i w:val="0"/>
          <w:iCs w:val="0"/>
        </w:rPr>
        <w:t>sp.</w:t>
      </w:r>
      <w:r w:rsidRPr="00F536AE">
        <w:rPr>
          <w:i/>
          <w:iCs/>
        </w:rPr>
        <w:t>,</w:t>
      </w:r>
      <w:r>
        <w:t xml:space="preserve"> despi</w:t>
      </w:r>
      <w:r>
        <w:t xml:space="preserve">te high accumulation of TCDD. Although these data were not used for the current DGV derivation, they provide the only available information on the lack of aquatic plant toxicity. </w:t>
      </w:r>
    </w:p>
    <w:p w14:paraId="5B8549D1" w14:textId="77777777" w:rsidR="00D573D0" w:rsidRDefault="00576A22" w:rsidP="00D573D0">
      <w:r>
        <w:t>Acceptable quality chronic toxicity data for invertebrates were available fo</w:t>
      </w:r>
      <w:r>
        <w:t xml:space="preserve">r three species from different taxonomic groups (Miller et al. 1973). Two of these, the mosquito larva </w:t>
      </w:r>
      <w:r w:rsidRPr="00564705">
        <w:rPr>
          <w:rStyle w:val="Emphasis"/>
        </w:rPr>
        <w:t>Aedes aeg</w:t>
      </w:r>
      <w:r>
        <w:rPr>
          <w:rStyle w:val="Emphasis"/>
        </w:rPr>
        <w:t>y</w:t>
      </w:r>
      <w:r w:rsidRPr="00564705">
        <w:rPr>
          <w:rStyle w:val="Emphasis"/>
        </w:rPr>
        <w:t>pti</w:t>
      </w:r>
      <w:r>
        <w:t xml:space="preserve"> and the snail </w:t>
      </w:r>
      <w:r w:rsidRPr="00564705">
        <w:rPr>
          <w:rStyle w:val="Emphasis"/>
        </w:rPr>
        <w:t xml:space="preserve">Physa </w:t>
      </w:r>
      <w:r w:rsidRPr="00806CA0">
        <w:rPr>
          <w:rStyle w:val="Emphasis"/>
          <w:i w:val="0"/>
          <w:iCs w:val="0"/>
        </w:rPr>
        <w:t>sp.</w:t>
      </w:r>
      <w:r>
        <w:t xml:space="preserve">, showed no significant mortality at the only concentration tested (200 ng/L), while </w:t>
      </w:r>
      <w:r w:rsidRPr="00564705">
        <w:rPr>
          <w:rStyle w:val="Emphasis"/>
        </w:rPr>
        <w:t xml:space="preserve">Physa </w:t>
      </w:r>
      <w:r w:rsidRPr="00806CA0">
        <w:rPr>
          <w:rStyle w:val="Emphasis"/>
          <w:i w:val="0"/>
          <w:iCs w:val="0"/>
        </w:rPr>
        <w:t>sp.</w:t>
      </w:r>
      <w:r>
        <w:t xml:space="preserve"> and the oligochaete </w:t>
      </w:r>
      <w:r w:rsidRPr="00564705">
        <w:rPr>
          <w:rStyle w:val="Emphasis"/>
        </w:rPr>
        <w:t>P</w:t>
      </w:r>
      <w:r w:rsidRPr="00564705">
        <w:rPr>
          <w:rStyle w:val="Emphasis"/>
        </w:rPr>
        <w:t xml:space="preserve">aranais </w:t>
      </w:r>
      <w:r w:rsidRPr="00806CA0">
        <w:rPr>
          <w:rStyle w:val="Emphasis"/>
          <w:i w:val="0"/>
          <w:iCs w:val="0"/>
        </w:rPr>
        <w:t>sp.</w:t>
      </w:r>
      <w:r>
        <w:t xml:space="preserve"> showed some effect on reproduction at this concentration. Acute exposure of </w:t>
      </w:r>
      <w:r w:rsidRPr="00564705">
        <w:rPr>
          <w:rStyle w:val="Emphasis"/>
        </w:rPr>
        <w:t>Daphnia magna</w:t>
      </w:r>
      <w:r>
        <w:t xml:space="preserve"> up to 1 030 ng/L TCDD for 2 days followed by a 7-d depuration period did not elicit any toxic effects on three different life stages (Adams et al. 1986).</w:t>
      </w:r>
    </w:p>
    <w:p w14:paraId="5B8549D2" w14:textId="77777777" w:rsidR="00E11B8C" w:rsidRDefault="00576A22" w:rsidP="00564705">
      <w:r>
        <w:t xml:space="preserve">Amphibians </w:t>
      </w:r>
      <w:r w:rsidR="002C6EB6">
        <w:t xml:space="preserve">are </w:t>
      </w:r>
      <w:r>
        <w:t xml:space="preserve">generally less sensitive than fish, based on data from </w:t>
      </w:r>
      <w:r w:rsidR="004649A9">
        <w:t>four</w:t>
      </w:r>
      <w:r>
        <w:t xml:space="preserve"> species</w:t>
      </w:r>
      <w:r w:rsidR="004649A9">
        <w:t xml:space="preserve"> (McKinney et al. 1985, Jung &amp; Walker 1997)</w:t>
      </w:r>
      <w:r>
        <w:t xml:space="preserve">, although effects on </w:t>
      </w:r>
      <w:r w:rsidRPr="00564705">
        <w:rPr>
          <w:rStyle w:val="Emphasis"/>
        </w:rPr>
        <w:t>Rana pipiens</w:t>
      </w:r>
      <w:r>
        <w:t xml:space="preserve"> were noted at 3</w:t>
      </w:r>
      <w:r w:rsidR="004649A9">
        <w:t> </w:t>
      </w:r>
      <w:r>
        <w:t>ng/L after 1-d exposure and 28-d depuration</w:t>
      </w:r>
      <w:r w:rsidR="004649A9">
        <w:t xml:space="preserve"> (Jung &amp; Walker 1997)</w:t>
      </w:r>
      <w:r>
        <w:t>. Jung and Walke</w:t>
      </w:r>
      <w:r>
        <w:t>r</w:t>
      </w:r>
      <w:r w:rsidR="004649A9">
        <w:t xml:space="preserve"> (1997)</w:t>
      </w:r>
      <w:r>
        <w:t xml:space="preserve"> reported no effects on eggs of </w:t>
      </w:r>
      <w:r w:rsidR="00D826D3">
        <w:t>a</w:t>
      </w:r>
      <w:r>
        <w:t xml:space="preserve"> frog </w:t>
      </w:r>
      <w:r w:rsidR="000219EA">
        <w:t xml:space="preserve">species </w:t>
      </w:r>
      <w:r>
        <w:t xml:space="preserve">and toad </w:t>
      </w:r>
      <w:r w:rsidR="00D826D3">
        <w:t xml:space="preserve">species </w:t>
      </w:r>
      <w:r>
        <w:t>at the highest concentrations tested (100</w:t>
      </w:r>
      <w:r w:rsidR="004649A9">
        <w:t> ng/L</w:t>
      </w:r>
      <w:r>
        <w:t xml:space="preserve"> and 30</w:t>
      </w:r>
      <w:r w:rsidR="004649A9">
        <w:t> </w:t>
      </w:r>
      <w:r>
        <w:t>ng/L</w:t>
      </w:r>
      <w:r w:rsidR="004649A9">
        <w:t>,</w:t>
      </w:r>
      <w:r>
        <w:t xml:space="preserve"> respectively (acute NOEC; 1-d exposure and 48-</w:t>
      </w:r>
      <w:r w:rsidR="004649A9">
        <w:t>d</w:t>
      </w:r>
      <w:r>
        <w:t xml:space="preserve"> to 67-d depuration)</w:t>
      </w:r>
      <w:r w:rsidR="004649A9">
        <w:t>)</w:t>
      </w:r>
      <w:r>
        <w:t xml:space="preserve">. However, </w:t>
      </w:r>
      <w:r w:rsidR="003E2570">
        <w:t>Jung and Walker (1997) found</w:t>
      </w:r>
      <w:r>
        <w:t xml:space="preserve"> </w:t>
      </w:r>
      <w:r w:rsidR="00D826D3">
        <w:t xml:space="preserve">a </w:t>
      </w:r>
      <w:r>
        <w:t xml:space="preserve">significant </w:t>
      </w:r>
      <w:r w:rsidR="00D826D3">
        <w:t xml:space="preserve">35% increase in </w:t>
      </w:r>
      <w:r>
        <w:t xml:space="preserve">mortality to </w:t>
      </w:r>
      <w:r w:rsidRPr="00564705">
        <w:rPr>
          <w:rStyle w:val="Emphasis"/>
        </w:rPr>
        <w:t>Rana pipiens</w:t>
      </w:r>
      <w:r>
        <w:t xml:space="preserve"> at 3</w:t>
      </w:r>
      <w:r w:rsidR="003E2570">
        <w:t> </w:t>
      </w:r>
      <w:r w:rsidR="00D826D3">
        <w:rPr>
          <w:rFonts w:ascii="Calibri" w:hAnsi="Calibri" w:cs="Calibri"/>
        </w:rPr>
        <w:t>µ</w:t>
      </w:r>
      <w:r>
        <w:t>g/L (a single test concentration) after 1-d exposure and 28-d depuration (acute LOEC)</w:t>
      </w:r>
      <w:r w:rsidR="00D826D3">
        <w:t>, relative to controls</w:t>
      </w:r>
      <w:r>
        <w:t>. McKinney et al.</w:t>
      </w:r>
      <w:r w:rsidR="003E2570">
        <w:t xml:space="preserve"> (1985)</w:t>
      </w:r>
      <w:r>
        <w:t xml:space="preserve"> reported significant growth inhibition to </w:t>
      </w:r>
      <w:r w:rsidRPr="00564705">
        <w:rPr>
          <w:rStyle w:val="Emphasis"/>
        </w:rPr>
        <w:t>Xenopus laevis</w:t>
      </w:r>
      <w:r>
        <w:t xml:space="preserve"> exposed for 30</w:t>
      </w:r>
      <w:r w:rsidR="003E2570">
        <w:t> </w:t>
      </w:r>
      <w:r>
        <w:t>days to the lowest concentration tested (100</w:t>
      </w:r>
      <w:r w:rsidR="003E2570">
        <w:t> </w:t>
      </w:r>
      <w:r>
        <w:t>ng/L</w:t>
      </w:r>
      <w:r w:rsidR="003E2570">
        <w:t> </w:t>
      </w:r>
      <w:r>
        <w:t>TCDD) followed by 21-d depuration (chronic LOEC).</w:t>
      </w:r>
    </w:p>
    <w:p w14:paraId="5B8549D3" w14:textId="77777777" w:rsidR="00B3668E" w:rsidRPr="00E11B8C" w:rsidRDefault="00576A22" w:rsidP="00B3668E">
      <w:pPr>
        <w:pStyle w:val="Heading3"/>
      </w:pPr>
      <w:bookmarkStart w:id="26" w:name="_Toc132885699"/>
      <w:r>
        <w:t>Toxicity to m</w:t>
      </w:r>
      <w:r w:rsidRPr="00E11B8C">
        <w:t xml:space="preserve">arine </w:t>
      </w:r>
      <w:r>
        <w:t>biota</w:t>
      </w:r>
      <w:bookmarkEnd w:id="26"/>
    </w:p>
    <w:p w14:paraId="5B8549D4" w14:textId="77777777" w:rsidR="00B3668E" w:rsidRDefault="00576A22" w:rsidP="00B3668E">
      <w:pPr>
        <w:rPr>
          <w:highlight w:val="yellow"/>
        </w:rPr>
      </w:pPr>
      <w:r>
        <w:t>Although the current DGVs relate to freshwater toxicity, a</w:t>
      </w:r>
      <w:r>
        <w:t xml:space="preserve"> brief summary of toxicity to marine biota is provided here. T</w:t>
      </w:r>
      <w:r w:rsidRPr="00564705">
        <w:t xml:space="preserve">here are limited data on TCDD toxicity to </w:t>
      </w:r>
      <w:r>
        <w:t>marine biota,</w:t>
      </w:r>
      <w:r w:rsidRPr="00564705">
        <w:t xml:space="preserve"> but they seem to be generally less sensitive to the toxic effects of TCDD than most freshwater species</w:t>
      </w:r>
      <w:r>
        <w:t xml:space="preserve"> (Prince &amp; Cooper 1995, Gatehouse 20</w:t>
      </w:r>
      <w:r>
        <w:t>04, Yamauchi</w:t>
      </w:r>
      <w:r w:rsidRPr="00564705">
        <w:t xml:space="preserve"> </w:t>
      </w:r>
      <w:r>
        <w:t>et al. 2006, Wintermeyer &amp; Cooper 2007, Cooper &amp; Wintermeyer 2009, Anselmo</w:t>
      </w:r>
      <w:r w:rsidRPr="00564705">
        <w:t xml:space="preserve"> </w:t>
      </w:r>
      <w:r>
        <w:t>et al. 2011)</w:t>
      </w:r>
      <w:r w:rsidRPr="00564705">
        <w:t>. Marine fish that have been previously exposed to TCDD are less sensitive to TCDD exposure than unadapted fish</w:t>
      </w:r>
      <w:r>
        <w:t xml:space="preserve"> (Prince &amp; Cooper 1995)</w:t>
      </w:r>
      <w:r w:rsidRPr="00564705">
        <w:t>. Additionally, and</w:t>
      </w:r>
      <w:r>
        <w:t xml:space="preserve"> in</w:t>
      </w:r>
      <w:r w:rsidRPr="00564705">
        <w:t xml:space="preserve"> line with results in freshwater, marine invertebrates were significantly less sensitive than fish</w:t>
      </w:r>
      <w:r>
        <w:t xml:space="preserve"> (Barber</w:t>
      </w:r>
      <w:r w:rsidRPr="00564705">
        <w:t xml:space="preserve"> </w:t>
      </w:r>
      <w:r>
        <w:t>et al. 1998)</w:t>
      </w:r>
      <w:r w:rsidRPr="00564705">
        <w:t xml:space="preserve">. The available data for marine water would suggest that a freshwater DGV would be conservatively protective of marine </w:t>
      </w:r>
      <w:r w:rsidR="00EB48BC">
        <w:t xml:space="preserve">and estuarine </w:t>
      </w:r>
      <w:r w:rsidRPr="00564705">
        <w:t>spec</w:t>
      </w:r>
      <w:r w:rsidRPr="00564705">
        <w:t>ies</w:t>
      </w:r>
      <w:r w:rsidR="008B04AB">
        <w:t>,</w:t>
      </w:r>
      <w:r w:rsidR="006A6E76">
        <w:t xml:space="preserve"> </w:t>
      </w:r>
      <w:r w:rsidR="008B04AB">
        <w:t>a</w:t>
      </w:r>
      <w:r w:rsidR="00EB48BC">
        <w:t xml:space="preserve"> conclusion </w:t>
      </w:r>
      <w:r w:rsidR="006A6E76">
        <w:t>a</w:t>
      </w:r>
      <w:r w:rsidR="00EB48BC">
        <w:t>lso reached by Gatehouse (2004)</w:t>
      </w:r>
      <w:r w:rsidRPr="00564705">
        <w:t>.</w:t>
      </w:r>
    </w:p>
    <w:p w14:paraId="5B8549D5" w14:textId="77777777" w:rsidR="00A47617" w:rsidRPr="00AE7845" w:rsidRDefault="00576A22" w:rsidP="0072516C">
      <w:pPr>
        <w:pStyle w:val="Heading2"/>
        <w:keepNext w:val="0"/>
        <w:keepLines w:val="0"/>
        <w:widowControl w:val="0"/>
      </w:pPr>
      <w:bookmarkStart w:id="27" w:name="_Toc132885700"/>
      <w:r>
        <w:t>Factors affecting toxicity</w:t>
      </w:r>
      <w:bookmarkEnd w:id="27"/>
    </w:p>
    <w:p w14:paraId="5B8549D6" w14:textId="77777777" w:rsidR="00C546B9" w:rsidRDefault="00576A22" w:rsidP="00A47617">
      <w:r w:rsidRPr="00C546B9">
        <w:t>It is expected that chemicals such as PCDDs with log</w:t>
      </w:r>
      <w:r w:rsidR="00AC0BDF">
        <w:t> </w:t>
      </w:r>
      <w:r w:rsidRPr="00C546B9">
        <w:t>K</w:t>
      </w:r>
      <w:r w:rsidRPr="00AC0BDF">
        <w:rPr>
          <w:vertAlign w:val="subscript"/>
        </w:rPr>
        <w:t>ow</w:t>
      </w:r>
      <w:r w:rsidRPr="00C546B9">
        <w:t xml:space="preserve"> (octanol-water partition coefficient) ≥6 would be strongly bound to organic and suspended matter and may be mostly unava</w:t>
      </w:r>
      <w:r w:rsidRPr="00C546B9">
        <w:t>ilable, except by dietary consumption</w:t>
      </w:r>
      <w:r w:rsidR="00935AEE">
        <w:t xml:space="preserve"> (Fletcher &amp; McKay 1993)</w:t>
      </w:r>
      <w:r w:rsidRPr="00C546B9">
        <w:t>. They would also strongly bind to sediment but</w:t>
      </w:r>
      <w:r w:rsidR="00935AEE">
        <w:t>,</w:t>
      </w:r>
      <w:r w:rsidRPr="00C546B9">
        <w:t xml:space="preserve"> given their high toxicity, even very low concentrations in equilibrium with contaminated sediment could be toxic in some locations. Tissue</w:t>
      </w:r>
      <w:r w:rsidR="00935AEE">
        <w:t xml:space="preserve"> </w:t>
      </w:r>
      <w:r w:rsidRPr="00C546B9">
        <w:t>residue</w:t>
      </w:r>
      <w:r w:rsidRPr="00C546B9">
        <w:t xml:space="preserve"> guideline</w:t>
      </w:r>
      <w:r w:rsidR="003D1A08">
        <w:t xml:space="preserve"> value</w:t>
      </w:r>
      <w:r w:rsidRPr="00C546B9">
        <w:t>s</w:t>
      </w:r>
      <w:r w:rsidR="00935AEE">
        <w:t xml:space="preserve"> (CCME 2001a)</w:t>
      </w:r>
      <w:r w:rsidR="003D1A08">
        <w:t xml:space="preserve"> </w:t>
      </w:r>
      <w:r w:rsidRPr="00C546B9">
        <w:t xml:space="preserve">or sediment </w:t>
      </w:r>
      <w:r w:rsidR="003D1A08">
        <w:t xml:space="preserve">quality </w:t>
      </w:r>
      <w:r w:rsidRPr="00C546B9">
        <w:t>guideline</w:t>
      </w:r>
      <w:r w:rsidR="003D1A08">
        <w:t xml:space="preserve"> value</w:t>
      </w:r>
      <w:r w:rsidRPr="00C546B9">
        <w:t>s</w:t>
      </w:r>
      <w:r w:rsidR="00935AEE">
        <w:t xml:space="preserve"> (CCME 2001b)</w:t>
      </w:r>
      <w:r w:rsidRPr="00C546B9">
        <w:t xml:space="preserve"> may, in time, be more appropriate for dioxin</w:t>
      </w:r>
      <w:r w:rsidR="003D1A08">
        <w:t>s</w:t>
      </w:r>
      <w:r w:rsidRPr="00C546B9">
        <w:t xml:space="preserve"> and related compounds.</w:t>
      </w:r>
    </w:p>
    <w:p w14:paraId="5B8549D7" w14:textId="77777777" w:rsidR="00CE4225" w:rsidRDefault="00CE4225" w:rsidP="00A47617"/>
    <w:p w14:paraId="5B8549D8" w14:textId="77777777" w:rsidR="00BF0280" w:rsidRDefault="00576A22" w:rsidP="005D1CA5">
      <w:pPr>
        <w:pStyle w:val="Heading2"/>
        <w:keepNext w:val="0"/>
        <w:keepLines w:val="0"/>
        <w:widowControl w:val="0"/>
      </w:pPr>
      <w:bookmarkStart w:id="28" w:name="_Toc132885701"/>
      <w:r>
        <w:t>Default guideline value derivation</w:t>
      </w:r>
      <w:bookmarkEnd w:id="28"/>
    </w:p>
    <w:p w14:paraId="5B8549D9" w14:textId="77777777" w:rsidR="00A47617" w:rsidRDefault="00576A22" w:rsidP="00A47617">
      <w:sdt>
        <w:sdtPr>
          <w:rPr>
            <w:bCs/>
          </w:rPr>
          <w:alias w:val="Compulsary - text and location locked to 4."/>
          <w:tag w:val="Compulsary - text and location locked"/>
          <w:id w:val="1416975399"/>
          <w:placeholder>
            <w:docPart w:val="B20CCC024575420DB346A2897E1BFAA1"/>
          </w:placeholder>
          <w:text/>
        </w:sdtPr>
        <w:sdtEndPr/>
        <w:sdtContent>
          <w:r w:rsidR="008609B4" w:rsidRPr="0064344A">
            <w:rPr>
              <w:bCs/>
            </w:rPr>
            <w:t xml:space="preserve">The DGVs were derived in accordance with the method described in Warne et al. (2018) and using Burrlioz 2.0 software. </w:t>
          </w:r>
        </w:sdtContent>
      </w:sdt>
    </w:p>
    <w:p w14:paraId="5B8549DA" w14:textId="77777777" w:rsidR="00BF0280" w:rsidRPr="008F1B13" w:rsidRDefault="00576A22" w:rsidP="001303C0">
      <w:pPr>
        <w:pStyle w:val="Heading3"/>
      </w:pPr>
      <w:bookmarkStart w:id="29" w:name="_Ref37255178"/>
      <w:bookmarkStart w:id="30" w:name="_Toc132885702"/>
      <w:r w:rsidRPr="008F1B13">
        <w:t>Toxicity data used in derivation</w:t>
      </w:r>
      <w:bookmarkEnd w:id="29"/>
      <w:bookmarkEnd w:id="30"/>
    </w:p>
    <w:p w14:paraId="5B8549DB" w14:textId="77777777" w:rsidR="008F1B13" w:rsidRDefault="00576A22" w:rsidP="0049421C">
      <w:r>
        <w:t>A search of publicly available data yielded over 110 papers on the toxic effects of TCDD in the aquati</w:t>
      </w:r>
      <w:r>
        <w:t xml:space="preserve">c environment. However, </w:t>
      </w:r>
      <w:r w:rsidR="00B3668E">
        <w:t xml:space="preserve">as noted in </w:t>
      </w:r>
      <w:r w:rsidR="001F4378">
        <w:t>S</w:t>
      </w:r>
      <w:r w:rsidR="00B3668E">
        <w:t>ection</w:t>
      </w:r>
      <w:r w:rsidR="007152D6">
        <w:t> </w:t>
      </w:r>
      <w:r w:rsidR="007152D6">
        <w:fldChar w:fldCharType="begin"/>
      </w:r>
      <w:r w:rsidR="007152D6">
        <w:instrText xml:space="preserve"> REF _Ref37255227 \r \h </w:instrText>
      </w:r>
      <w:r w:rsidR="007152D6">
        <w:fldChar w:fldCharType="separate"/>
      </w:r>
      <w:r w:rsidR="008E67C0">
        <w:t>2.5</w:t>
      </w:r>
      <w:r w:rsidR="007152D6">
        <w:fldChar w:fldCharType="end"/>
      </w:r>
      <w:r w:rsidR="00B3668E">
        <w:t xml:space="preserve">, </w:t>
      </w:r>
      <w:r>
        <w:t>many of the data from these were unsuitable for water quality DGV derivation because they dealt with other issues (e.</w:t>
      </w:r>
      <w:r>
        <w:t>g. mechanisms of toxicity, biomarkers and genetic tools, bioaccumulation, food web models, field exposures, determining toxic equivalen</w:t>
      </w:r>
      <w:r w:rsidR="0082716C">
        <w:t>cy</w:t>
      </w:r>
      <w:r>
        <w:t xml:space="preserve">), exposure routes were through diet, egg injection or sediment, and even when waterborne exposures had been used, the </w:t>
      </w:r>
      <w:r>
        <w:t>toxicity was often expressed in terms of TCDD concentration in eggs or fry (pg/g)</w:t>
      </w:r>
      <w:r w:rsidR="006834DD">
        <w:t xml:space="preserve"> and could not readily be converted to a waterborne concentration</w:t>
      </w:r>
      <w:r>
        <w:t>.</w:t>
      </w:r>
    </w:p>
    <w:p w14:paraId="5B8549DC" w14:textId="77777777" w:rsidR="008F1B13" w:rsidRDefault="00576A22" w:rsidP="0049421C">
      <w:r>
        <w:t xml:space="preserve">The </w:t>
      </w:r>
      <w:r w:rsidR="006834DD">
        <w:t xml:space="preserve">toxicity </w:t>
      </w:r>
      <w:r>
        <w:t xml:space="preserve">data used to derive </w:t>
      </w:r>
      <w:r w:rsidR="006834DD">
        <w:t xml:space="preserve">the </w:t>
      </w:r>
      <w:r>
        <w:t>DGV</w:t>
      </w:r>
      <w:r w:rsidR="006834DD">
        <w:t>s</w:t>
      </w:r>
      <w:r>
        <w:t xml:space="preserve"> included chronic data as well as acute data</w:t>
      </w:r>
      <w:r w:rsidR="006834DD">
        <w:t xml:space="preserve"> converted to chronic-equivalent data</w:t>
      </w:r>
      <w:r>
        <w:t>. Many of the fish tests were short-term exposures (sometimes as short as 15</w:t>
      </w:r>
      <w:r w:rsidR="00FF3808">
        <w:t> </w:t>
      </w:r>
      <w:r>
        <w:t>minutes</w:t>
      </w:r>
      <w:r w:rsidR="00FF3808">
        <w:t xml:space="preserve"> (Elonen et al. 1998)</w:t>
      </w:r>
      <w:r>
        <w:t xml:space="preserve">) but </w:t>
      </w:r>
      <w:r w:rsidR="00FF3808">
        <w:t xml:space="preserve">had </w:t>
      </w:r>
      <w:r>
        <w:t>long observation periods in clean water after exposure</w:t>
      </w:r>
      <w:r w:rsidR="0031419C">
        <w:t>,</w:t>
      </w:r>
      <w:r>
        <w:t xml:space="preserve"> to assess delayed toxicity</w:t>
      </w:r>
      <w:r w:rsidR="00FF3808">
        <w:t xml:space="preserve"> (USEPA 1993)</w:t>
      </w:r>
      <w:r>
        <w:t>. Given that toxic effects incre</w:t>
      </w:r>
      <w:r>
        <w:t>ase with increasing exposure time, as well as increasing concentration</w:t>
      </w:r>
      <w:r w:rsidR="00FF3808">
        <w:t xml:space="preserve"> (Gatehouse 2004)</w:t>
      </w:r>
      <w:r>
        <w:t xml:space="preserve">, these </w:t>
      </w:r>
      <w:r w:rsidR="006834DD">
        <w:t xml:space="preserve">studies </w:t>
      </w:r>
      <w:r>
        <w:t xml:space="preserve">were considered as </w:t>
      </w:r>
      <w:r w:rsidR="00FF3808">
        <w:t>‘</w:t>
      </w:r>
      <w:r>
        <w:t>acute</w:t>
      </w:r>
      <w:r w:rsidR="00FF3808">
        <w:t>’</w:t>
      </w:r>
      <w:r>
        <w:t xml:space="preserve"> </w:t>
      </w:r>
      <w:r w:rsidR="006834DD">
        <w:t xml:space="preserve">exposures </w:t>
      </w:r>
      <w:r>
        <w:t xml:space="preserve">for </w:t>
      </w:r>
      <w:r w:rsidR="006834DD">
        <w:t xml:space="preserve">the purpose of DGV </w:t>
      </w:r>
      <w:r>
        <w:t xml:space="preserve">derivation. A peculiarity of the dioxin literature was the frequency of acute NOEC and LOEC data, due largely to the </w:t>
      </w:r>
      <w:r w:rsidR="0031419C">
        <w:t xml:space="preserve">often observed </w:t>
      </w:r>
      <w:r>
        <w:t xml:space="preserve">delayed toxic effects </w:t>
      </w:r>
      <w:r w:rsidR="0031419C">
        <w:t xml:space="preserve">following short-term exposure </w:t>
      </w:r>
      <w:r>
        <w:t xml:space="preserve">and the fact that experiments were often not designed </w:t>
      </w:r>
      <w:r w:rsidR="00FF3808">
        <w:t xml:space="preserve">for </w:t>
      </w:r>
      <w:r>
        <w:t>the primary pu</w:t>
      </w:r>
      <w:r>
        <w:t>rpose of obtaining an aquatic concentration</w:t>
      </w:r>
      <w:r w:rsidR="00FF3808">
        <w:t>–</w:t>
      </w:r>
      <w:r>
        <w:t xml:space="preserve">response relationship. </w:t>
      </w:r>
      <w:r w:rsidR="006834DD">
        <w:t>However, Warne et al. (2018) does not permit the use of acute NOEC or LOEC data for guideline value derivation</w:t>
      </w:r>
      <w:r w:rsidR="002561C8">
        <w:t>;</w:t>
      </w:r>
      <w:r w:rsidR="006834DD">
        <w:t xml:space="preserve"> hence, </w:t>
      </w:r>
      <w:r w:rsidR="006454EB">
        <w:t>such data</w:t>
      </w:r>
      <w:r w:rsidR="006834DD">
        <w:t xml:space="preserve"> were not used for the current derivation. Instead</w:t>
      </w:r>
      <w:r w:rsidR="006454EB">
        <w:t>,</w:t>
      </w:r>
      <w:r>
        <w:t xml:space="preserve"> acute LC5</w:t>
      </w:r>
      <w:r>
        <w:t xml:space="preserve">0 </w:t>
      </w:r>
      <w:r w:rsidR="006834DD">
        <w:t>values</w:t>
      </w:r>
      <w:r>
        <w:t xml:space="preserve">, </w:t>
      </w:r>
      <w:r w:rsidR="006834DD">
        <w:t>divided by the default</w:t>
      </w:r>
      <w:r>
        <w:t xml:space="preserve"> factor of 10 to derive a chronic </w:t>
      </w:r>
      <w:r w:rsidR="006834DD">
        <w:t xml:space="preserve">‘no or low effect’ equivalent, were selected </w:t>
      </w:r>
      <w:r w:rsidR="006454EB">
        <w:t xml:space="preserve">from acute toxicity studies, </w:t>
      </w:r>
      <w:r w:rsidR="006834DD">
        <w:t>where possible</w:t>
      </w:r>
      <w:r>
        <w:t xml:space="preserve">. </w:t>
      </w:r>
      <w:r w:rsidR="00513554">
        <w:t xml:space="preserve">The permissible dataset comprised toxicity data for </w:t>
      </w:r>
      <w:r>
        <w:t xml:space="preserve">12 species from 5 taxonomic groups. </w:t>
      </w:r>
    </w:p>
    <w:p w14:paraId="5B8549DD" w14:textId="77777777" w:rsidR="008F1B13" w:rsidRDefault="00576A22" w:rsidP="0049421C">
      <w:r>
        <w:t xml:space="preserve">There were few acceptable studies on invertebrates. Miller et al. </w:t>
      </w:r>
      <w:r w:rsidR="00753771">
        <w:t>(1973)</w:t>
      </w:r>
      <w:r>
        <w:t xml:space="preserve"> </w:t>
      </w:r>
      <w:r w:rsidR="00513554">
        <w:t>assessed the chronic toxicity of a</w:t>
      </w:r>
      <w:r>
        <w:t xml:space="preserve"> single concentration (200</w:t>
      </w:r>
      <w:r w:rsidR="00753771">
        <w:t> </w:t>
      </w:r>
      <w:r>
        <w:t xml:space="preserve">ng/L) </w:t>
      </w:r>
      <w:r w:rsidR="00513554">
        <w:t xml:space="preserve">of TCDD </w:t>
      </w:r>
      <w:r>
        <w:t>on three invertebrate species</w:t>
      </w:r>
      <w:r w:rsidR="00BF0351">
        <w:t xml:space="preserve"> (A. </w:t>
      </w:r>
      <w:r w:rsidR="00BF0351" w:rsidRPr="00564705">
        <w:rPr>
          <w:rStyle w:val="Emphasis"/>
        </w:rPr>
        <w:t>aeg</w:t>
      </w:r>
      <w:r w:rsidR="00BF0351">
        <w:rPr>
          <w:rStyle w:val="Emphasis"/>
        </w:rPr>
        <w:t>y</w:t>
      </w:r>
      <w:r w:rsidR="00BF0351" w:rsidRPr="00564705">
        <w:rPr>
          <w:rStyle w:val="Emphasis"/>
        </w:rPr>
        <w:t>pti</w:t>
      </w:r>
      <w:r w:rsidR="00BF0351">
        <w:rPr>
          <w:rStyle w:val="Emphasis"/>
          <w:i w:val="0"/>
          <w:iCs w:val="0"/>
        </w:rPr>
        <w:t xml:space="preserve">, </w:t>
      </w:r>
      <w:r w:rsidR="00BF0351" w:rsidRPr="00BF0351">
        <w:rPr>
          <w:rStyle w:val="Emphasis"/>
        </w:rPr>
        <w:t>Physa</w:t>
      </w:r>
      <w:r w:rsidR="00BF0351">
        <w:rPr>
          <w:rStyle w:val="Emphasis"/>
          <w:i w:val="0"/>
          <w:iCs w:val="0"/>
        </w:rPr>
        <w:t xml:space="preserve"> sp., </w:t>
      </w:r>
      <w:r w:rsidR="00BF0351" w:rsidRPr="00564705">
        <w:rPr>
          <w:rStyle w:val="Emphasis"/>
        </w:rPr>
        <w:t xml:space="preserve">Paranais </w:t>
      </w:r>
      <w:r w:rsidR="00BF0351" w:rsidRPr="00806CA0">
        <w:rPr>
          <w:rStyle w:val="Emphasis"/>
          <w:i w:val="0"/>
          <w:iCs w:val="0"/>
        </w:rPr>
        <w:t>sp.</w:t>
      </w:r>
      <w:r w:rsidR="00BF0351">
        <w:t>)</w:t>
      </w:r>
      <w:r w:rsidR="00513554">
        <w:t>. These were deemed to represent</w:t>
      </w:r>
      <w:r>
        <w:t xml:space="preserve"> NOECs or</w:t>
      </w:r>
      <w:r>
        <w:t xml:space="preserve"> LOECs</w:t>
      </w:r>
      <w:r w:rsidR="00513554">
        <w:t xml:space="preserve"> depending on whether or not a significant effect at this concentration was observed</w:t>
      </w:r>
      <w:r>
        <w:t xml:space="preserve">. The invertebrate and plant data from microcosms </w:t>
      </w:r>
      <w:r w:rsidR="00753771">
        <w:t>(Isensee 1978, Isensee &amp; Jones 1978, Yockim et al. 1978)</w:t>
      </w:r>
      <w:r w:rsidR="00513554">
        <w:t xml:space="preserve"> could not be used</w:t>
      </w:r>
      <w:r>
        <w:t>.</w:t>
      </w:r>
    </w:p>
    <w:p w14:paraId="5B8549DE" w14:textId="77777777" w:rsidR="008F1B13" w:rsidRDefault="00576A22" w:rsidP="0049421C">
      <w:r>
        <w:t xml:space="preserve">Although there were data on </w:t>
      </w:r>
      <w:r w:rsidR="00753771">
        <w:t>four</w:t>
      </w:r>
      <w:r>
        <w:t xml:space="preserve"> amphibi</w:t>
      </w:r>
      <w:r>
        <w:t>an species</w:t>
      </w:r>
      <w:r w:rsidR="00753771">
        <w:t xml:space="preserve"> (McKinney et al. 1985, Jung &amp; Walker 1997)</w:t>
      </w:r>
      <w:r>
        <w:t xml:space="preserve">, three comprised acute NOEC and LOEC data </w:t>
      </w:r>
      <w:r w:rsidR="00753771">
        <w:t xml:space="preserve">that </w:t>
      </w:r>
      <w:r>
        <w:t xml:space="preserve">could not be used for DGV derivation. </w:t>
      </w:r>
      <w:r w:rsidR="00BF0351">
        <w:t xml:space="preserve">However, </w:t>
      </w:r>
      <w:r>
        <w:t>McKinney et al.</w:t>
      </w:r>
      <w:r w:rsidR="00753771">
        <w:t xml:space="preserve"> (1985)</w:t>
      </w:r>
      <w:r>
        <w:t xml:space="preserve"> reported a significant chronic growth inhibition LOEC of 100</w:t>
      </w:r>
      <w:r w:rsidR="00753771">
        <w:t> </w:t>
      </w:r>
      <w:r>
        <w:t>ng/L</w:t>
      </w:r>
      <w:r w:rsidR="00753771">
        <w:t> </w:t>
      </w:r>
      <w:r>
        <w:t xml:space="preserve">TCDD to </w:t>
      </w:r>
      <w:r w:rsidRPr="008F1B13">
        <w:rPr>
          <w:rStyle w:val="Emphasis"/>
        </w:rPr>
        <w:t>Xenopus laevis</w:t>
      </w:r>
      <w:r>
        <w:t xml:space="preserve"> exposed for 30</w:t>
      </w:r>
      <w:r w:rsidR="00753771">
        <w:t> </w:t>
      </w:r>
      <w:r>
        <w:t xml:space="preserve">days followed by 21-d depuration. </w:t>
      </w:r>
    </w:p>
    <w:p w14:paraId="5B8549DF" w14:textId="77777777" w:rsidR="008F1B13" w:rsidRDefault="00576A22" w:rsidP="0049421C">
      <w:r>
        <w:t xml:space="preserve">Most of the fish </w:t>
      </w:r>
      <w:r w:rsidR="006454EB">
        <w:t xml:space="preserve">toxicity </w:t>
      </w:r>
      <w:r>
        <w:t xml:space="preserve">data were on embryos. The comparative toxicity data for </w:t>
      </w:r>
      <w:r w:rsidR="007C2698">
        <w:t>seven</w:t>
      </w:r>
      <w:r>
        <w:t xml:space="preserve"> fish species by Elonen et al. </w:t>
      </w:r>
      <w:r w:rsidR="00F71A60">
        <w:t>(1998)</w:t>
      </w:r>
      <w:r>
        <w:t xml:space="preserve"> could not be used (see Section</w:t>
      </w:r>
      <w:r w:rsidR="007152D6">
        <w:t> </w:t>
      </w:r>
      <w:r w:rsidR="007152D6">
        <w:fldChar w:fldCharType="begin"/>
      </w:r>
      <w:r w:rsidR="007152D6">
        <w:instrText xml:space="preserve"> REF _Ref37255227 \r \h </w:instrText>
      </w:r>
      <w:r w:rsidR="007152D6">
        <w:fldChar w:fldCharType="separate"/>
      </w:r>
      <w:r w:rsidR="008E67C0">
        <w:t>2.5</w:t>
      </w:r>
      <w:r w:rsidR="007152D6">
        <w:fldChar w:fldCharType="end"/>
      </w:r>
      <w:r>
        <w:t xml:space="preserve">), which eliminated </w:t>
      </w:r>
      <w:r w:rsidR="00F71A60">
        <w:t>three</w:t>
      </w:r>
      <w:r>
        <w:t xml:space="preserve"> species, </w:t>
      </w:r>
      <w:r w:rsidRPr="008F1B13">
        <w:rPr>
          <w:rStyle w:val="Emphasis"/>
        </w:rPr>
        <w:t>Catastomus commersoni</w:t>
      </w:r>
      <w:r>
        <w:t xml:space="preserve">, </w:t>
      </w:r>
      <w:r w:rsidRPr="008F1B13">
        <w:rPr>
          <w:rStyle w:val="Emphasis"/>
        </w:rPr>
        <w:t>Coregonus artedi</w:t>
      </w:r>
      <w:r>
        <w:t xml:space="preserve">, </w:t>
      </w:r>
      <w:r w:rsidRPr="008F1B13">
        <w:rPr>
          <w:rStyle w:val="Emphasis"/>
        </w:rPr>
        <w:t>Ictalurus punctatus</w:t>
      </w:r>
      <w:r>
        <w:t xml:space="preserve">, and reduced the </w:t>
      </w:r>
      <w:r w:rsidR="0031419C">
        <w:t xml:space="preserve">amount of </w:t>
      </w:r>
      <w:r>
        <w:t xml:space="preserve">data </w:t>
      </w:r>
      <w:r w:rsidR="0031419C">
        <w:t xml:space="preserve">available for </w:t>
      </w:r>
      <w:r w:rsidR="00F71A60">
        <w:t>four</w:t>
      </w:r>
      <w:r>
        <w:t xml:space="preserve"> others. </w:t>
      </w:r>
    </w:p>
    <w:p w14:paraId="5B8549E0" w14:textId="77777777" w:rsidR="006454EB" w:rsidRDefault="00576A22" w:rsidP="0049421C">
      <w:r w:rsidRPr="00E5198D">
        <w:t>Cook et al.</w:t>
      </w:r>
      <w:r w:rsidR="00F71A60" w:rsidRPr="00E5198D">
        <w:t xml:space="preserve"> (1991)</w:t>
      </w:r>
      <w:r w:rsidRPr="00E5198D">
        <w:t xml:space="preserve"> provided the only wate</w:t>
      </w:r>
      <w:r w:rsidRPr="00E5198D">
        <w:t xml:space="preserve">rborne exposure data on carp </w:t>
      </w:r>
      <w:r w:rsidR="00811C3B" w:rsidRPr="00E5198D">
        <w:rPr>
          <w:rStyle w:val="Emphasis"/>
        </w:rPr>
        <w:t xml:space="preserve">C. </w:t>
      </w:r>
      <w:r w:rsidRPr="00E5198D">
        <w:rPr>
          <w:rStyle w:val="Emphasis"/>
        </w:rPr>
        <w:t>carpio</w:t>
      </w:r>
      <w:r w:rsidRPr="00E5198D">
        <w:t xml:space="preserve"> (adults) in a 71-d chronic exposure to </w:t>
      </w:r>
      <w:r w:rsidR="00484C14" w:rsidRPr="00E5198D">
        <w:t xml:space="preserve">a single concentration of </w:t>
      </w:r>
      <w:r w:rsidRPr="00E5198D">
        <w:t>0.06</w:t>
      </w:r>
      <w:r w:rsidR="00F71A60" w:rsidRPr="00E5198D">
        <w:t> </w:t>
      </w:r>
      <w:r w:rsidRPr="00E5198D">
        <w:t>ng/L</w:t>
      </w:r>
      <w:r w:rsidR="00F71A60" w:rsidRPr="00E5198D">
        <w:t> </w:t>
      </w:r>
      <w:r w:rsidRPr="00E5198D">
        <w:t xml:space="preserve">TCDD in an experiment designed to determine bioconcentration. </w:t>
      </w:r>
      <w:r w:rsidR="00484C14" w:rsidRPr="00E5198D">
        <w:t>T</w:t>
      </w:r>
      <w:r w:rsidR="00484C14" w:rsidRPr="00E5198D">
        <w:rPr>
          <w:bCs/>
        </w:rPr>
        <w:t>he authors reported that 11 of 90 (</w:t>
      </w:r>
      <w:r w:rsidR="00E0494B" w:rsidRPr="00E5198D">
        <w:rPr>
          <w:bCs/>
        </w:rPr>
        <w:t xml:space="preserve">i.e. </w:t>
      </w:r>
      <w:r w:rsidR="00484C14" w:rsidRPr="00E5198D">
        <w:rPr>
          <w:bCs/>
        </w:rPr>
        <w:t xml:space="preserve">12%) exposed fish died just before or during the depuration period compared to none in the control group, but that the number of deaths would likely have been greater had fish not been sub-sampled for residue analysis throughout the </w:t>
      </w:r>
      <w:r w:rsidR="009C16D8">
        <w:rPr>
          <w:bCs/>
        </w:rPr>
        <w:t>experiment</w:t>
      </w:r>
      <w:r w:rsidR="00484C14" w:rsidRPr="00E5198D">
        <w:rPr>
          <w:bCs/>
        </w:rPr>
        <w:t>. Additionally, a wide range of lesions and deformities were observed in surviving fish that had been exposed to TCDD. Hence, the single exposure concentration was</w:t>
      </w:r>
      <w:r w:rsidRPr="00E5198D">
        <w:t xml:space="preserve"> considered equivalent to a </w:t>
      </w:r>
      <w:r w:rsidR="00484C14" w:rsidRPr="00E5198D">
        <w:t>LOEC</w:t>
      </w:r>
      <w:r>
        <w:t xml:space="preserve">. </w:t>
      </w:r>
      <w:r w:rsidR="00E0494B">
        <w:t xml:space="preserve">Despite the experimental limitations, the toxicity value was included in the final dataset, largely </w:t>
      </w:r>
      <w:r w:rsidR="00C23867">
        <w:t>because</w:t>
      </w:r>
      <w:r w:rsidR="00E0494B">
        <w:t xml:space="preserve"> it demonstrated chronic lethal and sub-lethal effects on a fish species at the more sensitive end of the fish species sensitivity distribution.</w:t>
      </w:r>
    </w:p>
    <w:p w14:paraId="5B8549E1" w14:textId="77777777" w:rsidR="008F1B13" w:rsidRDefault="00576A22" w:rsidP="0049421C">
      <w:r>
        <w:t>Although the zebrafish is used as a model organism for determining mechanisms of TCDD toxicity, the only data o</w:t>
      </w:r>
      <w:r>
        <w:t xml:space="preserve">n this species suitable for </w:t>
      </w:r>
      <w:r w:rsidR="006454EB">
        <w:t xml:space="preserve">DGV </w:t>
      </w:r>
      <w:r>
        <w:t>derivation were by Henry et al.</w:t>
      </w:r>
      <w:r w:rsidR="00F71A60">
        <w:t xml:space="preserve"> (1997)</w:t>
      </w:r>
      <w:r>
        <w:t>, who exposed embryos for 1</w:t>
      </w:r>
      <w:r w:rsidR="00F71A60">
        <w:t> </w:t>
      </w:r>
      <w:r>
        <w:t xml:space="preserve">hour </w:t>
      </w:r>
      <w:r w:rsidR="00F71A60">
        <w:t xml:space="preserve">and </w:t>
      </w:r>
      <w:r>
        <w:t>observed effects for 10</w:t>
      </w:r>
      <w:r w:rsidR="00F71A60">
        <w:t> </w:t>
      </w:r>
      <w:r>
        <w:t>days; they found no effect at the lowest concentration (acute NOEC) of 35</w:t>
      </w:r>
      <w:r w:rsidR="00F71A60">
        <w:t> </w:t>
      </w:r>
      <w:r>
        <w:t xml:space="preserve">ng/L (longer exposures may have given lower </w:t>
      </w:r>
      <w:r w:rsidR="00D11183">
        <w:t>values</w:t>
      </w:r>
      <w:r>
        <w:t>)</w:t>
      </w:r>
      <w:r w:rsidR="006454EB">
        <w:t xml:space="preserve"> and, therefore, the data were not </w:t>
      </w:r>
      <w:r>
        <w:t>used.</w:t>
      </w:r>
    </w:p>
    <w:p w14:paraId="5B8549E2" w14:textId="77777777" w:rsidR="008F1B13" w:rsidRDefault="00576A22" w:rsidP="0049421C">
      <w:r>
        <w:t>Helder</w:t>
      </w:r>
      <w:r w:rsidR="00F71A60">
        <w:t xml:space="preserve"> (1980)</w:t>
      </w:r>
      <w:r>
        <w:t xml:space="preserve"> exposed </w:t>
      </w:r>
      <w:r w:rsidRPr="008F1B13">
        <w:rPr>
          <w:rStyle w:val="Emphasis"/>
        </w:rPr>
        <w:t>Esox lucius</w:t>
      </w:r>
      <w:r>
        <w:t xml:space="preserve"> embryos to TCDD for 4</w:t>
      </w:r>
      <w:r w:rsidR="00F71A60">
        <w:t> </w:t>
      </w:r>
      <w:r>
        <w:t>days and observed effects for up to 21</w:t>
      </w:r>
      <w:r w:rsidR="00F71A60">
        <w:t> </w:t>
      </w:r>
      <w:r>
        <w:t>days. Various adverse effects occurred between 0.1</w:t>
      </w:r>
      <w:r w:rsidR="00F71A60">
        <w:t> ng/L</w:t>
      </w:r>
      <w:r>
        <w:t xml:space="preserve"> and 1</w:t>
      </w:r>
      <w:r w:rsidR="00F71A60">
        <w:t> </w:t>
      </w:r>
      <w:r>
        <w:t xml:space="preserve">ng/L, with </w:t>
      </w:r>
      <w:r w:rsidR="006454EB">
        <w:t xml:space="preserve">49% mortality at 1 ng/L and </w:t>
      </w:r>
      <w:r>
        <w:t>100% mortality at 1</w:t>
      </w:r>
      <w:r>
        <w:t>0</w:t>
      </w:r>
      <w:r w:rsidR="00F71A60">
        <w:t> </w:t>
      </w:r>
      <w:r>
        <w:t>ng/L after 21</w:t>
      </w:r>
      <w:r w:rsidR="003057F4">
        <w:t> </w:t>
      </w:r>
      <w:r>
        <w:t>d</w:t>
      </w:r>
      <w:r w:rsidR="003057F4">
        <w:t>ays</w:t>
      </w:r>
      <w:r>
        <w:t xml:space="preserve">. </w:t>
      </w:r>
      <w:r w:rsidR="006454EB">
        <w:t>The</w:t>
      </w:r>
      <w:r>
        <w:t xml:space="preserve"> 49% mortality</w:t>
      </w:r>
      <w:r w:rsidR="006454EB">
        <w:t xml:space="preserve"> rate</w:t>
      </w:r>
      <w:r>
        <w:t xml:space="preserve"> at 1</w:t>
      </w:r>
      <w:r w:rsidR="00F71A60">
        <w:t> </w:t>
      </w:r>
      <w:r>
        <w:t>ng/L</w:t>
      </w:r>
      <w:r w:rsidR="006454EB">
        <w:t xml:space="preserve"> was deemed to be sufficiently representative of</w:t>
      </w:r>
      <w:r>
        <w:t xml:space="preserve"> an LC50</w:t>
      </w:r>
      <w:r w:rsidR="006454EB">
        <w:t xml:space="preserve"> (given </w:t>
      </w:r>
      <w:r w:rsidR="00AA55E4">
        <w:t xml:space="preserve">typical </w:t>
      </w:r>
      <w:r w:rsidR="006454EB">
        <w:t>errors in LC50 estimation) and</w:t>
      </w:r>
      <w:r w:rsidR="00586F8B">
        <w:t>, thus,</w:t>
      </w:r>
      <w:r w:rsidR="006454EB">
        <w:t xml:space="preserve"> was used for the derivation after being</w:t>
      </w:r>
      <w:r w:rsidR="001360DC">
        <w:t xml:space="preserve"> </w:t>
      </w:r>
      <w:r>
        <w:t>convert</w:t>
      </w:r>
      <w:r w:rsidR="001360DC">
        <w:t>ed</w:t>
      </w:r>
      <w:r>
        <w:t xml:space="preserve"> to a chronic </w:t>
      </w:r>
      <w:r w:rsidR="00303B66">
        <w:t>‘no or low effect’ equivalent</w:t>
      </w:r>
      <w:r>
        <w:t xml:space="preserve"> of 0.1</w:t>
      </w:r>
      <w:r w:rsidR="00F71A60">
        <w:t> </w:t>
      </w:r>
      <w:r>
        <w:t>ng/L</w:t>
      </w:r>
      <w:r w:rsidR="001360DC">
        <w:t xml:space="preserve"> by applying the default acute-to-chronic ratio (ACR) of 10. </w:t>
      </w:r>
    </w:p>
    <w:p w14:paraId="5B8549E3" w14:textId="77777777" w:rsidR="008F1B13" w:rsidRDefault="00576A22" w:rsidP="0049421C">
      <w:r>
        <w:t xml:space="preserve">Miller et al. </w:t>
      </w:r>
      <w:r w:rsidR="00F71A60">
        <w:t>(1973, 1979)</w:t>
      </w:r>
      <w:r>
        <w:t xml:space="preserve"> exposed juvenile </w:t>
      </w:r>
      <w:r w:rsidR="00811C3B" w:rsidRPr="008F1B13">
        <w:rPr>
          <w:rStyle w:val="Emphasis"/>
        </w:rPr>
        <w:t>O</w:t>
      </w:r>
      <w:r w:rsidR="00811C3B">
        <w:rPr>
          <w:rStyle w:val="Emphasis"/>
        </w:rPr>
        <w:t>.</w:t>
      </w:r>
      <w:r w:rsidR="00811C3B" w:rsidRPr="008F1B13">
        <w:rPr>
          <w:rStyle w:val="Emphasis"/>
        </w:rPr>
        <w:t xml:space="preserve"> </w:t>
      </w:r>
      <w:r w:rsidRPr="008F1B13">
        <w:rPr>
          <w:rStyle w:val="Emphasis"/>
        </w:rPr>
        <w:t>kisutch</w:t>
      </w:r>
      <w:r>
        <w:t xml:space="preserve"> to TCDD for 4</w:t>
      </w:r>
      <w:r w:rsidR="00F71A60">
        <w:t> </w:t>
      </w:r>
      <w:r>
        <w:t xml:space="preserve">days and observed effects for </w:t>
      </w:r>
      <w:r w:rsidR="0008224C">
        <w:br/>
      </w:r>
      <w:r>
        <w:t>60</w:t>
      </w:r>
      <w:r w:rsidR="003057F4">
        <w:t xml:space="preserve"> to </w:t>
      </w:r>
      <w:r>
        <w:t>114</w:t>
      </w:r>
      <w:r w:rsidR="00F71A60">
        <w:t> </w:t>
      </w:r>
      <w:r>
        <w:t xml:space="preserve">days in three separate experiments. A mortality </w:t>
      </w:r>
      <w:r w:rsidR="00C149DB">
        <w:t xml:space="preserve">rate </w:t>
      </w:r>
      <w:r>
        <w:t>of 12% was reported at 0.056</w:t>
      </w:r>
      <w:r w:rsidR="00F71A60">
        <w:t> </w:t>
      </w:r>
      <w:r>
        <w:t>ng/L after 60</w:t>
      </w:r>
      <w:r w:rsidR="00E30397">
        <w:t> </w:t>
      </w:r>
      <w:r>
        <w:t>d</w:t>
      </w:r>
      <w:r w:rsidR="003057F4">
        <w:t>ays</w:t>
      </w:r>
      <w:r>
        <w:t xml:space="preserve"> </w:t>
      </w:r>
      <w:r w:rsidR="00F06339">
        <w:t xml:space="preserve">post-exposure </w:t>
      </w:r>
      <w:r w:rsidR="00FB3B29">
        <w:t>(</w:t>
      </w:r>
      <w:r w:rsidR="00F06339">
        <w:t>M</w:t>
      </w:r>
      <w:r w:rsidR="00FB3B29">
        <w:t>iller et al. 1973</w:t>
      </w:r>
      <w:r w:rsidR="00F06339">
        <w:t>). However, mortality at 0.56</w:t>
      </w:r>
      <w:r w:rsidR="0008224C">
        <w:t> </w:t>
      </w:r>
      <w:r w:rsidR="00F06339">
        <w:t xml:space="preserve">ng/L </w:t>
      </w:r>
      <w:r w:rsidR="004A5DAD">
        <w:t>for</w:t>
      </w:r>
      <w:r w:rsidR="00C149DB">
        <w:t xml:space="preserve"> the same period </w:t>
      </w:r>
      <w:r w:rsidR="00F06339">
        <w:t xml:space="preserve">was very similar (Miller et al. 1973), indicating </w:t>
      </w:r>
      <w:r w:rsidR="00586F8B">
        <w:t>the</w:t>
      </w:r>
      <w:r w:rsidR="00F06339">
        <w:t xml:space="preserve"> lack of </w:t>
      </w:r>
      <w:r w:rsidR="00586F8B">
        <w:t xml:space="preserve">a </w:t>
      </w:r>
      <w:r w:rsidR="00F06339">
        <w:t>concentration</w:t>
      </w:r>
      <w:r w:rsidR="0008224C">
        <w:t>–</w:t>
      </w:r>
      <w:r w:rsidR="00F06339">
        <w:t xml:space="preserve">response relationship in this concentration range. </w:t>
      </w:r>
      <w:r w:rsidR="00586F8B">
        <w:t xml:space="preserve">The next highest concentration of </w:t>
      </w:r>
      <w:r>
        <w:t>5.6</w:t>
      </w:r>
      <w:r w:rsidR="00F71A60">
        <w:t> </w:t>
      </w:r>
      <w:r>
        <w:t>ng/L</w:t>
      </w:r>
      <w:r w:rsidR="00586F8B">
        <w:t xml:space="preserve"> resulted in</w:t>
      </w:r>
      <w:r w:rsidR="00D13109">
        <w:t xml:space="preserve"> 55% mortality </w:t>
      </w:r>
      <w:r w:rsidR="00C149DB">
        <w:t>aft</w:t>
      </w:r>
      <w:r w:rsidR="00E014D0">
        <w:t xml:space="preserve">er </w:t>
      </w:r>
      <w:r w:rsidR="00C149DB">
        <w:t>60</w:t>
      </w:r>
      <w:r w:rsidR="00E30397">
        <w:t> </w:t>
      </w:r>
      <w:r w:rsidR="00C149DB">
        <w:t>d</w:t>
      </w:r>
      <w:r w:rsidR="003057F4">
        <w:t>ays</w:t>
      </w:r>
      <w:r w:rsidR="00C149DB">
        <w:t xml:space="preserve"> post-exposure</w:t>
      </w:r>
      <w:r w:rsidR="00586F8B">
        <w:t xml:space="preserve">. </w:t>
      </w:r>
      <w:r w:rsidR="00F06339">
        <w:t>This value was</w:t>
      </w:r>
      <w:r>
        <w:t xml:space="preserve"> </w:t>
      </w:r>
      <w:r w:rsidR="00586F8B">
        <w:t xml:space="preserve">deemed to be sufficiently representative of an LC50 (given </w:t>
      </w:r>
      <w:r w:rsidR="00AA55E4">
        <w:t xml:space="preserve">typical </w:t>
      </w:r>
      <w:r w:rsidR="00586F8B">
        <w:t xml:space="preserve">errors in LC50 estimation) and, thus, was used for the derivation after being converted to a chronic </w:t>
      </w:r>
      <w:r w:rsidR="00303B66">
        <w:t>‘no or low effect’ equivalent</w:t>
      </w:r>
      <w:r w:rsidR="00586F8B">
        <w:t xml:space="preserve"> of 0.56 ng/L by applying the default ACR of 10</w:t>
      </w:r>
      <w:r>
        <w:t xml:space="preserve">. </w:t>
      </w:r>
    </w:p>
    <w:p w14:paraId="5B8549E4" w14:textId="77777777" w:rsidR="008F1B13" w:rsidRDefault="00576A22" w:rsidP="0049421C">
      <w:r>
        <w:t>Five papers on TCDD toxicity to eggs</w:t>
      </w:r>
      <w:r w:rsidR="00F71A60">
        <w:t>,</w:t>
      </w:r>
      <w:r>
        <w:t xml:space="preserve"> yolk-sac fry and larvae of </w:t>
      </w:r>
      <w:r w:rsidR="00811C3B" w:rsidRPr="008F1B13">
        <w:rPr>
          <w:rStyle w:val="Emphasis"/>
        </w:rPr>
        <w:t>O</w:t>
      </w:r>
      <w:r w:rsidR="00811C3B">
        <w:rPr>
          <w:rStyle w:val="Emphasis"/>
        </w:rPr>
        <w:t>.</w:t>
      </w:r>
      <w:r w:rsidR="00811C3B" w:rsidRPr="008F1B13">
        <w:rPr>
          <w:rStyle w:val="Emphasis"/>
        </w:rPr>
        <w:t xml:space="preserve"> </w:t>
      </w:r>
      <w:r w:rsidRPr="008F1B13">
        <w:rPr>
          <w:rStyle w:val="Emphasis"/>
        </w:rPr>
        <w:t>mykiss</w:t>
      </w:r>
      <w:r>
        <w:t xml:space="preserve"> provided mortal</w:t>
      </w:r>
      <w:r>
        <w:t>ity and growth data</w:t>
      </w:r>
      <w:r w:rsidR="00F71A60">
        <w:t xml:space="preserve"> (</w:t>
      </w:r>
      <w:r w:rsidR="00F70CF0">
        <w:t>Helder 1981, Helder &amp; Seinen 1985, Mehrle et al. 1988, Bol</w:t>
      </w:r>
      <w:r w:rsidR="00864833">
        <w:t xml:space="preserve"> et al. 1989, Walker et al. </w:t>
      </w:r>
      <w:r w:rsidR="00F70CF0">
        <w:t>1992)</w:t>
      </w:r>
      <w:r>
        <w:t>. Most were on 2</w:t>
      </w:r>
      <w:r w:rsidR="00586F8B">
        <w:t>-</w:t>
      </w:r>
      <w:r w:rsidR="00864833">
        <w:t>d</w:t>
      </w:r>
      <w:r w:rsidR="00586F8B">
        <w:t xml:space="preserve"> to </w:t>
      </w:r>
      <w:r>
        <w:t>4</w:t>
      </w:r>
      <w:r w:rsidR="00F70CF0">
        <w:t>-</w:t>
      </w:r>
      <w:r>
        <w:t xml:space="preserve">d exposures, followed by depuration periods </w:t>
      </w:r>
      <w:r w:rsidR="00586F8B">
        <w:t xml:space="preserve">of </w:t>
      </w:r>
      <w:r>
        <w:t>between 16</w:t>
      </w:r>
      <w:r w:rsidR="00E30397">
        <w:t> </w:t>
      </w:r>
      <w:r w:rsidR="00F70CF0">
        <w:t>d</w:t>
      </w:r>
      <w:r w:rsidR="00E30397">
        <w:t>ays</w:t>
      </w:r>
      <w:r>
        <w:t xml:space="preserve"> and 160</w:t>
      </w:r>
      <w:r w:rsidR="00E30397">
        <w:t> </w:t>
      </w:r>
      <w:r>
        <w:t>d</w:t>
      </w:r>
      <w:r w:rsidR="00E30397">
        <w:t>ays</w:t>
      </w:r>
      <w:r w:rsidR="00BD1832">
        <w:t xml:space="preserve">. </w:t>
      </w:r>
      <w:r>
        <w:t xml:space="preserve">Mehrle et al. </w:t>
      </w:r>
      <w:r w:rsidR="00BD1832">
        <w:t>(1988)</w:t>
      </w:r>
      <w:r>
        <w:t xml:space="preserve"> reported a chronic growth inhibition LOEC to swim-up fry at </w:t>
      </w:r>
      <w:r w:rsidR="00303B66">
        <w:t xml:space="preserve">the lowest concentration tested, </w:t>
      </w:r>
      <w:r>
        <w:t>0.038</w:t>
      </w:r>
      <w:r w:rsidR="00BD1832">
        <w:t> </w:t>
      </w:r>
      <w:r>
        <w:t>ng/L</w:t>
      </w:r>
      <w:r w:rsidR="00303B66">
        <w:t>,</w:t>
      </w:r>
      <w:r>
        <w:t xml:space="preserve"> after 28-d exposure and</w:t>
      </w:r>
      <w:r w:rsidR="00BD1832">
        <w:t xml:space="preserve"> a</w:t>
      </w:r>
      <w:r>
        <w:t xml:space="preserve"> mortality LOEC </w:t>
      </w:r>
      <w:r w:rsidR="00303B66">
        <w:t xml:space="preserve">also </w:t>
      </w:r>
      <w:r>
        <w:t>at 0.038</w:t>
      </w:r>
      <w:r w:rsidR="00BD1832">
        <w:t> </w:t>
      </w:r>
      <w:r>
        <w:t>ng/L</w:t>
      </w:r>
      <w:r w:rsidR="00586F8B">
        <w:t xml:space="preserve"> </w:t>
      </w:r>
      <w:r>
        <w:t xml:space="preserve">after a further 28-d depuration period. This </w:t>
      </w:r>
      <w:r w:rsidR="00303B66">
        <w:t xml:space="preserve">value </w:t>
      </w:r>
      <w:r>
        <w:t xml:space="preserve">was used after </w:t>
      </w:r>
      <w:r w:rsidR="00C05926">
        <w:t>being converted to a chronic ‘no or low effect’ equivalent of 0.015 ng/L by applying the default conversion factor of 2.5</w:t>
      </w:r>
      <w:r w:rsidR="00864833">
        <w:t xml:space="preserve">. </w:t>
      </w:r>
    </w:p>
    <w:p w14:paraId="5B8549E5" w14:textId="77777777" w:rsidR="008F1B13" w:rsidRDefault="00576A22" w:rsidP="0049421C">
      <w:r>
        <w:t>Wisk and Cooper</w:t>
      </w:r>
      <w:r w:rsidR="00BD1832">
        <w:t xml:space="preserve"> (1990)</w:t>
      </w:r>
      <w:r>
        <w:t xml:space="preserve"> exposed embryos of </w:t>
      </w:r>
      <w:r w:rsidR="000446ED" w:rsidRPr="008F1B13">
        <w:rPr>
          <w:rStyle w:val="Emphasis"/>
        </w:rPr>
        <w:t>O</w:t>
      </w:r>
      <w:r w:rsidR="000446ED">
        <w:rPr>
          <w:rStyle w:val="Emphasis"/>
        </w:rPr>
        <w:t>.</w:t>
      </w:r>
      <w:r w:rsidR="000446ED" w:rsidRPr="008F1B13">
        <w:rPr>
          <w:rStyle w:val="Emphasis"/>
        </w:rPr>
        <w:t xml:space="preserve"> </w:t>
      </w:r>
      <w:r w:rsidRPr="008F1B13">
        <w:rPr>
          <w:rStyle w:val="Emphasis"/>
        </w:rPr>
        <w:t>latipes</w:t>
      </w:r>
      <w:r>
        <w:t xml:space="preserve"> to TCDD for 11 days and determined an LC50 of 9</w:t>
      </w:r>
      <w:r w:rsidR="00E30397">
        <w:t xml:space="preserve"> to </w:t>
      </w:r>
      <w:r>
        <w:t>13</w:t>
      </w:r>
      <w:r w:rsidR="001F35AA">
        <w:t> </w:t>
      </w:r>
      <w:r>
        <w:t>ng/L; other effects</w:t>
      </w:r>
      <w:r w:rsidR="001F35AA">
        <w:t>,</w:t>
      </w:r>
      <w:r>
        <w:t xml:space="preserve"> such as life-threatening les</w:t>
      </w:r>
      <w:r>
        <w:t>ions and prevention of hatching</w:t>
      </w:r>
      <w:r w:rsidR="001F35AA">
        <w:t>,</w:t>
      </w:r>
      <w:r>
        <w:t xml:space="preserve"> had EC50 values of 14</w:t>
      </w:r>
      <w:r w:rsidR="00E30397">
        <w:t xml:space="preserve"> to </w:t>
      </w:r>
      <w:r>
        <w:t>17</w:t>
      </w:r>
      <w:r w:rsidR="001F35AA">
        <w:t> </w:t>
      </w:r>
      <w:r>
        <w:t xml:space="preserve">ng/L. </w:t>
      </w:r>
      <w:r w:rsidRPr="00E5198D">
        <w:t>Kim and Cooper</w:t>
      </w:r>
      <w:r w:rsidR="001F35AA" w:rsidRPr="00E5198D">
        <w:t xml:space="preserve"> (1999)</w:t>
      </w:r>
      <w:r w:rsidRPr="00E5198D">
        <w:t xml:space="preserve"> determined a NOEC</w:t>
      </w:r>
      <w:r w:rsidR="002F0A4C" w:rsidRPr="00E5198D">
        <w:t xml:space="preserve"> and </w:t>
      </w:r>
      <w:r w:rsidRPr="00E5198D">
        <w:t>LOEC of 2.5</w:t>
      </w:r>
      <w:r w:rsidR="001F35AA" w:rsidRPr="00E5198D">
        <w:t> ng/L</w:t>
      </w:r>
      <w:r w:rsidR="002F0A4C" w:rsidRPr="00E5198D">
        <w:t xml:space="preserve"> and</w:t>
      </w:r>
      <w:r w:rsidRPr="00E5198D">
        <w:t xml:space="preserve"> 5.6</w:t>
      </w:r>
      <w:r w:rsidR="001F35AA" w:rsidRPr="00E5198D">
        <w:t> ng/L</w:t>
      </w:r>
      <w:r w:rsidRPr="00E5198D">
        <w:t>, respectively, for mortality to embryos of this species</w:t>
      </w:r>
      <w:r w:rsidR="002F0A4C" w:rsidRPr="00E5198D">
        <w:t>, with the</w:t>
      </w:r>
      <w:r w:rsidRPr="00E5198D">
        <w:t xml:space="preserve"> </w:t>
      </w:r>
      <w:r w:rsidR="002F0A4C" w:rsidRPr="00E5198D">
        <w:t>NOEC</w:t>
      </w:r>
      <w:r w:rsidR="002F0A4C">
        <w:t xml:space="preserve"> being used for the </w:t>
      </w:r>
      <w:r w:rsidR="00203E52">
        <w:t xml:space="preserve">DGV </w:t>
      </w:r>
      <w:r w:rsidR="002F0A4C">
        <w:t>derivation</w:t>
      </w:r>
      <w:r>
        <w:t xml:space="preserve">. </w:t>
      </w:r>
    </w:p>
    <w:p w14:paraId="5B8549E6" w14:textId="77777777" w:rsidR="008F1B13" w:rsidRDefault="00576A22" w:rsidP="0049421C">
      <w:r>
        <w:t xml:space="preserve">Cook </w:t>
      </w:r>
      <w:r>
        <w:t>et al.</w:t>
      </w:r>
      <w:r w:rsidR="001F35AA">
        <w:t xml:space="preserve"> (1991)</w:t>
      </w:r>
      <w:r>
        <w:t xml:space="preserve"> exposed fathead minnow </w:t>
      </w:r>
      <w:r w:rsidR="000446ED" w:rsidRPr="008F1B13">
        <w:rPr>
          <w:rStyle w:val="Emphasis"/>
        </w:rPr>
        <w:t>P</w:t>
      </w:r>
      <w:r w:rsidR="000446ED">
        <w:rPr>
          <w:rStyle w:val="Emphasis"/>
        </w:rPr>
        <w:t>.</w:t>
      </w:r>
      <w:r w:rsidR="000446ED" w:rsidRPr="008F1B13">
        <w:rPr>
          <w:rStyle w:val="Emphasis"/>
        </w:rPr>
        <w:t xml:space="preserve"> </w:t>
      </w:r>
      <w:r w:rsidRPr="008F1B13">
        <w:rPr>
          <w:rStyle w:val="Emphasis"/>
        </w:rPr>
        <w:t>promelas</w:t>
      </w:r>
      <w:r>
        <w:t xml:space="preserve"> juveniles for 71</w:t>
      </w:r>
      <w:r w:rsidR="001F35AA">
        <w:t> </w:t>
      </w:r>
      <w:r>
        <w:t xml:space="preserve">days, followed by 61-d depuration </w:t>
      </w:r>
      <w:r w:rsidR="00203E52">
        <w:t>to assess bioconcentration</w:t>
      </w:r>
      <w:r>
        <w:t xml:space="preserve">, but there was insufficient information on mortality and </w:t>
      </w:r>
      <w:r w:rsidR="00203E52">
        <w:t xml:space="preserve">other </w:t>
      </w:r>
      <w:r>
        <w:t xml:space="preserve">endpoints to derive a toxicity </w:t>
      </w:r>
      <w:r w:rsidR="00D11183">
        <w:t>value</w:t>
      </w:r>
      <w:r>
        <w:t xml:space="preserve"> for use; the authors noted ju</w:t>
      </w:r>
      <w:r>
        <w:t xml:space="preserve">st </w:t>
      </w:r>
      <w:r w:rsidR="001F35AA">
        <w:t>‘</w:t>
      </w:r>
      <w:r>
        <w:t>a variety of toxic signs</w:t>
      </w:r>
      <w:r w:rsidR="001F35AA">
        <w:t>’</w:t>
      </w:r>
      <w:r>
        <w:t xml:space="preserve"> at 0.049</w:t>
      </w:r>
      <w:r w:rsidR="00E30397">
        <w:t xml:space="preserve"> to </w:t>
      </w:r>
      <w:r>
        <w:t>0.067</w:t>
      </w:r>
      <w:r w:rsidR="001F35AA">
        <w:t> </w:t>
      </w:r>
      <w:r>
        <w:t xml:space="preserve">ng/L. Adams et al. </w:t>
      </w:r>
      <w:r w:rsidR="001F35AA">
        <w:t>(1986)</w:t>
      </w:r>
      <w:r>
        <w:t xml:space="preserve"> exposed </w:t>
      </w:r>
      <w:r w:rsidRPr="008F1B13">
        <w:rPr>
          <w:rStyle w:val="Emphasis"/>
        </w:rPr>
        <w:t>P. promelas</w:t>
      </w:r>
      <w:r>
        <w:t xml:space="preserve"> to TCDD for 4</w:t>
      </w:r>
      <w:r w:rsidR="001F35AA">
        <w:t>-</w:t>
      </w:r>
      <w:r>
        <w:t>d (acute), followed by 60-d depuration</w:t>
      </w:r>
      <w:r w:rsidR="001F35AA">
        <w:t>,</w:t>
      </w:r>
      <w:r>
        <w:t xml:space="preserve"> and noted significant mortality at 7.1</w:t>
      </w:r>
      <w:r w:rsidR="001F35AA">
        <w:t> </w:t>
      </w:r>
      <w:r>
        <w:t>ng/L but not at 0.7</w:t>
      </w:r>
      <w:r w:rsidR="001F35AA">
        <w:t> </w:t>
      </w:r>
      <w:r>
        <w:t>ng/L (NOEC). After a 28-d continuous exposure (ch</w:t>
      </w:r>
      <w:r>
        <w:t>ronic), there was 53% mortality at 1.7</w:t>
      </w:r>
      <w:r w:rsidR="001F35AA">
        <w:t> </w:t>
      </w:r>
      <w:r>
        <w:t>ng/L. Olivieri and Cooper</w:t>
      </w:r>
      <w:r w:rsidR="001F35AA">
        <w:t xml:space="preserve"> (1997)</w:t>
      </w:r>
      <w:r>
        <w:t xml:space="preserve"> </w:t>
      </w:r>
      <w:r w:rsidR="00AA4DCD">
        <w:t xml:space="preserve">reported </w:t>
      </w:r>
      <w:r>
        <w:t>a</w:t>
      </w:r>
      <w:r w:rsidR="00AA4DCD">
        <w:t xml:space="preserve"> chronic</w:t>
      </w:r>
      <w:r>
        <w:t xml:space="preserve"> </w:t>
      </w:r>
      <w:r w:rsidR="00AA4DCD">
        <w:t>LC50 of approximately 7.1</w:t>
      </w:r>
      <w:r w:rsidR="00D11183">
        <w:t> </w:t>
      </w:r>
      <w:r w:rsidR="00AA4DCD">
        <w:t xml:space="preserve">ng/L (based on conversion from a tissue dose) for </w:t>
      </w:r>
      <w:r w:rsidR="00AA4DCD" w:rsidRPr="008F1B13">
        <w:rPr>
          <w:rStyle w:val="Emphasis"/>
        </w:rPr>
        <w:t>P.</w:t>
      </w:r>
      <w:r w:rsidR="00D11183">
        <w:rPr>
          <w:rStyle w:val="Emphasis"/>
        </w:rPr>
        <w:t> </w:t>
      </w:r>
      <w:r w:rsidR="00AA4DCD" w:rsidRPr="008F1B13">
        <w:rPr>
          <w:rStyle w:val="Emphasis"/>
        </w:rPr>
        <w:t>promelas</w:t>
      </w:r>
      <w:r w:rsidR="00AA4DCD">
        <w:t xml:space="preserve"> embryos exposed for 7</w:t>
      </w:r>
      <w:r w:rsidR="00482CD2">
        <w:t> </w:t>
      </w:r>
      <w:r w:rsidR="00AA4DCD">
        <w:t>d</w:t>
      </w:r>
      <w:r w:rsidR="00482CD2">
        <w:t>ays</w:t>
      </w:r>
      <w:r w:rsidR="00AA4DCD">
        <w:t>. Zero mortality was observed up to and including a concentration of 0.59</w:t>
      </w:r>
      <w:r w:rsidR="00D11183">
        <w:t> </w:t>
      </w:r>
      <w:r w:rsidR="00AA4DCD">
        <w:t>ng/L, with 16% mortality reported at 1.2</w:t>
      </w:r>
      <w:r w:rsidR="00D11183">
        <w:t> </w:t>
      </w:r>
      <w:r w:rsidR="00AA4DCD">
        <w:t>ng/L. These could be reliably assumed to represent a chronic NOEC and LOEC, respectively</w:t>
      </w:r>
      <w:r>
        <w:t>. When 1-month</w:t>
      </w:r>
      <w:r w:rsidR="00AB151F">
        <w:t>-</w:t>
      </w:r>
      <w:r>
        <w:t>old larvae were exposed for 1</w:t>
      </w:r>
      <w:r w:rsidR="00AB151F">
        <w:t> </w:t>
      </w:r>
      <w:r>
        <w:t>day, followed by 64-d depuration, the LOEC for growth was 4</w:t>
      </w:r>
      <w:r>
        <w:t>0</w:t>
      </w:r>
      <w:r w:rsidR="00AB151F">
        <w:t> </w:t>
      </w:r>
      <w:r>
        <w:t xml:space="preserve">ng/L and </w:t>
      </w:r>
      <w:r w:rsidR="00AB151F">
        <w:t xml:space="preserve">the </w:t>
      </w:r>
      <w:r>
        <w:t>NOEC was 3.8</w:t>
      </w:r>
      <w:r w:rsidR="00AB151F">
        <w:t> </w:t>
      </w:r>
      <w:r>
        <w:t>ng/L</w:t>
      </w:r>
      <w:r w:rsidR="00AA4DCD">
        <w:t xml:space="preserve"> (Olivieri </w:t>
      </w:r>
      <w:r w:rsidR="00D11183">
        <w:t>&amp;</w:t>
      </w:r>
      <w:r w:rsidR="00AA4DCD">
        <w:t xml:space="preserve"> Cooper 1997)</w:t>
      </w:r>
      <w:r>
        <w:t>. Overall, the chronic mortality NOEC of 0.59</w:t>
      </w:r>
      <w:r w:rsidR="00AB151F">
        <w:t> </w:t>
      </w:r>
      <w:r>
        <w:t xml:space="preserve">ng/L for embryos was used, although the other data support this </w:t>
      </w:r>
      <w:r w:rsidR="00D11183">
        <w:t>value</w:t>
      </w:r>
      <w:r>
        <w:t>.</w:t>
      </w:r>
    </w:p>
    <w:p w14:paraId="5B8549E7" w14:textId="77777777" w:rsidR="008F1B13" w:rsidRDefault="00576A22" w:rsidP="0049421C">
      <w:r>
        <w:t xml:space="preserve">Only acute data were available for </w:t>
      </w:r>
      <w:r w:rsidRPr="0049421C">
        <w:rPr>
          <w:rStyle w:val="Emphasis"/>
        </w:rPr>
        <w:t>Poecilia reticulata</w:t>
      </w:r>
      <w:r>
        <w:t>, with 1</w:t>
      </w:r>
      <w:r w:rsidR="00482CD2">
        <w:t xml:space="preserve"> to </w:t>
      </w:r>
      <w:r>
        <w:t xml:space="preserve">5-d </w:t>
      </w:r>
      <w:r>
        <w:t>exposures followed by a 30</w:t>
      </w:r>
      <w:r w:rsidR="00482CD2">
        <w:t xml:space="preserve"> to </w:t>
      </w:r>
      <w:r>
        <w:t>42-d depuration. The fin necrosis endpoint</w:t>
      </w:r>
      <w:r w:rsidR="00AB151F">
        <w:t xml:space="preserve"> (Miller et al. 1979)</w:t>
      </w:r>
      <w:r>
        <w:t xml:space="preserve"> was expressed as fish body weight (NOEC of 0.08</w:t>
      </w:r>
      <w:r w:rsidR="00AB151F">
        <w:t> </w:t>
      </w:r>
      <w:r>
        <w:t>ng/g)</w:t>
      </w:r>
      <w:r w:rsidR="00740427">
        <w:t xml:space="preserve"> and could not be converted to a waterborne concentration,</w:t>
      </w:r>
      <w:r>
        <w:t xml:space="preserve"> </w:t>
      </w:r>
      <w:r w:rsidR="00740427">
        <w:t xml:space="preserve">while </w:t>
      </w:r>
      <w:r>
        <w:t>other references</w:t>
      </w:r>
      <w:r w:rsidR="00AB151F">
        <w:t xml:space="preserve"> (Miller et al. 1973, Norris &amp; Miller 1974)</w:t>
      </w:r>
      <w:r>
        <w:t xml:space="preserve"> showed effects at much higher concentrations (100</w:t>
      </w:r>
      <w:r w:rsidR="00751A9C">
        <w:t> </w:t>
      </w:r>
      <w:r>
        <w:t>ng/L), which were the lowest concentrations tested. Hence</w:t>
      </w:r>
      <w:r w:rsidR="00751A9C">
        <w:t>,</w:t>
      </w:r>
      <w:r>
        <w:t xml:space="preserve"> no data on this species could be used.  </w:t>
      </w:r>
    </w:p>
    <w:p w14:paraId="5B8549E8" w14:textId="77777777" w:rsidR="008F1B13" w:rsidRDefault="00576A22" w:rsidP="0049421C">
      <w:r>
        <w:t>Walker and Peterson</w:t>
      </w:r>
      <w:r w:rsidR="00940073">
        <w:t xml:space="preserve"> (1994)</w:t>
      </w:r>
      <w:r>
        <w:t xml:space="preserve"> exposed embryos of brook trout </w:t>
      </w:r>
      <w:r w:rsidRPr="0049421C">
        <w:rPr>
          <w:rStyle w:val="Emphasis"/>
        </w:rPr>
        <w:t>Salvelinus fontinalis</w:t>
      </w:r>
      <w:r>
        <w:t xml:space="preserve"> to TCDD fo</w:t>
      </w:r>
      <w:r>
        <w:t>r 2</w:t>
      </w:r>
      <w:r w:rsidR="00482CD2">
        <w:t> </w:t>
      </w:r>
      <w:r>
        <w:t>d</w:t>
      </w:r>
      <w:r w:rsidR="00482CD2">
        <w:t>ays</w:t>
      </w:r>
      <w:r>
        <w:t xml:space="preserve"> followed by </w:t>
      </w:r>
      <w:r w:rsidR="00940073">
        <w:t xml:space="preserve">an </w:t>
      </w:r>
      <w:r>
        <w:t>80-d depuration period</w:t>
      </w:r>
      <w:r w:rsidR="00740427">
        <w:t xml:space="preserve">, reporting </w:t>
      </w:r>
      <w:r>
        <w:t xml:space="preserve">an acute LC50 of </w:t>
      </w:r>
      <w:r w:rsidR="00740427">
        <w:t>200</w:t>
      </w:r>
      <w:r w:rsidR="00962C90">
        <w:t> </w:t>
      </w:r>
      <w:r w:rsidR="00740427">
        <w:t>pg/g egg</w:t>
      </w:r>
      <w:r w:rsidR="00B01EAD">
        <w:t xml:space="preserve">, which </w:t>
      </w:r>
      <w:r w:rsidR="009F07D6">
        <w:t>translat</w:t>
      </w:r>
      <w:r w:rsidR="00B01EAD">
        <w:t>ed to a waterborne concentration of</w:t>
      </w:r>
      <w:r w:rsidR="00740427">
        <w:t xml:space="preserve"> </w:t>
      </w:r>
      <w:r>
        <w:t>9</w:t>
      </w:r>
      <w:r w:rsidR="00940073">
        <w:t> </w:t>
      </w:r>
      <w:r>
        <w:t xml:space="preserve">ng/L </w:t>
      </w:r>
      <w:r w:rsidR="00B01EAD">
        <w:t>(as estimated using waterborne concentration versus egg concentration data). This value was used after being converted to a chronic ‘no or low effect’ equivalent of 0.9 ng/L by applying the default acute-to-chronic ratio (ACR) of 10</w:t>
      </w:r>
      <w:r>
        <w:t xml:space="preserve">. </w:t>
      </w:r>
    </w:p>
    <w:p w14:paraId="5B8549E9" w14:textId="77777777" w:rsidR="008F1B13" w:rsidRDefault="00576A22" w:rsidP="0049421C">
      <w:r>
        <w:t>For lake trout</w:t>
      </w:r>
      <w:r w:rsidR="00D34E2B">
        <w:t>,</w:t>
      </w:r>
      <w:r>
        <w:t xml:space="preserve"> </w:t>
      </w:r>
      <w:r w:rsidR="00811C3B" w:rsidRPr="0049421C">
        <w:rPr>
          <w:rStyle w:val="Emphasis"/>
        </w:rPr>
        <w:t>S</w:t>
      </w:r>
      <w:r w:rsidR="00811C3B">
        <w:rPr>
          <w:rStyle w:val="Emphasis"/>
        </w:rPr>
        <w:t>.</w:t>
      </w:r>
      <w:r w:rsidR="00811C3B" w:rsidRPr="0049421C">
        <w:rPr>
          <w:rStyle w:val="Emphasis"/>
        </w:rPr>
        <w:t xml:space="preserve"> </w:t>
      </w:r>
      <w:r w:rsidRPr="0049421C">
        <w:rPr>
          <w:rStyle w:val="Emphasis"/>
        </w:rPr>
        <w:t>namaycush</w:t>
      </w:r>
      <w:r w:rsidR="00D34E2B" w:rsidRPr="007246F2">
        <w:t>,</w:t>
      </w:r>
      <w:r>
        <w:t xml:space="preserve"> there were </w:t>
      </w:r>
      <w:r w:rsidR="00801F0E">
        <w:t xml:space="preserve">two key </w:t>
      </w:r>
      <w:r>
        <w:t xml:space="preserve">studies that produced </w:t>
      </w:r>
      <w:r w:rsidR="00801F0E">
        <w:t xml:space="preserve">toxicity </w:t>
      </w:r>
      <w:r>
        <w:t>data from water exposures of eggs to TCDD</w:t>
      </w:r>
      <w:r w:rsidR="00F0786A">
        <w:t xml:space="preserve"> (Walker et al. 1991, 1996)</w:t>
      </w:r>
      <w:r>
        <w:t xml:space="preserve">. Walker et al. </w:t>
      </w:r>
      <w:r w:rsidR="00940073">
        <w:t>(1991)</w:t>
      </w:r>
      <w:r>
        <w:t xml:space="preserve"> </w:t>
      </w:r>
      <w:r w:rsidR="009F07D6">
        <w:t>report</w:t>
      </w:r>
      <w:r w:rsidR="00F0786A">
        <w:t>ed</w:t>
      </w:r>
      <w:r w:rsidR="009F07D6">
        <w:t xml:space="preserve"> an</w:t>
      </w:r>
      <w:r>
        <w:t xml:space="preserve"> </w:t>
      </w:r>
      <w:r w:rsidR="00957792">
        <w:t xml:space="preserve">acute </w:t>
      </w:r>
      <w:r>
        <w:t xml:space="preserve">LD50 </w:t>
      </w:r>
      <w:r w:rsidR="007246F2">
        <w:t xml:space="preserve">of 65 pg/g (47 pg/g for injection) </w:t>
      </w:r>
      <w:r>
        <w:t xml:space="preserve">for </w:t>
      </w:r>
      <w:r w:rsidR="00F0786A">
        <w:t xml:space="preserve">sac fry following a </w:t>
      </w:r>
      <w:r>
        <w:t xml:space="preserve">2-d waterborne exposure </w:t>
      </w:r>
      <w:r w:rsidR="00F0786A">
        <w:t>of eggs and a subsequent 119-d monitoring period</w:t>
      </w:r>
      <w:r>
        <w:t xml:space="preserve">, which </w:t>
      </w:r>
      <w:r w:rsidR="00F0786A">
        <w:t xml:space="preserve">equated </w:t>
      </w:r>
      <w:r>
        <w:t xml:space="preserve">to </w:t>
      </w:r>
      <w:r w:rsidR="009F07D6">
        <w:t xml:space="preserve">a waterborne concentration of </w:t>
      </w:r>
      <w:r w:rsidR="00940073">
        <w:t xml:space="preserve">approximately </w:t>
      </w:r>
      <w:r w:rsidR="00E0232D" w:rsidRPr="00E0232D">
        <w:t>2</w:t>
      </w:r>
      <w:r w:rsidR="00E0232D">
        <w:t>1 </w:t>
      </w:r>
      <w:r>
        <w:t>ng/L</w:t>
      </w:r>
      <w:r w:rsidR="009F07D6">
        <w:t xml:space="preserve"> (as estimated using waterborne concentration versus egg concentration data)</w:t>
      </w:r>
      <w:r>
        <w:t xml:space="preserve">. </w:t>
      </w:r>
      <w:r w:rsidR="00A468FE">
        <w:t>Walker et al. (1996) reported an approximate 50% effect on sac</w:t>
      </w:r>
      <w:r w:rsidR="007246F2">
        <w:t xml:space="preserve"> </w:t>
      </w:r>
      <w:r w:rsidR="00A468FE">
        <w:t xml:space="preserve">fry survival </w:t>
      </w:r>
      <w:r w:rsidR="00DD52FB">
        <w:t xml:space="preserve">following </w:t>
      </w:r>
      <w:r w:rsidR="00B059C6">
        <w:t xml:space="preserve">a 2-d </w:t>
      </w:r>
      <w:r w:rsidR="00DD52FB">
        <w:t xml:space="preserve">waterborne exposure </w:t>
      </w:r>
      <w:r w:rsidR="00F0786A">
        <w:t xml:space="preserve">of eggs </w:t>
      </w:r>
      <w:r w:rsidR="00DD52FB">
        <w:t xml:space="preserve">to 7.5 ng/L TCDD </w:t>
      </w:r>
      <w:r w:rsidR="00A468FE">
        <w:t>and</w:t>
      </w:r>
      <w:r w:rsidR="00DD52FB">
        <w:t xml:space="preserve"> a</w:t>
      </w:r>
      <w:r w:rsidR="00A468FE">
        <w:t xml:space="preserve"> </w:t>
      </w:r>
      <w:r w:rsidR="00F0786A">
        <w:t xml:space="preserve">subsequent </w:t>
      </w:r>
      <w:r w:rsidR="00A468FE">
        <w:t xml:space="preserve">90-d </w:t>
      </w:r>
      <w:r w:rsidR="00F0786A">
        <w:t>monitoring</w:t>
      </w:r>
      <w:r w:rsidR="00A468FE">
        <w:t xml:space="preserve"> period, </w:t>
      </w:r>
      <w:r w:rsidR="00DD52FB">
        <w:t>which could be reliably assumed to represent an acute LC50.</w:t>
      </w:r>
      <w:r w:rsidR="00A468FE">
        <w:t xml:space="preserve"> </w:t>
      </w:r>
      <w:r w:rsidR="00801F0E" w:rsidRPr="00E5198D">
        <w:t>The t</w:t>
      </w:r>
      <w:r w:rsidRPr="00E5198D">
        <w:t xml:space="preserve">wo acute LC50 </w:t>
      </w:r>
      <w:r w:rsidR="00801F0E" w:rsidRPr="00E5198D">
        <w:t xml:space="preserve">values </w:t>
      </w:r>
      <w:r w:rsidR="00DD52FB" w:rsidRPr="00E5198D">
        <w:t xml:space="preserve">from </w:t>
      </w:r>
      <w:r w:rsidR="00E014D0">
        <w:t>Walker et al</w:t>
      </w:r>
      <w:r w:rsidR="00482CD2">
        <w:t xml:space="preserve">. </w:t>
      </w:r>
      <w:r w:rsidR="00DD52FB" w:rsidRPr="00E5198D">
        <w:t>(</w:t>
      </w:r>
      <w:r w:rsidR="001C2B81" w:rsidRPr="00E5198D">
        <w:t>1991</w:t>
      </w:r>
      <w:r w:rsidR="00DD52FB" w:rsidRPr="00E5198D">
        <w:t>,</w:t>
      </w:r>
      <w:r w:rsidR="001C2B81" w:rsidRPr="00E5198D">
        <w:t xml:space="preserve"> </w:t>
      </w:r>
      <w:r w:rsidR="00940073" w:rsidRPr="00E5198D">
        <w:t>1996)</w:t>
      </w:r>
      <w:r w:rsidRPr="00E5198D">
        <w:t xml:space="preserve"> </w:t>
      </w:r>
      <w:r w:rsidR="00801F0E" w:rsidRPr="00E5198D">
        <w:t>were used for the derivation</w:t>
      </w:r>
      <w:r w:rsidRPr="00E5198D">
        <w:t xml:space="preserve"> after conversion to chronic NOEC</w:t>
      </w:r>
      <w:r w:rsidR="00801F0E" w:rsidRPr="00E5198D">
        <w:t>s, and with a resulting</w:t>
      </w:r>
      <w:r w:rsidRPr="00E5198D">
        <w:t xml:space="preserve"> </w:t>
      </w:r>
      <w:r w:rsidR="00940073" w:rsidRPr="00E5198D">
        <w:t xml:space="preserve">geometric mean </w:t>
      </w:r>
      <w:r w:rsidRPr="00E5198D">
        <w:t>of 1.</w:t>
      </w:r>
      <w:r w:rsidR="00F13093">
        <w:t>25</w:t>
      </w:r>
      <w:r w:rsidR="00F13093" w:rsidRPr="00E5198D">
        <w:t> </w:t>
      </w:r>
      <w:r w:rsidRPr="00E5198D">
        <w:t>ng/L.</w:t>
      </w:r>
      <w:r>
        <w:t xml:space="preserve"> </w:t>
      </w:r>
    </w:p>
    <w:p w14:paraId="5B8549EA" w14:textId="77777777" w:rsidR="009A3352" w:rsidRDefault="00576A22" w:rsidP="009A3352">
      <w:pPr>
        <w:rPr>
          <w:rFonts w:ascii="Calibri" w:eastAsia="Times New Roman" w:hAnsi="Calibri" w:cs="Calibri"/>
          <w:lang w:eastAsia="en-AU"/>
        </w:rPr>
      </w:pPr>
      <w:r>
        <w:t xml:space="preserve">It </w:t>
      </w:r>
      <w:r>
        <w:t>is generally accepted that vertebrates are more sensitive to dioxin and dioxin-like compounds tha</w:t>
      </w:r>
      <w:r w:rsidR="00A72B34">
        <w:t>n</w:t>
      </w:r>
      <w:r>
        <w:t xml:space="preserve"> invertebrates</w:t>
      </w:r>
      <w:r w:rsidR="0041563A">
        <w:t>, and that this is likely due to differing mechanisms of toxicity</w:t>
      </w:r>
      <w:r>
        <w:t xml:space="preserve"> </w:t>
      </w:r>
      <w:r w:rsidR="0041563A">
        <w:t xml:space="preserve">between the two groups </w:t>
      </w:r>
      <w:r>
        <w:t>(Hahn 2002, Van den Berg et al. 2006, Hahn et al. 2017</w:t>
      </w:r>
      <w:r w:rsidR="00272FB1">
        <w:t>)</w:t>
      </w:r>
      <w:r w:rsidR="00A72B34">
        <w:t xml:space="preserve"> </w:t>
      </w:r>
      <w:r w:rsidR="00272FB1">
        <w:t>(</w:t>
      </w:r>
      <w:r w:rsidR="00A72B34">
        <w:t xml:space="preserve">see </w:t>
      </w:r>
      <w:r w:rsidR="00272FB1">
        <w:t>S</w:t>
      </w:r>
      <w:r w:rsidR="00A72B34">
        <w:t>ection</w:t>
      </w:r>
      <w:r w:rsidR="007152D6">
        <w:t> </w:t>
      </w:r>
      <w:r w:rsidR="007152D6">
        <w:fldChar w:fldCharType="begin"/>
      </w:r>
      <w:r w:rsidR="007152D6">
        <w:instrText xml:space="preserve"> REF _Ref37255254 \r \h </w:instrText>
      </w:r>
      <w:r w:rsidR="007152D6">
        <w:fldChar w:fldCharType="separate"/>
      </w:r>
      <w:r w:rsidR="008E67C0">
        <w:t>2.1</w:t>
      </w:r>
      <w:r w:rsidR="007152D6">
        <w:fldChar w:fldCharType="end"/>
      </w:r>
      <w:r w:rsidRPr="0006310D">
        <w:t xml:space="preserve">). </w:t>
      </w:r>
      <w:r>
        <w:t xml:space="preserve">To assess this, a modality assessment was undertaken on the dioxin dataset </w:t>
      </w:r>
      <w:r w:rsidR="0041563A">
        <w:t xml:space="preserve">(i.e. 12 species from five taxonomic groups) </w:t>
      </w:r>
      <w:r>
        <w:t>as per the process describ</w:t>
      </w:r>
      <w:r>
        <w:t>ed by Warne et al. (2018) (</w:t>
      </w:r>
      <w:r w:rsidR="0041563A">
        <w:t xml:space="preserve">see </w:t>
      </w:r>
      <w:r w:rsidR="007152D6">
        <w:fldChar w:fldCharType="begin"/>
      </w:r>
      <w:r w:rsidR="007152D6">
        <w:instrText xml:space="preserve"> REF _Ref37255086 \h </w:instrText>
      </w:r>
      <w:r w:rsidR="007152D6">
        <w:fldChar w:fldCharType="separate"/>
      </w:r>
      <w:r w:rsidR="008E67C0" w:rsidRPr="0050252E">
        <w:t>Appendix</w:t>
      </w:r>
      <w:r w:rsidR="008E67C0">
        <w:t> </w:t>
      </w:r>
      <w:r w:rsidR="008E67C0" w:rsidRPr="0050252E">
        <w:t xml:space="preserve">B: </w:t>
      </w:r>
      <w:r w:rsidR="008E67C0">
        <w:t>Modality assessment for dioxin</w:t>
      </w:r>
      <w:r w:rsidR="007152D6">
        <w:fldChar w:fldCharType="end"/>
      </w:r>
      <w:r>
        <w:t>). The assessment supported the existing knowledge on the relative toxicity of dioxin</w:t>
      </w:r>
      <w:r w:rsidR="009C16D8">
        <w:t>;</w:t>
      </w:r>
      <w:r>
        <w:t xml:space="preserve"> therefor</w:t>
      </w:r>
      <w:r>
        <w:t>e, as recommended by Warne et al. (2018), only the toxicity data for the most sensitive group of organisms</w:t>
      </w:r>
      <w:r w:rsidR="00A72B34">
        <w:t xml:space="preserve">, </w:t>
      </w:r>
      <w:r>
        <w:t>in this case fish</w:t>
      </w:r>
      <w:r w:rsidR="00A72B34">
        <w:t xml:space="preserve">, </w:t>
      </w:r>
      <w:r>
        <w:t>were used to calculate the DGVs. In such cases, the minimum data requirement for the number of species applies (i.e. five species</w:t>
      </w:r>
      <w:r>
        <w:t>), but the usual criterion of requiring data for organisms that belong to at least four taxonomic groups can be relaxed. This can only be done if all the data of the same type as those used to derive the DGVs (in this case, chronic and chronic estimated us</w:t>
      </w:r>
      <w:r>
        <w:t xml:space="preserve">ing converted acute data) meet both requirements (Warne et al. 2018). A summary of the toxicity data and conversions </w:t>
      </w:r>
      <w:r w:rsidR="007F1627">
        <w:t xml:space="preserve">for the eight species of fish </w:t>
      </w:r>
      <w:r>
        <w:t xml:space="preserve">used to derive the </w:t>
      </w:r>
      <w:r w:rsidR="00272FB1">
        <w:t>D</w:t>
      </w:r>
      <w:r>
        <w:t xml:space="preserve">GVs is provided in </w:t>
      </w:r>
      <w:r w:rsidR="007152D6">
        <w:fldChar w:fldCharType="begin"/>
      </w:r>
      <w:r w:rsidR="007152D6">
        <w:instrText xml:space="preserve"> REF _Ref37254739 \h </w:instrText>
      </w:r>
      <w:r w:rsidR="007152D6">
        <w:fldChar w:fldCharType="separate"/>
      </w:r>
      <w:r w:rsidR="008E67C0">
        <w:t>Table </w:t>
      </w:r>
      <w:r w:rsidR="008E67C0">
        <w:rPr>
          <w:noProof/>
        </w:rPr>
        <w:t>1</w:t>
      </w:r>
      <w:r w:rsidR="007152D6">
        <w:fldChar w:fldCharType="end"/>
      </w:r>
      <w:r w:rsidR="00A72B34">
        <w:t>.</w:t>
      </w:r>
      <w:r>
        <w:t xml:space="preserve"> Further details on all the </w:t>
      </w:r>
      <w:r w:rsidRPr="00D1664A">
        <w:t xml:space="preserve">data suitable for DGV derivation and test conditions are given in </w:t>
      </w:r>
      <w:r w:rsidR="007152D6">
        <w:fldChar w:fldCharType="begin"/>
      </w:r>
      <w:r w:rsidR="007152D6">
        <w:instrText xml:space="preserve"> REF _Ref37255104 \h </w:instrText>
      </w:r>
      <w:r w:rsidR="007152D6">
        <w:fldChar w:fldCharType="separate"/>
      </w:r>
      <w:r w:rsidR="008E67C0" w:rsidRPr="00DC6EBD">
        <w:t>Appendix</w:t>
      </w:r>
      <w:r w:rsidR="008E67C0">
        <w:t> </w:t>
      </w:r>
      <w:r w:rsidR="008E67C0" w:rsidRPr="00DC6EBD">
        <w:t xml:space="preserve">A: </w:t>
      </w:r>
      <w:r w:rsidR="008E67C0">
        <w:t>T</w:t>
      </w:r>
      <w:r w:rsidR="008E67C0" w:rsidRPr="005716AB">
        <w:t xml:space="preserve">oxicity data that passed the screening and quality assessment </w:t>
      </w:r>
      <w:r w:rsidR="008E67C0">
        <w:t>and were used to derive the default guideline values</w:t>
      </w:r>
      <w:r w:rsidR="007152D6">
        <w:fldChar w:fldCharType="end"/>
      </w:r>
      <w:r w:rsidRPr="0041563A">
        <w:t>.</w:t>
      </w:r>
      <w:r>
        <w:t xml:space="preserve"> </w:t>
      </w:r>
      <w:r>
        <w:rPr>
          <w:rFonts w:eastAsia="Times New Roman"/>
        </w:rPr>
        <w:t xml:space="preserve">Details of the </w:t>
      </w:r>
      <w:hyperlink r:id="rId26" w:history="1">
        <w:r w:rsidRPr="009A3352">
          <w:rPr>
            <w:rStyle w:val="Hyperlink"/>
            <w:rFonts w:eastAsia="Times New Roman"/>
          </w:rPr>
          <w:t>data quality assessment</w:t>
        </w:r>
      </w:hyperlink>
      <w:r>
        <w:rPr>
          <w:rFonts w:eastAsia="Times New Roman"/>
        </w:rPr>
        <w:t xml:space="preserve"> and the </w:t>
      </w:r>
      <w:hyperlink r:id="rId27" w:history="1">
        <w:r w:rsidRPr="009A3352">
          <w:rPr>
            <w:rStyle w:val="Hyperlink"/>
            <w:rFonts w:eastAsia="Times New Roman"/>
          </w:rPr>
          <w:t>data that p</w:t>
        </w:r>
        <w:r w:rsidRPr="009A3352">
          <w:rPr>
            <w:rStyle w:val="Hyperlink"/>
            <w:rFonts w:eastAsia="Times New Roman"/>
          </w:rPr>
          <w:t>assed the quality assessment</w:t>
        </w:r>
      </w:hyperlink>
      <w:r>
        <w:rPr>
          <w:rFonts w:eastAsia="Times New Roman"/>
        </w:rPr>
        <w:t xml:space="preserve"> are provided as supporting information.</w:t>
      </w:r>
    </w:p>
    <w:p w14:paraId="5B8549EB" w14:textId="77777777" w:rsidR="008F1B13" w:rsidRDefault="00576A22" w:rsidP="00F321D6">
      <w:pPr>
        <w:pStyle w:val="Caption"/>
        <w:rPr>
          <w:highlight w:val="yellow"/>
        </w:rPr>
      </w:pPr>
      <w:bookmarkStart w:id="31" w:name="_Ref37254739"/>
      <w:bookmarkStart w:id="32" w:name="_Toc132885733"/>
      <w:r>
        <w:t>Table</w:t>
      </w:r>
      <w:r w:rsidR="007152D6">
        <w:t> </w:t>
      </w:r>
      <w:r w:rsidR="00390AEE">
        <w:rPr>
          <w:noProof/>
        </w:rPr>
        <w:fldChar w:fldCharType="begin"/>
      </w:r>
      <w:r w:rsidR="00390AEE">
        <w:rPr>
          <w:noProof/>
        </w:rPr>
        <w:instrText xml:space="preserve"> SEQ Table \* ARABIC </w:instrText>
      </w:r>
      <w:r w:rsidR="00390AEE">
        <w:rPr>
          <w:noProof/>
        </w:rPr>
        <w:fldChar w:fldCharType="separate"/>
      </w:r>
      <w:r w:rsidR="008E67C0">
        <w:rPr>
          <w:noProof/>
        </w:rPr>
        <w:t>1</w:t>
      </w:r>
      <w:r w:rsidR="00390AEE">
        <w:rPr>
          <w:noProof/>
        </w:rPr>
        <w:fldChar w:fldCharType="end"/>
      </w:r>
      <w:bookmarkEnd w:id="31"/>
      <w:r w:rsidR="0049421C" w:rsidRPr="0049421C">
        <w:t xml:space="preserve"> Summary of </w:t>
      </w:r>
      <w:r w:rsidR="00594B10">
        <w:t>single</w:t>
      </w:r>
      <w:r w:rsidR="0049421C" w:rsidRPr="0049421C">
        <w:t xml:space="preserve"> toxicity values</w:t>
      </w:r>
      <w:r w:rsidR="00594B10">
        <w:t>, all species</w:t>
      </w:r>
      <w:r w:rsidR="0049421C" w:rsidRPr="0049421C">
        <w:t xml:space="preserve"> used to derive default guideline values for 2,3,7,8-TCDD</w:t>
      </w:r>
      <w:r w:rsidR="00594B10">
        <w:t xml:space="preserve"> in freshwater</w:t>
      </w:r>
      <w:bookmarkEnd w:id="32"/>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Summary of single toxicity values, all species used to derive the default guideline values for 2,3,7,8-TCDD in freshwater"/>
        <w:tblDescription w:val="Table provides a list of the species used to derive the dioxin default guideline value, with additional details such as taxonomic group,  life stage, duration of test, type of test (acute/chronic), toxicity measure and final toxicity value (in nanograms per litre)."/>
      </w:tblPr>
      <w:tblGrid>
        <w:gridCol w:w="1213"/>
        <w:gridCol w:w="1912"/>
        <w:gridCol w:w="996"/>
        <w:gridCol w:w="1107"/>
        <w:gridCol w:w="1154"/>
        <w:gridCol w:w="1478"/>
        <w:gridCol w:w="1210"/>
      </w:tblGrid>
      <w:tr w:rsidR="006A7BE0" w14:paraId="5B8549F3" w14:textId="77777777" w:rsidTr="00E014D0">
        <w:trPr>
          <w:cantSplit/>
          <w:trHeight w:val="314"/>
          <w:tblHeader/>
        </w:trPr>
        <w:tc>
          <w:tcPr>
            <w:tcW w:w="669" w:type="pct"/>
            <w:tcBorders>
              <w:top w:val="single" w:sz="12" w:space="0" w:color="auto"/>
              <w:bottom w:val="single" w:sz="12" w:space="0" w:color="auto"/>
            </w:tcBorders>
            <w:shd w:val="clear" w:color="auto" w:fill="auto"/>
          </w:tcPr>
          <w:p w14:paraId="5B8549EC" w14:textId="77777777" w:rsidR="0049421C" w:rsidRPr="00E741C1" w:rsidRDefault="00576A22" w:rsidP="00F321D6">
            <w:pPr>
              <w:pStyle w:val="TableHeading"/>
            </w:pPr>
            <w:r>
              <w:t>Taxonomic group</w:t>
            </w:r>
          </w:p>
        </w:tc>
        <w:tc>
          <w:tcPr>
            <w:tcW w:w="1054" w:type="pct"/>
            <w:tcBorders>
              <w:top w:val="single" w:sz="12" w:space="0" w:color="auto"/>
              <w:bottom w:val="single" w:sz="12" w:space="0" w:color="auto"/>
            </w:tcBorders>
            <w:shd w:val="clear" w:color="auto" w:fill="auto"/>
          </w:tcPr>
          <w:p w14:paraId="5B8549ED" w14:textId="77777777" w:rsidR="0049421C" w:rsidRPr="00E741C1" w:rsidRDefault="00576A22" w:rsidP="00F321D6">
            <w:pPr>
              <w:pStyle w:val="TableHeading"/>
            </w:pPr>
            <w:r w:rsidRPr="00E741C1">
              <w:t>Species</w:t>
            </w:r>
          </w:p>
        </w:tc>
        <w:tc>
          <w:tcPr>
            <w:tcW w:w="549" w:type="pct"/>
            <w:tcBorders>
              <w:top w:val="single" w:sz="12" w:space="0" w:color="auto"/>
              <w:bottom w:val="single" w:sz="12" w:space="0" w:color="auto"/>
            </w:tcBorders>
            <w:shd w:val="clear" w:color="auto" w:fill="auto"/>
          </w:tcPr>
          <w:p w14:paraId="5B8549EE" w14:textId="77777777" w:rsidR="0049421C" w:rsidRPr="00E741C1" w:rsidRDefault="00576A22" w:rsidP="00F321D6">
            <w:pPr>
              <w:pStyle w:val="TableHeading"/>
            </w:pPr>
            <w:r w:rsidRPr="00E741C1">
              <w:t>Life stage</w:t>
            </w:r>
          </w:p>
        </w:tc>
        <w:tc>
          <w:tcPr>
            <w:tcW w:w="610" w:type="pct"/>
            <w:tcBorders>
              <w:top w:val="single" w:sz="12" w:space="0" w:color="auto"/>
              <w:bottom w:val="single" w:sz="12" w:space="0" w:color="auto"/>
            </w:tcBorders>
            <w:shd w:val="clear" w:color="auto" w:fill="auto"/>
          </w:tcPr>
          <w:p w14:paraId="5B8549EF" w14:textId="77777777" w:rsidR="0049421C" w:rsidRPr="00E741C1" w:rsidRDefault="00576A22" w:rsidP="00F321D6">
            <w:pPr>
              <w:pStyle w:val="TableHeading"/>
            </w:pPr>
            <w:r w:rsidRPr="00E741C1">
              <w:t>Duration (d)</w:t>
            </w:r>
          </w:p>
        </w:tc>
        <w:tc>
          <w:tcPr>
            <w:tcW w:w="636" w:type="pct"/>
            <w:tcBorders>
              <w:top w:val="single" w:sz="12" w:space="0" w:color="auto"/>
              <w:bottom w:val="single" w:sz="12" w:space="0" w:color="auto"/>
            </w:tcBorders>
            <w:shd w:val="clear" w:color="auto" w:fill="auto"/>
          </w:tcPr>
          <w:p w14:paraId="5B8549F0" w14:textId="77777777" w:rsidR="0049421C" w:rsidRPr="00E741C1" w:rsidRDefault="00576A22" w:rsidP="00F321D6">
            <w:pPr>
              <w:pStyle w:val="TableHeading"/>
            </w:pPr>
            <w:r w:rsidRPr="00E741C1">
              <w:t>Type (acute/</w:t>
            </w:r>
            <w:r w:rsidRPr="00E741C1">
              <w:br/>
              <w:t>chronic)</w:t>
            </w:r>
          </w:p>
        </w:tc>
        <w:tc>
          <w:tcPr>
            <w:tcW w:w="815" w:type="pct"/>
            <w:tcBorders>
              <w:top w:val="single" w:sz="12" w:space="0" w:color="auto"/>
              <w:bottom w:val="single" w:sz="12" w:space="0" w:color="auto"/>
            </w:tcBorders>
            <w:shd w:val="clear" w:color="auto" w:fill="auto"/>
          </w:tcPr>
          <w:p w14:paraId="5B8549F1" w14:textId="77777777" w:rsidR="0049421C" w:rsidRPr="00E741C1" w:rsidRDefault="00576A22" w:rsidP="00F321D6">
            <w:pPr>
              <w:pStyle w:val="TableHeading"/>
            </w:pPr>
            <w:r w:rsidRPr="00E741C1">
              <w:t xml:space="preserve">Toxicity measure </w:t>
            </w:r>
            <w:r w:rsidR="00594B10">
              <w:t xml:space="preserve">(test endpoint) </w:t>
            </w:r>
            <w:r w:rsidRPr="00AF3032">
              <w:rPr>
                <w:rStyle w:val="Strong"/>
                <w:b/>
                <w:vertAlign w:val="superscript"/>
              </w:rPr>
              <w:t>a</w:t>
            </w:r>
          </w:p>
        </w:tc>
        <w:tc>
          <w:tcPr>
            <w:tcW w:w="667" w:type="pct"/>
            <w:tcBorders>
              <w:top w:val="single" w:sz="12" w:space="0" w:color="auto"/>
              <w:bottom w:val="single" w:sz="12" w:space="0" w:color="auto"/>
            </w:tcBorders>
            <w:shd w:val="clear" w:color="auto" w:fill="auto"/>
          </w:tcPr>
          <w:p w14:paraId="5B8549F2" w14:textId="77777777" w:rsidR="0049421C" w:rsidRPr="00E741C1" w:rsidRDefault="00576A22" w:rsidP="00594B10">
            <w:pPr>
              <w:pStyle w:val="TableHeading"/>
            </w:pPr>
            <w:r>
              <w:t xml:space="preserve">Final </w:t>
            </w:r>
            <w:r w:rsidR="00793B15">
              <w:t>t</w:t>
            </w:r>
            <w:r>
              <w:t>oxicity value (</w:t>
            </w:r>
            <w:r>
              <w:rPr>
                <w:rFonts w:ascii="Corbel" w:hAnsi="Corbel"/>
              </w:rPr>
              <w:t>n</w:t>
            </w:r>
            <w:r w:rsidRPr="00E741C1">
              <w:t>g/L)</w:t>
            </w:r>
            <w:r w:rsidR="00AF3032">
              <w:t xml:space="preserve"> </w:t>
            </w:r>
            <w:r w:rsidRPr="00AF3032">
              <w:rPr>
                <w:rStyle w:val="Strong"/>
                <w:b/>
                <w:vertAlign w:val="superscript"/>
              </w:rPr>
              <w:t>b</w:t>
            </w:r>
          </w:p>
        </w:tc>
      </w:tr>
      <w:tr w:rsidR="006A7BE0" w14:paraId="5B8549FB" w14:textId="77777777" w:rsidTr="00217216">
        <w:trPr>
          <w:cantSplit/>
        </w:trPr>
        <w:tc>
          <w:tcPr>
            <w:tcW w:w="669" w:type="pct"/>
            <w:vMerge w:val="restart"/>
            <w:tcBorders>
              <w:top w:val="single" w:sz="12" w:space="0" w:color="auto"/>
            </w:tcBorders>
            <w:shd w:val="clear" w:color="auto" w:fill="auto"/>
          </w:tcPr>
          <w:p w14:paraId="5B8549F4" w14:textId="77777777" w:rsidR="0049421C" w:rsidRPr="00C4526A" w:rsidRDefault="00576A22" w:rsidP="00F321D6">
            <w:pPr>
              <w:pStyle w:val="TableText"/>
            </w:pPr>
            <w:r>
              <w:t>Chordata</w:t>
            </w:r>
          </w:p>
        </w:tc>
        <w:tc>
          <w:tcPr>
            <w:tcW w:w="1054" w:type="pct"/>
            <w:tcBorders>
              <w:top w:val="single" w:sz="12" w:space="0" w:color="auto"/>
            </w:tcBorders>
            <w:shd w:val="clear" w:color="auto" w:fill="auto"/>
          </w:tcPr>
          <w:p w14:paraId="5B8549F5" w14:textId="77777777" w:rsidR="0049421C" w:rsidRPr="00F321D6" w:rsidRDefault="00576A22" w:rsidP="00F321D6">
            <w:pPr>
              <w:pStyle w:val="TableText"/>
              <w:rPr>
                <w:rStyle w:val="Emphasis"/>
              </w:rPr>
            </w:pPr>
            <w:r w:rsidRPr="00F321D6">
              <w:rPr>
                <w:rStyle w:val="Emphasis"/>
              </w:rPr>
              <w:t>Cyprinus carpio</w:t>
            </w:r>
          </w:p>
        </w:tc>
        <w:tc>
          <w:tcPr>
            <w:tcW w:w="549" w:type="pct"/>
            <w:tcBorders>
              <w:top w:val="single" w:sz="12" w:space="0" w:color="auto"/>
            </w:tcBorders>
            <w:shd w:val="clear" w:color="auto" w:fill="auto"/>
          </w:tcPr>
          <w:p w14:paraId="5B8549F6" w14:textId="77777777" w:rsidR="0049421C" w:rsidRPr="00C4526A" w:rsidRDefault="00576A22" w:rsidP="00F321D6">
            <w:pPr>
              <w:pStyle w:val="TableText"/>
            </w:pPr>
            <w:r>
              <w:t>Adult</w:t>
            </w:r>
          </w:p>
        </w:tc>
        <w:tc>
          <w:tcPr>
            <w:tcW w:w="610" w:type="pct"/>
            <w:tcBorders>
              <w:top w:val="single" w:sz="12" w:space="0" w:color="auto"/>
            </w:tcBorders>
            <w:shd w:val="clear" w:color="auto" w:fill="auto"/>
          </w:tcPr>
          <w:p w14:paraId="5B8549F7" w14:textId="77777777" w:rsidR="0049421C" w:rsidRPr="00C4526A" w:rsidRDefault="00576A22" w:rsidP="00F321D6">
            <w:pPr>
              <w:pStyle w:val="TableText"/>
            </w:pPr>
            <w:r>
              <w:t>71 + 61</w:t>
            </w:r>
          </w:p>
        </w:tc>
        <w:tc>
          <w:tcPr>
            <w:tcW w:w="636" w:type="pct"/>
            <w:tcBorders>
              <w:top w:val="single" w:sz="12" w:space="0" w:color="auto"/>
            </w:tcBorders>
            <w:shd w:val="clear" w:color="auto" w:fill="auto"/>
          </w:tcPr>
          <w:p w14:paraId="5B8549F8" w14:textId="77777777" w:rsidR="0049421C" w:rsidRPr="00C4526A" w:rsidRDefault="00576A22" w:rsidP="00F321D6">
            <w:pPr>
              <w:pStyle w:val="TableText"/>
            </w:pPr>
            <w:r w:rsidRPr="00C4526A">
              <w:t>Chronic</w:t>
            </w:r>
            <w:r w:rsidR="003B2CF4">
              <w:t xml:space="preserve"> </w:t>
            </w:r>
          </w:p>
        </w:tc>
        <w:tc>
          <w:tcPr>
            <w:tcW w:w="815" w:type="pct"/>
            <w:tcBorders>
              <w:top w:val="single" w:sz="12" w:space="0" w:color="auto"/>
            </w:tcBorders>
            <w:shd w:val="clear" w:color="auto" w:fill="auto"/>
          </w:tcPr>
          <w:p w14:paraId="5B8549F9" w14:textId="77777777" w:rsidR="00B9780A" w:rsidRPr="00C4526A" w:rsidRDefault="00576A22" w:rsidP="00F321D6">
            <w:pPr>
              <w:pStyle w:val="TableText"/>
            </w:pPr>
            <w:r>
              <w:t>LOEC (mortality)</w:t>
            </w:r>
          </w:p>
        </w:tc>
        <w:tc>
          <w:tcPr>
            <w:tcW w:w="667" w:type="pct"/>
            <w:tcBorders>
              <w:top w:val="single" w:sz="12" w:space="0" w:color="auto"/>
            </w:tcBorders>
            <w:shd w:val="clear" w:color="auto" w:fill="auto"/>
          </w:tcPr>
          <w:p w14:paraId="5B8549FA" w14:textId="77777777" w:rsidR="0049421C" w:rsidRPr="00C4526A" w:rsidRDefault="00576A22" w:rsidP="00F321D6">
            <w:pPr>
              <w:pStyle w:val="TableText"/>
            </w:pPr>
            <w:r>
              <w:t>0.</w:t>
            </w:r>
            <w:r w:rsidR="00E5198D">
              <w:t xml:space="preserve">024 </w:t>
            </w:r>
            <w:r w:rsidR="00E5198D" w:rsidRPr="00272FB1">
              <w:rPr>
                <w:rStyle w:val="Strong"/>
                <w:vertAlign w:val="superscript"/>
              </w:rPr>
              <w:t>c</w:t>
            </w:r>
          </w:p>
        </w:tc>
      </w:tr>
      <w:tr w:rsidR="006A7BE0" w14:paraId="5B854A03" w14:textId="77777777" w:rsidTr="00217216">
        <w:trPr>
          <w:cantSplit/>
        </w:trPr>
        <w:tc>
          <w:tcPr>
            <w:tcW w:w="669" w:type="pct"/>
            <w:vMerge/>
            <w:shd w:val="clear" w:color="auto" w:fill="auto"/>
          </w:tcPr>
          <w:p w14:paraId="5B8549FC" w14:textId="77777777" w:rsidR="0049421C" w:rsidRPr="00C4526A" w:rsidRDefault="0049421C" w:rsidP="00F321D6">
            <w:pPr>
              <w:pStyle w:val="TableText"/>
            </w:pPr>
          </w:p>
        </w:tc>
        <w:tc>
          <w:tcPr>
            <w:tcW w:w="1054" w:type="pct"/>
            <w:shd w:val="clear" w:color="auto" w:fill="auto"/>
          </w:tcPr>
          <w:p w14:paraId="5B8549FD" w14:textId="77777777" w:rsidR="0049421C" w:rsidRPr="00F321D6" w:rsidRDefault="00576A22" w:rsidP="00F321D6">
            <w:pPr>
              <w:pStyle w:val="TableText"/>
              <w:rPr>
                <w:rStyle w:val="Emphasis"/>
              </w:rPr>
            </w:pPr>
            <w:r w:rsidRPr="00F321D6">
              <w:rPr>
                <w:rStyle w:val="Emphasis"/>
              </w:rPr>
              <w:t>Esox lucius</w:t>
            </w:r>
          </w:p>
        </w:tc>
        <w:tc>
          <w:tcPr>
            <w:tcW w:w="549" w:type="pct"/>
            <w:shd w:val="clear" w:color="auto" w:fill="auto"/>
          </w:tcPr>
          <w:p w14:paraId="5B8549FE" w14:textId="77777777" w:rsidR="0049421C" w:rsidRPr="00C4526A" w:rsidRDefault="00576A22" w:rsidP="00F321D6">
            <w:pPr>
              <w:pStyle w:val="TableText"/>
            </w:pPr>
            <w:r>
              <w:t>Egg</w:t>
            </w:r>
          </w:p>
        </w:tc>
        <w:tc>
          <w:tcPr>
            <w:tcW w:w="610" w:type="pct"/>
            <w:shd w:val="clear" w:color="auto" w:fill="auto"/>
          </w:tcPr>
          <w:p w14:paraId="5B8549FF" w14:textId="77777777" w:rsidR="0049421C" w:rsidRPr="00C4526A" w:rsidRDefault="00576A22" w:rsidP="00F321D6">
            <w:pPr>
              <w:pStyle w:val="TableText"/>
            </w:pPr>
            <w:r w:rsidRPr="00C4526A">
              <w:t>4</w:t>
            </w:r>
            <w:r>
              <w:t xml:space="preserve"> + </w:t>
            </w:r>
            <w:r w:rsidR="003B2CF4">
              <w:t>11</w:t>
            </w:r>
          </w:p>
        </w:tc>
        <w:tc>
          <w:tcPr>
            <w:tcW w:w="636" w:type="pct"/>
            <w:shd w:val="clear" w:color="auto" w:fill="auto"/>
          </w:tcPr>
          <w:p w14:paraId="5B854A00" w14:textId="77777777" w:rsidR="0049421C" w:rsidRPr="00C4526A" w:rsidRDefault="00576A22" w:rsidP="00F321D6">
            <w:pPr>
              <w:pStyle w:val="TableText"/>
            </w:pPr>
            <w:r w:rsidRPr="00C4526A">
              <w:t>Acute</w:t>
            </w:r>
          </w:p>
        </w:tc>
        <w:tc>
          <w:tcPr>
            <w:tcW w:w="815" w:type="pct"/>
            <w:shd w:val="clear" w:color="auto" w:fill="auto"/>
          </w:tcPr>
          <w:p w14:paraId="5B854A01" w14:textId="77777777" w:rsidR="0049421C" w:rsidRPr="00C4526A" w:rsidRDefault="00576A22" w:rsidP="00F321D6">
            <w:pPr>
              <w:pStyle w:val="TableText"/>
            </w:pPr>
            <w:r>
              <w:t>LC</w:t>
            </w:r>
            <w:r w:rsidR="00B1155D">
              <w:t>49</w:t>
            </w:r>
            <w:r w:rsidR="00B9780A">
              <w:t xml:space="preserve"> (mortality)</w:t>
            </w:r>
          </w:p>
        </w:tc>
        <w:tc>
          <w:tcPr>
            <w:tcW w:w="667" w:type="pct"/>
            <w:shd w:val="clear" w:color="auto" w:fill="auto"/>
          </w:tcPr>
          <w:p w14:paraId="5B854A02" w14:textId="77777777" w:rsidR="0049421C" w:rsidRPr="00190155" w:rsidRDefault="00576A22" w:rsidP="00F321D6">
            <w:pPr>
              <w:pStyle w:val="TableText"/>
              <w:rPr>
                <w:vertAlign w:val="superscript"/>
              </w:rPr>
            </w:pPr>
            <w:r>
              <w:t>0.1</w:t>
            </w:r>
            <w:r w:rsidR="00AF3032">
              <w:t xml:space="preserve"> </w:t>
            </w:r>
            <w:r w:rsidRPr="00AF3032">
              <w:rPr>
                <w:rStyle w:val="Strong"/>
                <w:vertAlign w:val="superscript"/>
              </w:rPr>
              <w:t>d</w:t>
            </w:r>
          </w:p>
        </w:tc>
      </w:tr>
      <w:tr w:rsidR="006A7BE0" w14:paraId="5B854A0B" w14:textId="77777777" w:rsidTr="00217216">
        <w:trPr>
          <w:cantSplit/>
        </w:trPr>
        <w:tc>
          <w:tcPr>
            <w:tcW w:w="669" w:type="pct"/>
            <w:vMerge/>
            <w:shd w:val="clear" w:color="auto" w:fill="auto"/>
          </w:tcPr>
          <w:p w14:paraId="5B854A04" w14:textId="77777777" w:rsidR="0049421C" w:rsidRPr="00C4526A" w:rsidRDefault="0049421C" w:rsidP="00F321D6">
            <w:pPr>
              <w:pStyle w:val="TableText"/>
            </w:pPr>
          </w:p>
        </w:tc>
        <w:tc>
          <w:tcPr>
            <w:tcW w:w="1054" w:type="pct"/>
            <w:shd w:val="clear" w:color="auto" w:fill="auto"/>
          </w:tcPr>
          <w:p w14:paraId="5B854A05" w14:textId="77777777" w:rsidR="0049421C" w:rsidRPr="00F321D6" w:rsidRDefault="00576A22" w:rsidP="00F321D6">
            <w:pPr>
              <w:pStyle w:val="TableText"/>
              <w:rPr>
                <w:rStyle w:val="Emphasis"/>
              </w:rPr>
            </w:pPr>
            <w:r w:rsidRPr="00F321D6">
              <w:rPr>
                <w:rStyle w:val="Emphasis"/>
              </w:rPr>
              <w:t>Oncorhynchus kisutch</w:t>
            </w:r>
          </w:p>
        </w:tc>
        <w:tc>
          <w:tcPr>
            <w:tcW w:w="549" w:type="pct"/>
            <w:shd w:val="clear" w:color="auto" w:fill="auto"/>
          </w:tcPr>
          <w:p w14:paraId="5B854A06" w14:textId="77777777" w:rsidR="0049421C" w:rsidRDefault="00576A22" w:rsidP="00F321D6">
            <w:pPr>
              <w:pStyle w:val="TableText"/>
            </w:pPr>
            <w:r>
              <w:t>Juvenile</w:t>
            </w:r>
          </w:p>
        </w:tc>
        <w:tc>
          <w:tcPr>
            <w:tcW w:w="610" w:type="pct"/>
            <w:shd w:val="clear" w:color="auto" w:fill="auto"/>
          </w:tcPr>
          <w:p w14:paraId="5B854A07" w14:textId="77777777" w:rsidR="0049421C" w:rsidRPr="00C4526A" w:rsidRDefault="00576A22" w:rsidP="00F321D6">
            <w:pPr>
              <w:pStyle w:val="TableText"/>
            </w:pPr>
            <w:r>
              <w:t>4 + 60</w:t>
            </w:r>
          </w:p>
        </w:tc>
        <w:tc>
          <w:tcPr>
            <w:tcW w:w="636" w:type="pct"/>
            <w:shd w:val="clear" w:color="auto" w:fill="auto"/>
          </w:tcPr>
          <w:p w14:paraId="5B854A08" w14:textId="77777777" w:rsidR="0049421C" w:rsidRPr="00C4526A" w:rsidRDefault="00576A22" w:rsidP="00F321D6">
            <w:pPr>
              <w:pStyle w:val="TableText"/>
            </w:pPr>
            <w:r>
              <w:t>Acute</w:t>
            </w:r>
          </w:p>
        </w:tc>
        <w:tc>
          <w:tcPr>
            <w:tcW w:w="815" w:type="pct"/>
            <w:shd w:val="clear" w:color="auto" w:fill="auto"/>
          </w:tcPr>
          <w:p w14:paraId="5B854A09" w14:textId="77777777" w:rsidR="0049421C" w:rsidRPr="00C4526A" w:rsidRDefault="00576A22" w:rsidP="00F321D6">
            <w:pPr>
              <w:pStyle w:val="TableText"/>
            </w:pPr>
            <w:r>
              <w:t>LC5</w:t>
            </w:r>
            <w:r w:rsidR="00B1155D">
              <w:t>5</w:t>
            </w:r>
            <w:r w:rsidR="00B9780A">
              <w:t xml:space="preserve"> (mortality)</w:t>
            </w:r>
          </w:p>
        </w:tc>
        <w:tc>
          <w:tcPr>
            <w:tcW w:w="667" w:type="pct"/>
            <w:shd w:val="clear" w:color="auto" w:fill="auto"/>
          </w:tcPr>
          <w:p w14:paraId="5B854A0A" w14:textId="77777777" w:rsidR="0049421C" w:rsidRPr="00190155" w:rsidRDefault="00576A22" w:rsidP="00F321D6">
            <w:pPr>
              <w:pStyle w:val="TableText"/>
              <w:rPr>
                <w:vertAlign w:val="superscript"/>
              </w:rPr>
            </w:pPr>
            <w:r>
              <w:t>0.56</w:t>
            </w:r>
            <w:r w:rsidR="00AF3032">
              <w:t xml:space="preserve"> </w:t>
            </w:r>
            <w:r w:rsidRPr="00AF3032">
              <w:rPr>
                <w:rStyle w:val="Strong"/>
                <w:vertAlign w:val="superscript"/>
              </w:rPr>
              <w:t>d</w:t>
            </w:r>
          </w:p>
        </w:tc>
      </w:tr>
      <w:tr w:rsidR="006A7BE0" w14:paraId="5B854A13" w14:textId="77777777" w:rsidTr="00217216">
        <w:trPr>
          <w:cantSplit/>
        </w:trPr>
        <w:tc>
          <w:tcPr>
            <w:tcW w:w="669" w:type="pct"/>
            <w:vMerge/>
            <w:shd w:val="clear" w:color="auto" w:fill="auto"/>
          </w:tcPr>
          <w:p w14:paraId="5B854A0C" w14:textId="77777777" w:rsidR="0049421C" w:rsidRPr="00C4526A" w:rsidRDefault="0049421C" w:rsidP="00F321D6">
            <w:pPr>
              <w:pStyle w:val="TableText"/>
            </w:pPr>
          </w:p>
        </w:tc>
        <w:tc>
          <w:tcPr>
            <w:tcW w:w="1054" w:type="pct"/>
            <w:shd w:val="clear" w:color="auto" w:fill="auto"/>
          </w:tcPr>
          <w:p w14:paraId="5B854A0D" w14:textId="77777777" w:rsidR="0049421C" w:rsidRPr="00F321D6" w:rsidRDefault="00576A22" w:rsidP="00F321D6">
            <w:pPr>
              <w:pStyle w:val="TableText"/>
              <w:rPr>
                <w:rStyle w:val="Emphasis"/>
              </w:rPr>
            </w:pPr>
            <w:r w:rsidRPr="00F321D6">
              <w:rPr>
                <w:rStyle w:val="Emphasis"/>
              </w:rPr>
              <w:t>Oncorhynchus mykiss</w:t>
            </w:r>
          </w:p>
        </w:tc>
        <w:tc>
          <w:tcPr>
            <w:tcW w:w="549" w:type="pct"/>
            <w:shd w:val="clear" w:color="auto" w:fill="auto"/>
          </w:tcPr>
          <w:p w14:paraId="5B854A0E" w14:textId="77777777" w:rsidR="0049421C" w:rsidRDefault="00576A22" w:rsidP="00F321D6">
            <w:pPr>
              <w:pStyle w:val="TableText"/>
            </w:pPr>
            <w:r>
              <w:t>Fry</w:t>
            </w:r>
          </w:p>
        </w:tc>
        <w:tc>
          <w:tcPr>
            <w:tcW w:w="610" w:type="pct"/>
            <w:shd w:val="clear" w:color="auto" w:fill="auto"/>
          </w:tcPr>
          <w:p w14:paraId="5B854A0F" w14:textId="77777777" w:rsidR="0049421C" w:rsidRPr="00C4526A" w:rsidRDefault="00576A22" w:rsidP="00F321D6">
            <w:pPr>
              <w:pStyle w:val="TableText"/>
            </w:pPr>
            <w:r>
              <w:t>28 + 28</w:t>
            </w:r>
          </w:p>
        </w:tc>
        <w:tc>
          <w:tcPr>
            <w:tcW w:w="636" w:type="pct"/>
            <w:shd w:val="clear" w:color="auto" w:fill="auto"/>
          </w:tcPr>
          <w:p w14:paraId="5B854A10" w14:textId="77777777" w:rsidR="0049421C" w:rsidRPr="00C4526A" w:rsidRDefault="00576A22" w:rsidP="00F321D6">
            <w:pPr>
              <w:pStyle w:val="TableText"/>
            </w:pPr>
            <w:r>
              <w:t>Chronic</w:t>
            </w:r>
          </w:p>
        </w:tc>
        <w:tc>
          <w:tcPr>
            <w:tcW w:w="815" w:type="pct"/>
            <w:shd w:val="clear" w:color="auto" w:fill="auto"/>
          </w:tcPr>
          <w:p w14:paraId="5B854A11" w14:textId="77777777" w:rsidR="0049421C" w:rsidRPr="00C4526A" w:rsidRDefault="00576A22" w:rsidP="003F1ED6">
            <w:pPr>
              <w:pStyle w:val="TableText"/>
            </w:pPr>
            <w:r>
              <w:t>LOEC</w:t>
            </w:r>
            <w:r w:rsidR="00B9780A">
              <w:t xml:space="preserve"> (growth)</w:t>
            </w:r>
          </w:p>
        </w:tc>
        <w:tc>
          <w:tcPr>
            <w:tcW w:w="667" w:type="pct"/>
            <w:shd w:val="clear" w:color="auto" w:fill="auto"/>
          </w:tcPr>
          <w:p w14:paraId="5B854A12" w14:textId="77777777" w:rsidR="0049421C" w:rsidRPr="00190155" w:rsidRDefault="00576A22" w:rsidP="00F321D6">
            <w:pPr>
              <w:pStyle w:val="TableText"/>
              <w:rPr>
                <w:vertAlign w:val="superscript"/>
              </w:rPr>
            </w:pPr>
            <w:r>
              <w:t>0.015</w:t>
            </w:r>
            <w:r w:rsidR="00AF3032">
              <w:t xml:space="preserve"> </w:t>
            </w:r>
            <w:r w:rsidRPr="00AF3032">
              <w:rPr>
                <w:rStyle w:val="Strong"/>
                <w:vertAlign w:val="superscript"/>
              </w:rPr>
              <w:t>c</w:t>
            </w:r>
          </w:p>
        </w:tc>
      </w:tr>
      <w:tr w:rsidR="006A7BE0" w14:paraId="5B854A1B" w14:textId="77777777" w:rsidTr="00217216">
        <w:trPr>
          <w:cantSplit/>
        </w:trPr>
        <w:tc>
          <w:tcPr>
            <w:tcW w:w="669" w:type="pct"/>
            <w:vMerge/>
            <w:shd w:val="clear" w:color="auto" w:fill="auto"/>
          </w:tcPr>
          <w:p w14:paraId="5B854A14" w14:textId="77777777" w:rsidR="0049421C" w:rsidRPr="00C4526A" w:rsidRDefault="0049421C" w:rsidP="00F321D6">
            <w:pPr>
              <w:pStyle w:val="TableText"/>
            </w:pPr>
          </w:p>
        </w:tc>
        <w:tc>
          <w:tcPr>
            <w:tcW w:w="1054" w:type="pct"/>
            <w:shd w:val="clear" w:color="auto" w:fill="auto"/>
          </w:tcPr>
          <w:p w14:paraId="5B854A15" w14:textId="77777777" w:rsidR="0049421C" w:rsidRPr="00F321D6" w:rsidRDefault="00576A22" w:rsidP="00F321D6">
            <w:pPr>
              <w:pStyle w:val="TableText"/>
              <w:rPr>
                <w:rStyle w:val="Emphasis"/>
              </w:rPr>
            </w:pPr>
            <w:r w:rsidRPr="00F321D6">
              <w:rPr>
                <w:rStyle w:val="Emphasis"/>
              </w:rPr>
              <w:t>Oryzias latipes</w:t>
            </w:r>
          </w:p>
        </w:tc>
        <w:tc>
          <w:tcPr>
            <w:tcW w:w="549" w:type="pct"/>
            <w:shd w:val="clear" w:color="auto" w:fill="auto"/>
          </w:tcPr>
          <w:p w14:paraId="5B854A16" w14:textId="77777777" w:rsidR="0049421C" w:rsidRDefault="00576A22" w:rsidP="00F321D6">
            <w:pPr>
              <w:pStyle w:val="TableText"/>
            </w:pPr>
            <w:r>
              <w:t>Embryo</w:t>
            </w:r>
          </w:p>
        </w:tc>
        <w:tc>
          <w:tcPr>
            <w:tcW w:w="610" w:type="pct"/>
            <w:shd w:val="clear" w:color="auto" w:fill="auto"/>
          </w:tcPr>
          <w:p w14:paraId="5B854A17" w14:textId="77777777" w:rsidR="0049421C" w:rsidRPr="00C4526A" w:rsidRDefault="00576A22" w:rsidP="00F321D6">
            <w:pPr>
              <w:pStyle w:val="TableText"/>
            </w:pPr>
            <w:r>
              <w:t>11</w:t>
            </w:r>
          </w:p>
        </w:tc>
        <w:tc>
          <w:tcPr>
            <w:tcW w:w="636" w:type="pct"/>
            <w:shd w:val="clear" w:color="auto" w:fill="auto"/>
          </w:tcPr>
          <w:p w14:paraId="5B854A18" w14:textId="77777777" w:rsidR="0049421C" w:rsidRPr="00C4526A" w:rsidRDefault="00576A22" w:rsidP="00F321D6">
            <w:pPr>
              <w:pStyle w:val="TableText"/>
            </w:pPr>
            <w:r>
              <w:t>Chronic</w:t>
            </w:r>
          </w:p>
        </w:tc>
        <w:tc>
          <w:tcPr>
            <w:tcW w:w="815" w:type="pct"/>
            <w:shd w:val="clear" w:color="auto" w:fill="auto"/>
          </w:tcPr>
          <w:p w14:paraId="5B854A19" w14:textId="77777777" w:rsidR="0049421C" w:rsidRPr="00C4526A" w:rsidRDefault="00576A22" w:rsidP="00F321D6">
            <w:pPr>
              <w:pStyle w:val="TableText"/>
            </w:pPr>
            <w:r>
              <w:t xml:space="preserve">NOEC </w:t>
            </w:r>
            <w:r w:rsidR="00B9780A">
              <w:t>(mortality)</w:t>
            </w:r>
          </w:p>
        </w:tc>
        <w:tc>
          <w:tcPr>
            <w:tcW w:w="667" w:type="pct"/>
            <w:shd w:val="clear" w:color="auto" w:fill="auto"/>
          </w:tcPr>
          <w:p w14:paraId="5B854A1A" w14:textId="77777777" w:rsidR="0049421C" w:rsidRDefault="00576A22" w:rsidP="00F321D6">
            <w:pPr>
              <w:pStyle w:val="TableText"/>
            </w:pPr>
            <w:r>
              <w:t>2.5</w:t>
            </w:r>
          </w:p>
        </w:tc>
      </w:tr>
      <w:tr w:rsidR="006A7BE0" w14:paraId="5B854A23" w14:textId="77777777" w:rsidTr="00217216">
        <w:trPr>
          <w:cantSplit/>
        </w:trPr>
        <w:tc>
          <w:tcPr>
            <w:tcW w:w="669" w:type="pct"/>
            <w:vMerge/>
            <w:shd w:val="clear" w:color="auto" w:fill="auto"/>
          </w:tcPr>
          <w:p w14:paraId="5B854A1C" w14:textId="77777777" w:rsidR="0049421C" w:rsidRPr="00C4526A" w:rsidRDefault="0049421C" w:rsidP="00F321D6">
            <w:pPr>
              <w:pStyle w:val="TableText"/>
            </w:pPr>
          </w:p>
        </w:tc>
        <w:tc>
          <w:tcPr>
            <w:tcW w:w="1054" w:type="pct"/>
            <w:shd w:val="clear" w:color="auto" w:fill="auto"/>
          </w:tcPr>
          <w:p w14:paraId="5B854A1D" w14:textId="77777777" w:rsidR="0049421C" w:rsidRPr="00F321D6" w:rsidRDefault="00576A22" w:rsidP="00F321D6">
            <w:pPr>
              <w:pStyle w:val="TableText"/>
              <w:rPr>
                <w:rStyle w:val="Emphasis"/>
              </w:rPr>
            </w:pPr>
            <w:r w:rsidRPr="00F321D6">
              <w:rPr>
                <w:rStyle w:val="Emphasis"/>
              </w:rPr>
              <w:t>Pimephales promelas</w:t>
            </w:r>
          </w:p>
        </w:tc>
        <w:tc>
          <w:tcPr>
            <w:tcW w:w="549" w:type="pct"/>
            <w:shd w:val="clear" w:color="auto" w:fill="auto"/>
          </w:tcPr>
          <w:p w14:paraId="5B854A1E" w14:textId="77777777" w:rsidR="0049421C" w:rsidRDefault="00576A22" w:rsidP="00F321D6">
            <w:pPr>
              <w:pStyle w:val="TableText"/>
            </w:pPr>
            <w:r>
              <w:t>Embryo</w:t>
            </w:r>
          </w:p>
        </w:tc>
        <w:tc>
          <w:tcPr>
            <w:tcW w:w="610" w:type="pct"/>
            <w:shd w:val="clear" w:color="auto" w:fill="auto"/>
          </w:tcPr>
          <w:p w14:paraId="5B854A1F" w14:textId="77777777" w:rsidR="0049421C" w:rsidRPr="00C4526A" w:rsidRDefault="00576A22" w:rsidP="00F321D6">
            <w:pPr>
              <w:pStyle w:val="TableText"/>
            </w:pPr>
            <w:r>
              <w:t>7</w:t>
            </w:r>
          </w:p>
        </w:tc>
        <w:tc>
          <w:tcPr>
            <w:tcW w:w="636" w:type="pct"/>
            <w:shd w:val="clear" w:color="auto" w:fill="auto"/>
          </w:tcPr>
          <w:p w14:paraId="5B854A20" w14:textId="77777777" w:rsidR="0049421C" w:rsidRPr="00C4526A" w:rsidRDefault="00576A22" w:rsidP="00F321D6">
            <w:pPr>
              <w:pStyle w:val="TableText"/>
            </w:pPr>
            <w:r>
              <w:t>Chronic</w:t>
            </w:r>
          </w:p>
        </w:tc>
        <w:tc>
          <w:tcPr>
            <w:tcW w:w="815" w:type="pct"/>
            <w:shd w:val="clear" w:color="auto" w:fill="auto"/>
          </w:tcPr>
          <w:p w14:paraId="5B854A21" w14:textId="77777777" w:rsidR="0049421C" w:rsidRPr="00C4526A" w:rsidRDefault="00576A22" w:rsidP="00F321D6">
            <w:pPr>
              <w:pStyle w:val="TableText"/>
            </w:pPr>
            <w:r>
              <w:t>NOEC</w:t>
            </w:r>
            <w:r w:rsidR="00B9780A">
              <w:t xml:space="preserve"> (mortality)</w:t>
            </w:r>
          </w:p>
        </w:tc>
        <w:tc>
          <w:tcPr>
            <w:tcW w:w="667" w:type="pct"/>
            <w:shd w:val="clear" w:color="auto" w:fill="auto"/>
          </w:tcPr>
          <w:p w14:paraId="5B854A22" w14:textId="77777777" w:rsidR="0049421C" w:rsidRDefault="00576A22" w:rsidP="00F321D6">
            <w:pPr>
              <w:pStyle w:val="TableText"/>
            </w:pPr>
            <w:r>
              <w:t>0.59</w:t>
            </w:r>
          </w:p>
        </w:tc>
      </w:tr>
      <w:tr w:rsidR="006A7BE0" w14:paraId="5B854A2B" w14:textId="77777777" w:rsidTr="00217216">
        <w:trPr>
          <w:cantSplit/>
        </w:trPr>
        <w:tc>
          <w:tcPr>
            <w:tcW w:w="669" w:type="pct"/>
            <w:vMerge/>
            <w:shd w:val="clear" w:color="auto" w:fill="auto"/>
          </w:tcPr>
          <w:p w14:paraId="5B854A24" w14:textId="77777777" w:rsidR="0049421C" w:rsidRPr="00C4526A" w:rsidRDefault="0049421C" w:rsidP="00F321D6">
            <w:pPr>
              <w:pStyle w:val="TableText"/>
            </w:pPr>
          </w:p>
        </w:tc>
        <w:tc>
          <w:tcPr>
            <w:tcW w:w="1054" w:type="pct"/>
            <w:tcBorders>
              <w:bottom w:val="single" w:sz="4" w:space="0" w:color="auto"/>
            </w:tcBorders>
            <w:shd w:val="clear" w:color="auto" w:fill="auto"/>
          </w:tcPr>
          <w:p w14:paraId="5B854A25" w14:textId="77777777" w:rsidR="0049421C" w:rsidRPr="00F321D6" w:rsidRDefault="00576A22" w:rsidP="00F321D6">
            <w:pPr>
              <w:pStyle w:val="TableText"/>
              <w:rPr>
                <w:rStyle w:val="Emphasis"/>
              </w:rPr>
            </w:pPr>
            <w:r w:rsidRPr="00F321D6">
              <w:rPr>
                <w:rStyle w:val="Emphasis"/>
              </w:rPr>
              <w:t>Salvelinus fontinalis</w:t>
            </w:r>
          </w:p>
        </w:tc>
        <w:tc>
          <w:tcPr>
            <w:tcW w:w="549" w:type="pct"/>
            <w:tcBorders>
              <w:bottom w:val="single" w:sz="4" w:space="0" w:color="auto"/>
            </w:tcBorders>
            <w:shd w:val="clear" w:color="auto" w:fill="auto"/>
          </w:tcPr>
          <w:p w14:paraId="5B854A26" w14:textId="77777777" w:rsidR="0049421C" w:rsidRPr="00C4526A" w:rsidRDefault="00576A22" w:rsidP="00F321D6">
            <w:pPr>
              <w:pStyle w:val="TableText"/>
            </w:pPr>
            <w:r>
              <w:t>Egg</w:t>
            </w:r>
          </w:p>
        </w:tc>
        <w:tc>
          <w:tcPr>
            <w:tcW w:w="610" w:type="pct"/>
            <w:tcBorders>
              <w:bottom w:val="single" w:sz="4" w:space="0" w:color="auto"/>
            </w:tcBorders>
            <w:shd w:val="clear" w:color="auto" w:fill="auto"/>
          </w:tcPr>
          <w:p w14:paraId="5B854A27" w14:textId="77777777" w:rsidR="0049421C" w:rsidRPr="00C4526A" w:rsidRDefault="00576A22" w:rsidP="00F321D6">
            <w:pPr>
              <w:pStyle w:val="TableText"/>
            </w:pPr>
            <w:r>
              <w:t>2 + 80</w:t>
            </w:r>
          </w:p>
        </w:tc>
        <w:tc>
          <w:tcPr>
            <w:tcW w:w="636" w:type="pct"/>
            <w:tcBorders>
              <w:bottom w:val="single" w:sz="4" w:space="0" w:color="auto"/>
            </w:tcBorders>
            <w:shd w:val="clear" w:color="auto" w:fill="auto"/>
          </w:tcPr>
          <w:p w14:paraId="5B854A28" w14:textId="77777777" w:rsidR="0049421C" w:rsidRPr="00C4526A" w:rsidRDefault="00576A22" w:rsidP="00F321D6">
            <w:pPr>
              <w:pStyle w:val="TableText"/>
            </w:pPr>
            <w:r>
              <w:t>Acute</w:t>
            </w:r>
          </w:p>
        </w:tc>
        <w:tc>
          <w:tcPr>
            <w:tcW w:w="815" w:type="pct"/>
            <w:tcBorders>
              <w:bottom w:val="single" w:sz="4" w:space="0" w:color="auto"/>
            </w:tcBorders>
            <w:shd w:val="clear" w:color="auto" w:fill="auto"/>
          </w:tcPr>
          <w:p w14:paraId="5B854A29" w14:textId="77777777" w:rsidR="0049421C" w:rsidRPr="00C4526A" w:rsidRDefault="00576A22" w:rsidP="00F321D6">
            <w:pPr>
              <w:pStyle w:val="TableText"/>
            </w:pPr>
            <w:r>
              <w:t>LC50</w:t>
            </w:r>
            <w:r w:rsidR="00B9780A">
              <w:t xml:space="preserve"> (mortality)</w:t>
            </w:r>
          </w:p>
        </w:tc>
        <w:tc>
          <w:tcPr>
            <w:tcW w:w="667" w:type="pct"/>
            <w:tcBorders>
              <w:bottom w:val="single" w:sz="4" w:space="0" w:color="auto"/>
            </w:tcBorders>
            <w:shd w:val="clear" w:color="auto" w:fill="auto"/>
          </w:tcPr>
          <w:p w14:paraId="5B854A2A" w14:textId="77777777" w:rsidR="0049421C" w:rsidRPr="00190155" w:rsidRDefault="00576A22" w:rsidP="00F321D6">
            <w:pPr>
              <w:pStyle w:val="TableText"/>
              <w:rPr>
                <w:vertAlign w:val="superscript"/>
              </w:rPr>
            </w:pPr>
            <w:r>
              <w:t>0.9</w:t>
            </w:r>
            <w:r w:rsidR="00AF3032">
              <w:t xml:space="preserve"> </w:t>
            </w:r>
            <w:r w:rsidRPr="00AF3032">
              <w:rPr>
                <w:rStyle w:val="Strong"/>
                <w:vertAlign w:val="superscript"/>
              </w:rPr>
              <w:t>d</w:t>
            </w:r>
          </w:p>
        </w:tc>
      </w:tr>
      <w:tr w:rsidR="006A7BE0" w14:paraId="5B854A33" w14:textId="77777777" w:rsidTr="00217216">
        <w:trPr>
          <w:cantSplit/>
        </w:trPr>
        <w:tc>
          <w:tcPr>
            <w:tcW w:w="669" w:type="pct"/>
            <w:vMerge/>
            <w:tcBorders>
              <w:bottom w:val="single" w:sz="12" w:space="0" w:color="auto"/>
            </w:tcBorders>
            <w:shd w:val="clear" w:color="auto" w:fill="auto"/>
          </w:tcPr>
          <w:p w14:paraId="5B854A2C" w14:textId="77777777" w:rsidR="0049421C" w:rsidRPr="00C4526A" w:rsidRDefault="0049421C" w:rsidP="00F321D6">
            <w:pPr>
              <w:pStyle w:val="TableText"/>
            </w:pPr>
          </w:p>
        </w:tc>
        <w:tc>
          <w:tcPr>
            <w:tcW w:w="1054" w:type="pct"/>
            <w:tcBorders>
              <w:bottom w:val="single" w:sz="12" w:space="0" w:color="auto"/>
            </w:tcBorders>
            <w:shd w:val="clear" w:color="auto" w:fill="auto"/>
          </w:tcPr>
          <w:p w14:paraId="5B854A2D" w14:textId="77777777" w:rsidR="0049421C" w:rsidRPr="00F321D6" w:rsidRDefault="00576A22" w:rsidP="00F321D6">
            <w:pPr>
              <w:pStyle w:val="TableText"/>
              <w:rPr>
                <w:rStyle w:val="Emphasis"/>
              </w:rPr>
            </w:pPr>
            <w:r w:rsidRPr="00F321D6">
              <w:rPr>
                <w:rStyle w:val="Emphasis"/>
              </w:rPr>
              <w:t>Salvelinus namaycush</w:t>
            </w:r>
          </w:p>
        </w:tc>
        <w:tc>
          <w:tcPr>
            <w:tcW w:w="549" w:type="pct"/>
            <w:tcBorders>
              <w:bottom w:val="single" w:sz="12" w:space="0" w:color="auto"/>
            </w:tcBorders>
            <w:shd w:val="clear" w:color="auto" w:fill="auto"/>
          </w:tcPr>
          <w:p w14:paraId="5B854A2E" w14:textId="77777777" w:rsidR="0049421C" w:rsidRDefault="00576A22" w:rsidP="00F321D6">
            <w:pPr>
              <w:pStyle w:val="TableText"/>
            </w:pPr>
            <w:r>
              <w:t>Egg</w:t>
            </w:r>
          </w:p>
        </w:tc>
        <w:tc>
          <w:tcPr>
            <w:tcW w:w="610" w:type="pct"/>
            <w:tcBorders>
              <w:bottom w:val="single" w:sz="12" w:space="0" w:color="auto"/>
            </w:tcBorders>
            <w:shd w:val="clear" w:color="auto" w:fill="auto"/>
          </w:tcPr>
          <w:p w14:paraId="5B854A2F" w14:textId="77777777" w:rsidR="0049421C" w:rsidRPr="00C4526A" w:rsidRDefault="00576A22" w:rsidP="00F321D6">
            <w:pPr>
              <w:pStyle w:val="TableText"/>
            </w:pPr>
            <w:r>
              <w:t>2 + 90–119</w:t>
            </w:r>
          </w:p>
        </w:tc>
        <w:tc>
          <w:tcPr>
            <w:tcW w:w="636" w:type="pct"/>
            <w:tcBorders>
              <w:bottom w:val="single" w:sz="12" w:space="0" w:color="auto"/>
            </w:tcBorders>
            <w:shd w:val="clear" w:color="auto" w:fill="auto"/>
          </w:tcPr>
          <w:p w14:paraId="5B854A30" w14:textId="77777777" w:rsidR="0049421C" w:rsidRPr="00C4526A" w:rsidRDefault="00576A22" w:rsidP="00F321D6">
            <w:pPr>
              <w:pStyle w:val="TableText"/>
            </w:pPr>
            <w:r>
              <w:t>Acute</w:t>
            </w:r>
          </w:p>
        </w:tc>
        <w:tc>
          <w:tcPr>
            <w:tcW w:w="815" w:type="pct"/>
            <w:tcBorders>
              <w:bottom w:val="single" w:sz="12" w:space="0" w:color="auto"/>
            </w:tcBorders>
            <w:shd w:val="clear" w:color="auto" w:fill="auto"/>
          </w:tcPr>
          <w:p w14:paraId="5B854A31" w14:textId="77777777" w:rsidR="0049421C" w:rsidRPr="00C4526A" w:rsidRDefault="00576A22" w:rsidP="00F321D6">
            <w:pPr>
              <w:pStyle w:val="TableText"/>
            </w:pPr>
            <w:r>
              <w:t>LC50</w:t>
            </w:r>
            <w:r w:rsidR="00B9780A">
              <w:t xml:space="preserve"> (mortality)</w:t>
            </w:r>
          </w:p>
        </w:tc>
        <w:tc>
          <w:tcPr>
            <w:tcW w:w="667" w:type="pct"/>
            <w:tcBorders>
              <w:bottom w:val="single" w:sz="12" w:space="0" w:color="auto"/>
            </w:tcBorders>
            <w:shd w:val="clear" w:color="auto" w:fill="auto"/>
          </w:tcPr>
          <w:p w14:paraId="5B854A32" w14:textId="77777777" w:rsidR="0049421C" w:rsidRPr="00190155" w:rsidRDefault="00576A22" w:rsidP="00F321D6">
            <w:pPr>
              <w:pStyle w:val="TableText"/>
              <w:rPr>
                <w:vertAlign w:val="superscript"/>
              </w:rPr>
            </w:pPr>
            <w:r>
              <w:t>1.</w:t>
            </w:r>
            <w:r w:rsidR="00F13093">
              <w:t xml:space="preserve">25 </w:t>
            </w:r>
            <w:r w:rsidRPr="00AF3032">
              <w:rPr>
                <w:rStyle w:val="Strong"/>
                <w:vertAlign w:val="superscript"/>
              </w:rPr>
              <w:t>d,</w:t>
            </w:r>
            <w:r w:rsidR="00AF3032" w:rsidRPr="00AF3032">
              <w:rPr>
                <w:rStyle w:val="Strong"/>
                <w:vertAlign w:val="superscript"/>
              </w:rPr>
              <w:t xml:space="preserve"> </w:t>
            </w:r>
            <w:r w:rsidRPr="00AF3032">
              <w:rPr>
                <w:rStyle w:val="Strong"/>
                <w:vertAlign w:val="superscript"/>
              </w:rPr>
              <w:t>e</w:t>
            </w:r>
          </w:p>
        </w:tc>
      </w:tr>
    </w:tbl>
    <w:p w14:paraId="5B854A34" w14:textId="77777777" w:rsidR="00AF3032" w:rsidRDefault="00576A22" w:rsidP="00AF3032">
      <w:pPr>
        <w:pStyle w:val="FigureTableNoteSource"/>
      </w:pPr>
      <w:r w:rsidRPr="00AF3032">
        <w:rPr>
          <w:rStyle w:val="Strong"/>
        </w:rPr>
        <w:t xml:space="preserve">a </w:t>
      </w:r>
      <w:r>
        <w:t xml:space="preserve">The measure of toxicity being estimated/determined: </w:t>
      </w:r>
      <w:r w:rsidR="00F13093">
        <w:t>LCx</w:t>
      </w:r>
      <w:r w:rsidR="00B820DF">
        <w:t>—</w:t>
      </w:r>
      <w:r w:rsidR="00F13093">
        <w:t>concentration causing x% lethality</w:t>
      </w:r>
      <w:r w:rsidR="00BB3B89">
        <w:t xml:space="preserve"> (where x = 49, 50 or 55%)</w:t>
      </w:r>
      <w:r w:rsidR="00F13093">
        <w:t>; LOEC</w:t>
      </w:r>
      <w:r w:rsidR="00B820DF">
        <w:t>—</w:t>
      </w:r>
      <w:r w:rsidR="00F13093">
        <w:t>lowest observed effect concentration; NOEC</w:t>
      </w:r>
      <w:r w:rsidR="00B820DF">
        <w:t>—</w:t>
      </w:r>
      <w:r w:rsidR="00F13093">
        <w:t>no observed effect concentration</w:t>
      </w:r>
      <w:r w:rsidR="00D03ED1">
        <w:t>.</w:t>
      </w:r>
      <w:r>
        <w:t xml:space="preserve"> </w:t>
      </w:r>
    </w:p>
    <w:p w14:paraId="5B854A35" w14:textId="77777777" w:rsidR="0049421C" w:rsidRDefault="00576A22" w:rsidP="00AF3032">
      <w:pPr>
        <w:pStyle w:val="FigureTableNoteSource"/>
      </w:pPr>
      <w:r w:rsidRPr="00AF3032">
        <w:rPr>
          <w:rStyle w:val="Strong"/>
        </w:rPr>
        <w:t>b</w:t>
      </w:r>
      <w:r>
        <w:t xml:space="preserve"> This is the final </w:t>
      </w:r>
      <w:r w:rsidR="00D11183">
        <w:t>value</w:t>
      </w:r>
      <w:r>
        <w:t xml:space="preserve"> after conversion to </w:t>
      </w:r>
      <w:r w:rsidR="00E5198D">
        <w:t xml:space="preserve">a </w:t>
      </w:r>
      <w:r>
        <w:t>chronic</w:t>
      </w:r>
      <w:r>
        <w:t xml:space="preserve"> </w:t>
      </w:r>
      <w:r w:rsidR="00E5198D">
        <w:t xml:space="preserve">zero or </w:t>
      </w:r>
      <w:r w:rsidR="00DF33E6">
        <w:t xml:space="preserve">negligible </w:t>
      </w:r>
      <w:r w:rsidR="00E5198D">
        <w:t xml:space="preserve">effect concentration </w:t>
      </w:r>
      <w:r w:rsidR="00D03ED1">
        <w:t>(</w:t>
      </w:r>
      <w:r>
        <w:t>calculating geometric mean where appropriate</w:t>
      </w:r>
      <w:r w:rsidR="00D03ED1">
        <w:t>)</w:t>
      </w:r>
      <w:r>
        <w:t xml:space="preserve">. Note that </w:t>
      </w:r>
      <w:r w:rsidR="00D11183">
        <w:t>values</w:t>
      </w:r>
      <w:r>
        <w:t xml:space="preserve"> are in ng/L (nanograms/litre)</w:t>
      </w:r>
      <w:r w:rsidR="00D03ED1">
        <w:t>—</w:t>
      </w:r>
      <w:r>
        <w:t>to convert to µg/L, divide by 1</w:t>
      </w:r>
      <w:r w:rsidR="00D03ED1">
        <w:t> </w:t>
      </w:r>
      <w:r>
        <w:t>000 (i.e. 1</w:t>
      </w:r>
      <w:r w:rsidR="00D03ED1">
        <w:t> </w:t>
      </w:r>
      <w:r>
        <w:t>ng/L = 0.001</w:t>
      </w:r>
      <w:r w:rsidR="00D03ED1">
        <w:t> </w:t>
      </w:r>
      <w:r>
        <w:t>µg/L).</w:t>
      </w:r>
    </w:p>
    <w:p w14:paraId="5B854A36" w14:textId="77777777" w:rsidR="0049421C" w:rsidRDefault="00576A22" w:rsidP="00AF3032">
      <w:pPr>
        <w:pStyle w:val="FigureTableNoteSource"/>
      </w:pPr>
      <w:r w:rsidRPr="00AF3032">
        <w:rPr>
          <w:rStyle w:val="Strong"/>
        </w:rPr>
        <w:t>c</w:t>
      </w:r>
      <w:r w:rsidR="00AF3032">
        <w:rPr>
          <w:rStyle w:val="Strong"/>
        </w:rPr>
        <w:t xml:space="preserve"> </w:t>
      </w:r>
      <w:r>
        <w:t>Toxicity value after conversion from chronic LOEC by a</w:t>
      </w:r>
      <w:r>
        <w:t>pplication of factor of 2.5.</w:t>
      </w:r>
    </w:p>
    <w:p w14:paraId="5B854A37" w14:textId="77777777" w:rsidR="0049421C" w:rsidRDefault="00576A22" w:rsidP="00AF3032">
      <w:pPr>
        <w:pStyle w:val="FigureTableNoteSource"/>
      </w:pPr>
      <w:r w:rsidRPr="00AF3032">
        <w:rPr>
          <w:rStyle w:val="Strong"/>
        </w:rPr>
        <w:t>d</w:t>
      </w:r>
      <w:r w:rsidR="00AF3032">
        <w:rPr>
          <w:rStyle w:val="Strong"/>
        </w:rPr>
        <w:t xml:space="preserve"> </w:t>
      </w:r>
      <w:r>
        <w:t>Toxicity value after conversion from acute LC50 by application of factor of 10 (default ACR).</w:t>
      </w:r>
    </w:p>
    <w:p w14:paraId="5B854A38" w14:textId="77777777" w:rsidR="0049421C" w:rsidRDefault="00576A22" w:rsidP="00AF3032">
      <w:pPr>
        <w:pStyle w:val="FigureTableNoteSource"/>
        <w:rPr>
          <w:highlight w:val="yellow"/>
        </w:rPr>
      </w:pPr>
      <w:r w:rsidRPr="00AF3032">
        <w:rPr>
          <w:rStyle w:val="Strong"/>
        </w:rPr>
        <w:t xml:space="preserve">e </w:t>
      </w:r>
      <w:r w:rsidR="00D03ED1">
        <w:t>T</w:t>
      </w:r>
      <w:r>
        <w:t xml:space="preserve">he geometric mean of two acute LC50 </w:t>
      </w:r>
      <w:r w:rsidR="00D11183">
        <w:t>values</w:t>
      </w:r>
      <w:r>
        <w:t xml:space="preserve"> (</w:t>
      </w:r>
      <w:r w:rsidR="00E0232D">
        <w:t>21 </w:t>
      </w:r>
      <w:r w:rsidR="00D03ED1">
        <w:t>ng/L</w:t>
      </w:r>
      <w:r>
        <w:t xml:space="preserve"> and 7.5</w:t>
      </w:r>
      <w:r w:rsidR="00D03ED1">
        <w:t> </w:t>
      </w:r>
      <w:r>
        <w:t>ng/L after application of ACR)</w:t>
      </w:r>
      <w:r w:rsidR="00D03ED1">
        <w:t>.</w:t>
      </w:r>
    </w:p>
    <w:p w14:paraId="5B854A39" w14:textId="77777777" w:rsidR="001303C0" w:rsidRPr="0049421C" w:rsidRDefault="00576A22" w:rsidP="001303C0">
      <w:pPr>
        <w:pStyle w:val="Heading3"/>
      </w:pPr>
      <w:bookmarkStart w:id="33" w:name="_Toc132885703"/>
      <w:r w:rsidRPr="0049421C">
        <w:t xml:space="preserve">Species sensitivity </w:t>
      </w:r>
      <w:r w:rsidRPr="0049421C">
        <w:t>distribution</w:t>
      </w:r>
      <w:bookmarkEnd w:id="33"/>
    </w:p>
    <w:p w14:paraId="5B854A3A" w14:textId="77777777" w:rsidR="0049421C" w:rsidRDefault="00576A22" w:rsidP="0049421C">
      <w:r w:rsidRPr="00433ED6">
        <w:t xml:space="preserve">The cumulative frequency (species sensitivity) distribution (SSD) of the </w:t>
      </w:r>
      <w:r>
        <w:t>eight</w:t>
      </w:r>
      <w:r w:rsidRPr="00433ED6">
        <w:t xml:space="preserve"> freshwater </w:t>
      </w:r>
      <w:r>
        <w:t>chronic and acute (converted to chronic) toxicity data for 2,3,7,8-TCDD reported in</w:t>
      </w:r>
      <w:r w:rsidRPr="00433ED6">
        <w:t xml:space="preserve"> </w:t>
      </w:r>
      <w:r w:rsidR="007152D6">
        <w:fldChar w:fldCharType="begin"/>
      </w:r>
      <w:r w:rsidR="007152D6">
        <w:instrText xml:space="preserve"> REF _Ref37254739 \h </w:instrText>
      </w:r>
      <w:r w:rsidR="007152D6">
        <w:fldChar w:fldCharType="separate"/>
      </w:r>
      <w:r w:rsidR="008E67C0">
        <w:t>Table </w:t>
      </w:r>
      <w:r w:rsidR="008E67C0">
        <w:rPr>
          <w:noProof/>
        </w:rPr>
        <w:t>1</w:t>
      </w:r>
      <w:r w:rsidR="007152D6">
        <w:fldChar w:fldCharType="end"/>
      </w:r>
      <w:r w:rsidR="007152D6">
        <w:t xml:space="preserve"> </w:t>
      </w:r>
      <w:r>
        <w:t xml:space="preserve">is </w:t>
      </w:r>
      <w:r w:rsidRPr="0049421C">
        <w:t xml:space="preserve">shown in </w:t>
      </w:r>
      <w:r w:rsidR="001B3D7B">
        <w:fldChar w:fldCharType="begin"/>
      </w:r>
      <w:r w:rsidR="001B3D7B">
        <w:instrText xml:space="preserve"> REF _Ref37254581 \h </w:instrText>
      </w:r>
      <w:r w:rsidR="001B3D7B">
        <w:fldChar w:fldCharType="separate"/>
      </w:r>
      <w:r w:rsidR="008E67C0">
        <w:t>Figure </w:t>
      </w:r>
      <w:r w:rsidR="008E67C0">
        <w:rPr>
          <w:noProof/>
        </w:rPr>
        <w:t>5</w:t>
      </w:r>
      <w:r w:rsidR="001B3D7B">
        <w:fldChar w:fldCharType="end"/>
      </w:r>
      <w:r w:rsidRPr="0049421C">
        <w:t xml:space="preserve">. </w:t>
      </w:r>
      <w:r w:rsidR="0025627C" w:rsidRPr="0025627C">
        <w:t>The SSD was plotted using the Burrlioz 2.0 software.</w:t>
      </w:r>
      <w:r>
        <w:t xml:space="preserve"> The model was judged to provide a good fit to the data.</w:t>
      </w:r>
    </w:p>
    <w:p w14:paraId="5B854A3B" w14:textId="77777777" w:rsidR="002B5287" w:rsidRPr="006B52F7" w:rsidRDefault="00576A22" w:rsidP="002B5287">
      <w:pPr>
        <w:pStyle w:val="Heading3"/>
      </w:pPr>
      <w:bookmarkStart w:id="34" w:name="_Toc132885704"/>
      <w:r w:rsidRPr="006B52F7">
        <w:t>Default guid</w:t>
      </w:r>
      <w:r w:rsidRPr="006B52F7">
        <w:t>eline values</w:t>
      </w:r>
      <w:bookmarkEnd w:id="34"/>
    </w:p>
    <w:p w14:paraId="5B854A3C" w14:textId="77777777" w:rsidR="002B5287" w:rsidRPr="001343F8" w:rsidRDefault="00576A22" w:rsidP="002B5287">
      <w:r w:rsidRPr="001343F8">
        <w:t>It is important that the DGVs and associated information in this technical brief are used in accordance with the detailed guidance provided in the Australian and New Zealand Guidelines for Fresh and Marine Water Quality website</w:t>
      </w:r>
      <w:r w:rsidRPr="001343F8">
        <w:rPr>
          <w:color w:val="000000" w:themeColor="text1"/>
        </w:rPr>
        <w:t xml:space="preserve"> (ANZG 2018)</w:t>
      </w:r>
      <w:r w:rsidRPr="001343F8">
        <w:t xml:space="preserve">. </w:t>
      </w:r>
    </w:p>
    <w:p w14:paraId="5B854A3D" w14:textId="77777777" w:rsidR="0049421C" w:rsidRDefault="00576A22" w:rsidP="00967F9C">
      <w:pPr>
        <w:spacing w:after="0"/>
        <w:rPr>
          <w:highlight w:val="yellow"/>
        </w:rPr>
      </w:pPr>
      <w:r>
        <w:rPr>
          <w:noProof/>
        </w:rPr>
        <w:drawing>
          <wp:inline distT="0" distB="0" distL="0" distR="0" wp14:anchorId="5B854CE1" wp14:editId="5B854CE2">
            <wp:extent cx="3959225" cy="33945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48185" name="Picture 1"/>
                    <pic:cNvPicPr/>
                  </pic:nvPicPr>
                  <pic:blipFill>
                    <a:blip r:embed="rId28">
                      <a:extLst>
                        <a:ext uri="{28A0092B-C50C-407E-A947-70E740481C1C}">
                          <a14:useLocalDpi xmlns:a14="http://schemas.microsoft.com/office/drawing/2010/main" val="0"/>
                        </a:ext>
                      </a:extLst>
                    </a:blip>
                    <a:srcRect t="11546" b="2715"/>
                    <a:stretch>
                      <a:fillRect/>
                    </a:stretch>
                  </pic:blipFill>
                  <pic:spPr bwMode="auto">
                    <a:xfrm>
                      <a:off x="0" y="0"/>
                      <a:ext cx="3960000" cy="3395241"/>
                    </a:xfrm>
                    <a:prstGeom prst="rect">
                      <a:avLst/>
                    </a:prstGeom>
                    <a:ln>
                      <a:noFill/>
                    </a:ln>
                    <a:extLst>
                      <a:ext uri="{53640926-AAD7-44D8-BBD7-CCE9431645EC}">
                        <a14:shadowObscured xmlns:a14="http://schemas.microsoft.com/office/drawing/2010/main"/>
                      </a:ext>
                    </a:extLst>
                  </pic:spPr>
                </pic:pic>
              </a:graphicData>
            </a:graphic>
          </wp:inline>
        </w:drawing>
      </w:r>
    </w:p>
    <w:p w14:paraId="5B854A3E" w14:textId="77777777" w:rsidR="006B52F7" w:rsidRDefault="00576A22" w:rsidP="002B5287">
      <w:pPr>
        <w:pStyle w:val="FigureTableNoteSource"/>
        <w:spacing w:before="60" w:after="60"/>
        <w:rPr>
          <w:highlight w:val="yellow"/>
        </w:rPr>
      </w:pPr>
      <w:r w:rsidRPr="006B52F7">
        <w:t>Note</w:t>
      </w:r>
      <w:r>
        <w:t>:</w:t>
      </w:r>
      <w:r w:rsidRPr="006B52F7">
        <w:t xml:space="preserve"> dioxin concentrations are in picograms per litre</w:t>
      </w:r>
      <w:r>
        <w:t xml:space="preserve"> (pg/L)</w:t>
      </w:r>
      <w:r w:rsidRPr="006B52F7">
        <w:t>.</w:t>
      </w:r>
    </w:p>
    <w:p w14:paraId="5B854A3F" w14:textId="77777777" w:rsidR="0049421C" w:rsidRDefault="00576A22" w:rsidP="002B5287">
      <w:pPr>
        <w:pStyle w:val="Caption"/>
        <w:spacing w:after="240"/>
        <w:rPr>
          <w:highlight w:val="yellow"/>
        </w:rPr>
      </w:pPr>
      <w:bookmarkStart w:id="35" w:name="_Ref37254581"/>
      <w:bookmarkStart w:id="36" w:name="_Toc47526057"/>
      <w:r>
        <w:t>Figure </w:t>
      </w:r>
      <w:r w:rsidR="00390AEE">
        <w:rPr>
          <w:noProof/>
        </w:rPr>
        <w:fldChar w:fldCharType="begin"/>
      </w:r>
      <w:r w:rsidR="00390AEE">
        <w:rPr>
          <w:noProof/>
        </w:rPr>
        <w:instrText xml:space="preserve"> SEQ Figure \* ARABIC </w:instrText>
      </w:r>
      <w:r w:rsidR="00390AEE">
        <w:rPr>
          <w:noProof/>
        </w:rPr>
        <w:fldChar w:fldCharType="separate"/>
      </w:r>
      <w:r w:rsidR="008E67C0">
        <w:rPr>
          <w:noProof/>
        </w:rPr>
        <w:t>5</w:t>
      </w:r>
      <w:r w:rsidR="00390AEE">
        <w:rPr>
          <w:noProof/>
        </w:rPr>
        <w:fldChar w:fldCharType="end"/>
      </w:r>
      <w:bookmarkEnd w:id="35"/>
      <w:r>
        <w:t xml:space="preserve"> </w:t>
      </w:r>
      <w:r w:rsidR="0025627C">
        <w:t xml:space="preserve">Species sensitivity distribution, </w:t>
      </w:r>
      <w:r w:rsidR="0025627C" w:rsidRPr="0049421C">
        <w:t xml:space="preserve">2,3,7,8-TCDD </w:t>
      </w:r>
      <w:r w:rsidR="0025627C">
        <w:t xml:space="preserve">in </w:t>
      </w:r>
      <w:r w:rsidR="0025627C" w:rsidRPr="0049421C">
        <w:t>freshwater</w:t>
      </w:r>
      <w:bookmarkEnd w:id="36"/>
      <w:r w:rsidRPr="0049421C">
        <w:t xml:space="preserve"> </w:t>
      </w:r>
    </w:p>
    <w:p w14:paraId="5B854A40" w14:textId="77777777" w:rsidR="00765B1D" w:rsidRDefault="00765B1D" w:rsidP="00582E0F">
      <w:bookmarkStart w:id="37" w:name="_Default_guideline_values"/>
      <w:bookmarkEnd w:id="37"/>
    </w:p>
    <w:p w14:paraId="5B854A41" w14:textId="77777777" w:rsidR="00582E0F" w:rsidRDefault="00576A22" w:rsidP="00582E0F">
      <w:pPr>
        <w:rPr>
          <w:rFonts w:cs="Arial"/>
        </w:rPr>
      </w:pPr>
      <w:r>
        <w:t>The DGVs for 99, 95, 90 and 80% species</w:t>
      </w:r>
      <w:r w:rsidRPr="008F1B13">
        <w:t xml:space="preserve"> protection are shown in </w:t>
      </w:r>
      <w:r>
        <w:fldChar w:fldCharType="begin"/>
      </w:r>
      <w:r>
        <w:instrText xml:space="preserve"> REF _Ref37254786 \h </w:instrText>
      </w:r>
      <w:r>
        <w:fldChar w:fldCharType="separate"/>
      </w:r>
      <w:r w:rsidR="008E67C0">
        <w:rPr>
          <w:b/>
          <w:bCs/>
          <w:lang w:val="en-US"/>
        </w:rPr>
        <w:t>Error! Reference source not found.</w:t>
      </w:r>
      <w:r>
        <w:fldChar w:fldCharType="end"/>
      </w:r>
      <w:r w:rsidRPr="008F1B13">
        <w:t xml:space="preserve">. </w:t>
      </w:r>
      <w:r>
        <w:t>Because</w:t>
      </w:r>
      <w:r w:rsidRPr="008F1B13">
        <w:t xml:space="preserve"> dioxins bioaccumulate, the 99% species protection </w:t>
      </w:r>
      <w:r>
        <w:t>DGV</w:t>
      </w:r>
      <w:r w:rsidRPr="008F1B13">
        <w:t xml:space="preserve"> would normally be recommended for slightly-</w:t>
      </w:r>
      <w:r>
        <w:t>to</w:t>
      </w:r>
      <w:r>
        <w:t>-</w:t>
      </w:r>
      <w:r w:rsidRPr="008F1B13">
        <w:t xml:space="preserve">moderately disturbed systems, but </w:t>
      </w:r>
      <w:r>
        <w:t>this value</w:t>
      </w:r>
      <w:r w:rsidRPr="008F1B13">
        <w:t xml:space="preserve"> is </w:t>
      </w:r>
      <w:r>
        <w:t>below current analytical detection limits</w:t>
      </w:r>
      <w:r w:rsidRPr="008F1B13">
        <w:t xml:space="preserve">. </w:t>
      </w:r>
      <w:r>
        <w:rPr>
          <w:rFonts w:cs="Arial"/>
        </w:rPr>
        <w:t xml:space="preserve">ANZG (2018; see </w:t>
      </w:r>
      <w:hyperlink r:id="rId29" w:anchor="default-guideline-values-and-analytical-detection-limits" w:history="1">
        <w:r w:rsidRPr="00547C40">
          <w:rPr>
            <w:rStyle w:val="Hyperlink"/>
            <w:rFonts w:cs="Arial"/>
          </w:rPr>
          <w:t>Accounting for local conditions</w:t>
        </w:r>
      </w:hyperlink>
      <w:r>
        <w:rPr>
          <w:rFonts w:cs="Arial"/>
        </w:rPr>
        <w:t xml:space="preserve">) provides guidance on what to do in the event guideline values are below analytical detection limits. </w:t>
      </w:r>
    </w:p>
    <w:p w14:paraId="5B854A42" w14:textId="77777777" w:rsidR="00582E0F" w:rsidRDefault="00576A22" w:rsidP="00582E0F">
      <w:pPr>
        <w:pStyle w:val="Caption"/>
      </w:pPr>
      <w:bookmarkStart w:id="38" w:name="_Toc132885734"/>
      <w:r>
        <w:t>Table </w:t>
      </w:r>
      <w:r>
        <w:rPr>
          <w:noProof/>
        </w:rPr>
        <w:fldChar w:fldCharType="begin"/>
      </w:r>
      <w:r>
        <w:rPr>
          <w:noProof/>
        </w:rPr>
        <w:instrText xml:space="preserve"> SEQ Table \* ARABIC </w:instrText>
      </w:r>
      <w:r>
        <w:rPr>
          <w:noProof/>
        </w:rPr>
        <w:fldChar w:fldCharType="separate"/>
      </w:r>
      <w:r w:rsidR="008E67C0">
        <w:rPr>
          <w:noProof/>
        </w:rPr>
        <w:t>2</w:t>
      </w:r>
      <w:r>
        <w:rPr>
          <w:noProof/>
        </w:rPr>
        <w:fldChar w:fldCharType="end"/>
      </w:r>
      <w:r>
        <w:t xml:space="preserve"> Toxicant d</w:t>
      </w:r>
      <w:r w:rsidRPr="008F1B13">
        <w:t>e</w:t>
      </w:r>
      <w:r w:rsidRPr="008F1B13">
        <w:t>fault guideline values</w:t>
      </w:r>
      <w:r>
        <w:t>,</w:t>
      </w:r>
      <w:r w:rsidRPr="008F1B13">
        <w:t xml:space="preserve"> 2,3,7,8-TCDD</w:t>
      </w:r>
      <w:r>
        <w:t xml:space="preserve"> in freshwater, moderate reliability</w:t>
      </w:r>
      <w:bookmarkEnd w:id="38"/>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oxicant default guideline values, 2,3,7,8-TCDD in freshwater, moderate reliability"/>
        <w:tblDescription w:val="Table shows the default guideline values for a range of protection levels for 2,3,7,8-TCDD freshwater. The four levels of species protection are 99, 95, 90 and 80%. The corresponding default guideline values are 0.0002, 0.005, 0.02 and 0.08 (nanograms per litre), respectively."/>
      </w:tblPr>
      <w:tblGrid>
        <w:gridCol w:w="4535"/>
        <w:gridCol w:w="4535"/>
      </w:tblGrid>
      <w:tr w:rsidR="006A7BE0" w14:paraId="5B854A45" w14:textId="77777777" w:rsidTr="00C4253A">
        <w:trPr>
          <w:tblHeader/>
        </w:trPr>
        <w:tc>
          <w:tcPr>
            <w:tcW w:w="2500" w:type="pct"/>
            <w:tcBorders>
              <w:top w:val="single" w:sz="12" w:space="0" w:color="auto"/>
              <w:bottom w:val="single" w:sz="12" w:space="0" w:color="auto"/>
            </w:tcBorders>
          </w:tcPr>
          <w:p w14:paraId="5B854A43" w14:textId="77777777" w:rsidR="00582E0F" w:rsidRPr="00295D89" w:rsidRDefault="00576A22" w:rsidP="00C4253A">
            <w:pPr>
              <w:pStyle w:val="TableHeading"/>
            </w:pPr>
            <w:r>
              <w:t>Level of</w:t>
            </w:r>
            <w:r w:rsidRPr="00295D89">
              <w:t xml:space="preserve"> species protection (%)</w:t>
            </w:r>
          </w:p>
        </w:tc>
        <w:tc>
          <w:tcPr>
            <w:tcW w:w="2500" w:type="pct"/>
            <w:tcBorders>
              <w:top w:val="single" w:sz="12" w:space="0" w:color="auto"/>
              <w:bottom w:val="single" w:sz="12" w:space="0" w:color="auto"/>
            </w:tcBorders>
          </w:tcPr>
          <w:p w14:paraId="5B854A44" w14:textId="77777777" w:rsidR="00582E0F" w:rsidRPr="00295D89" w:rsidRDefault="00576A22" w:rsidP="00C4253A">
            <w:pPr>
              <w:pStyle w:val="TableHeading"/>
            </w:pPr>
            <w:r w:rsidRPr="00295D89">
              <w:t>D</w:t>
            </w:r>
            <w:r>
              <w:t>GV for 2,3,7,8-TCDD in freshwater</w:t>
            </w:r>
            <w:r w:rsidRPr="00295D89">
              <w:t xml:space="preserve"> (</w:t>
            </w:r>
            <w:r>
              <w:t>n</w:t>
            </w:r>
            <w:r w:rsidRPr="00295D89">
              <w:t>g/L)</w:t>
            </w:r>
            <w:r>
              <w:t xml:space="preserve"> </w:t>
            </w:r>
            <w:r w:rsidRPr="00793B15">
              <w:rPr>
                <w:rStyle w:val="Strong"/>
                <w:b/>
                <w:vertAlign w:val="superscript"/>
              </w:rPr>
              <w:t>a</w:t>
            </w:r>
          </w:p>
        </w:tc>
      </w:tr>
      <w:tr w:rsidR="006A7BE0" w14:paraId="5B854A48" w14:textId="77777777" w:rsidTr="00C4253A">
        <w:trPr>
          <w:trHeight w:val="153"/>
        </w:trPr>
        <w:tc>
          <w:tcPr>
            <w:tcW w:w="2500" w:type="pct"/>
            <w:tcBorders>
              <w:top w:val="single" w:sz="12" w:space="0" w:color="auto"/>
              <w:bottom w:val="single" w:sz="4" w:space="0" w:color="auto"/>
            </w:tcBorders>
          </w:tcPr>
          <w:p w14:paraId="5B854A46" w14:textId="77777777" w:rsidR="00582E0F" w:rsidRPr="00295D89" w:rsidRDefault="00576A22" w:rsidP="00C4253A">
            <w:pPr>
              <w:pStyle w:val="TableText"/>
            </w:pPr>
            <w:r w:rsidRPr="00295D89">
              <w:t>99</w:t>
            </w:r>
          </w:p>
        </w:tc>
        <w:tc>
          <w:tcPr>
            <w:tcW w:w="2500" w:type="pct"/>
            <w:tcBorders>
              <w:top w:val="single" w:sz="12" w:space="0" w:color="auto"/>
              <w:bottom w:val="single" w:sz="4" w:space="0" w:color="auto"/>
            </w:tcBorders>
          </w:tcPr>
          <w:p w14:paraId="5B854A47" w14:textId="77777777" w:rsidR="00582E0F" w:rsidRPr="00295D89" w:rsidRDefault="00576A22" w:rsidP="00C4253A">
            <w:pPr>
              <w:pStyle w:val="TableText"/>
            </w:pPr>
            <w:r>
              <w:t>0.0002</w:t>
            </w:r>
          </w:p>
        </w:tc>
      </w:tr>
      <w:tr w:rsidR="006A7BE0" w14:paraId="5B854A4B" w14:textId="77777777" w:rsidTr="00C4253A">
        <w:trPr>
          <w:trHeight w:val="284"/>
        </w:trPr>
        <w:tc>
          <w:tcPr>
            <w:tcW w:w="2500" w:type="pct"/>
            <w:tcBorders>
              <w:top w:val="single" w:sz="4" w:space="0" w:color="auto"/>
              <w:bottom w:val="single" w:sz="4" w:space="0" w:color="auto"/>
            </w:tcBorders>
          </w:tcPr>
          <w:p w14:paraId="5B854A49" w14:textId="77777777" w:rsidR="00582E0F" w:rsidRPr="00295D89" w:rsidRDefault="00576A22" w:rsidP="00C4253A">
            <w:pPr>
              <w:pStyle w:val="TableText"/>
            </w:pPr>
            <w:r w:rsidRPr="00295D89">
              <w:t>95</w:t>
            </w:r>
          </w:p>
        </w:tc>
        <w:tc>
          <w:tcPr>
            <w:tcW w:w="2500" w:type="pct"/>
            <w:tcBorders>
              <w:top w:val="single" w:sz="4" w:space="0" w:color="auto"/>
              <w:bottom w:val="single" w:sz="4" w:space="0" w:color="auto"/>
            </w:tcBorders>
          </w:tcPr>
          <w:p w14:paraId="5B854A4A" w14:textId="77777777" w:rsidR="00582E0F" w:rsidRPr="00295D89" w:rsidRDefault="00576A22" w:rsidP="00C4253A">
            <w:pPr>
              <w:pStyle w:val="TableText"/>
            </w:pPr>
            <w:r>
              <w:t>0.005</w:t>
            </w:r>
          </w:p>
        </w:tc>
      </w:tr>
      <w:tr w:rsidR="006A7BE0" w14:paraId="5B854A4E" w14:textId="77777777" w:rsidTr="00C4253A">
        <w:trPr>
          <w:trHeight w:val="284"/>
        </w:trPr>
        <w:tc>
          <w:tcPr>
            <w:tcW w:w="2500" w:type="pct"/>
            <w:tcBorders>
              <w:top w:val="single" w:sz="4" w:space="0" w:color="auto"/>
              <w:bottom w:val="single" w:sz="4" w:space="0" w:color="auto"/>
            </w:tcBorders>
          </w:tcPr>
          <w:p w14:paraId="5B854A4C" w14:textId="77777777" w:rsidR="00582E0F" w:rsidRPr="00295D89" w:rsidRDefault="00576A22" w:rsidP="00C4253A">
            <w:pPr>
              <w:pStyle w:val="TableText"/>
            </w:pPr>
            <w:r w:rsidRPr="00295D89">
              <w:t>90</w:t>
            </w:r>
          </w:p>
        </w:tc>
        <w:tc>
          <w:tcPr>
            <w:tcW w:w="2500" w:type="pct"/>
            <w:tcBorders>
              <w:top w:val="single" w:sz="4" w:space="0" w:color="auto"/>
              <w:bottom w:val="single" w:sz="4" w:space="0" w:color="auto"/>
            </w:tcBorders>
          </w:tcPr>
          <w:p w14:paraId="5B854A4D" w14:textId="77777777" w:rsidR="00582E0F" w:rsidRPr="00295D89" w:rsidRDefault="00576A22" w:rsidP="00C4253A">
            <w:pPr>
              <w:pStyle w:val="TableText"/>
            </w:pPr>
            <w:r>
              <w:t>0.02</w:t>
            </w:r>
          </w:p>
        </w:tc>
      </w:tr>
      <w:tr w:rsidR="006A7BE0" w14:paraId="5B854A51" w14:textId="77777777" w:rsidTr="00C4253A">
        <w:trPr>
          <w:trHeight w:val="284"/>
        </w:trPr>
        <w:tc>
          <w:tcPr>
            <w:tcW w:w="2500" w:type="pct"/>
            <w:tcBorders>
              <w:top w:val="single" w:sz="4" w:space="0" w:color="auto"/>
              <w:bottom w:val="single" w:sz="12" w:space="0" w:color="auto"/>
            </w:tcBorders>
          </w:tcPr>
          <w:p w14:paraId="5B854A4F" w14:textId="77777777" w:rsidR="00582E0F" w:rsidRPr="00295D89" w:rsidRDefault="00576A22" w:rsidP="00C4253A">
            <w:pPr>
              <w:pStyle w:val="TableText"/>
            </w:pPr>
            <w:r w:rsidRPr="00295D89">
              <w:t>80</w:t>
            </w:r>
          </w:p>
        </w:tc>
        <w:tc>
          <w:tcPr>
            <w:tcW w:w="2500" w:type="pct"/>
            <w:tcBorders>
              <w:top w:val="single" w:sz="4" w:space="0" w:color="auto"/>
              <w:bottom w:val="single" w:sz="12" w:space="0" w:color="auto"/>
            </w:tcBorders>
          </w:tcPr>
          <w:p w14:paraId="5B854A50" w14:textId="77777777" w:rsidR="00582E0F" w:rsidRPr="00295D89" w:rsidRDefault="00576A22" w:rsidP="00C4253A">
            <w:pPr>
              <w:pStyle w:val="TableText"/>
            </w:pPr>
            <w:r>
              <w:t>0.08</w:t>
            </w:r>
          </w:p>
        </w:tc>
      </w:tr>
    </w:tbl>
    <w:p w14:paraId="5B854A52" w14:textId="77777777" w:rsidR="00582E0F" w:rsidRDefault="00576A22" w:rsidP="00582E0F">
      <w:pPr>
        <w:pStyle w:val="FigureTableNoteSource"/>
      </w:pPr>
      <w:r w:rsidRPr="00793B15">
        <w:rPr>
          <w:rStyle w:val="Strong"/>
        </w:rPr>
        <w:t>a</w:t>
      </w:r>
      <w:r w:rsidRPr="0030670A">
        <w:t xml:space="preserve"> The DGVs were derived using the Burrlioz 2.0 software</w:t>
      </w:r>
      <w:r>
        <w:t xml:space="preserve"> and</w:t>
      </w:r>
      <w:r w:rsidRPr="0030670A">
        <w:t xml:space="preserve"> </w:t>
      </w:r>
      <w:r>
        <w:t>are</w:t>
      </w:r>
      <w:r w:rsidRPr="0030670A">
        <w:t xml:space="preserve"> </w:t>
      </w:r>
      <w:r>
        <w:t>reported</w:t>
      </w:r>
      <w:r w:rsidRPr="0030670A">
        <w:t xml:space="preserve"> to </w:t>
      </w:r>
      <w:r w:rsidR="001B1019">
        <w:t>one</w:t>
      </w:r>
      <w:r w:rsidRPr="0030670A">
        <w:t xml:space="preserve"> significant figure.</w:t>
      </w:r>
    </w:p>
    <w:p w14:paraId="5B854A53" w14:textId="77777777" w:rsidR="00582E0F" w:rsidRDefault="00576A22" w:rsidP="00582E0F">
      <w:r w:rsidRPr="008F1B13">
        <w:t>It is important to highlight that, due to the DGVs being derived using only data from fish, which are known to be highly sensitive to dioxins relative to mos</w:t>
      </w:r>
      <w:r w:rsidRPr="008F1B13">
        <w:t>t other freshwater biota, the DGVs may be over-protective in freshwater ecosystems where fish are not present.</w:t>
      </w:r>
      <w:r>
        <w:t xml:space="preserve"> Assessment of the risks of dioxins to aquatic ecosystems should always adopt a </w:t>
      </w:r>
      <w:r w:rsidRPr="008F1B13">
        <w:t>weight</w:t>
      </w:r>
      <w:r>
        <w:t xml:space="preserve"> </w:t>
      </w:r>
      <w:r w:rsidRPr="008F1B13">
        <w:t>of</w:t>
      </w:r>
      <w:r>
        <w:t xml:space="preserve"> </w:t>
      </w:r>
      <w:r w:rsidRPr="008F1B13">
        <w:t xml:space="preserve">evidence </w:t>
      </w:r>
      <w:r>
        <w:t>approach that, wherever possible, also consider</w:t>
      </w:r>
      <w:r>
        <w:t xml:space="preserve">s </w:t>
      </w:r>
      <w:r w:rsidRPr="008F1B13">
        <w:t>sediment and tissue concentrations.</w:t>
      </w:r>
    </w:p>
    <w:p w14:paraId="5B854A54" w14:textId="77777777" w:rsidR="00C36092" w:rsidRDefault="00576A22" w:rsidP="00C36092">
      <w:r>
        <w:t>In the absence of marine DGVs for dioxins, t</w:t>
      </w:r>
      <w:r w:rsidRPr="00564705">
        <w:t xml:space="preserve">he </w:t>
      </w:r>
      <w:r>
        <w:t xml:space="preserve">limited </w:t>
      </w:r>
      <w:r w:rsidRPr="00564705">
        <w:t xml:space="preserve">available </w:t>
      </w:r>
      <w:r w:rsidR="00BC0BA3">
        <w:t xml:space="preserve">toxicity </w:t>
      </w:r>
      <w:r w:rsidRPr="00564705">
        <w:t>data for marine</w:t>
      </w:r>
      <w:r w:rsidR="00BC0BA3">
        <w:t xml:space="preserve"> and estuarine species</w:t>
      </w:r>
      <w:r w:rsidRPr="00564705">
        <w:t xml:space="preserve"> would suggest that </w:t>
      </w:r>
      <w:r>
        <w:t>the</w:t>
      </w:r>
      <w:r w:rsidRPr="00564705">
        <w:t xml:space="preserve"> freshwater DGV</w:t>
      </w:r>
      <w:r>
        <w:t>s</w:t>
      </w:r>
      <w:r w:rsidRPr="00564705">
        <w:t xml:space="preserve"> </w:t>
      </w:r>
      <w:r>
        <w:t xml:space="preserve">presented here </w:t>
      </w:r>
      <w:r w:rsidRPr="00564705">
        <w:t>would be conservatively protective of marine</w:t>
      </w:r>
      <w:r w:rsidR="00650F9A">
        <w:t xml:space="preserve"> and estuarine</w:t>
      </w:r>
      <w:r w:rsidRPr="00564705">
        <w:t xml:space="preserve"> species</w:t>
      </w:r>
      <w:r>
        <w:t>.</w:t>
      </w:r>
    </w:p>
    <w:p w14:paraId="5B854A55" w14:textId="77777777" w:rsidR="00C36092" w:rsidRDefault="00576A22" w:rsidP="00473281">
      <w:r>
        <w:t xml:space="preserve">Although insufficient data were available to derive separate DGVs for the other PCDDs, PCDFs or </w:t>
      </w:r>
      <w:r w:rsidR="004B5B9C">
        <w:br/>
      </w:r>
      <w:r>
        <w:t>dl-PCBs, guidance is provide in Section </w:t>
      </w:r>
      <w:r>
        <w:fldChar w:fldCharType="begin"/>
      </w:r>
      <w:r>
        <w:instrText xml:space="preserve"> REF _Ref37255269 \r \h </w:instrText>
      </w:r>
      <w:r>
        <w:fldChar w:fldCharType="separate"/>
      </w:r>
      <w:r w:rsidR="008E67C0">
        <w:t>5</w:t>
      </w:r>
      <w:r>
        <w:fldChar w:fldCharType="end"/>
      </w:r>
      <w:r>
        <w:t xml:space="preserve"> on the use of accepted toxicity equivalence factors (TEFs) that will assist in determining their toxicity</w:t>
      </w:r>
      <w:r w:rsidR="003E14FA">
        <w:t xml:space="preserve">, </w:t>
      </w:r>
      <w:r>
        <w:t>understanding additive toxicity of mixtures of these compounds</w:t>
      </w:r>
      <w:r w:rsidR="003E14FA">
        <w:t xml:space="preserve"> and accounting for </w:t>
      </w:r>
      <w:r w:rsidR="00331C6D">
        <w:t>the relative potency of different dioxins</w:t>
      </w:r>
      <w:r w:rsidR="003E14FA">
        <w:t xml:space="preserve"> when applying the DGVs</w:t>
      </w:r>
      <w:r>
        <w:t>.</w:t>
      </w:r>
    </w:p>
    <w:p w14:paraId="5B854A56" w14:textId="77777777" w:rsidR="001303C0" w:rsidRPr="00256BB6" w:rsidRDefault="00576A22" w:rsidP="00473281">
      <w:pPr>
        <w:pStyle w:val="Heading3"/>
      </w:pPr>
      <w:bookmarkStart w:id="39" w:name="_Toc132885705"/>
      <w:bookmarkStart w:id="40" w:name="_Toc132885721"/>
      <w:bookmarkStart w:id="41" w:name="_Toc132885722"/>
      <w:bookmarkEnd w:id="39"/>
      <w:bookmarkEnd w:id="40"/>
      <w:r w:rsidRPr="00256BB6">
        <w:t>Reliability classification</w:t>
      </w:r>
      <w:bookmarkEnd w:id="41"/>
      <w:r w:rsidRPr="00256BB6">
        <w:t xml:space="preserve"> </w:t>
      </w:r>
    </w:p>
    <w:p w14:paraId="5B854A57" w14:textId="77777777" w:rsidR="001303C0" w:rsidRPr="00256BB6" w:rsidRDefault="00576A22" w:rsidP="002B5287">
      <w:pPr>
        <w:spacing w:after="120"/>
        <w:rPr>
          <w:lang w:eastAsia="ja-JP"/>
        </w:rPr>
      </w:pPr>
      <w:r w:rsidRPr="00256BB6">
        <w:rPr>
          <w:lang w:eastAsia="ja-JP"/>
        </w:rPr>
        <w:t xml:space="preserve">The </w:t>
      </w:r>
      <w:r w:rsidR="00256BB6">
        <w:rPr>
          <w:lang w:eastAsia="ja-JP"/>
        </w:rPr>
        <w:t>dioxin</w:t>
      </w:r>
      <w:r w:rsidRPr="00256BB6">
        <w:rPr>
          <w:lang w:eastAsia="ja-JP"/>
        </w:rPr>
        <w:t xml:space="preserve"> freshwater DGVs have a moderate reliability classification (Warne et al. 2018) based on the outcomes for the following three criteria:</w:t>
      </w:r>
    </w:p>
    <w:p w14:paraId="5B854A58" w14:textId="77777777" w:rsidR="001303C0" w:rsidRPr="00256BB6" w:rsidRDefault="00576A22" w:rsidP="002B5287">
      <w:pPr>
        <w:pStyle w:val="ListBullet"/>
        <w:spacing w:after="60"/>
        <w:rPr>
          <w:lang w:eastAsia="ja-JP"/>
        </w:rPr>
      </w:pPr>
      <w:r w:rsidRPr="00256BB6">
        <w:rPr>
          <w:lang w:eastAsia="ja-JP"/>
        </w:rPr>
        <w:t>Sample size—</w:t>
      </w:r>
      <w:r w:rsidR="00256BB6">
        <w:rPr>
          <w:lang w:eastAsia="ja-JP"/>
        </w:rPr>
        <w:t>8</w:t>
      </w:r>
      <w:r w:rsidRPr="00256BB6">
        <w:rPr>
          <w:lang w:eastAsia="ja-JP"/>
        </w:rPr>
        <w:t xml:space="preserve"> (</w:t>
      </w:r>
      <w:r w:rsidR="00116728">
        <w:rPr>
          <w:lang w:eastAsia="ja-JP"/>
        </w:rPr>
        <w:t>good</w:t>
      </w:r>
      <w:r w:rsidRPr="00256BB6">
        <w:rPr>
          <w:lang w:eastAsia="ja-JP"/>
        </w:rPr>
        <w:t>)</w:t>
      </w:r>
    </w:p>
    <w:p w14:paraId="5B854A59" w14:textId="77777777" w:rsidR="001303C0" w:rsidRPr="00256BB6" w:rsidRDefault="00576A22" w:rsidP="002B5287">
      <w:pPr>
        <w:pStyle w:val="ListBullet"/>
        <w:spacing w:before="60" w:after="60"/>
        <w:rPr>
          <w:lang w:eastAsia="ja-JP"/>
        </w:rPr>
      </w:pPr>
      <w:r w:rsidRPr="00256BB6">
        <w:rPr>
          <w:lang w:eastAsia="ja-JP"/>
        </w:rPr>
        <w:t xml:space="preserve">Type of toxicity data—chronic </w:t>
      </w:r>
      <w:r w:rsidR="00116728">
        <w:rPr>
          <w:lang w:eastAsia="ja-JP"/>
        </w:rPr>
        <w:t>data and</w:t>
      </w:r>
      <w:r w:rsidR="00256BB6">
        <w:rPr>
          <w:lang w:eastAsia="ja-JP"/>
        </w:rPr>
        <w:t xml:space="preserve"> acute </w:t>
      </w:r>
      <w:r w:rsidR="00116728">
        <w:rPr>
          <w:lang w:eastAsia="ja-JP"/>
        </w:rPr>
        <w:t>data converted to chronic equivalent data</w:t>
      </w:r>
    </w:p>
    <w:p w14:paraId="5B854A5A" w14:textId="77777777" w:rsidR="001303C0" w:rsidRPr="00256BB6" w:rsidRDefault="00576A22" w:rsidP="00582E0F">
      <w:pPr>
        <w:pStyle w:val="ListBullet"/>
        <w:spacing w:before="60" w:after="200"/>
        <w:rPr>
          <w:lang w:eastAsia="ja-JP"/>
        </w:rPr>
      </w:pPr>
      <w:r w:rsidRPr="00256BB6">
        <w:rPr>
          <w:lang w:eastAsia="ja-JP"/>
        </w:rPr>
        <w:t>SSD model fit—</w:t>
      </w:r>
      <w:r w:rsidR="00256BB6">
        <w:rPr>
          <w:lang w:eastAsia="ja-JP"/>
        </w:rPr>
        <w:t>good</w:t>
      </w:r>
      <w:r w:rsidRPr="00256BB6">
        <w:rPr>
          <w:lang w:eastAsia="ja-JP"/>
        </w:rPr>
        <w:t xml:space="preserve"> (</w:t>
      </w:r>
      <w:r w:rsidR="00AF5A73">
        <w:rPr>
          <w:lang w:eastAsia="ja-JP"/>
        </w:rPr>
        <w:t>Burr Type III</w:t>
      </w:r>
      <w:r w:rsidRPr="00256BB6">
        <w:rPr>
          <w:lang w:eastAsia="ja-JP"/>
        </w:rPr>
        <w:t xml:space="preserve"> model).</w:t>
      </w:r>
    </w:p>
    <w:p w14:paraId="5B854A5B" w14:textId="77777777" w:rsidR="0049421C" w:rsidRDefault="00576A22" w:rsidP="0049421C">
      <w:pPr>
        <w:pStyle w:val="Heading2"/>
      </w:pPr>
      <w:bookmarkStart w:id="42" w:name="_Ref37255158"/>
      <w:bookmarkStart w:id="43" w:name="_Ref37255269"/>
      <w:bookmarkStart w:id="44" w:name="_Toc132885723"/>
      <w:r w:rsidRPr="0049421C">
        <w:t>Toxicity equivalence factors</w:t>
      </w:r>
      <w:bookmarkEnd w:id="42"/>
      <w:bookmarkEnd w:id="43"/>
      <w:bookmarkEnd w:id="44"/>
    </w:p>
    <w:p w14:paraId="5B854A5C" w14:textId="77777777" w:rsidR="0049421C" w:rsidRDefault="00576A22" w:rsidP="0049421C">
      <w:pPr>
        <w:rPr>
          <w:lang w:eastAsia="ja-JP"/>
        </w:rPr>
      </w:pPr>
      <w:r>
        <w:rPr>
          <w:lang w:eastAsia="ja-JP"/>
        </w:rPr>
        <w:t xml:space="preserve">PCDDs, PCDFs, and </w:t>
      </w:r>
      <w:r w:rsidR="00DB4D31">
        <w:rPr>
          <w:lang w:eastAsia="ja-JP"/>
        </w:rPr>
        <w:t>dl-</w:t>
      </w:r>
      <w:r>
        <w:rPr>
          <w:lang w:eastAsia="ja-JP"/>
        </w:rPr>
        <w:t>PCBs in the environment are generally found as complex mixtures, necessitat</w:t>
      </w:r>
      <w:r>
        <w:rPr>
          <w:lang w:eastAsia="ja-JP"/>
        </w:rPr>
        <w:t>ing a means of quantifying their combined effects to determine ecological risk</w:t>
      </w:r>
      <w:r w:rsidR="00DB4D31">
        <w:rPr>
          <w:lang w:eastAsia="ja-JP"/>
        </w:rPr>
        <w:t xml:space="preserve"> (</w:t>
      </w:r>
      <w:r w:rsidR="00961B68">
        <w:t>USEPA </w:t>
      </w:r>
      <w:r w:rsidR="00DB4D31">
        <w:t>2008</w:t>
      </w:r>
      <w:r w:rsidR="00DB4D31">
        <w:rPr>
          <w:lang w:eastAsia="ja-JP"/>
        </w:rPr>
        <w:t>)</w:t>
      </w:r>
      <w:r>
        <w:rPr>
          <w:lang w:eastAsia="ja-JP"/>
        </w:rPr>
        <w:t xml:space="preserve">. In human toxicology, </w:t>
      </w:r>
      <w:r w:rsidR="00987B5B">
        <w:rPr>
          <w:lang w:eastAsia="ja-JP"/>
        </w:rPr>
        <w:t xml:space="preserve">the </w:t>
      </w:r>
      <w:r>
        <w:rPr>
          <w:lang w:eastAsia="ja-JP"/>
        </w:rPr>
        <w:t>toxic equivalen</w:t>
      </w:r>
      <w:r w:rsidR="0082716C">
        <w:rPr>
          <w:lang w:eastAsia="ja-JP"/>
        </w:rPr>
        <w:t>cy</w:t>
      </w:r>
      <w:r>
        <w:rPr>
          <w:lang w:eastAsia="ja-JP"/>
        </w:rPr>
        <w:t xml:space="preserve"> (TEQ) </w:t>
      </w:r>
      <w:r w:rsidR="00987B5B">
        <w:rPr>
          <w:lang w:eastAsia="ja-JP"/>
        </w:rPr>
        <w:t xml:space="preserve">method </w:t>
      </w:r>
      <w:r>
        <w:rPr>
          <w:lang w:eastAsia="ja-JP"/>
        </w:rPr>
        <w:t>ha</w:t>
      </w:r>
      <w:r w:rsidR="0082716C">
        <w:rPr>
          <w:lang w:eastAsia="ja-JP"/>
        </w:rPr>
        <w:t>s</w:t>
      </w:r>
      <w:r>
        <w:rPr>
          <w:lang w:eastAsia="ja-JP"/>
        </w:rPr>
        <w:t xml:space="preserve"> been used for equating the toxicities of chemicals of similar nature and mode of action when these chem</w:t>
      </w:r>
      <w:r>
        <w:rPr>
          <w:lang w:eastAsia="ja-JP"/>
        </w:rPr>
        <w:t xml:space="preserve">icals are together in a mixture. For instance, the potency of each of the relevant </w:t>
      </w:r>
      <w:r w:rsidR="00325B3C">
        <w:rPr>
          <w:lang w:eastAsia="ja-JP"/>
        </w:rPr>
        <w:t>PCDDs, PCDFs, and dl-PCBs</w:t>
      </w:r>
      <w:r>
        <w:rPr>
          <w:lang w:eastAsia="ja-JP"/>
        </w:rPr>
        <w:t xml:space="preserve"> is compared to the potency of TCDD, which is the most toxic dioxin. The potency of TCDD is allotted a TEQ of 1. Each of the other relevant compounds is then allocated a fractional value for the ratio of their potency compared to the potency of TCDD. The c</w:t>
      </w:r>
      <w:r>
        <w:rPr>
          <w:lang w:eastAsia="ja-JP"/>
        </w:rPr>
        <w:t>oncentration of the compounds can then be measured</w:t>
      </w:r>
      <w:r w:rsidR="00325B3C">
        <w:rPr>
          <w:lang w:eastAsia="ja-JP"/>
        </w:rPr>
        <w:t>,</w:t>
      </w:r>
      <w:r>
        <w:rPr>
          <w:lang w:eastAsia="ja-JP"/>
        </w:rPr>
        <w:t xml:space="preserve"> and using the </w:t>
      </w:r>
      <w:r w:rsidR="0073509D">
        <w:rPr>
          <w:lang w:eastAsia="ja-JP"/>
        </w:rPr>
        <w:t>TEQ</w:t>
      </w:r>
      <w:r>
        <w:rPr>
          <w:lang w:eastAsia="ja-JP"/>
        </w:rPr>
        <w:t>, a concentration equivalent to TCDD can be calculated.</w:t>
      </w:r>
    </w:p>
    <w:p w14:paraId="5B854A5D" w14:textId="77777777" w:rsidR="0049421C" w:rsidRDefault="00576A22" w:rsidP="0049421C">
      <w:pPr>
        <w:rPr>
          <w:lang w:eastAsia="ja-JP"/>
        </w:rPr>
      </w:pPr>
      <w:r>
        <w:rPr>
          <w:lang w:eastAsia="ja-JP"/>
        </w:rPr>
        <w:t>Toxicity equivalence factors (TEF</w:t>
      </w:r>
      <w:r w:rsidR="00325B3C">
        <w:rPr>
          <w:lang w:eastAsia="ja-JP"/>
        </w:rPr>
        <w:t>s</w:t>
      </w:r>
      <w:r>
        <w:rPr>
          <w:lang w:eastAsia="ja-JP"/>
        </w:rPr>
        <w:t>) are more established for human toxicology than for fish</w:t>
      </w:r>
      <w:r w:rsidR="00325B3C">
        <w:rPr>
          <w:lang w:eastAsia="ja-JP"/>
        </w:rPr>
        <w:t xml:space="preserve"> (</w:t>
      </w:r>
      <w:r w:rsidR="00325B3C">
        <w:t>Van den Berg</w:t>
      </w:r>
      <w:r w:rsidR="00325B3C">
        <w:rPr>
          <w:lang w:eastAsia="ja-JP"/>
        </w:rPr>
        <w:t xml:space="preserve"> et al. 1998, </w:t>
      </w:r>
      <w:r w:rsidR="00325B3C">
        <w:t>Van den Berg</w:t>
      </w:r>
      <w:r w:rsidR="00325B3C">
        <w:rPr>
          <w:lang w:eastAsia="ja-JP"/>
        </w:rPr>
        <w:t xml:space="preserve"> et al. 2006)</w:t>
      </w:r>
      <w:r>
        <w:rPr>
          <w:lang w:eastAsia="ja-JP"/>
        </w:rPr>
        <w:t xml:space="preserve">. Given the insensitivity of invertebrates, the </w:t>
      </w:r>
      <w:r w:rsidR="0082716C">
        <w:rPr>
          <w:lang w:eastAsia="ja-JP"/>
        </w:rPr>
        <w:t>TEQ</w:t>
      </w:r>
      <w:r>
        <w:rPr>
          <w:lang w:eastAsia="ja-JP"/>
        </w:rPr>
        <w:t xml:space="preserve"> methodology is generally not applicable to invertebrates. However, invertebrates may be vulnerable to some of these chemicals via other toxicological effects. For instance, </w:t>
      </w:r>
      <w:r w:rsidR="00325B3C">
        <w:rPr>
          <w:lang w:eastAsia="ja-JP"/>
        </w:rPr>
        <w:t>dl-</w:t>
      </w:r>
      <w:r>
        <w:rPr>
          <w:lang w:eastAsia="ja-JP"/>
        </w:rPr>
        <w:t>PCBs measured a</w:t>
      </w:r>
      <w:r>
        <w:rPr>
          <w:lang w:eastAsia="ja-JP"/>
        </w:rPr>
        <w:t>s aroclors have been shown to be chronically toxic to cladocerans at low µg/L levels</w:t>
      </w:r>
      <w:r w:rsidR="00325B3C">
        <w:rPr>
          <w:lang w:eastAsia="ja-JP"/>
        </w:rPr>
        <w:t xml:space="preserve"> (</w:t>
      </w:r>
      <w:r w:rsidR="00325B3C">
        <w:t>USEPA 2008</w:t>
      </w:r>
      <w:r w:rsidR="00325B3C">
        <w:rPr>
          <w:lang w:eastAsia="ja-JP"/>
        </w:rPr>
        <w:t>)</w:t>
      </w:r>
      <w:r>
        <w:rPr>
          <w:lang w:eastAsia="ja-JP"/>
        </w:rPr>
        <w:t>. USEPA</w:t>
      </w:r>
      <w:r w:rsidR="00325B3C">
        <w:rPr>
          <w:lang w:eastAsia="ja-JP"/>
        </w:rPr>
        <w:t xml:space="preserve"> (2008) defines TEF as ‘</w:t>
      </w:r>
      <w:r>
        <w:rPr>
          <w:lang w:eastAsia="ja-JP"/>
        </w:rPr>
        <w:t>An estimate of the potency, relative to TCDD, of an individual PCDD, PCDF or polychlorinated biphenyl congener, determined using</w:t>
      </w:r>
      <w:r>
        <w:rPr>
          <w:lang w:eastAsia="ja-JP"/>
        </w:rPr>
        <w:t xml:space="preserve"> careful scientific judgment after considering all available relative potency data</w:t>
      </w:r>
      <w:r w:rsidR="00325B3C">
        <w:rPr>
          <w:lang w:eastAsia="ja-JP"/>
        </w:rPr>
        <w:t>’</w:t>
      </w:r>
      <w:r>
        <w:rPr>
          <w:lang w:eastAsia="ja-JP"/>
        </w:rPr>
        <w:t>. This is distinguished from the Relative Potency Facto</w:t>
      </w:r>
      <w:r w:rsidR="00612599">
        <w:rPr>
          <w:lang w:eastAsia="ja-JP"/>
        </w:rPr>
        <w:t>r (RPF), which is an ‘</w:t>
      </w:r>
      <w:r>
        <w:rPr>
          <w:lang w:eastAsia="ja-JP"/>
        </w:rPr>
        <w:t>estimate based on one or more studies of the potency, relative to TCDD, of an individual chemica</w:t>
      </w:r>
      <w:r>
        <w:rPr>
          <w:lang w:eastAsia="ja-JP"/>
        </w:rPr>
        <w:t xml:space="preserve">l to cause </w:t>
      </w:r>
      <w:r w:rsidR="007E18E7">
        <w:rPr>
          <w:lang w:eastAsia="ja-JP"/>
        </w:rPr>
        <w:t xml:space="preserve">AhR </w:t>
      </w:r>
      <w:r>
        <w:rPr>
          <w:lang w:eastAsia="ja-JP"/>
        </w:rPr>
        <w:t>mediated toxicity or biological effects, determined using careful scientific judgment after considering all available relat</w:t>
      </w:r>
      <w:r w:rsidR="00612599">
        <w:rPr>
          <w:lang w:eastAsia="ja-JP"/>
        </w:rPr>
        <w:t>ive potency data’</w:t>
      </w:r>
      <w:r>
        <w:rPr>
          <w:lang w:eastAsia="ja-JP"/>
        </w:rPr>
        <w:t xml:space="preserve"> including multiple endpoints, species, and/or </w:t>
      </w:r>
      <w:r w:rsidRPr="00B239AE">
        <w:rPr>
          <w:rStyle w:val="Emphasis"/>
          <w:lang w:eastAsia="ja-JP"/>
        </w:rPr>
        <w:t>in vitro</w:t>
      </w:r>
      <w:r>
        <w:rPr>
          <w:lang w:eastAsia="ja-JP"/>
        </w:rPr>
        <w:t xml:space="preserve"> or </w:t>
      </w:r>
      <w:r w:rsidRPr="00B239AE">
        <w:rPr>
          <w:rStyle w:val="Emphasis"/>
          <w:lang w:eastAsia="ja-JP"/>
        </w:rPr>
        <w:t>in vivo</w:t>
      </w:r>
      <w:r>
        <w:rPr>
          <w:lang w:eastAsia="ja-JP"/>
        </w:rPr>
        <w:t xml:space="preserve"> studies</w:t>
      </w:r>
      <w:r w:rsidR="006462F2">
        <w:rPr>
          <w:lang w:eastAsia="ja-JP"/>
        </w:rPr>
        <w:t xml:space="preserve"> (</w:t>
      </w:r>
      <w:r w:rsidR="006462F2">
        <w:t>USEPA 2008</w:t>
      </w:r>
      <w:r w:rsidR="006462F2">
        <w:rPr>
          <w:lang w:eastAsia="ja-JP"/>
        </w:rPr>
        <w:t>)</w:t>
      </w:r>
      <w:r>
        <w:rPr>
          <w:lang w:eastAsia="ja-JP"/>
        </w:rPr>
        <w:t>.</w:t>
      </w:r>
    </w:p>
    <w:p w14:paraId="5B854A5E" w14:textId="77777777" w:rsidR="0049421C" w:rsidRDefault="00576A22" w:rsidP="0049421C">
      <w:pPr>
        <w:rPr>
          <w:lang w:eastAsia="ja-JP"/>
        </w:rPr>
      </w:pPr>
      <w:r>
        <w:rPr>
          <w:lang w:eastAsia="ja-JP"/>
        </w:rPr>
        <w:t xml:space="preserve">The </w:t>
      </w:r>
      <w:r w:rsidR="006462F2">
        <w:rPr>
          <w:lang w:eastAsia="ja-JP"/>
        </w:rPr>
        <w:t>TEQ</w:t>
      </w:r>
      <w:r>
        <w:rPr>
          <w:lang w:eastAsia="ja-JP"/>
        </w:rPr>
        <w:t xml:space="preserve"> method offers a means to derive a single estimate of exposure concentration </w:t>
      </w:r>
      <w:r w:rsidR="006462F2">
        <w:rPr>
          <w:lang w:eastAsia="ja-JP"/>
        </w:rPr>
        <w:t xml:space="preserve">of </w:t>
      </w:r>
      <w:r>
        <w:rPr>
          <w:lang w:eastAsia="ja-JP"/>
        </w:rPr>
        <w:t>various concentrations of multiple chemicals found in environmental mixtures</w:t>
      </w:r>
      <w:r w:rsidR="00BB640D">
        <w:rPr>
          <w:lang w:eastAsia="ja-JP"/>
        </w:rPr>
        <w:t>, which can then be compared with the relevant DGV</w:t>
      </w:r>
      <w:r>
        <w:rPr>
          <w:lang w:eastAsia="ja-JP"/>
        </w:rPr>
        <w:t>. This approach has several advantages compared wi</w:t>
      </w:r>
      <w:r>
        <w:rPr>
          <w:lang w:eastAsia="ja-JP"/>
        </w:rPr>
        <w:t xml:space="preserve">th alternative methods for estimating risks </w:t>
      </w:r>
      <w:r w:rsidR="006462F2">
        <w:rPr>
          <w:lang w:eastAsia="ja-JP"/>
        </w:rPr>
        <w:t xml:space="preserve">of </w:t>
      </w:r>
      <w:r>
        <w:rPr>
          <w:lang w:eastAsia="ja-JP"/>
        </w:rPr>
        <w:t>mixtures of these chemicals. There is a growing body of evidence that the use of congener-specific analyses decreases the overall uncertainty associated with assessing the risks posed by mixtures of PCDDs, PCD</w:t>
      </w:r>
      <w:r>
        <w:rPr>
          <w:lang w:eastAsia="ja-JP"/>
        </w:rPr>
        <w:t xml:space="preserve">Fs, and </w:t>
      </w:r>
      <w:r w:rsidR="006462F2">
        <w:rPr>
          <w:lang w:eastAsia="ja-JP"/>
        </w:rPr>
        <w:t>dl-</w:t>
      </w:r>
      <w:r>
        <w:rPr>
          <w:lang w:eastAsia="ja-JP"/>
        </w:rPr>
        <w:t>PCBs</w:t>
      </w:r>
      <w:r w:rsidR="006462F2">
        <w:rPr>
          <w:lang w:eastAsia="ja-JP"/>
        </w:rPr>
        <w:t xml:space="preserve"> (</w:t>
      </w:r>
      <w:r w:rsidR="006462F2">
        <w:t>USEPA 2008</w:t>
      </w:r>
      <w:r w:rsidR="006462F2">
        <w:rPr>
          <w:lang w:eastAsia="ja-JP"/>
        </w:rPr>
        <w:t>)</w:t>
      </w:r>
      <w:r>
        <w:rPr>
          <w:lang w:eastAsia="ja-JP"/>
        </w:rPr>
        <w:t xml:space="preserve">. The TEF approach relies on the constituent chemicals having the same mode of action and that their toxicity is dose-additive. PCDDs, PCDFs and </w:t>
      </w:r>
      <w:r w:rsidR="00AA7ED3">
        <w:rPr>
          <w:lang w:eastAsia="ja-JP"/>
        </w:rPr>
        <w:t>dl-</w:t>
      </w:r>
      <w:r>
        <w:rPr>
          <w:lang w:eastAsia="ja-JP"/>
        </w:rPr>
        <w:t>PCBs are considered to have the same mode of action (they bind to the A</w:t>
      </w:r>
      <w:r w:rsidR="007E18E7">
        <w:rPr>
          <w:lang w:eastAsia="ja-JP"/>
        </w:rPr>
        <w:t>h</w:t>
      </w:r>
      <w:r>
        <w:rPr>
          <w:lang w:eastAsia="ja-JP"/>
        </w:rPr>
        <w:t xml:space="preserve">R as an </w:t>
      </w:r>
      <w:r>
        <w:rPr>
          <w:lang w:eastAsia="ja-JP"/>
        </w:rPr>
        <w:t>initial step in toxic effects)</w:t>
      </w:r>
      <w:r w:rsidR="00AA7ED3">
        <w:rPr>
          <w:lang w:eastAsia="ja-JP"/>
        </w:rPr>
        <w:t>,</w:t>
      </w:r>
      <w:r>
        <w:rPr>
          <w:lang w:eastAsia="ja-JP"/>
        </w:rPr>
        <w:t xml:space="preserve"> and their toxicity seems to be additive</w:t>
      </w:r>
      <w:r w:rsidR="00AA7ED3">
        <w:rPr>
          <w:lang w:eastAsia="ja-JP"/>
        </w:rPr>
        <w:t xml:space="preserve"> (</w:t>
      </w:r>
      <w:r w:rsidR="00AA7ED3">
        <w:t>USEPA 1993,</w:t>
      </w:r>
      <w:r w:rsidR="00AA7ED3">
        <w:rPr>
          <w:lang w:eastAsia="ja-JP"/>
        </w:rPr>
        <w:t xml:space="preserve"> </w:t>
      </w:r>
      <w:r w:rsidR="00AA7ED3">
        <w:t>Van den Berg</w:t>
      </w:r>
      <w:r w:rsidR="00AA7ED3">
        <w:rPr>
          <w:lang w:eastAsia="ja-JP"/>
        </w:rPr>
        <w:t xml:space="preserve"> et al. 1998, 2006, </w:t>
      </w:r>
      <w:r w:rsidR="00AA7ED3">
        <w:t>USEPA 2008</w:t>
      </w:r>
      <w:r w:rsidR="00AA7ED3">
        <w:rPr>
          <w:lang w:eastAsia="ja-JP"/>
        </w:rPr>
        <w:t>)</w:t>
      </w:r>
      <w:r>
        <w:rPr>
          <w:lang w:eastAsia="ja-JP"/>
        </w:rPr>
        <w:t>.</w:t>
      </w:r>
    </w:p>
    <w:p w14:paraId="5B854A5F" w14:textId="77777777" w:rsidR="0049421C" w:rsidRDefault="00576A22" w:rsidP="0049421C">
      <w:pPr>
        <w:rPr>
          <w:lang w:eastAsia="ja-JP"/>
        </w:rPr>
      </w:pPr>
      <w:r>
        <w:rPr>
          <w:lang w:eastAsia="ja-JP"/>
        </w:rPr>
        <w:t xml:space="preserve">The </w:t>
      </w:r>
      <w:r w:rsidR="005A2E0C">
        <w:rPr>
          <w:lang w:eastAsia="ja-JP"/>
        </w:rPr>
        <w:t>TEQ</w:t>
      </w:r>
      <w:r>
        <w:rPr>
          <w:lang w:eastAsia="ja-JP"/>
        </w:rPr>
        <w:t xml:space="preserve"> method takes into account the possible effects of the suite of dioxin-like chemicals found in complex environmental mixtures</w:t>
      </w:r>
      <w:r w:rsidR="005A2E0C">
        <w:rPr>
          <w:lang w:eastAsia="ja-JP"/>
        </w:rPr>
        <w:t>;</w:t>
      </w:r>
      <w:r>
        <w:rPr>
          <w:lang w:eastAsia="ja-JP"/>
        </w:rPr>
        <w:t xml:space="preserve"> hence</w:t>
      </w:r>
      <w:r w:rsidR="005A2E0C">
        <w:rPr>
          <w:lang w:eastAsia="ja-JP"/>
        </w:rPr>
        <w:t>,</w:t>
      </w:r>
      <w:r>
        <w:rPr>
          <w:lang w:eastAsia="ja-JP"/>
        </w:rPr>
        <w:t xml:space="preserve"> it is less likely to underestimate risk than methods based on TCDD</w:t>
      </w:r>
      <w:r w:rsidR="005A2E0C">
        <w:rPr>
          <w:lang w:eastAsia="ja-JP"/>
        </w:rPr>
        <w:t xml:space="preserve"> (</w:t>
      </w:r>
      <w:r w:rsidR="005A2E0C">
        <w:t>USEPA 2008</w:t>
      </w:r>
      <w:r w:rsidR="005A2E0C">
        <w:rPr>
          <w:lang w:eastAsia="ja-JP"/>
        </w:rPr>
        <w:t>)</w:t>
      </w:r>
      <w:r>
        <w:rPr>
          <w:lang w:eastAsia="ja-JP"/>
        </w:rPr>
        <w:t>, entails less uncertainty</w:t>
      </w:r>
      <w:r w:rsidR="005A2E0C">
        <w:rPr>
          <w:lang w:eastAsia="ja-JP"/>
        </w:rPr>
        <w:t>,</w:t>
      </w:r>
      <w:r>
        <w:rPr>
          <w:lang w:eastAsia="ja-JP"/>
        </w:rPr>
        <w:t xml:space="preserve"> and is less lik</w:t>
      </w:r>
      <w:r>
        <w:rPr>
          <w:lang w:eastAsia="ja-JP"/>
        </w:rPr>
        <w:t>ely to underestimate risks than methods based on single chemicals. It provides a means for accounting for the variable potency of the different dioxin-like chemicals. USEPA</w:t>
      </w:r>
      <w:r w:rsidR="005A2E0C">
        <w:rPr>
          <w:lang w:eastAsia="ja-JP"/>
        </w:rPr>
        <w:t xml:space="preserve"> (1993)</w:t>
      </w:r>
      <w:r>
        <w:rPr>
          <w:lang w:eastAsia="ja-JP"/>
        </w:rPr>
        <w:t xml:space="preserve"> considered that the uncertainties associated with using the method were not </w:t>
      </w:r>
      <w:r w:rsidR="00502405">
        <w:rPr>
          <w:lang w:eastAsia="ja-JP"/>
        </w:rPr>
        <w:t xml:space="preserve">higher </w:t>
      </w:r>
      <w:r>
        <w:rPr>
          <w:lang w:eastAsia="ja-JP"/>
        </w:rPr>
        <w:t xml:space="preserve">than other sources of uncertainty within the ecological risk assessment process. </w:t>
      </w:r>
    </w:p>
    <w:p w14:paraId="5B854A60" w14:textId="77777777" w:rsidR="0049421C" w:rsidRDefault="00576A22" w:rsidP="002B5287">
      <w:pPr>
        <w:spacing w:after="140"/>
        <w:rPr>
          <w:lang w:eastAsia="ja-JP"/>
        </w:rPr>
      </w:pPr>
      <w:r>
        <w:rPr>
          <w:lang w:eastAsia="ja-JP"/>
        </w:rPr>
        <w:t>International TEFs have been established for mammals, birds, and fish by WHO working groups</w:t>
      </w:r>
      <w:r w:rsidR="005A2E0C">
        <w:rPr>
          <w:lang w:eastAsia="ja-JP"/>
        </w:rPr>
        <w:t xml:space="preserve"> (</w:t>
      </w:r>
      <w:r w:rsidR="005A2E0C">
        <w:t>Van den Berg</w:t>
      </w:r>
      <w:r w:rsidR="005A2E0C">
        <w:rPr>
          <w:lang w:eastAsia="ja-JP"/>
        </w:rPr>
        <w:t xml:space="preserve"> et al. 1998, 2006)</w:t>
      </w:r>
      <w:r>
        <w:rPr>
          <w:lang w:eastAsia="ja-JP"/>
        </w:rPr>
        <w:t xml:space="preserve">, and they represent reasonable values for </w:t>
      </w:r>
      <w:r>
        <w:rPr>
          <w:lang w:eastAsia="ja-JP"/>
        </w:rPr>
        <w:t>estimating the</w:t>
      </w:r>
      <w:r w:rsidR="00E45D5B">
        <w:rPr>
          <w:lang w:eastAsia="ja-JP"/>
        </w:rPr>
        <w:t xml:space="preserve"> TEQ</w:t>
      </w:r>
      <w:r>
        <w:rPr>
          <w:lang w:eastAsia="ja-JP"/>
        </w:rPr>
        <w:t xml:space="preserve">. Even with the inherent uncertainties, the </w:t>
      </w:r>
      <w:r w:rsidR="00AC3A90">
        <w:rPr>
          <w:lang w:eastAsia="ja-JP"/>
        </w:rPr>
        <w:t>TEQ</w:t>
      </w:r>
      <w:r>
        <w:rPr>
          <w:lang w:eastAsia="ja-JP"/>
        </w:rPr>
        <w:t xml:space="preserve"> method provides a reasonable, scientifically justifiable, and widely accepted method to estimate the relative potency of dioxin-like chemicals</w:t>
      </w:r>
      <w:r w:rsidR="00AC3A90">
        <w:rPr>
          <w:lang w:eastAsia="ja-JP"/>
        </w:rPr>
        <w:t xml:space="preserve"> (</w:t>
      </w:r>
      <w:r w:rsidR="00AC3A90">
        <w:t>USEPA 2008</w:t>
      </w:r>
      <w:r w:rsidR="00AC3A90">
        <w:rPr>
          <w:lang w:eastAsia="ja-JP"/>
        </w:rPr>
        <w:t>)</w:t>
      </w:r>
      <w:r>
        <w:rPr>
          <w:lang w:eastAsia="ja-JP"/>
        </w:rPr>
        <w:t>. Nonetheless, the method should on</w:t>
      </w:r>
      <w:r>
        <w:rPr>
          <w:lang w:eastAsia="ja-JP"/>
        </w:rPr>
        <w:t>ly be applied in a manner consistent with its underlying assumptions; that is, it should only be used for appropriate chemicals with similar modes of action. Other researchers have developed TEFs for PCDDs, PCDFs and dl-PCBs for specific species or situati</w:t>
      </w:r>
      <w:r>
        <w:rPr>
          <w:lang w:eastAsia="ja-JP"/>
        </w:rPr>
        <w:t xml:space="preserve">ons </w:t>
      </w:r>
      <w:r w:rsidR="00734FB1">
        <w:rPr>
          <w:lang w:eastAsia="ja-JP"/>
        </w:rPr>
        <w:t>(</w:t>
      </w:r>
      <w:r w:rsidR="00734FB1">
        <w:t>Walker &amp; Peterson 1991</w:t>
      </w:r>
      <w:r w:rsidR="00734FB1">
        <w:rPr>
          <w:lang w:eastAsia="ja-JP"/>
        </w:rPr>
        <w:t xml:space="preserve">, </w:t>
      </w:r>
      <w:r w:rsidR="00734FB1">
        <w:t>Newstead</w:t>
      </w:r>
      <w:r w:rsidR="00734FB1">
        <w:rPr>
          <w:lang w:eastAsia="ja-JP"/>
        </w:rPr>
        <w:t xml:space="preserve"> et al. 1995, </w:t>
      </w:r>
      <w:r w:rsidR="00734FB1">
        <w:t>Parrott</w:t>
      </w:r>
      <w:r w:rsidR="00734FB1">
        <w:rPr>
          <w:lang w:eastAsia="ja-JP"/>
        </w:rPr>
        <w:t xml:space="preserve"> et al. 1995, </w:t>
      </w:r>
      <w:r w:rsidR="00734FB1">
        <w:t>Zabel</w:t>
      </w:r>
      <w:r w:rsidR="00734FB1">
        <w:rPr>
          <w:lang w:eastAsia="ja-JP"/>
        </w:rPr>
        <w:t xml:space="preserve"> et al. 1995, </w:t>
      </w:r>
      <w:r w:rsidR="00734FB1">
        <w:t>Berntssen</w:t>
      </w:r>
      <w:r w:rsidR="00734FB1">
        <w:rPr>
          <w:lang w:eastAsia="ja-JP"/>
        </w:rPr>
        <w:t xml:space="preserve"> et al. 2007)</w:t>
      </w:r>
      <w:r>
        <w:rPr>
          <w:lang w:eastAsia="ja-JP"/>
        </w:rPr>
        <w:t xml:space="preserve">. </w:t>
      </w:r>
    </w:p>
    <w:p w14:paraId="5B854A61" w14:textId="77777777" w:rsidR="0049421C" w:rsidRDefault="00576A22" w:rsidP="002B5287">
      <w:pPr>
        <w:spacing w:after="140"/>
        <w:rPr>
          <w:lang w:eastAsia="ja-JP"/>
        </w:rPr>
      </w:pPr>
      <w:r>
        <w:rPr>
          <w:lang w:eastAsia="ja-JP"/>
        </w:rPr>
        <w:t>The WHO-recommended fish TEFs from 1998</w:t>
      </w:r>
      <w:r w:rsidR="00734FB1">
        <w:rPr>
          <w:lang w:eastAsia="ja-JP"/>
        </w:rPr>
        <w:t xml:space="preserve"> (</w:t>
      </w:r>
      <w:r w:rsidR="00734FB1">
        <w:t>Van den Berg</w:t>
      </w:r>
      <w:r w:rsidR="00734FB1">
        <w:rPr>
          <w:lang w:eastAsia="ja-JP"/>
        </w:rPr>
        <w:t xml:space="preserve"> et al. 1998)</w:t>
      </w:r>
      <w:r>
        <w:rPr>
          <w:lang w:eastAsia="ja-JP"/>
        </w:rPr>
        <w:t xml:space="preserve"> (</w:t>
      </w:r>
      <w:r w:rsidR="007152D6">
        <w:rPr>
          <w:lang w:eastAsia="ja-JP"/>
        </w:rPr>
        <w:fldChar w:fldCharType="begin"/>
      </w:r>
      <w:r w:rsidR="007152D6">
        <w:rPr>
          <w:lang w:eastAsia="ja-JP"/>
        </w:rPr>
        <w:instrText xml:space="preserve"> REF _Ref37254814 \h </w:instrText>
      </w:r>
      <w:r w:rsidR="007152D6">
        <w:rPr>
          <w:lang w:eastAsia="ja-JP"/>
        </w:rPr>
      </w:r>
      <w:r w:rsidR="007152D6">
        <w:rPr>
          <w:lang w:eastAsia="ja-JP"/>
        </w:rPr>
        <w:fldChar w:fldCharType="separate"/>
      </w:r>
      <w:r w:rsidR="008E67C0">
        <w:t>Table </w:t>
      </w:r>
      <w:r w:rsidR="008E67C0">
        <w:rPr>
          <w:noProof/>
        </w:rPr>
        <w:t>3</w:t>
      </w:r>
      <w:r w:rsidR="007152D6">
        <w:rPr>
          <w:lang w:eastAsia="ja-JP"/>
        </w:rPr>
        <w:fldChar w:fldCharType="end"/>
      </w:r>
      <w:r>
        <w:rPr>
          <w:lang w:eastAsia="ja-JP"/>
        </w:rPr>
        <w:t xml:space="preserve">) were adopted by USEPA (2008), and </w:t>
      </w:r>
      <w:r w:rsidR="00734FB1">
        <w:rPr>
          <w:lang w:eastAsia="ja-JP"/>
        </w:rPr>
        <w:t xml:space="preserve">they </w:t>
      </w:r>
      <w:r>
        <w:rPr>
          <w:lang w:eastAsia="ja-JP"/>
        </w:rPr>
        <w:t xml:space="preserve">still represent the most accepted available TEFs for fish. The TEFs for fish are preferentially based on the work of Walker </w:t>
      </w:r>
      <w:r w:rsidR="0089519C">
        <w:rPr>
          <w:lang w:eastAsia="ja-JP"/>
        </w:rPr>
        <w:t>and</w:t>
      </w:r>
      <w:r>
        <w:rPr>
          <w:lang w:eastAsia="ja-JP"/>
        </w:rPr>
        <w:t xml:space="preserve"> Peterson (1991) and Zabel et al</w:t>
      </w:r>
      <w:r w:rsidR="0089519C">
        <w:rPr>
          <w:lang w:eastAsia="ja-JP"/>
        </w:rPr>
        <w:t>.</w:t>
      </w:r>
      <w:r>
        <w:rPr>
          <w:lang w:eastAsia="ja-JP"/>
        </w:rPr>
        <w:t xml:space="preserve"> (1995), who developed TEFs based on dioxin tissue concentrations and mortality data (i.e. an ecologically relevant endpoint) for early life stage fish or, where mortality-related TEF data were not available, based on other endpoints, such as enzyme induct</w:t>
      </w:r>
      <w:r>
        <w:rPr>
          <w:lang w:eastAsia="ja-JP"/>
        </w:rPr>
        <w:t>ion or quantitative structure activity relationships. They are usually consistent with relative toxicity from either exposure by injection or water</w:t>
      </w:r>
      <w:r w:rsidR="008C60B7">
        <w:rPr>
          <w:lang w:eastAsia="ja-JP"/>
        </w:rPr>
        <w:t xml:space="preserve"> (</w:t>
      </w:r>
      <w:r w:rsidR="008C60B7">
        <w:t>Walker</w:t>
      </w:r>
      <w:r w:rsidR="00961B68">
        <w:rPr>
          <w:lang w:eastAsia="ja-JP"/>
        </w:rPr>
        <w:t xml:space="preserve"> et al. </w:t>
      </w:r>
      <w:r w:rsidR="008C60B7">
        <w:rPr>
          <w:lang w:eastAsia="ja-JP"/>
        </w:rPr>
        <w:t>1992)</w:t>
      </w:r>
      <w:r>
        <w:rPr>
          <w:lang w:eastAsia="ja-JP"/>
        </w:rPr>
        <w:t xml:space="preserve"> and, hence, are considered to give a reasonable estimate of mixture toxicity in water. </w:t>
      </w:r>
      <w:r>
        <w:rPr>
          <w:lang w:eastAsia="ja-JP"/>
        </w:rPr>
        <w:t xml:space="preserve">TEFs based on measurements or estimates of PCDD, PCDF, and </w:t>
      </w:r>
      <w:r w:rsidR="008C60B7">
        <w:rPr>
          <w:lang w:eastAsia="ja-JP"/>
        </w:rPr>
        <w:t>dl-</w:t>
      </w:r>
      <w:r>
        <w:rPr>
          <w:lang w:eastAsia="ja-JP"/>
        </w:rPr>
        <w:t>PCB concentrations in tissues are considered to be the most accurate for assessment of effects in fish and birds.</w:t>
      </w:r>
    </w:p>
    <w:p w14:paraId="5B854A62" w14:textId="77777777" w:rsidR="0049421C" w:rsidRDefault="00576A22" w:rsidP="002B5287">
      <w:pPr>
        <w:spacing w:after="120"/>
        <w:rPr>
          <w:lang w:eastAsia="ja-JP"/>
        </w:rPr>
      </w:pPr>
      <w:r>
        <w:rPr>
          <w:lang w:eastAsia="ja-JP"/>
        </w:rPr>
        <w:t xml:space="preserve">When there is a mixture of dioxin-like chemicals, the total </w:t>
      </w:r>
      <w:r w:rsidR="008C60B7">
        <w:rPr>
          <w:lang w:eastAsia="ja-JP"/>
        </w:rPr>
        <w:t>TEQ</w:t>
      </w:r>
      <w:r>
        <w:rPr>
          <w:lang w:eastAsia="ja-JP"/>
        </w:rPr>
        <w:t xml:space="preserve"> to TCDD (TEQ</w:t>
      </w:r>
      <w:r w:rsidRPr="00B239AE">
        <w:rPr>
          <w:vertAlign w:val="subscript"/>
          <w:lang w:eastAsia="ja-JP"/>
        </w:rPr>
        <w:t>tota</w:t>
      </w:r>
      <w:r w:rsidRPr="00B239AE">
        <w:rPr>
          <w:vertAlign w:val="subscript"/>
          <w:lang w:eastAsia="ja-JP"/>
        </w:rPr>
        <w:t>l</w:t>
      </w:r>
      <w:r>
        <w:rPr>
          <w:lang w:eastAsia="ja-JP"/>
        </w:rPr>
        <w:t xml:space="preserve">) can be calculated by summing the multiplication of the concentration of each compound with its respective TEF, as in the equation </w:t>
      </w:r>
      <w:r w:rsidR="008C60B7">
        <w:rPr>
          <w:lang w:eastAsia="ja-JP"/>
        </w:rPr>
        <w:t>(</w:t>
      </w:r>
      <w:r w:rsidR="008C60B7">
        <w:t>Bhavsar</w:t>
      </w:r>
      <w:r w:rsidR="008C60B7">
        <w:rPr>
          <w:lang w:eastAsia="ja-JP"/>
        </w:rPr>
        <w:t xml:space="preserve"> et al. 2008)</w:t>
      </w:r>
      <w:r>
        <w:rPr>
          <w:lang w:eastAsia="ja-JP"/>
        </w:rPr>
        <w:t>:</w:t>
      </w:r>
    </w:p>
    <w:p w14:paraId="5B854A63" w14:textId="77777777" w:rsidR="0049421C" w:rsidRDefault="00576A22" w:rsidP="002B5287">
      <w:pPr>
        <w:spacing w:after="120"/>
        <w:ind w:left="284"/>
        <w:rPr>
          <w:lang w:eastAsia="ja-JP"/>
        </w:rPr>
      </w:pPr>
      <w:r>
        <w:rPr>
          <w:lang w:eastAsia="ja-JP"/>
        </w:rPr>
        <w:t>TEQ</w:t>
      </w:r>
      <w:r w:rsidRPr="00B239AE">
        <w:rPr>
          <w:vertAlign w:val="subscript"/>
          <w:lang w:eastAsia="ja-JP"/>
        </w:rPr>
        <w:t>total</w:t>
      </w:r>
      <w:r>
        <w:rPr>
          <w:lang w:eastAsia="ja-JP"/>
        </w:rPr>
        <w:t xml:space="preserve"> = ∑(C</w:t>
      </w:r>
      <w:r w:rsidRPr="00B239AE">
        <w:rPr>
          <w:rStyle w:val="Emphasis"/>
          <w:lang w:eastAsia="ja-JP"/>
        </w:rPr>
        <w:t>dioxin</w:t>
      </w:r>
      <w:r w:rsidRPr="00B239AE">
        <w:rPr>
          <w:vertAlign w:val="subscript"/>
          <w:lang w:eastAsia="ja-JP"/>
        </w:rPr>
        <w:t>d</w:t>
      </w:r>
      <w:r>
        <w:rPr>
          <w:lang w:eastAsia="ja-JP"/>
        </w:rPr>
        <w:t>*TEF</w:t>
      </w:r>
      <w:r w:rsidRPr="00B239AE">
        <w:rPr>
          <w:rStyle w:val="Emphasis"/>
          <w:lang w:eastAsia="ja-JP"/>
        </w:rPr>
        <w:t>dioxin</w:t>
      </w:r>
      <w:r w:rsidRPr="00B239AE">
        <w:rPr>
          <w:vertAlign w:val="subscript"/>
          <w:lang w:eastAsia="ja-JP"/>
        </w:rPr>
        <w:t>d</w:t>
      </w:r>
      <w:r>
        <w:rPr>
          <w:lang w:eastAsia="ja-JP"/>
        </w:rPr>
        <w:t>) + ∑(C</w:t>
      </w:r>
      <w:r w:rsidRPr="00B239AE">
        <w:rPr>
          <w:rStyle w:val="Emphasis"/>
          <w:lang w:eastAsia="ja-JP"/>
        </w:rPr>
        <w:t>furan</w:t>
      </w:r>
      <w:r w:rsidRPr="00B239AE">
        <w:rPr>
          <w:vertAlign w:val="subscript"/>
          <w:lang w:eastAsia="ja-JP"/>
        </w:rPr>
        <w:t>f</w:t>
      </w:r>
      <w:r>
        <w:rPr>
          <w:lang w:eastAsia="ja-JP"/>
        </w:rPr>
        <w:t>*TEQ</w:t>
      </w:r>
      <w:r w:rsidRPr="00B239AE">
        <w:rPr>
          <w:rStyle w:val="Emphasis"/>
          <w:lang w:eastAsia="ja-JP"/>
        </w:rPr>
        <w:t>furan</w:t>
      </w:r>
      <w:r w:rsidRPr="00B239AE">
        <w:rPr>
          <w:vertAlign w:val="subscript"/>
          <w:lang w:eastAsia="ja-JP"/>
        </w:rPr>
        <w:t>f</w:t>
      </w:r>
      <w:r>
        <w:rPr>
          <w:lang w:eastAsia="ja-JP"/>
        </w:rPr>
        <w:t xml:space="preserve"> + ∑(C</w:t>
      </w:r>
      <w:r w:rsidRPr="00B239AE">
        <w:rPr>
          <w:rStyle w:val="Emphasis"/>
          <w:lang w:eastAsia="ja-JP"/>
        </w:rPr>
        <w:t>dl</w:t>
      </w:r>
      <w:r>
        <w:rPr>
          <w:lang w:eastAsia="ja-JP"/>
        </w:rPr>
        <w:t>-</w:t>
      </w:r>
      <w:r w:rsidRPr="00B239AE">
        <w:rPr>
          <w:rStyle w:val="Emphasis"/>
          <w:lang w:eastAsia="ja-JP"/>
        </w:rPr>
        <w:t>PCB</w:t>
      </w:r>
      <w:r w:rsidRPr="00B239AE">
        <w:rPr>
          <w:vertAlign w:val="subscript"/>
          <w:lang w:eastAsia="ja-JP"/>
        </w:rPr>
        <w:t>p</w:t>
      </w:r>
      <w:r>
        <w:rPr>
          <w:lang w:eastAsia="ja-JP"/>
        </w:rPr>
        <w:t>*TEQ</w:t>
      </w:r>
      <w:r w:rsidRPr="00B239AE">
        <w:rPr>
          <w:rStyle w:val="Emphasis"/>
          <w:lang w:eastAsia="ja-JP"/>
        </w:rPr>
        <w:t>dl</w:t>
      </w:r>
      <w:r>
        <w:rPr>
          <w:lang w:eastAsia="ja-JP"/>
        </w:rPr>
        <w:t>-</w:t>
      </w:r>
      <w:r w:rsidRPr="00B239AE">
        <w:rPr>
          <w:rStyle w:val="Emphasis"/>
          <w:lang w:eastAsia="ja-JP"/>
        </w:rPr>
        <w:t>PCB</w:t>
      </w:r>
      <w:r w:rsidRPr="00B239AE">
        <w:rPr>
          <w:vertAlign w:val="subscript"/>
          <w:lang w:eastAsia="ja-JP"/>
        </w:rPr>
        <w:t>p</w:t>
      </w:r>
      <w:r w:rsidR="008C60B7">
        <w:rPr>
          <w:lang w:eastAsia="ja-JP"/>
        </w:rPr>
        <w:t xml:space="preserve">) </w:t>
      </w:r>
    </w:p>
    <w:p w14:paraId="5B854A64" w14:textId="77777777" w:rsidR="0049421C" w:rsidRDefault="00576A22" w:rsidP="002B5287">
      <w:pPr>
        <w:spacing w:after="120"/>
        <w:rPr>
          <w:lang w:eastAsia="ja-JP"/>
        </w:rPr>
      </w:pPr>
      <w:r>
        <w:rPr>
          <w:lang w:eastAsia="ja-JP"/>
        </w:rPr>
        <w:t>where C = concentr</w:t>
      </w:r>
      <w:r>
        <w:rPr>
          <w:lang w:eastAsia="ja-JP"/>
        </w:rPr>
        <w:t>ation, and d, f and p = congeners of dioxin, furan and dl-PCBs respectively.</w:t>
      </w:r>
    </w:p>
    <w:p w14:paraId="5B854A65" w14:textId="77777777" w:rsidR="0049421C" w:rsidRDefault="00576A22" w:rsidP="002B5287">
      <w:pPr>
        <w:spacing w:after="140"/>
        <w:rPr>
          <w:lang w:eastAsia="ja-JP"/>
        </w:rPr>
      </w:pPr>
      <w:r>
        <w:rPr>
          <w:lang w:eastAsia="ja-JP"/>
        </w:rPr>
        <w:t>I</w:t>
      </w:r>
      <w:r w:rsidR="00F270E2">
        <w:rPr>
          <w:lang w:eastAsia="ja-JP"/>
        </w:rPr>
        <w:t>f the TEQ</w:t>
      </w:r>
      <w:r w:rsidR="00F270E2" w:rsidRPr="000B5A37">
        <w:rPr>
          <w:rStyle w:val="Emphasis"/>
          <w:lang w:eastAsia="ja-JP"/>
        </w:rPr>
        <w:t>total</w:t>
      </w:r>
      <w:r w:rsidR="00F270E2">
        <w:rPr>
          <w:lang w:eastAsia="ja-JP"/>
        </w:rPr>
        <w:t xml:space="preserve"> is &gt;DGV for TCDD, the </w:t>
      </w:r>
      <w:r w:rsidR="008C60B7">
        <w:rPr>
          <w:lang w:eastAsia="ja-JP"/>
        </w:rPr>
        <w:t xml:space="preserve">DGV </w:t>
      </w:r>
      <w:r w:rsidR="00F270E2">
        <w:rPr>
          <w:lang w:eastAsia="ja-JP"/>
        </w:rPr>
        <w:t xml:space="preserve">is exceeded and the normal decision scheme can be followed, although weight of evidence from sediment and organism tissue concentrations would be an important component of any further work. </w:t>
      </w:r>
    </w:p>
    <w:p w14:paraId="5B854A66" w14:textId="77777777" w:rsidR="00B239AE" w:rsidRDefault="00576A22" w:rsidP="00BF5890">
      <w:pPr>
        <w:pStyle w:val="Caption"/>
        <w:rPr>
          <w:lang w:eastAsia="ja-JP"/>
        </w:rPr>
      </w:pPr>
      <w:bookmarkStart w:id="45" w:name="_Ref37254814"/>
      <w:bookmarkStart w:id="46" w:name="_Toc132885735"/>
      <w:r>
        <w:t>Table </w:t>
      </w:r>
      <w:r w:rsidR="00390AEE">
        <w:rPr>
          <w:noProof/>
        </w:rPr>
        <w:fldChar w:fldCharType="begin"/>
      </w:r>
      <w:r w:rsidR="00390AEE">
        <w:rPr>
          <w:noProof/>
        </w:rPr>
        <w:instrText xml:space="preserve"> SEQ Table \* ARABIC </w:instrText>
      </w:r>
      <w:r w:rsidR="00390AEE">
        <w:rPr>
          <w:noProof/>
        </w:rPr>
        <w:fldChar w:fldCharType="separate"/>
      </w:r>
      <w:r w:rsidR="008E67C0">
        <w:rPr>
          <w:noProof/>
        </w:rPr>
        <w:t>3</w:t>
      </w:r>
      <w:r w:rsidR="00390AEE">
        <w:rPr>
          <w:noProof/>
        </w:rPr>
        <w:fldChar w:fldCharType="end"/>
      </w:r>
      <w:bookmarkEnd w:id="45"/>
      <w:r w:rsidR="009313E1">
        <w:rPr>
          <w:lang w:eastAsia="ja-JP"/>
        </w:rPr>
        <w:t xml:space="preserve"> </w:t>
      </w:r>
      <w:r w:rsidR="005716AB" w:rsidRPr="005716AB">
        <w:rPr>
          <w:lang w:eastAsia="ja-JP"/>
        </w:rPr>
        <w:t xml:space="preserve">Toxicity </w:t>
      </w:r>
      <w:r w:rsidR="007D64D1">
        <w:rPr>
          <w:lang w:eastAsia="ja-JP"/>
        </w:rPr>
        <w:t>equivalence factors</w:t>
      </w:r>
      <w:r w:rsidR="005716AB" w:rsidRPr="005716AB">
        <w:rPr>
          <w:lang w:eastAsia="ja-JP"/>
        </w:rPr>
        <w:t xml:space="preserve"> used to extrapolate toxicity of 2,3,7,8-TCDD to other dioxins, furans and </w:t>
      </w:r>
      <w:r w:rsidR="007D64D1">
        <w:rPr>
          <w:lang w:eastAsia="ja-JP"/>
        </w:rPr>
        <w:t>dl-</w:t>
      </w:r>
      <w:r w:rsidR="005716AB" w:rsidRPr="005716AB">
        <w:rPr>
          <w:lang w:eastAsia="ja-JP"/>
        </w:rPr>
        <w:t>PCBs</w:t>
      </w:r>
      <w:bookmarkEnd w:id="46"/>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Toxicity equivalence factors used to extrapolate toxicity of 2,3,7,8-TCDD to other dioxins, furans and dl-PCBs"/>
        <w:tblDescription w:val="Table shows the CAS no. (Chemical Abstracts Service number), compound, and toxicity equivalence factor of PCDDs, PCDFs and dl-PCBs."/>
      </w:tblPr>
      <w:tblGrid>
        <w:gridCol w:w="3022"/>
        <w:gridCol w:w="3022"/>
        <w:gridCol w:w="3026"/>
      </w:tblGrid>
      <w:tr w:rsidR="006A7BE0" w14:paraId="5B854A6A" w14:textId="77777777" w:rsidTr="00380069">
        <w:trPr>
          <w:cantSplit/>
          <w:tblHeader/>
        </w:trPr>
        <w:tc>
          <w:tcPr>
            <w:tcW w:w="1666" w:type="pct"/>
            <w:tcBorders>
              <w:top w:val="single" w:sz="12" w:space="0" w:color="auto"/>
              <w:bottom w:val="single" w:sz="12" w:space="0" w:color="auto"/>
            </w:tcBorders>
            <w:shd w:val="clear" w:color="auto" w:fill="auto"/>
          </w:tcPr>
          <w:p w14:paraId="5B854A67" w14:textId="77777777" w:rsidR="005716AB" w:rsidRDefault="00576A22" w:rsidP="00AF3032">
            <w:pPr>
              <w:pStyle w:val="TableHeading"/>
            </w:pPr>
            <w:r>
              <w:t xml:space="preserve">CAS </w:t>
            </w:r>
            <w:r w:rsidR="007D64D1">
              <w:t>n</w:t>
            </w:r>
            <w:r>
              <w:t>o.</w:t>
            </w:r>
          </w:p>
        </w:tc>
        <w:tc>
          <w:tcPr>
            <w:tcW w:w="1666" w:type="pct"/>
            <w:tcBorders>
              <w:top w:val="single" w:sz="12" w:space="0" w:color="auto"/>
              <w:bottom w:val="single" w:sz="12" w:space="0" w:color="auto"/>
            </w:tcBorders>
            <w:shd w:val="clear" w:color="auto" w:fill="auto"/>
          </w:tcPr>
          <w:p w14:paraId="5B854A68" w14:textId="77777777" w:rsidR="005716AB" w:rsidRPr="00E741C1" w:rsidRDefault="00576A22" w:rsidP="00AF3032">
            <w:pPr>
              <w:pStyle w:val="TableHeading"/>
            </w:pPr>
            <w:r>
              <w:t>Compound</w:t>
            </w:r>
          </w:p>
        </w:tc>
        <w:tc>
          <w:tcPr>
            <w:tcW w:w="1668" w:type="pct"/>
            <w:tcBorders>
              <w:top w:val="single" w:sz="12" w:space="0" w:color="auto"/>
              <w:bottom w:val="single" w:sz="12" w:space="0" w:color="auto"/>
            </w:tcBorders>
            <w:shd w:val="clear" w:color="auto" w:fill="auto"/>
          </w:tcPr>
          <w:p w14:paraId="5B854A69" w14:textId="77777777" w:rsidR="005716AB" w:rsidRPr="00E741C1" w:rsidRDefault="00576A22" w:rsidP="00AF3032">
            <w:pPr>
              <w:pStyle w:val="TableHeading"/>
            </w:pPr>
            <w:r>
              <w:t xml:space="preserve">Toxicity </w:t>
            </w:r>
            <w:r w:rsidR="007D64D1">
              <w:t xml:space="preserve">equivalence factor </w:t>
            </w:r>
            <w:r w:rsidR="007D64D1" w:rsidRPr="007D64D1">
              <w:rPr>
                <w:rStyle w:val="Strong"/>
                <w:b/>
                <w:vertAlign w:val="superscript"/>
              </w:rPr>
              <w:t>a</w:t>
            </w:r>
          </w:p>
        </w:tc>
      </w:tr>
      <w:tr w:rsidR="006A7BE0" w14:paraId="5B854A6C" w14:textId="77777777" w:rsidTr="00AF3032">
        <w:trPr>
          <w:cantSplit/>
          <w:trHeight w:val="385"/>
        </w:trPr>
        <w:tc>
          <w:tcPr>
            <w:tcW w:w="5000" w:type="pct"/>
            <w:gridSpan w:val="3"/>
            <w:tcBorders>
              <w:top w:val="single" w:sz="12" w:space="0" w:color="auto"/>
            </w:tcBorders>
          </w:tcPr>
          <w:p w14:paraId="5B854A6B" w14:textId="77777777" w:rsidR="005716AB" w:rsidRPr="00D8239C" w:rsidRDefault="00576A22" w:rsidP="00AF3032">
            <w:pPr>
              <w:pStyle w:val="TableText"/>
            </w:pPr>
            <w:r>
              <w:t>Polych</w:t>
            </w:r>
            <w:r w:rsidRPr="00D8239C">
              <w:t>lorinated</w:t>
            </w:r>
            <w:r>
              <w:t xml:space="preserve"> </w:t>
            </w:r>
            <w:r w:rsidRPr="00AF3032">
              <w:t>dibenzo-</w:t>
            </w:r>
            <w:r w:rsidRPr="007D64D1">
              <w:rPr>
                <w:rStyle w:val="Emphasis"/>
              </w:rPr>
              <w:t>p</w:t>
            </w:r>
            <w:r w:rsidRPr="00AF3032">
              <w:t>-dioxins</w:t>
            </w:r>
            <w:r>
              <w:t xml:space="preserve"> (PCDDs)</w:t>
            </w:r>
          </w:p>
        </w:tc>
      </w:tr>
      <w:tr w:rsidR="006A7BE0" w14:paraId="5B854A70" w14:textId="77777777" w:rsidTr="00380069">
        <w:trPr>
          <w:cantSplit/>
          <w:trHeight w:val="385"/>
        </w:trPr>
        <w:tc>
          <w:tcPr>
            <w:tcW w:w="1666" w:type="pct"/>
          </w:tcPr>
          <w:p w14:paraId="5B854A6D" w14:textId="77777777" w:rsidR="005716AB" w:rsidRPr="00D06ACD" w:rsidRDefault="00576A22" w:rsidP="00AF3032">
            <w:pPr>
              <w:pStyle w:val="TableText"/>
            </w:pPr>
            <w:r w:rsidRPr="00D06ACD">
              <w:t>01746–01–6</w:t>
            </w:r>
          </w:p>
        </w:tc>
        <w:tc>
          <w:tcPr>
            <w:tcW w:w="1666" w:type="pct"/>
          </w:tcPr>
          <w:p w14:paraId="5B854A6E" w14:textId="77777777" w:rsidR="005716AB" w:rsidRPr="00D8239C" w:rsidRDefault="00576A22" w:rsidP="00AF3032">
            <w:pPr>
              <w:pStyle w:val="TableText"/>
            </w:pPr>
            <w:r>
              <w:t>2,3,7,8-TCDD</w:t>
            </w:r>
          </w:p>
        </w:tc>
        <w:tc>
          <w:tcPr>
            <w:tcW w:w="1668" w:type="pct"/>
            <w:shd w:val="clear" w:color="auto" w:fill="auto"/>
          </w:tcPr>
          <w:p w14:paraId="5B854A6F" w14:textId="77777777" w:rsidR="005716AB" w:rsidRPr="00FC1A28" w:rsidRDefault="00576A22" w:rsidP="00AF3032">
            <w:pPr>
              <w:pStyle w:val="TableText"/>
            </w:pPr>
            <w:r>
              <w:t>1</w:t>
            </w:r>
          </w:p>
        </w:tc>
      </w:tr>
      <w:tr w:rsidR="006A7BE0" w14:paraId="5B854A74" w14:textId="77777777" w:rsidTr="00380069">
        <w:trPr>
          <w:cantSplit/>
          <w:trHeight w:val="385"/>
        </w:trPr>
        <w:tc>
          <w:tcPr>
            <w:tcW w:w="1666" w:type="pct"/>
          </w:tcPr>
          <w:p w14:paraId="5B854A71" w14:textId="77777777" w:rsidR="005716AB" w:rsidRPr="00D06ACD" w:rsidRDefault="00576A22" w:rsidP="00AF3032">
            <w:pPr>
              <w:pStyle w:val="TableText"/>
            </w:pPr>
            <w:r w:rsidRPr="00D06ACD">
              <w:t>40321–76–4</w:t>
            </w:r>
          </w:p>
        </w:tc>
        <w:tc>
          <w:tcPr>
            <w:tcW w:w="1666" w:type="pct"/>
          </w:tcPr>
          <w:p w14:paraId="5B854A72" w14:textId="77777777" w:rsidR="005716AB" w:rsidRPr="00D8239C" w:rsidRDefault="00576A22" w:rsidP="00AF3032">
            <w:pPr>
              <w:pStyle w:val="TableText"/>
            </w:pPr>
            <w:r>
              <w:t>1,2,3,7,8-PeCDD</w:t>
            </w:r>
          </w:p>
        </w:tc>
        <w:tc>
          <w:tcPr>
            <w:tcW w:w="1668" w:type="pct"/>
            <w:shd w:val="clear" w:color="auto" w:fill="auto"/>
          </w:tcPr>
          <w:p w14:paraId="5B854A73" w14:textId="77777777" w:rsidR="005716AB" w:rsidRPr="00FC1A28" w:rsidRDefault="00576A22" w:rsidP="00AF3032">
            <w:pPr>
              <w:pStyle w:val="TableText"/>
            </w:pPr>
            <w:r>
              <w:t>1</w:t>
            </w:r>
          </w:p>
        </w:tc>
      </w:tr>
      <w:tr w:rsidR="006A7BE0" w14:paraId="5B854A78" w14:textId="77777777" w:rsidTr="00380069">
        <w:trPr>
          <w:cantSplit/>
        </w:trPr>
        <w:tc>
          <w:tcPr>
            <w:tcW w:w="1666" w:type="pct"/>
          </w:tcPr>
          <w:p w14:paraId="5B854A75" w14:textId="77777777" w:rsidR="005716AB" w:rsidRPr="00D06ACD" w:rsidRDefault="00576A22" w:rsidP="00AF3032">
            <w:pPr>
              <w:pStyle w:val="TableText"/>
            </w:pPr>
            <w:r w:rsidRPr="00D06ACD">
              <w:t>39227–28–6</w:t>
            </w:r>
          </w:p>
        </w:tc>
        <w:tc>
          <w:tcPr>
            <w:tcW w:w="1666" w:type="pct"/>
          </w:tcPr>
          <w:p w14:paraId="5B854A76" w14:textId="77777777" w:rsidR="005716AB" w:rsidRPr="00D8239C" w:rsidRDefault="00576A22" w:rsidP="00AF3032">
            <w:pPr>
              <w:pStyle w:val="TableText"/>
            </w:pPr>
            <w:r>
              <w:t>1,2,3,4,7,8-HxCDD</w:t>
            </w:r>
          </w:p>
        </w:tc>
        <w:tc>
          <w:tcPr>
            <w:tcW w:w="1668" w:type="pct"/>
            <w:shd w:val="clear" w:color="auto" w:fill="auto"/>
          </w:tcPr>
          <w:p w14:paraId="5B854A77" w14:textId="77777777" w:rsidR="005716AB" w:rsidRPr="00FC1A28" w:rsidRDefault="00576A22" w:rsidP="00AF3032">
            <w:pPr>
              <w:pStyle w:val="TableText"/>
            </w:pPr>
            <w:r>
              <w:t>0.5</w:t>
            </w:r>
          </w:p>
        </w:tc>
      </w:tr>
      <w:tr w:rsidR="006A7BE0" w14:paraId="5B854A7C" w14:textId="77777777" w:rsidTr="00380069">
        <w:trPr>
          <w:cantSplit/>
        </w:trPr>
        <w:tc>
          <w:tcPr>
            <w:tcW w:w="1666" w:type="pct"/>
          </w:tcPr>
          <w:p w14:paraId="5B854A79" w14:textId="77777777" w:rsidR="005716AB" w:rsidRPr="00D06ACD" w:rsidRDefault="00576A22" w:rsidP="00AF3032">
            <w:pPr>
              <w:pStyle w:val="TableText"/>
            </w:pPr>
            <w:r w:rsidRPr="00D06ACD">
              <w:t>57653–85–7</w:t>
            </w:r>
          </w:p>
        </w:tc>
        <w:tc>
          <w:tcPr>
            <w:tcW w:w="1666" w:type="pct"/>
          </w:tcPr>
          <w:p w14:paraId="5B854A7A" w14:textId="77777777" w:rsidR="005716AB" w:rsidRPr="00D8239C" w:rsidRDefault="00576A22" w:rsidP="00AF3032">
            <w:pPr>
              <w:pStyle w:val="TableText"/>
            </w:pPr>
            <w:r>
              <w:t>1,2,3,6,7,8-HxCDD</w:t>
            </w:r>
          </w:p>
        </w:tc>
        <w:tc>
          <w:tcPr>
            <w:tcW w:w="1668" w:type="pct"/>
            <w:shd w:val="clear" w:color="auto" w:fill="auto"/>
          </w:tcPr>
          <w:p w14:paraId="5B854A7B" w14:textId="77777777" w:rsidR="005716AB" w:rsidRPr="00FC1A28" w:rsidRDefault="00576A22" w:rsidP="00AF3032">
            <w:pPr>
              <w:pStyle w:val="TableText"/>
            </w:pPr>
            <w:r>
              <w:t>0.01</w:t>
            </w:r>
          </w:p>
        </w:tc>
      </w:tr>
      <w:tr w:rsidR="006A7BE0" w14:paraId="5B854A80" w14:textId="77777777" w:rsidTr="00380069">
        <w:trPr>
          <w:cantSplit/>
        </w:trPr>
        <w:tc>
          <w:tcPr>
            <w:tcW w:w="1666" w:type="pct"/>
          </w:tcPr>
          <w:p w14:paraId="5B854A7D" w14:textId="77777777" w:rsidR="005716AB" w:rsidRPr="00D06ACD" w:rsidRDefault="00576A22" w:rsidP="00AF3032">
            <w:pPr>
              <w:pStyle w:val="TableText"/>
            </w:pPr>
            <w:r w:rsidRPr="00D06ACD">
              <w:t>19408–74–3</w:t>
            </w:r>
          </w:p>
        </w:tc>
        <w:tc>
          <w:tcPr>
            <w:tcW w:w="1666" w:type="pct"/>
          </w:tcPr>
          <w:p w14:paraId="5B854A7E" w14:textId="77777777" w:rsidR="005716AB" w:rsidRDefault="00576A22" w:rsidP="00AF3032">
            <w:pPr>
              <w:pStyle w:val="TableText"/>
            </w:pPr>
            <w:r>
              <w:t>1,2,3,7,8,9-HxCDD</w:t>
            </w:r>
          </w:p>
        </w:tc>
        <w:tc>
          <w:tcPr>
            <w:tcW w:w="1668" w:type="pct"/>
            <w:shd w:val="clear" w:color="auto" w:fill="auto"/>
          </w:tcPr>
          <w:p w14:paraId="5B854A7F" w14:textId="77777777" w:rsidR="005716AB" w:rsidRPr="00FC1A28" w:rsidRDefault="00576A22" w:rsidP="00AF3032">
            <w:pPr>
              <w:pStyle w:val="TableText"/>
            </w:pPr>
            <w:r>
              <w:t>0.01</w:t>
            </w:r>
          </w:p>
        </w:tc>
      </w:tr>
      <w:tr w:rsidR="006A7BE0" w14:paraId="5B854A84" w14:textId="77777777" w:rsidTr="00380069">
        <w:trPr>
          <w:cantSplit/>
        </w:trPr>
        <w:tc>
          <w:tcPr>
            <w:tcW w:w="1666" w:type="pct"/>
          </w:tcPr>
          <w:p w14:paraId="5B854A81" w14:textId="77777777" w:rsidR="005716AB" w:rsidRPr="00D06ACD" w:rsidRDefault="00576A22" w:rsidP="00AF3032">
            <w:pPr>
              <w:pStyle w:val="TableText"/>
            </w:pPr>
            <w:r w:rsidRPr="00D06ACD">
              <w:t>35822–46–9</w:t>
            </w:r>
          </w:p>
        </w:tc>
        <w:tc>
          <w:tcPr>
            <w:tcW w:w="1666" w:type="pct"/>
          </w:tcPr>
          <w:p w14:paraId="5B854A82" w14:textId="77777777" w:rsidR="005716AB" w:rsidRPr="00D8239C" w:rsidRDefault="00576A22" w:rsidP="00AF3032">
            <w:pPr>
              <w:pStyle w:val="TableText"/>
            </w:pPr>
            <w:r>
              <w:t>1,2,3,4,6,7,8-HpCDD</w:t>
            </w:r>
          </w:p>
        </w:tc>
        <w:tc>
          <w:tcPr>
            <w:tcW w:w="1668" w:type="pct"/>
            <w:shd w:val="clear" w:color="auto" w:fill="auto"/>
          </w:tcPr>
          <w:p w14:paraId="5B854A83" w14:textId="77777777" w:rsidR="005716AB" w:rsidRPr="00FC1A28" w:rsidRDefault="00576A22" w:rsidP="00AF3032">
            <w:pPr>
              <w:pStyle w:val="TableText"/>
            </w:pPr>
            <w:r>
              <w:t>0.001</w:t>
            </w:r>
          </w:p>
        </w:tc>
      </w:tr>
      <w:tr w:rsidR="006A7BE0" w14:paraId="5B854A88" w14:textId="77777777" w:rsidTr="00380069">
        <w:trPr>
          <w:cantSplit/>
        </w:trPr>
        <w:tc>
          <w:tcPr>
            <w:tcW w:w="1666" w:type="pct"/>
          </w:tcPr>
          <w:p w14:paraId="5B854A85" w14:textId="77777777" w:rsidR="005716AB" w:rsidRPr="00D06ACD" w:rsidRDefault="00576A22" w:rsidP="00AF3032">
            <w:pPr>
              <w:pStyle w:val="TableText"/>
            </w:pPr>
            <w:r w:rsidRPr="00D06ACD">
              <w:t>03268–87–9</w:t>
            </w:r>
          </w:p>
        </w:tc>
        <w:tc>
          <w:tcPr>
            <w:tcW w:w="1666" w:type="pct"/>
          </w:tcPr>
          <w:p w14:paraId="5B854A86" w14:textId="77777777" w:rsidR="005716AB" w:rsidRPr="00D8239C" w:rsidRDefault="00576A22" w:rsidP="00AF3032">
            <w:pPr>
              <w:pStyle w:val="TableText"/>
            </w:pPr>
            <w:r>
              <w:t>OCDD</w:t>
            </w:r>
          </w:p>
        </w:tc>
        <w:tc>
          <w:tcPr>
            <w:tcW w:w="1668" w:type="pct"/>
            <w:shd w:val="clear" w:color="auto" w:fill="auto"/>
          </w:tcPr>
          <w:p w14:paraId="5B854A87" w14:textId="77777777" w:rsidR="005716AB" w:rsidRPr="00FC1A28" w:rsidRDefault="00576A22" w:rsidP="00AF3032">
            <w:pPr>
              <w:pStyle w:val="TableText"/>
            </w:pPr>
            <w:r>
              <w:t>&lt;0.0001</w:t>
            </w:r>
          </w:p>
        </w:tc>
      </w:tr>
      <w:tr w:rsidR="006A7BE0" w14:paraId="5B854A8A" w14:textId="77777777" w:rsidTr="00AF3032">
        <w:trPr>
          <w:cantSplit/>
        </w:trPr>
        <w:tc>
          <w:tcPr>
            <w:tcW w:w="5000" w:type="pct"/>
            <w:gridSpan w:val="3"/>
          </w:tcPr>
          <w:p w14:paraId="5B854A89" w14:textId="77777777" w:rsidR="005716AB" w:rsidRPr="00D06ACD" w:rsidRDefault="00576A22" w:rsidP="00AF3032">
            <w:pPr>
              <w:pStyle w:val="TableText"/>
            </w:pPr>
            <w:r w:rsidRPr="00D06ACD">
              <w:t>Polychlorinated dibenzofurans (PCDFs)</w:t>
            </w:r>
          </w:p>
        </w:tc>
      </w:tr>
      <w:tr w:rsidR="006A7BE0" w14:paraId="5B854A8E" w14:textId="77777777" w:rsidTr="00380069">
        <w:trPr>
          <w:cantSplit/>
        </w:trPr>
        <w:tc>
          <w:tcPr>
            <w:tcW w:w="1666" w:type="pct"/>
          </w:tcPr>
          <w:p w14:paraId="5B854A8B" w14:textId="77777777" w:rsidR="005716AB" w:rsidRPr="00D06ACD" w:rsidRDefault="00576A22" w:rsidP="00AF3032">
            <w:pPr>
              <w:pStyle w:val="TableText"/>
            </w:pPr>
            <w:r w:rsidRPr="00D06ACD">
              <w:t>51207–31–9</w:t>
            </w:r>
          </w:p>
        </w:tc>
        <w:tc>
          <w:tcPr>
            <w:tcW w:w="1666" w:type="pct"/>
          </w:tcPr>
          <w:p w14:paraId="5B854A8C" w14:textId="77777777" w:rsidR="005716AB" w:rsidRDefault="00576A22" w:rsidP="00AF3032">
            <w:pPr>
              <w:pStyle w:val="TableText"/>
            </w:pPr>
            <w:r>
              <w:t>2,3,7,8-TCDF</w:t>
            </w:r>
          </w:p>
        </w:tc>
        <w:tc>
          <w:tcPr>
            <w:tcW w:w="1668" w:type="pct"/>
            <w:shd w:val="clear" w:color="auto" w:fill="auto"/>
          </w:tcPr>
          <w:p w14:paraId="5B854A8D" w14:textId="77777777" w:rsidR="005716AB" w:rsidRPr="00FC1A28" w:rsidRDefault="00576A22" w:rsidP="00AF3032">
            <w:pPr>
              <w:pStyle w:val="TableText"/>
            </w:pPr>
            <w:r>
              <w:t>0.05</w:t>
            </w:r>
          </w:p>
        </w:tc>
      </w:tr>
      <w:tr w:rsidR="006A7BE0" w14:paraId="5B854A92" w14:textId="77777777" w:rsidTr="00380069">
        <w:trPr>
          <w:cantSplit/>
        </w:trPr>
        <w:tc>
          <w:tcPr>
            <w:tcW w:w="1666" w:type="pct"/>
          </w:tcPr>
          <w:p w14:paraId="5B854A8F" w14:textId="77777777" w:rsidR="005716AB" w:rsidRPr="00D06ACD" w:rsidRDefault="00576A22" w:rsidP="00AF3032">
            <w:pPr>
              <w:pStyle w:val="TableText"/>
            </w:pPr>
            <w:r w:rsidRPr="00D06ACD">
              <w:t>57117–41–6</w:t>
            </w:r>
          </w:p>
        </w:tc>
        <w:tc>
          <w:tcPr>
            <w:tcW w:w="1666" w:type="pct"/>
          </w:tcPr>
          <w:p w14:paraId="5B854A90" w14:textId="77777777" w:rsidR="005716AB" w:rsidRDefault="00576A22" w:rsidP="00AF3032">
            <w:pPr>
              <w:pStyle w:val="TableText"/>
            </w:pPr>
            <w:r>
              <w:t>1,2,3,7,8-PeCDF</w:t>
            </w:r>
          </w:p>
        </w:tc>
        <w:tc>
          <w:tcPr>
            <w:tcW w:w="1668" w:type="pct"/>
            <w:shd w:val="clear" w:color="auto" w:fill="auto"/>
          </w:tcPr>
          <w:p w14:paraId="5B854A91" w14:textId="77777777" w:rsidR="005716AB" w:rsidRPr="00FC1A28" w:rsidRDefault="00576A22" w:rsidP="00AF3032">
            <w:pPr>
              <w:pStyle w:val="TableText"/>
            </w:pPr>
            <w:r>
              <w:t>0.05</w:t>
            </w:r>
          </w:p>
        </w:tc>
      </w:tr>
      <w:tr w:rsidR="006A7BE0" w14:paraId="5B854A96" w14:textId="77777777" w:rsidTr="00380069">
        <w:trPr>
          <w:cantSplit/>
        </w:trPr>
        <w:tc>
          <w:tcPr>
            <w:tcW w:w="1666" w:type="pct"/>
          </w:tcPr>
          <w:p w14:paraId="5B854A93" w14:textId="77777777" w:rsidR="005716AB" w:rsidRPr="00D06ACD" w:rsidRDefault="00576A22" w:rsidP="00AF3032">
            <w:pPr>
              <w:pStyle w:val="TableText"/>
            </w:pPr>
            <w:r w:rsidRPr="00D06ACD">
              <w:t>57117–31–4</w:t>
            </w:r>
          </w:p>
        </w:tc>
        <w:tc>
          <w:tcPr>
            <w:tcW w:w="1666" w:type="pct"/>
          </w:tcPr>
          <w:p w14:paraId="5B854A94" w14:textId="77777777" w:rsidR="005716AB" w:rsidRDefault="00576A22" w:rsidP="00AF3032">
            <w:pPr>
              <w:pStyle w:val="TableText"/>
            </w:pPr>
            <w:r>
              <w:t>2,3,4,7,8-PeCDF</w:t>
            </w:r>
          </w:p>
        </w:tc>
        <w:tc>
          <w:tcPr>
            <w:tcW w:w="1668" w:type="pct"/>
            <w:shd w:val="clear" w:color="auto" w:fill="auto"/>
          </w:tcPr>
          <w:p w14:paraId="5B854A95" w14:textId="77777777" w:rsidR="005716AB" w:rsidRPr="00FC1A28" w:rsidRDefault="00576A22" w:rsidP="00AF3032">
            <w:pPr>
              <w:pStyle w:val="TableText"/>
            </w:pPr>
            <w:r>
              <w:t>0.5</w:t>
            </w:r>
          </w:p>
        </w:tc>
      </w:tr>
      <w:tr w:rsidR="006A7BE0" w14:paraId="5B854A9A" w14:textId="77777777" w:rsidTr="00380069">
        <w:trPr>
          <w:cantSplit/>
        </w:trPr>
        <w:tc>
          <w:tcPr>
            <w:tcW w:w="1666" w:type="pct"/>
          </w:tcPr>
          <w:p w14:paraId="5B854A97" w14:textId="77777777" w:rsidR="005716AB" w:rsidRPr="00D06ACD" w:rsidRDefault="00576A22" w:rsidP="00AF3032">
            <w:pPr>
              <w:pStyle w:val="TableText"/>
            </w:pPr>
            <w:r w:rsidRPr="00D06ACD">
              <w:t>70648–26–9</w:t>
            </w:r>
          </w:p>
        </w:tc>
        <w:tc>
          <w:tcPr>
            <w:tcW w:w="1666" w:type="pct"/>
          </w:tcPr>
          <w:p w14:paraId="5B854A98" w14:textId="77777777" w:rsidR="005716AB" w:rsidRDefault="00576A22" w:rsidP="00AF3032">
            <w:pPr>
              <w:pStyle w:val="TableText"/>
            </w:pPr>
            <w:r>
              <w:t>1,2,3,4,7,8-HxCDF</w:t>
            </w:r>
          </w:p>
        </w:tc>
        <w:tc>
          <w:tcPr>
            <w:tcW w:w="1668" w:type="pct"/>
            <w:shd w:val="clear" w:color="auto" w:fill="auto"/>
          </w:tcPr>
          <w:p w14:paraId="5B854A99" w14:textId="77777777" w:rsidR="005716AB" w:rsidRPr="00FC1A28" w:rsidRDefault="00576A22" w:rsidP="00AF3032">
            <w:pPr>
              <w:pStyle w:val="TableText"/>
            </w:pPr>
            <w:r>
              <w:t>0.1</w:t>
            </w:r>
          </w:p>
        </w:tc>
      </w:tr>
      <w:tr w:rsidR="006A7BE0" w14:paraId="5B854A9E" w14:textId="77777777" w:rsidTr="00380069">
        <w:trPr>
          <w:cantSplit/>
        </w:trPr>
        <w:tc>
          <w:tcPr>
            <w:tcW w:w="1666" w:type="pct"/>
          </w:tcPr>
          <w:p w14:paraId="5B854A9B" w14:textId="77777777" w:rsidR="005716AB" w:rsidRPr="00D06ACD" w:rsidRDefault="00576A22" w:rsidP="00AF3032">
            <w:pPr>
              <w:pStyle w:val="TableText"/>
            </w:pPr>
            <w:r w:rsidRPr="00D06ACD">
              <w:t>57117–44–9</w:t>
            </w:r>
          </w:p>
        </w:tc>
        <w:tc>
          <w:tcPr>
            <w:tcW w:w="1666" w:type="pct"/>
          </w:tcPr>
          <w:p w14:paraId="5B854A9C" w14:textId="77777777" w:rsidR="005716AB" w:rsidRDefault="00576A22" w:rsidP="00AF3032">
            <w:pPr>
              <w:pStyle w:val="TableText"/>
            </w:pPr>
            <w:r>
              <w:t>1,2,3,6,7,8-HxCDF</w:t>
            </w:r>
          </w:p>
        </w:tc>
        <w:tc>
          <w:tcPr>
            <w:tcW w:w="1668" w:type="pct"/>
            <w:shd w:val="clear" w:color="auto" w:fill="auto"/>
          </w:tcPr>
          <w:p w14:paraId="5B854A9D" w14:textId="77777777" w:rsidR="005716AB" w:rsidRPr="00FC1A28" w:rsidRDefault="00576A22" w:rsidP="00AF3032">
            <w:pPr>
              <w:pStyle w:val="TableText"/>
            </w:pPr>
            <w:r>
              <w:t>0.1</w:t>
            </w:r>
          </w:p>
        </w:tc>
      </w:tr>
      <w:tr w:rsidR="006A7BE0" w14:paraId="5B854AA2" w14:textId="77777777" w:rsidTr="00380069">
        <w:trPr>
          <w:cantSplit/>
        </w:trPr>
        <w:tc>
          <w:tcPr>
            <w:tcW w:w="1666" w:type="pct"/>
          </w:tcPr>
          <w:p w14:paraId="5B854A9F" w14:textId="77777777" w:rsidR="005716AB" w:rsidRPr="00D06ACD" w:rsidRDefault="00576A22" w:rsidP="00AF3032">
            <w:pPr>
              <w:pStyle w:val="TableText"/>
            </w:pPr>
            <w:r w:rsidRPr="00D06ACD">
              <w:t>72918–21–9</w:t>
            </w:r>
          </w:p>
        </w:tc>
        <w:tc>
          <w:tcPr>
            <w:tcW w:w="1666" w:type="pct"/>
          </w:tcPr>
          <w:p w14:paraId="5B854AA0" w14:textId="77777777" w:rsidR="005716AB" w:rsidRDefault="00576A22" w:rsidP="00AF3032">
            <w:pPr>
              <w:pStyle w:val="TableText"/>
            </w:pPr>
            <w:r>
              <w:t>1,2,3,7,8,9-HxCDF</w:t>
            </w:r>
          </w:p>
        </w:tc>
        <w:tc>
          <w:tcPr>
            <w:tcW w:w="1668" w:type="pct"/>
            <w:shd w:val="clear" w:color="auto" w:fill="auto"/>
          </w:tcPr>
          <w:p w14:paraId="5B854AA1" w14:textId="77777777" w:rsidR="005716AB" w:rsidRPr="00FC1A28" w:rsidRDefault="00576A22" w:rsidP="00AF3032">
            <w:pPr>
              <w:pStyle w:val="TableText"/>
            </w:pPr>
            <w:r>
              <w:t>0.1</w:t>
            </w:r>
          </w:p>
        </w:tc>
      </w:tr>
      <w:tr w:rsidR="006A7BE0" w14:paraId="5B854AA6" w14:textId="77777777" w:rsidTr="00380069">
        <w:trPr>
          <w:cantSplit/>
        </w:trPr>
        <w:tc>
          <w:tcPr>
            <w:tcW w:w="1666" w:type="pct"/>
          </w:tcPr>
          <w:p w14:paraId="5B854AA3" w14:textId="77777777" w:rsidR="005716AB" w:rsidRPr="00D06ACD" w:rsidRDefault="00576A22" w:rsidP="00AF3032">
            <w:pPr>
              <w:pStyle w:val="TableText"/>
            </w:pPr>
            <w:r w:rsidRPr="00D06ACD">
              <w:t>60851–34–5</w:t>
            </w:r>
          </w:p>
        </w:tc>
        <w:tc>
          <w:tcPr>
            <w:tcW w:w="1666" w:type="pct"/>
          </w:tcPr>
          <w:p w14:paraId="5B854AA4" w14:textId="77777777" w:rsidR="005716AB" w:rsidRDefault="00576A22" w:rsidP="00AF3032">
            <w:pPr>
              <w:pStyle w:val="TableText"/>
            </w:pPr>
            <w:r>
              <w:t>2,3,4,6,7,8-HxCDF</w:t>
            </w:r>
          </w:p>
        </w:tc>
        <w:tc>
          <w:tcPr>
            <w:tcW w:w="1668" w:type="pct"/>
            <w:shd w:val="clear" w:color="auto" w:fill="auto"/>
          </w:tcPr>
          <w:p w14:paraId="5B854AA5" w14:textId="77777777" w:rsidR="005716AB" w:rsidRPr="00FC1A28" w:rsidRDefault="00576A22" w:rsidP="00AF3032">
            <w:pPr>
              <w:pStyle w:val="TableText"/>
            </w:pPr>
            <w:r>
              <w:t>0.1</w:t>
            </w:r>
          </w:p>
        </w:tc>
      </w:tr>
      <w:tr w:rsidR="006A7BE0" w14:paraId="5B854AAA" w14:textId="77777777" w:rsidTr="00380069">
        <w:trPr>
          <w:cantSplit/>
        </w:trPr>
        <w:tc>
          <w:tcPr>
            <w:tcW w:w="1666" w:type="pct"/>
          </w:tcPr>
          <w:p w14:paraId="5B854AA7" w14:textId="77777777" w:rsidR="005716AB" w:rsidRPr="00D06ACD" w:rsidRDefault="00576A22" w:rsidP="00AF3032">
            <w:pPr>
              <w:pStyle w:val="TableText"/>
            </w:pPr>
            <w:r w:rsidRPr="00D06ACD">
              <w:t>67562–39–4</w:t>
            </w:r>
          </w:p>
        </w:tc>
        <w:tc>
          <w:tcPr>
            <w:tcW w:w="1666" w:type="pct"/>
          </w:tcPr>
          <w:p w14:paraId="5B854AA8" w14:textId="77777777" w:rsidR="005716AB" w:rsidRDefault="00576A22" w:rsidP="00AF3032">
            <w:pPr>
              <w:pStyle w:val="TableText"/>
            </w:pPr>
            <w:r>
              <w:t>1,2,3,4,6,7,8-HpCDF</w:t>
            </w:r>
          </w:p>
        </w:tc>
        <w:tc>
          <w:tcPr>
            <w:tcW w:w="1668" w:type="pct"/>
            <w:shd w:val="clear" w:color="auto" w:fill="auto"/>
          </w:tcPr>
          <w:p w14:paraId="5B854AA9" w14:textId="77777777" w:rsidR="005716AB" w:rsidRPr="00FC1A28" w:rsidRDefault="00576A22" w:rsidP="00AF3032">
            <w:pPr>
              <w:pStyle w:val="TableText"/>
            </w:pPr>
            <w:r>
              <w:t>0.01</w:t>
            </w:r>
          </w:p>
        </w:tc>
      </w:tr>
      <w:tr w:rsidR="006A7BE0" w14:paraId="5B854AAE" w14:textId="77777777" w:rsidTr="00380069">
        <w:trPr>
          <w:cantSplit/>
        </w:trPr>
        <w:tc>
          <w:tcPr>
            <w:tcW w:w="1666" w:type="pct"/>
          </w:tcPr>
          <w:p w14:paraId="5B854AAB" w14:textId="77777777" w:rsidR="005716AB" w:rsidRPr="00D06ACD" w:rsidRDefault="00576A22" w:rsidP="00AF3032">
            <w:pPr>
              <w:pStyle w:val="TableText"/>
            </w:pPr>
            <w:r w:rsidRPr="00D06ACD">
              <w:t>55673–89–7</w:t>
            </w:r>
          </w:p>
        </w:tc>
        <w:tc>
          <w:tcPr>
            <w:tcW w:w="1666" w:type="pct"/>
          </w:tcPr>
          <w:p w14:paraId="5B854AAC" w14:textId="77777777" w:rsidR="005716AB" w:rsidRDefault="00576A22" w:rsidP="00AF3032">
            <w:pPr>
              <w:pStyle w:val="TableText"/>
            </w:pPr>
            <w:r>
              <w:t>1,2,3,4,7,8,9-HpCDF</w:t>
            </w:r>
          </w:p>
        </w:tc>
        <w:tc>
          <w:tcPr>
            <w:tcW w:w="1668" w:type="pct"/>
            <w:shd w:val="clear" w:color="auto" w:fill="auto"/>
          </w:tcPr>
          <w:p w14:paraId="5B854AAD" w14:textId="77777777" w:rsidR="005716AB" w:rsidRPr="00FC1A28" w:rsidRDefault="00576A22" w:rsidP="00AF3032">
            <w:pPr>
              <w:pStyle w:val="TableText"/>
            </w:pPr>
            <w:r>
              <w:t>0.01</w:t>
            </w:r>
          </w:p>
        </w:tc>
      </w:tr>
      <w:tr w:rsidR="006A7BE0" w14:paraId="5B854AB2" w14:textId="77777777" w:rsidTr="00380069">
        <w:trPr>
          <w:cantSplit/>
        </w:trPr>
        <w:tc>
          <w:tcPr>
            <w:tcW w:w="1666" w:type="pct"/>
          </w:tcPr>
          <w:p w14:paraId="5B854AAF" w14:textId="77777777" w:rsidR="005716AB" w:rsidRPr="00D06ACD" w:rsidRDefault="00576A22" w:rsidP="00AF3032">
            <w:pPr>
              <w:pStyle w:val="TableText"/>
            </w:pPr>
            <w:r w:rsidRPr="00D06ACD">
              <w:t>39001–02–0</w:t>
            </w:r>
          </w:p>
        </w:tc>
        <w:tc>
          <w:tcPr>
            <w:tcW w:w="1666" w:type="pct"/>
          </w:tcPr>
          <w:p w14:paraId="5B854AB0" w14:textId="77777777" w:rsidR="005716AB" w:rsidRDefault="00576A22" w:rsidP="00AF3032">
            <w:pPr>
              <w:pStyle w:val="TableText"/>
            </w:pPr>
            <w:r>
              <w:t>OCDF</w:t>
            </w:r>
          </w:p>
        </w:tc>
        <w:tc>
          <w:tcPr>
            <w:tcW w:w="1668" w:type="pct"/>
            <w:shd w:val="clear" w:color="auto" w:fill="auto"/>
          </w:tcPr>
          <w:p w14:paraId="5B854AB1" w14:textId="77777777" w:rsidR="005716AB" w:rsidRPr="00FC1A28" w:rsidRDefault="00576A22" w:rsidP="00AF3032">
            <w:pPr>
              <w:pStyle w:val="TableText"/>
            </w:pPr>
            <w:r>
              <w:t>&lt;0.0001</w:t>
            </w:r>
          </w:p>
        </w:tc>
      </w:tr>
      <w:tr w:rsidR="006A7BE0" w14:paraId="5B854AB4" w14:textId="77777777" w:rsidTr="00AF3032">
        <w:trPr>
          <w:cantSplit/>
        </w:trPr>
        <w:tc>
          <w:tcPr>
            <w:tcW w:w="5000" w:type="pct"/>
            <w:gridSpan w:val="3"/>
          </w:tcPr>
          <w:p w14:paraId="5B854AB3" w14:textId="77777777" w:rsidR="005716AB" w:rsidRPr="00265B5D" w:rsidRDefault="00576A22" w:rsidP="00AF3032">
            <w:pPr>
              <w:pStyle w:val="TableText"/>
            </w:pPr>
            <w:r w:rsidRPr="00D06ACD">
              <w:t>Polychlorinated biphenyls</w:t>
            </w:r>
            <w:r w:rsidR="00265B5D">
              <w:rPr>
                <w:vertAlign w:val="superscript"/>
              </w:rPr>
              <w:t xml:space="preserve"> </w:t>
            </w:r>
            <w:r w:rsidR="00265B5D">
              <w:t>(dl-PCBs)</w:t>
            </w:r>
          </w:p>
        </w:tc>
      </w:tr>
      <w:tr w:rsidR="006A7BE0" w14:paraId="5B854AB8" w14:textId="77777777" w:rsidTr="00380069">
        <w:trPr>
          <w:cantSplit/>
        </w:trPr>
        <w:tc>
          <w:tcPr>
            <w:tcW w:w="1666" w:type="pct"/>
          </w:tcPr>
          <w:p w14:paraId="5B854AB5" w14:textId="77777777" w:rsidR="005716AB" w:rsidRPr="00D06ACD" w:rsidRDefault="00576A22" w:rsidP="00AF3032">
            <w:pPr>
              <w:pStyle w:val="TableText"/>
            </w:pPr>
            <w:r w:rsidRPr="00D06ACD">
              <w:t>32598-13-3</w:t>
            </w:r>
          </w:p>
        </w:tc>
        <w:tc>
          <w:tcPr>
            <w:tcW w:w="1666" w:type="pct"/>
          </w:tcPr>
          <w:p w14:paraId="5B854AB6" w14:textId="77777777" w:rsidR="005716AB" w:rsidRDefault="00576A22" w:rsidP="00AF3032">
            <w:pPr>
              <w:pStyle w:val="TableText"/>
            </w:pPr>
            <w:r>
              <w:t>3,3’,4,4’-TCB (77)</w:t>
            </w:r>
          </w:p>
        </w:tc>
        <w:tc>
          <w:tcPr>
            <w:tcW w:w="1668" w:type="pct"/>
            <w:shd w:val="clear" w:color="auto" w:fill="auto"/>
          </w:tcPr>
          <w:p w14:paraId="5B854AB7" w14:textId="77777777" w:rsidR="005716AB" w:rsidRPr="00FC1A28" w:rsidRDefault="00576A22" w:rsidP="00AF3032">
            <w:pPr>
              <w:pStyle w:val="TableText"/>
            </w:pPr>
            <w:r>
              <w:t>0.0001</w:t>
            </w:r>
          </w:p>
        </w:tc>
      </w:tr>
      <w:tr w:rsidR="006A7BE0" w14:paraId="5B854ABC" w14:textId="77777777" w:rsidTr="00380069">
        <w:trPr>
          <w:cantSplit/>
        </w:trPr>
        <w:tc>
          <w:tcPr>
            <w:tcW w:w="1666" w:type="pct"/>
          </w:tcPr>
          <w:p w14:paraId="5B854AB9" w14:textId="77777777" w:rsidR="005716AB" w:rsidRPr="00D06ACD" w:rsidRDefault="00576A22" w:rsidP="00AF3032">
            <w:pPr>
              <w:pStyle w:val="TableText"/>
            </w:pPr>
            <w:r w:rsidRPr="00D06ACD">
              <w:t>70362-50-4</w:t>
            </w:r>
          </w:p>
        </w:tc>
        <w:tc>
          <w:tcPr>
            <w:tcW w:w="1666" w:type="pct"/>
          </w:tcPr>
          <w:p w14:paraId="5B854ABA" w14:textId="77777777" w:rsidR="005716AB" w:rsidRDefault="00576A22" w:rsidP="00AF3032">
            <w:pPr>
              <w:pStyle w:val="TableText"/>
            </w:pPr>
            <w:r>
              <w:t>3,4,4’,5-TCB (81)</w:t>
            </w:r>
          </w:p>
        </w:tc>
        <w:tc>
          <w:tcPr>
            <w:tcW w:w="1668" w:type="pct"/>
            <w:shd w:val="clear" w:color="auto" w:fill="auto"/>
          </w:tcPr>
          <w:p w14:paraId="5B854ABB" w14:textId="77777777" w:rsidR="005716AB" w:rsidRPr="00FC1A28" w:rsidRDefault="00576A22" w:rsidP="00AF3032">
            <w:pPr>
              <w:pStyle w:val="TableText"/>
            </w:pPr>
            <w:r>
              <w:t>0.0005</w:t>
            </w:r>
          </w:p>
        </w:tc>
      </w:tr>
      <w:tr w:rsidR="006A7BE0" w14:paraId="5B854AC0" w14:textId="77777777" w:rsidTr="00380069">
        <w:trPr>
          <w:cantSplit/>
        </w:trPr>
        <w:tc>
          <w:tcPr>
            <w:tcW w:w="1666" w:type="pct"/>
          </w:tcPr>
          <w:p w14:paraId="5B854ABD" w14:textId="77777777" w:rsidR="005716AB" w:rsidRPr="00D06ACD" w:rsidRDefault="00576A22" w:rsidP="00AF3032">
            <w:pPr>
              <w:pStyle w:val="TableText"/>
            </w:pPr>
            <w:r w:rsidRPr="00D06ACD">
              <w:t>57465-28-8</w:t>
            </w:r>
          </w:p>
        </w:tc>
        <w:tc>
          <w:tcPr>
            <w:tcW w:w="1666" w:type="pct"/>
          </w:tcPr>
          <w:p w14:paraId="5B854ABE" w14:textId="77777777" w:rsidR="005716AB" w:rsidRDefault="00576A22" w:rsidP="00AF3032">
            <w:pPr>
              <w:pStyle w:val="TableText"/>
            </w:pPr>
            <w:r>
              <w:t>3,3’,4,4’,5-PeCB (126)</w:t>
            </w:r>
          </w:p>
        </w:tc>
        <w:tc>
          <w:tcPr>
            <w:tcW w:w="1668" w:type="pct"/>
            <w:shd w:val="clear" w:color="auto" w:fill="auto"/>
          </w:tcPr>
          <w:p w14:paraId="5B854ABF" w14:textId="77777777" w:rsidR="005716AB" w:rsidRPr="00FC1A28" w:rsidRDefault="00576A22" w:rsidP="00AF3032">
            <w:pPr>
              <w:pStyle w:val="TableText"/>
            </w:pPr>
            <w:r>
              <w:t>0.005</w:t>
            </w:r>
          </w:p>
        </w:tc>
      </w:tr>
      <w:tr w:rsidR="006A7BE0" w14:paraId="5B854AC4" w14:textId="77777777" w:rsidTr="00380069">
        <w:trPr>
          <w:cantSplit/>
        </w:trPr>
        <w:tc>
          <w:tcPr>
            <w:tcW w:w="1666" w:type="pct"/>
          </w:tcPr>
          <w:p w14:paraId="5B854AC1" w14:textId="77777777" w:rsidR="005716AB" w:rsidRPr="00D06ACD" w:rsidRDefault="00576A22" w:rsidP="00AF3032">
            <w:pPr>
              <w:pStyle w:val="TableText"/>
            </w:pPr>
            <w:r w:rsidRPr="00D06ACD">
              <w:t>32774-16-6</w:t>
            </w:r>
          </w:p>
        </w:tc>
        <w:tc>
          <w:tcPr>
            <w:tcW w:w="1666" w:type="pct"/>
          </w:tcPr>
          <w:p w14:paraId="5B854AC2" w14:textId="77777777" w:rsidR="005716AB" w:rsidRDefault="00576A22" w:rsidP="00AF3032">
            <w:pPr>
              <w:pStyle w:val="TableText"/>
            </w:pPr>
            <w:r>
              <w:t>3,3’,4,4’,5,5’-HxCB (169)</w:t>
            </w:r>
          </w:p>
        </w:tc>
        <w:tc>
          <w:tcPr>
            <w:tcW w:w="1668" w:type="pct"/>
            <w:shd w:val="clear" w:color="auto" w:fill="auto"/>
          </w:tcPr>
          <w:p w14:paraId="5B854AC3" w14:textId="77777777" w:rsidR="005716AB" w:rsidRPr="00FC1A28" w:rsidRDefault="00576A22" w:rsidP="00AF3032">
            <w:pPr>
              <w:pStyle w:val="TableText"/>
            </w:pPr>
            <w:r>
              <w:t>0.00005</w:t>
            </w:r>
          </w:p>
        </w:tc>
      </w:tr>
      <w:tr w:rsidR="006A7BE0" w14:paraId="5B854AC8" w14:textId="77777777" w:rsidTr="00380069">
        <w:trPr>
          <w:cantSplit/>
        </w:trPr>
        <w:tc>
          <w:tcPr>
            <w:tcW w:w="1666" w:type="pct"/>
          </w:tcPr>
          <w:p w14:paraId="5B854AC5" w14:textId="77777777" w:rsidR="005716AB" w:rsidRPr="00D06ACD" w:rsidRDefault="00576A22" w:rsidP="00AF3032">
            <w:pPr>
              <w:pStyle w:val="TableText"/>
            </w:pPr>
            <w:r w:rsidRPr="00D06ACD">
              <w:t>32598-14-4</w:t>
            </w:r>
          </w:p>
        </w:tc>
        <w:tc>
          <w:tcPr>
            <w:tcW w:w="1666" w:type="pct"/>
          </w:tcPr>
          <w:p w14:paraId="5B854AC6" w14:textId="77777777" w:rsidR="005716AB" w:rsidRDefault="00576A22" w:rsidP="00AF3032">
            <w:pPr>
              <w:pStyle w:val="TableText"/>
            </w:pPr>
            <w:r w:rsidRPr="00090AC7">
              <w:t>2,3,3’,4,4’-PeCB (105)</w:t>
            </w:r>
          </w:p>
        </w:tc>
        <w:tc>
          <w:tcPr>
            <w:tcW w:w="1668" w:type="pct"/>
            <w:shd w:val="clear" w:color="auto" w:fill="auto"/>
          </w:tcPr>
          <w:p w14:paraId="5B854AC7" w14:textId="77777777" w:rsidR="005716AB" w:rsidRPr="00FC1A28" w:rsidRDefault="00576A22" w:rsidP="00AF3032">
            <w:pPr>
              <w:pStyle w:val="TableText"/>
            </w:pPr>
            <w:r>
              <w:t>&lt;0.000005</w:t>
            </w:r>
          </w:p>
        </w:tc>
      </w:tr>
      <w:tr w:rsidR="006A7BE0" w14:paraId="5B854ACC" w14:textId="77777777" w:rsidTr="00380069">
        <w:trPr>
          <w:cantSplit/>
        </w:trPr>
        <w:tc>
          <w:tcPr>
            <w:tcW w:w="1666" w:type="pct"/>
          </w:tcPr>
          <w:p w14:paraId="5B854AC9" w14:textId="77777777" w:rsidR="005716AB" w:rsidRPr="00D06ACD" w:rsidRDefault="00576A22" w:rsidP="00AF3032">
            <w:pPr>
              <w:pStyle w:val="TableText"/>
            </w:pPr>
            <w:r w:rsidRPr="00D06ACD">
              <w:t>74472-37-0</w:t>
            </w:r>
          </w:p>
        </w:tc>
        <w:tc>
          <w:tcPr>
            <w:tcW w:w="1666" w:type="pct"/>
          </w:tcPr>
          <w:p w14:paraId="5B854ACA" w14:textId="77777777" w:rsidR="005716AB" w:rsidRDefault="00576A22" w:rsidP="00AF3032">
            <w:pPr>
              <w:pStyle w:val="TableText"/>
            </w:pPr>
            <w:r>
              <w:t>2,3,4,4’,5-PeCB (114)</w:t>
            </w:r>
          </w:p>
        </w:tc>
        <w:tc>
          <w:tcPr>
            <w:tcW w:w="1668" w:type="pct"/>
            <w:shd w:val="clear" w:color="auto" w:fill="auto"/>
          </w:tcPr>
          <w:p w14:paraId="5B854ACB" w14:textId="77777777" w:rsidR="005716AB" w:rsidRPr="00FC1A28" w:rsidRDefault="00576A22" w:rsidP="00AF3032">
            <w:pPr>
              <w:pStyle w:val="TableText"/>
            </w:pPr>
            <w:r>
              <w:t>&lt;0.000005</w:t>
            </w:r>
          </w:p>
        </w:tc>
      </w:tr>
      <w:tr w:rsidR="006A7BE0" w14:paraId="5B854AD0" w14:textId="77777777" w:rsidTr="00380069">
        <w:trPr>
          <w:cantSplit/>
        </w:trPr>
        <w:tc>
          <w:tcPr>
            <w:tcW w:w="1666" w:type="pct"/>
          </w:tcPr>
          <w:p w14:paraId="5B854ACD" w14:textId="77777777" w:rsidR="005716AB" w:rsidRPr="00D06ACD" w:rsidRDefault="00576A22" w:rsidP="00AF3032">
            <w:pPr>
              <w:pStyle w:val="TableText"/>
            </w:pPr>
            <w:r w:rsidRPr="00D06ACD">
              <w:t>31508-00-6</w:t>
            </w:r>
          </w:p>
        </w:tc>
        <w:tc>
          <w:tcPr>
            <w:tcW w:w="1666" w:type="pct"/>
          </w:tcPr>
          <w:p w14:paraId="5B854ACE" w14:textId="77777777" w:rsidR="005716AB" w:rsidRDefault="00576A22" w:rsidP="00AF3032">
            <w:pPr>
              <w:pStyle w:val="TableText"/>
            </w:pPr>
            <w:r>
              <w:t>2,3’,4,4’,5-PeCB (118)</w:t>
            </w:r>
          </w:p>
        </w:tc>
        <w:tc>
          <w:tcPr>
            <w:tcW w:w="1668" w:type="pct"/>
            <w:shd w:val="clear" w:color="auto" w:fill="auto"/>
          </w:tcPr>
          <w:p w14:paraId="5B854ACF" w14:textId="77777777" w:rsidR="005716AB" w:rsidRPr="00FC1A28" w:rsidRDefault="00576A22" w:rsidP="00AF3032">
            <w:pPr>
              <w:pStyle w:val="TableText"/>
            </w:pPr>
            <w:r>
              <w:t>&lt;0.000005</w:t>
            </w:r>
          </w:p>
        </w:tc>
      </w:tr>
      <w:tr w:rsidR="006A7BE0" w14:paraId="5B854AD4" w14:textId="77777777" w:rsidTr="00380069">
        <w:trPr>
          <w:cantSplit/>
        </w:trPr>
        <w:tc>
          <w:tcPr>
            <w:tcW w:w="1666" w:type="pct"/>
          </w:tcPr>
          <w:p w14:paraId="5B854AD1" w14:textId="77777777" w:rsidR="005716AB" w:rsidRPr="00D06ACD" w:rsidRDefault="00576A22" w:rsidP="00AF3032">
            <w:pPr>
              <w:pStyle w:val="TableText"/>
            </w:pPr>
            <w:r w:rsidRPr="00D06ACD">
              <w:t>65510-44-3</w:t>
            </w:r>
          </w:p>
        </w:tc>
        <w:tc>
          <w:tcPr>
            <w:tcW w:w="1666" w:type="pct"/>
          </w:tcPr>
          <w:p w14:paraId="5B854AD2" w14:textId="77777777" w:rsidR="005716AB" w:rsidRDefault="00576A22" w:rsidP="00AF3032">
            <w:pPr>
              <w:pStyle w:val="TableText"/>
            </w:pPr>
            <w:r>
              <w:t>2’,3,4,4’,5-PeCB (123)</w:t>
            </w:r>
          </w:p>
        </w:tc>
        <w:tc>
          <w:tcPr>
            <w:tcW w:w="1668" w:type="pct"/>
            <w:shd w:val="clear" w:color="auto" w:fill="auto"/>
          </w:tcPr>
          <w:p w14:paraId="5B854AD3" w14:textId="77777777" w:rsidR="005716AB" w:rsidRPr="00FC1A28" w:rsidRDefault="00576A22" w:rsidP="00AF3032">
            <w:pPr>
              <w:pStyle w:val="TableText"/>
            </w:pPr>
            <w:r>
              <w:t>&lt;0.000005</w:t>
            </w:r>
          </w:p>
        </w:tc>
      </w:tr>
      <w:tr w:rsidR="006A7BE0" w14:paraId="5B854AD8" w14:textId="77777777" w:rsidTr="00380069">
        <w:trPr>
          <w:cantSplit/>
        </w:trPr>
        <w:tc>
          <w:tcPr>
            <w:tcW w:w="1666" w:type="pct"/>
          </w:tcPr>
          <w:p w14:paraId="5B854AD5" w14:textId="77777777" w:rsidR="005716AB" w:rsidRPr="00D06ACD" w:rsidRDefault="00576A22" w:rsidP="00AF3032">
            <w:pPr>
              <w:pStyle w:val="TableText"/>
            </w:pPr>
            <w:r w:rsidRPr="00D06ACD">
              <w:t>38380-08-4</w:t>
            </w:r>
          </w:p>
        </w:tc>
        <w:tc>
          <w:tcPr>
            <w:tcW w:w="1666" w:type="pct"/>
          </w:tcPr>
          <w:p w14:paraId="5B854AD6" w14:textId="77777777" w:rsidR="005716AB" w:rsidRDefault="00576A22" w:rsidP="00AF3032">
            <w:pPr>
              <w:pStyle w:val="TableText"/>
            </w:pPr>
            <w:r>
              <w:t>2,3,3’,4,4’,5-HxCB (156)</w:t>
            </w:r>
          </w:p>
        </w:tc>
        <w:tc>
          <w:tcPr>
            <w:tcW w:w="1668" w:type="pct"/>
            <w:shd w:val="clear" w:color="auto" w:fill="auto"/>
          </w:tcPr>
          <w:p w14:paraId="5B854AD7" w14:textId="77777777" w:rsidR="005716AB" w:rsidRPr="00FC1A28" w:rsidRDefault="00576A22" w:rsidP="00AF3032">
            <w:pPr>
              <w:pStyle w:val="TableText"/>
            </w:pPr>
            <w:r>
              <w:t>&lt;0.000005</w:t>
            </w:r>
          </w:p>
        </w:tc>
      </w:tr>
      <w:tr w:rsidR="006A7BE0" w14:paraId="5B854ADC" w14:textId="77777777" w:rsidTr="00380069">
        <w:trPr>
          <w:cantSplit/>
        </w:trPr>
        <w:tc>
          <w:tcPr>
            <w:tcW w:w="1666" w:type="pct"/>
          </w:tcPr>
          <w:p w14:paraId="5B854AD9" w14:textId="77777777" w:rsidR="005716AB" w:rsidRPr="00D06ACD" w:rsidRDefault="00576A22" w:rsidP="00AF3032">
            <w:pPr>
              <w:pStyle w:val="TableText"/>
            </w:pPr>
            <w:r w:rsidRPr="00D06ACD">
              <w:t>69782-90-7</w:t>
            </w:r>
          </w:p>
        </w:tc>
        <w:tc>
          <w:tcPr>
            <w:tcW w:w="1666" w:type="pct"/>
          </w:tcPr>
          <w:p w14:paraId="5B854ADA" w14:textId="77777777" w:rsidR="005716AB" w:rsidRDefault="00576A22" w:rsidP="00AF3032">
            <w:pPr>
              <w:pStyle w:val="TableText"/>
            </w:pPr>
            <w:r>
              <w:t>2,3,3’,4,4’,5’-HxCB (157)</w:t>
            </w:r>
          </w:p>
        </w:tc>
        <w:tc>
          <w:tcPr>
            <w:tcW w:w="1668" w:type="pct"/>
            <w:shd w:val="clear" w:color="auto" w:fill="auto"/>
          </w:tcPr>
          <w:p w14:paraId="5B854ADB" w14:textId="77777777" w:rsidR="005716AB" w:rsidRPr="00FC1A28" w:rsidRDefault="00576A22" w:rsidP="00AF3032">
            <w:pPr>
              <w:pStyle w:val="TableText"/>
            </w:pPr>
            <w:r>
              <w:t>&lt;0.000005</w:t>
            </w:r>
          </w:p>
        </w:tc>
      </w:tr>
      <w:tr w:rsidR="006A7BE0" w14:paraId="5B854AE0" w14:textId="77777777" w:rsidTr="00380069">
        <w:trPr>
          <w:cantSplit/>
        </w:trPr>
        <w:tc>
          <w:tcPr>
            <w:tcW w:w="1666" w:type="pct"/>
            <w:tcBorders>
              <w:bottom w:val="single" w:sz="4" w:space="0" w:color="auto"/>
            </w:tcBorders>
          </w:tcPr>
          <w:p w14:paraId="5B854ADD" w14:textId="77777777" w:rsidR="005716AB" w:rsidRPr="00D06ACD" w:rsidRDefault="00576A22" w:rsidP="00AF3032">
            <w:pPr>
              <w:pStyle w:val="TableText"/>
            </w:pPr>
            <w:r w:rsidRPr="00D06ACD">
              <w:t>52663-72-6</w:t>
            </w:r>
          </w:p>
        </w:tc>
        <w:tc>
          <w:tcPr>
            <w:tcW w:w="1666" w:type="pct"/>
            <w:tcBorders>
              <w:bottom w:val="single" w:sz="4" w:space="0" w:color="auto"/>
            </w:tcBorders>
          </w:tcPr>
          <w:p w14:paraId="5B854ADE" w14:textId="77777777" w:rsidR="005716AB" w:rsidRDefault="00576A22" w:rsidP="00AF3032">
            <w:pPr>
              <w:pStyle w:val="TableText"/>
            </w:pPr>
            <w:r>
              <w:t>2,3’,4,4’,5,5’-HxCB (167)</w:t>
            </w:r>
          </w:p>
        </w:tc>
        <w:tc>
          <w:tcPr>
            <w:tcW w:w="1668" w:type="pct"/>
            <w:tcBorders>
              <w:bottom w:val="single" w:sz="4" w:space="0" w:color="auto"/>
            </w:tcBorders>
            <w:shd w:val="clear" w:color="auto" w:fill="auto"/>
          </w:tcPr>
          <w:p w14:paraId="5B854ADF" w14:textId="77777777" w:rsidR="005716AB" w:rsidRPr="00FC1A28" w:rsidRDefault="00576A22" w:rsidP="00AF3032">
            <w:pPr>
              <w:pStyle w:val="TableText"/>
            </w:pPr>
            <w:r>
              <w:t>&lt;0.000005</w:t>
            </w:r>
          </w:p>
        </w:tc>
      </w:tr>
      <w:tr w:rsidR="006A7BE0" w14:paraId="5B854AE4" w14:textId="77777777" w:rsidTr="00380069">
        <w:trPr>
          <w:cantSplit/>
        </w:trPr>
        <w:tc>
          <w:tcPr>
            <w:tcW w:w="1666" w:type="pct"/>
            <w:tcBorders>
              <w:bottom w:val="single" w:sz="12" w:space="0" w:color="auto"/>
            </w:tcBorders>
          </w:tcPr>
          <w:p w14:paraId="5B854AE1" w14:textId="77777777" w:rsidR="005716AB" w:rsidRPr="00D06ACD" w:rsidRDefault="00576A22" w:rsidP="00AF3032">
            <w:pPr>
              <w:pStyle w:val="TableText"/>
            </w:pPr>
            <w:r w:rsidRPr="00D06ACD">
              <w:t>39635-31-9</w:t>
            </w:r>
          </w:p>
        </w:tc>
        <w:tc>
          <w:tcPr>
            <w:tcW w:w="1666" w:type="pct"/>
            <w:tcBorders>
              <w:bottom w:val="single" w:sz="12" w:space="0" w:color="auto"/>
            </w:tcBorders>
          </w:tcPr>
          <w:p w14:paraId="5B854AE2" w14:textId="77777777" w:rsidR="005716AB" w:rsidRDefault="00576A22" w:rsidP="00AF3032">
            <w:pPr>
              <w:pStyle w:val="TableText"/>
            </w:pPr>
            <w:r>
              <w:t>2,3,3’,4,4’,5,5’-HpCB (189)</w:t>
            </w:r>
          </w:p>
        </w:tc>
        <w:tc>
          <w:tcPr>
            <w:tcW w:w="1668" w:type="pct"/>
            <w:tcBorders>
              <w:bottom w:val="single" w:sz="12" w:space="0" w:color="auto"/>
            </w:tcBorders>
            <w:shd w:val="clear" w:color="auto" w:fill="auto"/>
          </w:tcPr>
          <w:p w14:paraId="5B854AE3" w14:textId="77777777" w:rsidR="005716AB" w:rsidRPr="00FC1A28" w:rsidRDefault="00576A22" w:rsidP="00AF3032">
            <w:pPr>
              <w:pStyle w:val="TableText"/>
            </w:pPr>
            <w:r>
              <w:t>&lt;0.000005</w:t>
            </w:r>
          </w:p>
        </w:tc>
      </w:tr>
    </w:tbl>
    <w:p w14:paraId="5B854AE5" w14:textId="77777777" w:rsidR="005716AB" w:rsidRDefault="00576A22" w:rsidP="00AF3032">
      <w:pPr>
        <w:pStyle w:val="FigureTableNoteSource"/>
        <w:rPr>
          <w:lang w:eastAsia="ja-JP"/>
        </w:rPr>
      </w:pPr>
      <w:r w:rsidRPr="00AF3032">
        <w:rPr>
          <w:rStyle w:val="Strong"/>
        </w:rPr>
        <w:t>a</w:t>
      </w:r>
      <w:r w:rsidRPr="005716AB">
        <w:rPr>
          <w:lang w:eastAsia="ja-JP"/>
        </w:rPr>
        <w:t xml:space="preserve"> USEPA (2008)</w:t>
      </w:r>
      <w:r w:rsidR="007D64D1">
        <w:rPr>
          <w:lang w:eastAsia="ja-JP"/>
        </w:rPr>
        <w:t>—</w:t>
      </w:r>
      <w:r w:rsidRPr="005716AB">
        <w:rPr>
          <w:lang w:eastAsia="ja-JP"/>
        </w:rPr>
        <w:t xml:space="preserve">TEF levels specifically for fish adopted from WHO fish TEFs derived by </w:t>
      </w:r>
      <w:r w:rsidR="007D64D1">
        <w:rPr>
          <w:lang w:eastAsia="ja-JP"/>
        </w:rPr>
        <w:t>V</w:t>
      </w:r>
      <w:r w:rsidRPr="005716AB">
        <w:rPr>
          <w:lang w:eastAsia="ja-JP"/>
        </w:rPr>
        <w:t>an den Berg et al</w:t>
      </w:r>
      <w:r w:rsidR="007D64D1">
        <w:rPr>
          <w:lang w:eastAsia="ja-JP"/>
        </w:rPr>
        <w:t>. (1998)</w:t>
      </w:r>
      <w:r w:rsidRPr="005716AB">
        <w:rPr>
          <w:lang w:eastAsia="ja-JP"/>
        </w:rPr>
        <w:t>.</w:t>
      </w:r>
    </w:p>
    <w:p w14:paraId="5B854AE6" w14:textId="77777777" w:rsidR="001844F2" w:rsidRDefault="00576A22" w:rsidP="001844F2">
      <w:pPr>
        <w:pStyle w:val="FigureTableNoteSource"/>
        <w:rPr>
          <w:lang w:eastAsia="ja-JP"/>
        </w:rPr>
      </w:pPr>
      <w:r>
        <w:rPr>
          <w:lang w:eastAsia="ja-JP"/>
        </w:rPr>
        <w:t>Terms used in table:</w:t>
      </w:r>
      <w:r w:rsidR="00F14093">
        <w:rPr>
          <w:lang w:eastAsia="ja-JP"/>
        </w:rPr>
        <w:t xml:space="preserve"> </w:t>
      </w:r>
      <w:r w:rsidRPr="001844F2">
        <w:rPr>
          <w:lang w:eastAsia="ja-JP"/>
        </w:rPr>
        <w:t>HpCB</w:t>
      </w:r>
      <w:r>
        <w:rPr>
          <w:lang w:eastAsia="ja-JP"/>
        </w:rPr>
        <w:t xml:space="preserve">: </w:t>
      </w:r>
      <w:r w:rsidRPr="001844F2">
        <w:rPr>
          <w:lang w:eastAsia="ja-JP"/>
        </w:rPr>
        <w:t>Heptachlorinated biphenyl</w:t>
      </w:r>
      <w:r w:rsidR="00F14093">
        <w:rPr>
          <w:lang w:eastAsia="ja-JP"/>
        </w:rPr>
        <w:t xml:space="preserve">; </w:t>
      </w:r>
      <w:r>
        <w:rPr>
          <w:lang w:eastAsia="ja-JP"/>
        </w:rPr>
        <w:t>HpCDD: Heptachlorinated dibenzo-</w:t>
      </w:r>
      <w:r w:rsidRPr="001844F2">
        <w:rPr>
          <w:rStyle w:val="Emphasis"/>
        </w:rPr>
        <w:t>p</w:t>
      </w:r>
      <w:r>
        <w:rPr>
          <w:lang w:eastAsia="ja-JP"/>
        </w:rPr>
        <w:t>-dioxin</w:t>
      </w:r>
      <w:r w:rsidR="00F14093">
        <w:rPr>
          <w:lang w:eastAsia="ja-JP"/>
        </w:rPr>
        <w:t xml:space="preserve">; </w:t>
      </w:r>
      <w:r>
        <w:rPr>
          <w:lang w:eastAsia="ja-JP"/>
        </w:rPr>
        <w:t>HpCDF: Heptachlorina</w:t>
      </w:r>
      <w:r w:rsidR="00F14093">
        <w:rPr>
          <w:lang w:eastAsia="ja-JP"/>
        </w:rPr>
        <w:t>-</w:t>
      </w:r>
      <w:r>
        <w:rPr>
          <w:lang w:eastAsia="ja-JP"/>
        </w:rPr>
        <w:t>ted dibenzofuran</w:t>
      </w:r>
      <w:r w:rsidR="00F14093">
        <w:rPr>
          <w:lang w:eastAsia="ja-JP"/>
        </w:rPr>
        <w:t xml:space="preserve">; </w:t>
      </w:r>
      <w:r>
        <w:rPr>
          <w:lang w:eastAsia="ja-JP"/>
        </w:rPr>
        <w:t xml:space="preserve">HxCB: Hexachlorinated </w:t>
      </w:r>
      <w:r>
        <w:rPr>
          <w:lang w:eastAsia="ja-JP"/>
        </w:rPr>
        <w:t>biphenyl</w:t>
      </w:r>
      <w:r w:rsidR="00F14093">
        <w:rPr>
          <w:lang w:eastAsia="ja-JP"/>
        </w:rPr>
        <w:t xml:space="preserve">; </w:t>
      </w:r>
      <w:r>
        <w:rPr>
          <w:lang w:eastAsia="ja-JP"/>
        </w:rPr>
        <w:t>HxCDD: Hexachlorinated dibenzo-</w:t>
      </w:r>
      <w:r w:rsidRPr="001844F2">
        <w:rPr>
          <w:rStyle w:val="Emphasis"/>
        </w:rPr>
        <w:t>p</w:t>
      </w:r>
      <w:r>
        <w:rPr>
          <w:lang w:eastAsia="ja-JP"/>
        </w:rPr>
        <w:t>-dioxin</w:t>
      </w:r>
      <w:r w:rsidR="00F14093">
        <w:rPr>
          <w:lang w:eastAsia="ja-JP"/>
        </w:rPr>
        <w:t xml:space="preserve">; </w:t>
      </w:r>
      <w:r>
        <w:rPr>
          <w:lang w:eastAsia="ja-JP"/>
        </w:rPr>
        <w:t>HxCDF: Hexachlorinated dibenzofuran</w:t>
      </w:r>
      <w:r w:rsidR="00F14093">
        <w:rPr>
          <w:lang w:eastAsia="ja-JP"/>
        </w:rPr>
        <w:t xml:space="preserve">; </w:t>
      </w:r>
      <w:r>
        <w:rPr>
          <w:lang w:eastAsia="ja-JP"/>
        </w:rPr>
        <w:t>PeCB: Pentachlorinated biphenyl</w:t>
      </w:r>
      <w:r w:rsidR="00F14093">
        <w:rPr>
          <w:lang w:eastAsia="ja-JP"/>
        </w:rPr>
        <w:t xml:space="preserve">; </w:t>
      </w:r>
      <w:r>
        <w:rPr>
          <w:lang w:eastAsia="ja-JP"/>
        </w:rPr>
        <w:t>PeCDD: Pentachlorinated dibenzo-</w:t>
      </w:r>
      <w:r w:rsidRPr="001844F2">
        <w:rPr>
          <w:rStyle w:val="Emphasis"/>
        </w:rPr>
        <w:t>p</w:t>
      </w:r>
      <w:r>
        <w:rPr>
          <w:lang w:eastAsia="ja-JP"/>
        </w:rPr>
        <w:t>-dioxin</w:t>
      </w:r>
      <w:r w:rsidR="00F14093">
        <w:rPr>
          <w:lang w:eastAsia="ja-JP"/>
        </w:rPr>
        <w:t xml:space="preserve">; </w:t>
      </w:r>
      <w:r>
        <w:rPr>
          <w:lang w:eastAsia="ja-JP"/>
        </w:rPr>
        <w:t>PeCDF: Pentachlorinated dibenzofuran</w:t>
      </w:r>
      <w:r w:rsidR="00F14093">
        <w:rPr>
          <w:lang w:eastAsia="ja-JP"/>
        </w:rPr>
        <w:t xml:space="preserve">; </w:t>
      </w:r>
      <w:r>
        <w:rPr>
          <w:lang w:eastAsia="ja-JP"/>
        </w:rPr>
        <w:t>TCB: Tetrachlorinated biphenyl</w:t>
      </w:r>
      <w:r w:rsidR="00F14093">
        <w:rPr>
          <w:lang w:eastAsia="ja-JP"/>
        </w:rPr>
        <w:t xml:space="preserve">; </w:t>
      </w:r>
      <w:r>
        <w:rPr>
          <w:lang w:eastAsia="ja-JP"/>
        </w:rPr>
        <w:t xml:space="preserve">TCDF: Tetrachlorinated </w:t>
      </w:r>
      <w:r>
        <w:rPr>
          <w:lang w:eastAsia="ja-JP"/>
        </w:rPr>
        <w:t>dibenzofuran</w:t>
      </w:r>
      <w:r w:rsidR="00F14093">
        <w:rPr>
          <w:lang w:eastAsia="ja-JP"/>
        </w:rPr>
        <w:t xml:space="preserve">; </w:t>
      </w:r>
      <w:r>
        <w:rPr>
          <w:lang w:eastAsia="ja-JP"/>
        </w:rPr>
        <w:t>2,3,7,8-TCDD: 2,3,7,8-tetrachlorodibenzo-</w:t>
      </w:r>
      <w:r w:rsidRPr="001844F2">
        <w:rPr>
          <w:rStyle w:val="Emphasis"/>
        </w:rPr>
        <w:t>p</w:t>
      </w:r>
      <w:r>
        <w:rPr>
          <w:lang w:eastAsia="ja-JP"/>
        </w:rPr>
        <w:t>-dioxin</w:t>
      </w:r>
      <w:r w:rsidR="00F14093">
        <w:rPr>
          <w:lang w:eastAsia="ja-JP"/>
        </w:rPr>
        <w:t xml:space="preserve">; </w:t>
      </w:r>
      <w:r>
        <w:rPr>
          <w:lang w:eastAsia="ja-JP"/>
        </w:rPr>
        <w:t>2,3,7,8-TCDF: 2,3,7,8-tetrachlorinated dibenzofuran.</w:t>
      </w:r>
    </w:p>
    <w:p w14:paraId="5B854AE7" w14:textId="77777777" w:rsidR="001B1019" w:rsidRDefault="00576A22" w:rsidP="001B1019">
      <w:pPr>
        <w:rPr>
          <w:lang w:eastAsia="ja-JP"/>
        </w:rPr>
      </w:pPr>
      <w:r>
        <w:rPr>
          <w:lang w:eastAsia="ja-JP"/>
        </w:rPr>
        <w:t xml:space="preserve">Van den Berg et al. (1998) and USEPA (2008; section 3.4.3) have summarised uncertainties inherent to the TEQ method and the uncertainties </w:t>
      </w:r>
      <w:r>
        <w:rPr>
          <w:lang w:eastAsia="ja-JP"/>
        </w:rPr>
        <w:t>associated with applications in ecological risk assessment. It is important to note that risk assessment based on the TEQ method for these very hydrophobic and bioaccumulative compounds in water is the very first step, if indeed it is relevant at all. Meas</w:t>
      </w:r>
      <w:r>
        <w:rPr>
          <w:lang w:eastAsia="ja-JP"/>
        </w:rPr>
        <w:t>urement of residues in sediment or in fish against a sediment guideline or tissue residue guideline may be more useful. While the TEQ method can be used for evaluating the risk from concentrations of dioxin-like chemicals in fish tissue, there are a number</w:t>
      </w:r>
      <w:r>
        <w:rPr>
          <w:lang w:eastAsia="ja-JP"/>
        </w:rPr>
        <w:t xml:space="preserve"> of critical steps to undertake before a risk estimate can be made using tissue residues. These include application of species-specific BAFs or BSAFs. USEPA (2008; section 3.3) details the approach for evaluating risk using the TEQ approach for residues in</w:t>
      </w:r>
      <w:r>
        <w:rPr>
          <w:lang w:eastAsia="ja-JP"/>
        </w:rPr>
        <w:t xml:space="preserve"> fish tissues or eggs (available from the </w:t>
      </w:r>
      <w:r w:rsidRPr="00447754">
        <w:rPr>
          <w:lang w:eastAsia="ja-JP"/>
        </w:rPr>
        <w:t>National Service Center for Environmental Publications</w:t>
      </w:r>
      <w:r>
        <w:rPr>
          <w:lang w:eastAsia="ja-JP"/>
        </w:rPr>
        <w:t xml:space="preserve">). </w:t>
      </w:r>
    </w:p>
    <w:p w14:paraId="5B854AE8" w14:textId="77777777" w:rsidR="001B1019" w:rsidRPr="001B1019" w:rsidRDefault="00576A22" w:rsidP="001B1019">
      <w:pPr>
        <w:rPr>
          <w:lang w:eastAsia="ja-JP"/>
        </w:rPr>
      </w:pPr>
      <w:r>
        <w:rPr>
          <w:lang w:eastAsia="ja-JP"/>
        </w:rPr>
        <w:t>It is possible that TEFs can also be developed for polybrominated diphenyl ethers and other brominated aromatics that may act through the AhR. Hornung et al</w:t>
      </w:r>
      <w:r>
        <w:rPr>
          <w:lang w:eastAsia="ja-JP"/>
        </w:rPr>
        <w:t>. (1996) have proposed TEFs for such compounds, which could be used where mixtures of these compounds occur with PCDDs, PCDFs and/or dl-PCBs.</w:t>
      </w:r>
    </w:p>
    <w:p w14:paraId="5B854AE9" w14:textId="77777777" w:rsidR="000756BD" w:rsidRDefault="00576A22" w:rsidP="00473281">
      <w:pPr>
        <w:pStyle w:val="Heading2"/>
        <w:pageBreakBefore/>
        <w:numPr>
          <w:ilvl w:val="0"/>
          <w:numId w:val="0"/>
        </w:numPr>
      </w:pPr>
      <w:bookmarkStart w:id="47" w:name="_Toc132885724"/>
      <w:r>
        <w:t>Glossary</w:t>
      </w:r>
      <w:bookmarkEnd w:id="47"/>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6A7BE0" w14:paraId="5B854AEC" w14:textId="77777777" w:rsidTr="00751811">
        <w:trPr>
          <w:cantSplit/>
          <w:tblHeader/>
        </w:trPr>
        <w:tc>
          <w:tcPr>
            <w:tcW w:w="1509" w:type="pct"/>
            <w:tcBorders>
              <w:top w:val="single" w:sz="12" w:space="0" w:color="auto"/>
              <w:bottom w:val="single" w:sz="12" w:space="0" w:color="auto"/>
            </w:tcBorders>
          </w:tcPr>
          <w:p w14:paraId="5B854AEA" w14:textId="77777777" w:rsidR="001303C0" w:rsidRPr="00CF41D5" w:rsidRDefault="00576A22" w:rsidP="007336AC">
            <w:pPr>
              <w:pStyle w:val="TableHeading"/>
              <w:rPr>
                <w:lang w:eastAsia="ja-JP"/>
              </w:rPr>
            </w:pPr>
            <w:r w:rsidRPr="00CF41D5">
              <w:rPr>
                <w:lang w:eastAsia="ja-JP"/>
              </w:rPr>
              <w:t>Term</w:t>
            </w:r>
          </w:p>
        </w:tc>
        <w:tc>
          <w:tcPr>
            <w:tcW w:w="3491" w:type="pct"/>
            <w:tcBorders>
              <w:top w:val="single" w:sz="12" w:space="0" w:color="auto"/>
              <w:bottom w:val="single" w:sz="12" w:space="0" w:color="auto"/>
            </w:tcBorders>
          </w:tcPr>
          <w:p w14:paraId="5B854AEB" w14:textId="77777777" w:rsidR="001303C0" w:rsidRPr="00CF41D5" w:rsidRDefault="00576A22" w:rsidP="007336AC">
            <w:pPr>
              <w:pStyle w:val="TableHeading"/>
              <w:rPr>
                <w:lang w:eastAsia="ja-JP"/>
              </w:rPr>
            </w:pPr>
            <w:r w:rsidRPr="00CF41D5">
              <w:rPr>
                <w:lang w:eastAsia="ja-JP"/>
              </w:rPr>
              <w:t>Definition</w:t>
            </w:r>
          </w:p>
        </w:tc>
      </w:tr>
      <w:tr w:rsidR="006A7BE0" w14:paraId="5B854AEF" w14:textId="77777777" w:rsidTr="00751811">
        <w:trPr>
          <w:cantSplit/>
        </w:trPr>
        <w:tc>
          <w:tcPr>
            <w:tcW w:w="1509" w:type="pct"/>
            <w:tcBorders>
              <w:top w:val="single" w:sz="12" w:space="0" w:color="auto"/>
              <w:bottom w:val="single" w:sz="4" w:space="0" w:color="auto"/>
            </w:tcBorders>
          </w:tcPr>
          <w:p w14:paraId="5B854AED" w14:textId="77777777" w:rsidR="001303C0" w:rsidRPr="00BF5890" w:rsidRDefault="00576A22" w:rsidP="00BF5890">
            <w:pPr>
              <w:pStyle w:val="TableText"/>
            </w:pPr>
            <w:r w:rsidRPr="00BF5890">
              <w:t>acute toxicity</w:t>
            </w:r>
          </w:p>
        </w:tc>
        <w:tc>
          <w:tcPr>
            <w:tcW w:w="3491" w:type="pct"/>
            <w:tcBorders>
              <w:top w:val="single" w:sz="12" w:space="0" w:color="auto"/>
              <w:bottom w:val="single" w:sz="4" w:space="0" w:color="auto"/>
            </w:tcBorders>
          </w:tcPr>
          <w:p w14:paraId="5B854AEE" w14:textId="77777777" w:rsidR="001303C0" w:rsidRPr="00BF5890" w:rsidRDefault="00576A22" w:rsidP="00BF5890">
            <w:pPr>
              <w:pStyle w:val="TableText"/>
            </w:pPr>
            <w:r>
              <w:t>A</w:t>
            </w:r>
            <w:r w:rsidRPr="00624AC4">
              <w:t xml:space="preserve"> lethal or adverse sub-lethal </w:t>
            </w:r>
            <w:r w:rsidR="00BF5890" w:rsidRPr="00BF5890">
              <w:t>effect that occurs as the result of a short exposure period to a chemical relative to the organism’s life span.</w:t>
            </w:r>
          </w:p>
        </w:tc>
      </w:tr>
      <w:tr w:rsidR="006A7BE0" w14:paraId="5B854AF2" w14:textId="77777777" w:rsidTr="00751811">
        <w:trPr>
          <w:cantSplit/>
        </w:trPr>
        <w:tc>
          <w:tcPr>
            <w:tcW w:w="1509" w:type="pct"/>
            <w:tcBorders>
              <w:top w:val="single" w:sz="4" w:space="0" w:color="auto"/>
              <w:bottom w:val="single" w:sz="4" w:space="0" w:color="auto"/>
            </w:tcBorders>
          </w:tcPr>
          <w:p w14:paraId="5B854AF0" w14:textId="77777777" w:rsidR="001303C0" w:rsidRPr="00BF5890" w:rsidRDefault="00576A22" w:rsidP="00624AC4">
            <w:pPr>
              <w:pStyle w:val="TableText"/>
            </w:pPr>
            <w:r>
              <w:t>a</w:t>
            </w:r>
            <w:r w:rsidRPr="00BF5890">
              <w:t>cute</w:t>
            </w:r>
            <w:r w:rsidR="00624AC4">
              <w:t>-</w:t>
            </w:r>
            <w:r w:rsidRPr="00BF5890">
              <w:t>to</w:t>
            </w:r>
            <w:r w:rsidR="00624AC4">
              <w:t>-</w:t>
            </w:r>
            <w:r w:rsidRPr="00BF5890">
              <w:t xml:space="preserve">chronic ratio </w:t>
            </w:r>
            <w:r w:rsidR="00624AC4">
              <w:t>(ACR)</w:t>
            </w:r>
          </w:p>
        </w:tc>
        <w:tc>
          <w:tcPr>
            <w:tcW w:w="3491" w:type="pct"/>
            <w:tcBorders>
              <w:top w:val="single" w:sz="4" w:space="0" w:color="auto"/>
              <w:bottom w:val="single" w:sz="4" w:space="0" w:color="auto"/>
            </w:tcBorders>
          </w:tcPr>
          <w:p w14:paraId="5B854AF1" w14:textId="77777777" w:rsidR="001303C0" w:rsidRPr="00BF5890" w:rsidRDefault="00576A22" w:rsidP="00624AC4">
            <w:pPr>
              <w:pStyle w:val="TableText"/>
            </w:pPr>
            <w:r w:rsidRPr="00BF5890">
              <w:t>The species mean acute value (LC/EC50) divided by the chronic value (</w:t>
            </w:r>
            <w:r w:rsidR="00624AC4">
              <w:t xml:space="preserve">e.g. </w:t>
            </w:r>
            <w:r w:rsidRPr="00BF5890">
              <w:t>NOEC</w:t>
            </w:r>
            <w:r w:rsidR="00624AC4">
              <w:t xml:space="preserve"> or EC10</w:t>
            </w:r>
            <w:r w:rsidRPr="00BF5890">
              <w:t>) for the same species.</w:t>
            </w:r>
          </w:p>
        </w:tc>
      </w:tr>
      <w:tr w:rsidR="006A7BE0" w14:paraId="5B854AF5" w14:textId="77777777" w:rsidTr="00751811">
        <w:trPr>
          <w:cantSplit/>
        </w:trPr>
        <w:tc>
          <w:tcPr>
            <w:tcW w:w="1509" w:type="pct"/>
            <w:tcBorders>
              <w:top w:val="single" w:sz="4" w:space="0" w:color="auto"/>
              <w:bottom w:val="single" w:sz="4" w:space="0" w:color="auto"/>
            </w:tcBorders>
          </w:tcPr>
          <w:p w14:paraId="5B854AF3" w14:textId="77777777" w:rsidR="00BF5890" w:rsidRPr="00BF5890" w:rsidRDefault="00576A22" w:rsidP="00BF5890">
            <w:pPr>
              <w:pStyle w:val="TableText"/>
            </w:pPr>
            <w:r w:rsidRPr="00BF5890">
              <w:t>A</w:t>
            </w:r>
            <w:r>
              <w:t>h</w:t>
            </w:r>
            <w:r w:rsidRPr="00BF5890">
              <w:t xml:space="preserve">R </w:t>
            </w:r>
          </w:p>
        </w:tc>
        <w:tc>
          <w:tcPr>
            <w:tcW w:w="3491" w:type="pct"/>
            <w:tcBorders>
              <w:top w:val="single" w:sz="4" w:space="0" w:color="auto"/>
              <w:bottom w:val="single" w:sz="4" w:space="0" w:color="auto"/>
            </w:tcBorders>
          </w:tcPr>
          <w:p w14:paraId="5B854AF4" w14:textId="77777777" w:rsidR="00BF5890" w:rsidRPr="00BF5890" w:rsidRDefault="00576A22" w:rsidP="00BF5890">
            <w:pPr>
              <w:pStyle w:val="TableText"/>
            </w:pPr>
            <w:r w:rsidRPr="00BF5890">
              <w:t>Aryl hydrocarbon receptor</w:t>
            </w:r>
            <w:r w:rsidR="0074426B">
              <w:t>.</w:t>
            </w:r>
          </w:p>
        </w:tc>
      </w:tr>
      <w:tr w:rsidR="006A7BE0" w14:paraId="5B854AF8" w14:textId="77777777" w:rsidTr="00751811">
        <w:trPr>
          <w:cantSplit/>
        </w:trPr>
        <w:tc>
          <w:tcPr>
            <w:tcW w:w="1509" w:type="pct"/>
            <w:tcBorders>
              <w:top w:val="single" w:sz="4" w:space="0" w:color="auto"/>
              <w:bottom w:val="single" w:sz="4" w:space="0" w:color="auto"/>
            </w:tcBorders>
          </w:tcPr>
          <w:p w14:paraId="5B854AF6" w14:textId="77777777" w:rsidR="001303C0" w:rsidRPr="00BF5890" w:rsidRDefault="00576A22" w:rsidP="007336AC">
            <w:pPr>
              <w:pStyle w:val="TableText"/>
              <w:rPr>
                <w:lang w:eastAsia="ja-JP"/>
              </w:rPr>
            </w:pPr>
            <w:r w:rsidRPr="00BF5890">
              <w:rPr>
                <w:lang w:eastAsia="ja-JP"/>
              </w:rPr>
              <w:t>ANZECC</w:t>
            </w:r>
          </w:p>
        </w:tc>
        <w:tc>
          <w:tcPr>
            <w:tcW w:w="3491" w:type="pct"/>
            <w:tcBorders>
              <w:top w:val="single" w:sz="4" w:space="0" w:color="auto"/>
              <w:bottom w:val="single" w:sz="4" w:space="0" w:color="auto"/>
            </w:tcBorders>
          </w:tcPr>
          <w:p w14:paraId="5B854AF7" w14:textId="77777777" w:rsidR="001303C0" w:rsidRPr="00BF5890" w:rsidRDefault="00576A22" w:rsidP="007336AC">
            <w:pPr>
              <w:pStyle w:val="TableText"/>
              <w:rPr>
                <w:lang w:eastAsia="ja-JP"/>
              </w:rPr>
            </w:pPr>
            <w:r w:rsidRPr="00BF5890">
              <w:rPr>
                <w:lang w:eastAsia="ja-JP"/>
              </w:rPr>
              <w:t>Australian and New Zealand Environment and Conservation Council</w:t>
            </w:r>
            <w:r w:rsidR="0074426B">
              <w:rPr>
                <w:lang w:eastAsia="ja-JP"/>
              </w:rPr>
              <w:t>.</w:t>
            </w:r>
          </w:p>
        </w:tc>
      </w:tr>
      <w:tr w:rsidR="006A7BE0" w14:paraId="5B854AFB" w14:textId="77777777" w:rsidTr="00751811">
        <w:trPr>
          <w:cantSplit/>
        </w:trPr>
        <w:tc>
          <w:tcPr>
            <w:tcW w:w="1509" w:type="pct"/>
            <w:tcBorders>
              <w:top w:val="single" w:sz="4" w:space="0" w:color="auto"/>
              <w:bottom w:val="single" w:sz="4" w:space="0" w:color="auto"/>
            </w:tcBorders>
          </w:tcPr>
          <w:p w14:paraId="5B854AF9" w14:textId="77777777" w:rsidR="001303C0" w:rsidRPr="00BF5890" w:rsidRDefault="00576A22" w:rsidP="007336AC">
            <w:pPr>
              <w:pStyle w:val="TableText"/>
              <w:rPr>
                <w:lang w:eastAsia="ja-JP"/>
              </w:rPr>
            </w:pPr>
            <w:r w:rsidRPr="00BF5890">
              <w:rPr>
                <w:lang w:eastAsia="ja-JP"/>
              </w:rPr>
              <w:t>ARMCANZ</w:t>
            </w:r>
          </w:p>
        </w:tc>
        <w:tc>
          <w:tcPr>
            <w:tcW w:w="3491" w:type="pct"/>
            <w:tcBorders>
              <w:top w:val="single" w:sz="4" w:space="0" w:color="auto"/>
              <w:bottom w:val="single" w:sz="4" w:space="0" w:color="auto"/>
            </w:tcBorders>
          </w:tcPr>
          <w:p w14:paraId="5B854AFA" w14:textId="77777777" w:rsidR="001303C0" w:rsidRPr="00BF5890" w:rsidRDefault="00576A22" w:rsidP="007336AC">
            <w:pPr>
              <w:pStyle w:val="TableText"/>
              <w:rPr>
                <w:lang w:eastAsia="ja-JP"/>
              </w:rPr>
            </w:pPr>
            <w:r w:rsidRPr="00BF5890">
              <w:rPr>
                <w:lang w:eastAsia="ja-JP"/>
              </w:rPr>
              <w:t>Agricultural and Resource Management Council of Australia and New Zealand</w:t>
            </w:r>
            <w:r w:rsidR="0074426B">
              <w:rPr>
                <w:lang w:eastAsia="ja-JP"/>
              </w:rPr>
              <w:t>.</w:t>
            </w:r>
          </w:p>
        </w:tc>
      </w:tr>
      <w:tr w:rsidR="006A7BE0" w14:paraId="5B854AFE" w14:textId="77777777" w:rsidTr="00751811">
        <w:trPr>
          <w:cantSplit/>
        </w:trPr>
        <w:tc>
          <w:tcPr>
            <w:tcW w:w="1509" w:type="pct"/>
            <w:tcBorders>
              <w:top w:val="single" w:sz="4" w:space="0" w:color="auto"/>
              <w:bottom w:val="single" w:sz="4" w:space="0" w:color="auto"/>
            </w:tcBorders>
          </w:tcPr>
          <w:p w14:paraId="5B854AFC" w14:textId="77777777" w:rsidR="00BF5890" w:rsidRPr="00BF5890" w:rsidRDefault="00576A22" w:rsidP="00BF5890">
            <w:pPr>
              <w:pStyle w:val="TableText"/>
            </w:pPr>
            <w:r>
              <w:t>b</w:t>
            </w:r>
            <w:r w:rsidR="00624AC4" w:rsidRPr="00624AC4">
              <w:t xml:space="preserve">ioaccumulation factor </w:t>
            </w:r>
            <w:r w:rsidR="00624AC4">
              <w:t>(</w:t>
            </w:r>
            <w:r w:rsidRPr="00BF5890">
              <w:t>BAF</w:t>
            </w:r>
            <w:r w:rsidR="00624AC4">
              <w:t>)</w:t>
            </w:r>
            <w:r w:rsidRPr="00BF5890">
              <w:t xml:space="preserve"> </w:t>
            </w:r>
          </w:p>
        </w:tc>
        <w:tc>
          <w:tcPr>
            <w:tcW w:w="3491" w:type="pct"/>
            <w:tcBorders>
              <w:top w:val="single" w:sz="4" w:space="0" w:color="auto"/>
              <w:bottom w:val="single" w:sz="4" w:space="0" w:color="auto"/>
            </w:tcBorders>
          </w:tcPr>
          <w:p w14:paraId="5B854AFD" w14:textId="77777777" w:rsidR="00BF5890" w:rsidRPr="00BF5890" w:rsidRDefault="00576A22" w:rsidP="00BF5890">
            <w:pPr>
              <w:pStyle w:val="TableText"/>
            </w:pPr>
            <w:r>
              <w:t xml:space="preserve"> T</w:t>
            </w:r>
            <w:r w:rsidRPr="00624AC4">
              <w:t>he ratio of the concentration of a contaminant in an organism to it</w:t>
            </w:r>
            <w:r w:rsidRPr="00624AC4">
              <w:t>s concentration in the ambient environment at a steady state, where the organism can take in the contaminant through ingestion with its food as well as through direct contact. It can be expressed on a wet weight, dry weight or lipid weight basis.</w:t>
            </w:r>
          </w:p>
        </w:tc>
      </w:tr>
      <w:tr w:rsidR="006A7BE0" w14:paraId="5B854B01" w14:textId="77777777" w:rsidTr="00751811">
        <w:trPr>
          <w:cantSplit/>
        </w:trPr>
        <w:tc>
          <w:tcPr>
            <w:tcW w:w="1509" w:type="pct"/>
            <w:tcBorders>
              <w:top w:val="single" w:sz="4" w:space="0" w:color="auto"/>
              <w:bottom w:val="single" w:sz="4" w:space="0" w:color="auto"/>
            </w:tcBorders>
          </w:tcPr>
          <w:p w14:paraId="5B854AFF" w14:textId="77777777" w:rsidR="00BF5890" w:rsidRPr="00BF5890" w:rsidRDefault="00576A22" w:rsidP="00BF5890">
            <w:pPr>
              <w:pStyle w:val="TableText"/>
            </w:pPr>
            <w:r w:rsidRPr="00624AC4">
              <w:t>bioconce</w:t>
            </w:r>
            <w:r w:rsidRPr="00624AC4">
              <w:t xml:space="preserve">ntration </w:t>
            </w:r>
            <w:r w:rsidR="00624AC4" w:rsidRPr="00624AC4">
              <w:t xml:space="preserve">factor </w:t>
            </w:r>
            <w:r w:rsidR="00624AC4">
              <w:t>(</w:t>
            </w:r>
            <w:r w:rsidRPr="00BF5890">
              <w:t>BCF</w:t>
            </w:r>
            <w:r w:rsidR="00624AC4">
              <w:t>)</w:t>
            </w:r>
            <w:r w:rsidRPr="00BF5890">
              <w:t xml:space="preserve"> </w:t>
            </w:r>
          </w:p>
        </w:tc>
        <w:tc>
          <w:tcPr>
            <w:tcW w:w="3491" w:type="pct"/>
            <w:tcBorders>
              <w:top w:val="single" w:sz="4" w:space="0" w:color="auto"/>
              <w:bottom w:val="single" w:sz="4" w:space="0" w:color="auto"/>
            </w:tcBorders>
          </w:tcPr>
          <w:p w14:paraId="5B854B00" w14:textId="77777777" w:rsidR="00BF5890" w:rsidRPr="00BF5890" w:rsidRDefault="00576A22" w:rsidP="00BF5890">
            <w:pPr>
              <w:pStyle w:val="TableText"/>
            </w:pPr>
            <w:r>
              <w:t xml:space="preserve"> T</w:t>
            </w:r>
            <w:r w:rsidRPr="00624AC4">
              <w:t>he ratio of the concentration of a contaminant in an organism to its concentration in the ambient water (or sediment) at a steady state. It can be expressed on a wet weight, dry weight or lipid weight basis.</w:t>
            </w:r>
          </w:p>
        </w:tc>
      </w:tr>
      <w:tr w:rsidR="006A7BE0" w14:paraId="5B854B04" w14:textId="77777777" w:rsidTr="00751811">
        <w:trPr>
          <w:cantSplit/>
        </w:trPr>
        <w:tc>
          <w:tcPr>
            <w:tcW w:w="1509" w:type="pct"/>
            <w:tcBorders>
              <w:top w:val="single" w:sz="4" w:space="0" w:color="auto"/>
              <w:bottom w:val="single" w:sz="4" w:space="0" w:color="auto"/>
            </w:tcBorders>
          </w:tcPr>
          <w:p w14:paraId="5B854B02" w14:textId="77777777" w:rsidR="00BF5890" w:rsidRPr="00BF5890" w:rsidRDefault="00576A22" w:rsidP="00BF5890">
            <w:pPr>
              <w:pStyle w:val="TableText"/>
            </w:pPr>
            <w:r w:rsidRPr="00BF5890">
              <w:t xml:space="preserve">BSAF </w:t>
            </w:r>
          </w:p>
        </w:tc>
        <w:tc>
          <w:tcPr>
            <w:tcW w:w="3491" w:type="pct"/>
            <w:tcBorders>
              <w:top w:val="single" w:sz="4" w:space="0" w:color="auto"/>
              <w:bottom w:val="single" w:sz="4" w:space="0" w:color="auto"/>
            </w:tcBorders>
          </w:tcPr>
          <w:p w14:paraId="5B854B03" w14:textId="77777777" w:rsidR="00BF5890" w:rsidRPr="00BF5890" w:rsidRDefault="00576A22" w:rsidP="00BF5890">
            <w:pPr>
              <w:pStyle w:val="TableText"/>
            </w:pPr>
            <w:r w:rsidRPr="00BF5890">
              <w:t>Biota-sediment accumulation factor</w:t>
            </w:r>
            <w:r w:rsidR="009313E1">
              <w:t>.</w:t>
            </w:r>
          </w:p>
        </w:tc>
      </w:tr>
      <w:tr w:rsidR="006A7BE0" w14:paraId="5B854B07" w14:textId="77777777" w:rsidTr="00751811">
        <w:trPr>
          <w:cantSplit/>
        </w:trPr>
        <w:tc>
          <w:tcPr>
            <w:tcW w:w="1509" w:type="pct"/>
            <w:tcBorders>
              <w:top w:val="single" w:sz="4" w:space="0" w:color="auto"/>
              <w:bottom w:val="single" w:sz="4" w:space="0" w:color="auto"/>
            </w:tcBorders>
          </w:tcPr>
          <w:p w14:paraId="5B854B05" w14:textId="77777777" w:rsidR="00BF5890" w:rsidRPr="00BF5890" w:rsidRDefault="00576A22" w:rsidP="00BF5890">
            <w:pPr>
              <w:pStyle w:val="TableText"/>
            </w:pPr>
            <w:r w:rsidRPr="00BF5890">
              <w:t>CAS</w:t>
            </w:r>
            <w:r w:rsidR="00624AC4">
              <w:t xml:space="preserve"> no.</w:t>
            </w:r>
            <w:r w:rsidR="00624AC4" w:rsidRPr="00BF5890">
              <w:t xml:space="preserve"> </w:t>
            </w:r>
            <w:r w:rsidR="00624AC4">
              <w:t>(</w:t>
            </w:r>
            <w:r w:rsidR="00624AC4" w:rsidRPr="00BF5890">
              <w:t>Chemical Abstracts Service</w:t>
            </w:r>
            <w:r w:rsidR="00624AC4">
              <w:t xml:space="preserve"> number)</w:t>
            </w:r>
          </w:p>
        </w:tc>
        <w:tc>
          <w:tcPr>
            <w:tcW w:w="3491" w:type="pct"/>
            <w:tcBorders>
              <w:top w:val="single" w:sz="4" w:space="0" w:color="auto"/>
              <w:bottom w:val="single" w:sz="4" w:space="0" w:color="auto"/>
            </w:tcBorders>
          </w:tcPr>
          <w:p w14:paraId="5B854B06" w14:textId="77777777" w:rsidR="00BF5890" w:rsidRPr="00BF5890" w:rsidRDefault="00576A22" w:rsidP="00BF5890">
            <w:pPr>
              <w:pStyle w:val="TableText"/>
            </w:pPr>
            <w:r w:rsidRPr="00624AC4">
              <w:t>Each chemical has a unique identifying number that is allocated to it by the American Chemical Society.</w:t>
            </w:r>
          </w:p>
        </w:tc>
      </w:tr>
      <w:tr w:rsidR="006A7BE0" w14:paraId="5B854B0A" w14:textId="77777777" w:rsidTr="00751811">
        <w:trPr>
          <w:cantSplit/>
        </w:trPr>
        <w:tc>
          <w:tcPr>
            <w:tcW w:w="1509" w:type="pct"/>
            <w:tcBorders>
              <w:top w:val="single" w:sz="4" w:space="0" w:color="auto"/>
              <w:bottom w:val="single" w:sz="4" w:space="0" w:color="auto"/>
            </w:tcBorders>
          </w:tcPr>
          <w:p w14:paraId="5B854B08" w14:textId="77777777" w:rsidR="001303C0" w:rsidRPr="00BF5890" w:rsidRDefault="00576A22" w:rsidP="007336AC">
            <w:pPr>
              <w:pStyle w:val="TableText"/>
              <w:rPr>
                <w:lang w:eastAsia="ja-JP"/>
              </w:rPr>
            </w:pPr>
            <w:r w:rsidRPr="00BF5890">
              <w:rPr>
                <w:lang w:eastAsia="ja-JP"/>
              </w:rPr>
              <w:t>chronic toxicity</w:t>
            </w:r>
          </w:p>
        </w:tc>
        <w:tc>
          <w:tcPr>
            <w:tcW w:w="3491" w:type="pct"/>
            <w:tcBorders>
              <w:top w:val="single" w:sz="4" w:space="0" w:color="auto"/>
              <w:bottom w:val="single" w:sz="4" w:space="0" w:color="auto"/>
            </w:tcBorders>
          </w:tcPr>
          <w:p w14:paraId="5B854B09" w14:textId="77777777" w:rsidR="001303C0" w:rsidRPr="00BF5890" w:rsidRDefault="00576A22" w:rsidP="007336AC">
            <w:pPr>
              <w:pStyle w:val="TableText"/>
              <w:rPr>
                <w:lang w:eastAsia="ja-JP"/>
              </w:rPr>
            </w:pPr>
            <w:r>
              <w:rPr>
                <w:lang w:eastAsia="ja-JP"/>
              </w:rPr>
              <w:t>A</w:t>
            </w:r>
            <w:r w:rsidRPr="00624AC4">
              <w:rPr>
                <w:lang w:eastAsia="ja-JP"/>
              </w:rPr>
              <w:t xml:space="preserve"> lethal or sublethal adverse effect that occurs after exposure to a chemical for a period of time that is a substantial portion of the organism’s life span or an adverse effect on a sensitive early life stage.</w:t>
            </w:r>
          </w:p>
        </w:tc>
      </w:tr>
      <w:tr w:rsidR="006A7BE0" w14:paraId="5B854B0D" w14:textId="77777777" w:rsidTr="00751811">
        <w:trPr>
          <w:cantSplit/>
        </w:trPr>
        <w:tc>
          <w:tcPr>
            <w:tcW w:w="1509" w:type="pct"/>
            <w:tcBorders>
              <w:top w:val="single" w:sz="4" w:space="0" w:color="auto"/>
              <w:bottom w:val="single" w:sz="4" w:space="0" w:color="auto"/>
            </w:tcBorders>
          </w:tcPr>
          <w:p w14:paraId="5B854B0B" w14:textId="77777777" w:rsidR="001303C0" w:rsidRPr="00BF5890" w:rsidRDefault="00576A22" w:rsidP="007336AC">
            <w:pPr>
              <w:pStyle w:val="TableText"/>
              <w:rPr>
                <w:lang w:eastAsia="ja-JP"/>
              </w:rPr>
            </w:pPr>
            <w:r w:rsidRPr="00BF5890">
              <w:rPr>
                <w:lang w:eastAsia="ja-JP"/>
              </w:rPr>
              <w:t>default guideline value (DGV)</w:t>
            </w:r>
          </w:p>
        </w:tc>
        <w:tc>
          <w:tcPr>
            <w:tcW w:w="3491" w:type="pct"/>
            <w:tcBorders>
              <w:top w:val="single" w:sz="4" w:space="0" w:color="auto"/>
              <w:bottom w:val="single" w:sz="4" w:space="0" w:color="auto"/>
            </w:tcBorders>
          </w:tcPr>
          <w:p w14:paraId="5B854B0C" w14:textId="77777777" w:rsidR="001303C0" w:rsidRPr="00BF5890" w:rsidRDefault="00576A22" w:rsidP="00F928CC">
            <w:pPr>
              <w:pStyle w:val="TableText"/>
              <w:rPr>
                <w:lang w:eastAsia="ja-JP"/>
              </w:rPr>
            </w:pPr>
            <w:r w:rsidRPr="00BF5890">
              <w:rPr>
                <w:lang w:eastAsia="ja-JP"/>
              </w:rPr>
              <w:t>A guideline val</w:t>
            </w:r>
            <w:r w:rsidRPr="00BF5890">
              <w:rPr>
                <w:lang w:eastAsia="ja-JP"/>
              </w:rPr>
              <w:t>ue recommended for generic application in the absence of a more specific guideline value (e.g. site-specific</w:t>
            </w:r>
            <w:r w:rsidR="00624AC4">
              <w:rPr>
                <w:lang w:eastAsia="ja-JP"/>
              </w:rPr>
              <w:t xml:space="preserve"> guideline value</w:t>
            </w:r>
            <w:r w:rsidRPr="00BF5890">
              <w:rPr>
                <w:lang w:eastAsia="ja-JP"/>
              </w:rPr>
              <w:t>) in the Australian and New Zealand Guidelines</w:t>
            </w:r>
            <w:r w:rsidR="00F928CC">
              <w:rPr>
                <w:lang w:eastAsia="ja-JP"/>
              </w:rPr>
              <w:t xml:space="preserve"> for Fresh and Marine Water Quality</w:t>
            </w:r>
            <w:r w:rsidRPr="00BF5890">
              <w:rPr>
                <w:lang w:eastAsia="ja-JP"/>
              </w:rPr>
              <w:t>.</w:t>
            </w:r>
            <w:r w:rsidR="00F928CC">
              <w:rPr>
                <w:lang w:eastAsia="ja-JP"/>
              </w:rPr>
              <w:t xml:space="preserve"> </w:t>
            </w:r>
            <w:r w:rsidR="00F928CC" w:rsidRPr="00F928CC">
              <w:rPr>
                <w:lang w:eastAsia="ja-JP"/>
              </w:rPr>
              <w:t>Formerly known as ‘trigger values’.</w:t>
            </w:r>
          </w:p>
        </w:tc>
      </w:tr>
      <w:tr w:rsidR="006A7BE0" w14:paraId="5B854B10" w14:textId="77777777" w:rsidTr="00751811">
        <w:trPr>
          <w:cantSplit/>
        </w:trPr>
        <w:tc>
          <w:tcPr>
            <w:tcW w:w="1509" w:type="pct"/>
            <w:tcBorders>
              <w:top w:val="single" w:sz="4" w:space="0" w:color="auto"/>
              <w:bottom w:val="single" w:sz="4" w:space="0" w:color="auto"/>
            </w:tcBorders>
          </w:tcPr>
          <w:p w14:paraId="5B854B0E" w14:textId="77777777" w:rsidR="00A50A8E" w:rsidRPr="00BF5890" w:rsidRDefault="00576A22" w:rsidP="007336AC">
            <w:pPr>
              <w:pStyle w:val="TableText"/>
              <w:rPr>
                <w:lang w:eastAsia="ja-JP"/>
              </w:rPr>
            </w:pPr>
            <w:r>
              <w:rPr>
                <w:lang w:eastAsia="ja-JP"/>
              </w:rPr>
              <w:t>depuration</w:t>
            </w:r>
          </w:p>
        </w:tc>
        <w:tc>
          <w:tcPr>
            <w:tcW w:w="3491" w:type="pct"/>
            <w:tcBorders>
              <w:top w:val="single" w:sz="4" w:space="0" w:color="auto"/>
              <w:bottom w:val="single" w:sz="4" w:space="0" w:color="auto"/>
            </w:tcBorders>
          </w:tcPr>
          <w:p w14:paraId="5B854B0F" w14:textId="77777777" w:rsidR="00A50A8E" w:rsidRDefault="00576A22" w:rsidP="007336AC">
            <w:pPr>
              <w:pStyle w:val="TableText"/>
              <w:rPr>
                <w:lang w:eastAsia="ja-JP"/>
              </w:rPr>
            </w:pPr>
            <w:r>
              <w:rPr>
                <w:lang w:eastAsia="ja-JP"/>
              </w:rPr>
              <w:t>A</w:t>
            </w:r>
            <w:r>
              <w:rPr>
                <w:lang w:eastAsia="ja-JP"/>
              </w:rPr>
              <w:t xml:space="preserve"> process in which an aquatic organism is placed into a uncontaminated environment for a period of time following a period of being exposed to a contaminant or contaminants.</w:t>
            </w:r>
          </w:p>
        </w:tc>
      </w:tr>
      <w:tr w:rsidR="006A7BE0" w14:paraId="5B854B13" w14:textId="77777777" w:rsidTr="00751811">
        <w:trPr>
          <w:cantSplit/>
        </w:trPr>
        <w:tc>
          <w:tcPr>
            <w:tcW w:w="1509" w:type="pct"/>
            <w:tcBorders>
              <w:top w:val="single" w:sz="4" w:space="0" w:color="auto"/>
              <w:bottom w:val="single" w:sz="4" w:space="0" w:color="auto"/>
            </w:tcBorders>
          </w:tcPr>
          <w:p w14:paraId="5B854B11" w14:textId="77777777" w:rsidR="001303C0" w:rsidRPr="00BF5890" w:rsidRDefault="00576A22" w:rsidP="007336AC">
            <w:pPr>
              <w:pStyle w:val="TableText"/>
              <w:rPr>
                <w:lang w:eastAsia="ja-JP"/>
              </w:rPr>
            </w:pPr>
            <w:r w:rsidRPr="00BF5890">
              <w:rPr>
                <w:lang w:eastAsia="ja-JP"/>
              </w:rPr>
              <w:t>EC50 (median effective concentration)</w:t>
            </w:r>
          </w:p>
        </w:tc>
        <w:tc>
          <w:tcPr>
            <w:tcW w:w="3491" w:type="pct"/>
            <w:tcBorders>
              <w:top w:val="single" w:sz="4" w:space="0" w:color="auto"/>
              <w:bottom w:val="single" w:sz="4" w:space="0" w:color="auto"/>
            </w:tcBorders>
          </w:tcPr>
          <w:p w14:paraId="5B854B12" w14:textId="77777777" w:rsidR="001303C0" w:rsidRPr="00BF5890" w:rsidRDefault="00576A22" w:rsidP="007336AC">
            <w:pPr>
              <w:pStyle w:val="TableText"/>
              <w:rPr>
                <w:lang w:eastAsia="ja-JP"/>
              </w:rPr>
            </w:pPr>
            <w:r>
              <w:rPr>
                <w:lang w:eastAsia="ja-JP"/>
              </w:rPr>
              <w:t>T</w:t>
            </w:r>
            <w:r w:rsidRPr="00F928CC">
              <w:rPr>
                <w:lang w:eastAsia="ja-JP"/>
              </w:rPr>
              <w:t>he concentration of a substance in water or</w:t>
            </w:r>
            <w:r w:rsidRPr="00F928CC">
              <w:rPr>
                <w:lang w:eastAsia="ja-JP"/>
              </w:rPr>
              <w:t xml:space="preserve"> sediment that is estimated to produce a 50% change in the response being measured or a certain effect in 50% of the test organisms relative to the control response, under specified conditions.</w:t>
            </w:r>
          </w:p>
        </w:tc>
      </w:tr>
      <w:tr w:rsidR="006A7BE0" w14:paraId="5B854B16" w14:textId="77777777" w:rsidTr="00751811">
        <w:trPr>
          <w:cantSplit/>
        </w:trPr>
        <w:tc>
          <w:tcPr>
            <w:tcW w:w="1509" w:type="pct"/>
            <w:tcBorders>
              <w:top w:val="single" w:sz="4" w:space="0" w:color="auto"/>
              <w:bottom w:val="single" w:sz="4" w:space="0" w:color="auto"/>
            </w:tcBorders>
          </w:tcPr>
          <w:p w14:paraId="5B854B14" w14:textId="77777777" w:rsidR="00BF5890" w:rsidRPr="00BF5890" w:rsidRDefault="00576A22" w:rsidP="00F928CC">
            <w:pPr>
              <w:pStyle w:val="TableText"/>
            </w:pPr>
            <w:r w:rsidRPr="00BF5890">
              <w:t>E</w:t>
            </w:r>
            <w:r w:rsidR="00F928CC">
              <w:t>C</w:t>
            </w:r>
            <w:r w:rsidRPr="00BF5890">
              <w:t>x</w:t>
            </w:r>
          </w:p>
        </w:tc>
        <w:tc>
          <w:tcPr>
            <w:tcW w:w="3491" w:type="pct"/>
            <w:tcBorders>
              <w:top w:val="single" w:sz="4" w:space="0" w:color="auto"/>
              <w:bottom w:val="single" w:sz="4" w:space="0" w:color="auto"/>
            </w:tcBorders>
          </w:tcPr>
          <w:p w14:paraId="5B854B15" w14:textId="77777777" w:rsidR="00BF5890" w:rsidRPr="00BF5890" w:rsidRDefault="00576A22" w:rsidP="00BF5890">
            <w:pPr>
              <w:pStyle w:val="TableText"/>
            </w:pPr>
            <w:r>
              <w:t>T</w:t>
            </w:r>
            <w:r w:rsidRPr="00F928CC">
              <w:t>he concentration of a substance in water or sediment tha</w:t>
            </w:r>
            <w:r w:rsidRPr="00F928CC">
              <w:t>t is estimated to produce an x% change in the response being measured or a certain effect in x% of the test organisms, under specified conditions.</w:t>
            </w:r>
          </w:p>
        </w:tc>
      </w:tr>
      <w:tr w:rsidR="006A7BE0" w14:paraId="5B854B19" w14:textId="77777777" w:rsidTr="00751811">
        <w:trPr>
          <w:cantSplit/>
        </w:trPr>
        <w:tc>
          <w:tcPr>
            <w:tcW w:w="1509" w:type="pct"/>
            <w:tcBorders>
              <w:top w:val="single" w:sz="4" w:space="0" w:color="auto"/>
              <w:bottom w:val="single" w:sz="4" w:space="0" w:color="auto"/>
            </w:tcBorders>
          </w:tcPr>
          <w:p w14:paraId="5B854B17" w14:textId="77777777" w:rsidR="001303C0" w:rsidRPr="006D5145" w:rsidRDefault="00576A22" w:rsidP="007336AC">
            <w:pPr>
              <w:pStyle w:val="TableText"/>
              <w:rPr>
                <w:lang w:eastAsia="ja-JP"/>
              </w:rPr>
            </w:pPr>
            <w:r w:rsidRPr="006D5145">
              <w:rPr>
                <w:lang w:eastAsia="ja-JP"/>
              </w:rPr>
              <w:t>endpoint</w:t>
            </w:r>
          </w:p>
        </w:tc>
        <w:tc>
          <w:tcPr>
            <w:tcW w:w="3491" w:type="pct"/>
            <w:tcBorders>
              <w:top w:val="single" w:sz="4" w:space="0" w:color="auto"/>
              <w:bottom w:val="single" w:sz="4" w:space="0" w:color="auto"/>
            </w:tcBorders>
          </w:tcPr>
          <w:p w14:paraId="5B854B18" w14:textId="77777777" w:rsidR="001303C0" w:rsidRPr="006D5145" w:rsidRDefault="00576A22" w:rsidP="007336AC">
            <w:pPr>
              <w:pStyle w:val="TableText"/>
              <w:rPr>
                <w:lang w:eastAsia="ja-JP"/>
              </w:rPr>
            </w:pPr>
            <w:r>
              <w:rPr>
                <w:lang w:eastAsia="ja-JP"/>
              </w:rPr>
              <w:t>T</w:t>
            </w:r>
            <w:r w:rsidRPr="00F928CC">
              <w:rPr>
                <w:lang w:eastAsia="ja-JP"/>
              </w:rPr>
              <w:t xml:space="preserve">he specific response of an organism that is measured in a toxicity test (e.g. mortality, </w:t>
            </w:r>
            <w:r w:rsidRPr="00F928CC">
              <w:rPr>
                <w:lang w:eastAsia="ja-JP"/>
              </w:rPr>
              <w:t>growth, a particular biomarker).</w:t>
            </w:r>
          </w:p>
        </w:tc>
      </w:tr>
      <w:tr w:rsidR="006A7BE0" w14:paraId="5B854B1C" w14:textId="77777777" w:rsidTr="00751811">
        <w:trPr>
          <w:cantSplit/>
        </w:trPr>
        <w:tc>
          <w:tcPr>
            <w:tcW w:w="1509" w:type="pct"/>
            <w:tcBorders>
              <w:top w:val="single" w:sz="4" w:space="0" w:color="auto"/>
              <w:bottom w:val="single" w:sz="4" w:space="0" w:color="auto"/>
            </w:tcBorders>
          </w:tcPr>
          <w:p w14:paraId="5B854B1A" w14:textId="77777777" w:rsidR="001303C0" w:rsidRPr="006D5145" w:rsidRDefault="00576A22" w:rsidP="00F928CC">
            <w:pPr>
              <w:pStyle w:val="TableText"/>
              <w:rPr>
                <w:lang w:eastAsia="ja-JP"/>
              </w:rPr>
            </w:pPr>
            <w:r w:rsidRPr="006D5145">
              <w:rPr>
                <w:lang w:eastAsia="ja-JP"/>
              </w:rPr>
              <w:t>guideline value</w:t>
            </w:r>
          </w:p>
        </w:tc>
        <w:tc>
          <w:tcPr>
            <w:tcW w:w="3491" w:type="pct"/>
            <w:tcBorders>
              <w:top w:val="single" w:sz="4" w:space="0" w:color="auto"/>
              <w:bottom w:val="single" w:sz="4" w:space="0" w:color="auto"/>
            </w:tcBorders>
          </w:tcPr>
          <w:p w14:paraId="5B854B1B" w14:textId="77777777" w:rsidR="001303C0" w:rsidRPr="006D5145" w:rsidRDefault="00576A22" w:rsidP="00F928CC">
            <w:pPr>
              <w:pStyle w:val="TableText"/>
              <w:rPr>
                <w:lang w:eastAsia="ja-JP"/>
              </w:rPr>
            </w:pPr>
            <w:r w:rsidRPr="006D5145">
              <w:rPr>
                <w:lang w:eastAsia="ja-JP"/>
              </w:rPr>
              <w:t>A measurable quantity (e.g. concentration) or condition of an indicator for a specific community value below which (or above which, in the case of stressors such as pH, dissolved oxygen and many biodiversit</w:t>
            </w:r>
            <w:r w:rsidRPr="006D5145">
              <w:rPr>
                <w:lang w:eastAsia="ja-JP"/>
              </w:rPr>
              <w:t xml:space="preserve">y responses) there is considered to be a low risk of unacceptable effects occurring to that </w:t>
            </w:r>
            <w:r w:rsidR="00F928CC">
              <w:rPr>
                <w:lang w:eastAsia="ja-JP"/>
              </w:rPr>
              <w:t>community</w:t>
            </w:r>
            <w:r w:rsidR="00F928CC" w:rsidRPr="006D5145">
              <w:rPr>
                <w:lang w:eastAsia="ja-JP"/>
              </w:rPr>
              <w:t xml:space="preserve"> </w:t>
            </w:r>
            <w:r w:rsidRPr="006D5145">
              <w:rPr>
                <w:lang w:eastAsia="ja-JP"/>
              </w:rPr>
              <w:t>value. Guideline values for more than one indicator should be used simultaneously in a multiple lines of evidence approach.</w:t>
            </w:r>
            <w:r w:rsidR="00F928CC">
              <w:rPr>
                <w:lang w:eastAsia="ja-JP"/>
              </w:rPr>
              <w:t xml:space="preserve"> </w:t>
            </w:r>
            <w:r w:rsidR="00F928CC" w:rsidRPr="00F928CC">
              <w:rPr>
                <w:lang w:eastAsia="ja-JP"/>
              </w:rPr>
              <w:t>(Also refer to default guideline value and site-specific guideline value.)</w:t>
            </w:r>
          </w:p>
        </w:tc>
      </w:tr>
      <w:tr w:rsidR="006A7BE0" w14:paraId="5B854B1F" w14:textId="77777777" w:rsidTr="00751811">
        <w:trPr>
          <w:cantSplit/>
        </w:trPr>
        <w:tc>
          <w:tcPr>
            <w:tcW w:w="1509" w:type="pct"/>
            <w:tcBorders>
              <w:top w:val="single" w:sz="4" w:space="0" w:color="auto"/>
              <w:bottom w:val="single" w:sz="4" w:space="0" w:color="auto"/>
            </w:tcBorders>
          </w:tcPr>
          <w:p w14:paraId="5B854B1D" w14:textId="77777777" w:rsidR="006D5145" w:rsidRPr="006D5145" w:rsidRDefault="00576A22" w:rsidP="006D5145">
            <w:pPr>
              <w:pStyle w:val="TableText"/>
              <w:rPr>
                <w:highlight w:val="yellow"/>
              </w:rPr>
            </w:pPr>
            <w:r w:rsidRPr="006D5145">
              <w:t>LC50</w:t>
            </w:r>
            <w:r w:rsidR="00B00256">
              <w:t xml:space="preserve"> (</w:t>
            </w:r>
            <w:r w:rsidR="00B00256" w:rsidRPr="00B00256">
              <w:t>median lethal concentration</w:t>
            </w:r>
            <w:r w:rsidR="00B00256">
              <w:t>)</w:t>
            </w:r>
          </w:p>
        </w:tc>
        <w:tc>
          <w:tcPr>
            <w:tcW w:w="3491" w:type="pct"/>
            <w:tcBorders>
              <w:top w:val="single" w:sz="4" w:space="0" w:color="auto"/>
              <w:bottom w:val="single" w:sz="4" w:space="0" w:color="auto"/>
            </w:tcBorders>
          </w:tcPr>
          <w:p w14:paraId="5B854B1E" w14:textId="77777777" w:rsidR="006D5145" w:rsidRPr="006D5145" w:rsidRDefault="00576A22" w:rsidP="006D5145">
            <w:pPr>
              <w:pStyle w:val="TableText"/>
              <w:rPr>
                <w:highlight w:val="yellow"/>
              </w:rPr>
            </w:pPr>
            <w:r>
              <w:t>T</w:t>
            </w:r>
            <w:r w:rsidRPr="00B00256">
              <w:t>he concentration of a substance in water or sediment that is estimated to be lethal to 50% of a group of test organisms, relative to the control response, under specified con</w:t>
            </w:r>
            <w:r w:rsidRPr="00B00256">
              <w:t>ditions.</w:t>
            </w:r>
          </w:p>
        </w:tc>
      </w:tr>
      <w:tr w:rsidR="006A7BE0" w14:paraId="5B854B22" w14:textId="77777777" w:rsidTr="00751811">
        <w:trPr>
          <w:cantSplit/>
        </w:trPr>
        <w:tc>
          <w:tcPr>
            <w:tcW w:w="1509" w:type="pct"/>
            <w:tcBorders>
              <w:top w:val="single" w:sz="4" w:space="0" w:color="auto"/>
              <w:bottom w:val="single" w:sz="4" w:space="0" w:color="auto"/>
            </w:tcBorders>
          </w:tcPr>
          <w:p w14:paraId="5B854B20" w14:textId="77777777" w:rsidR="00477F52" w:rsidRPr="006D5145" w:rsidRDefault="00576A22" w:rsidP="007336AC">
            <w:pPr>
              <w:pStyle w:val="TableText"/>
              <w:rPr>
                <w:lang w:eastAsia="ja-JP"/>
              </w:rPr>
            </w:pPr>
            <w:r>
              <w:rPr>
                <w:lang w:eastAsia="ja-JP"/>
              </w:rPr>
              <w:t>LCx</w:t>
            </w:r>
          </w:p>
        </w:tc>
        <w:tc>
          <w:tcPr>
            <w:tcW w:w="3491" w:type="pct"/>
            <w:tcBorders>
              <w:top w:val="single" w:sz="4" w:space="0" w:color="auto"/>
              <w:bottom w:val="single" w:sz="4" w:space="0" w:color="auto"/>
            </w:tcBorders>
          </w:tcPr>
          <w:p w14:paraId="5B854B21" w14:textId="77777777" w:rsidR="00477F52" w:rsidRPr="006D5145" w:rsidRDefault="00576A22" w:rsidP="007336AC">
            <w:pPr>
              <w:pStyle w:val="TableText"/>
              <w:rPr>
                <w:lang w:eastAsia="ja-JP"/>
              </w:rPr>
            </w:pPr>
            <w:r>
              <w:t>T</w:t>
            </w:r>
            <w:r w:rsidRPr="00B00256">
              <w:t xml:space="preserve">he concentration of a substance in water or sediment that is estimated to be lethal to </w:t>
            </w:r>
            <w:r>
              <w:t>x</w:t>
            </w:r>
            <w:r w:rsidRPr="00B00256">
              <w:t>% of a group of test organisms, relative to the control response, under specified conditions.</w:t>
            </w:r>
          </w:p>
        </w:tc>
      </w:tr>
      <w:tr w:rsidR="006A7BE0" w14:paraId="5B854B25" w14:textId="77777777" w:rsidTr="00751811">
        <w:trPr>
          <w:cantSplit/>
        </w:trPr>
        <w:tc>
          <w:tcPr>
            <w:tcW w:w="1509" w:type="pct"/>
            <w:tcBorders>
              <w:top w:val="single" w:sz="4" w:space="0" w:color="auto"/>
              <w:bottom w:val="single" w:sz="4" w:space="0" w:color="auto"/>
            </w:tcBorders>
          </w:tcPr>
          <w:p w14:paraId="5B854B23" w14:textId="77777777" w:rsidR="001303C0" w:rsidRPr="006D5145" w:rsidRDefault="00576A22" w:rsidP="007336AC">
            <w:pPr>
              <w:pStyle w:val="TableText"/>
              <w:rPr>
                <w:lang w:eastAsia="ja-JP"/>
              </w:rPr>
            </w:pPr>
            <w:r w:rsidRPr="006D5145">
              <w:rPr>
                <w:lang w:eastAsia="ja-JP"/>
              </w:rPr>
              <w:t>lowest observed effect concentration</w:t>
            </w:r>
            <w:r w:rsidR="00B00256">
              <w:rPr>
                <w:lang w:eastAsia="ja-JP"/>
              </w:rPr>
              <w:t xml:space="preserve"> (LOEC)</w:t>
            </w:r>
          </w:p>
        </w:tc>
        <w:tc>
          <w:tcPr>
            <w:tcW w:w="3491" w:type="pct"/>
            <w:tcBorders>
              <w:top w:val="single" w:sz="4" w:space="0" w:color="auto"/>
              <w:bottom w:val="single" w:sz="4" w:space="0" w:color="auto"/>
            </w:tcBorders>
          </w:tcPr>
          <w:p w14:paraId="5B854B24" w14:textId="77777777" w:rsidR="001303C0" w:rsidRPr="006D5145" w:rsidRDefault="00576A22" w:rsidP="007336AC">
            <w:pPr>
              <w:pStyle w:val="TableText"/>
              <w:rPr>
                <w:lang w:eastAsia="ja-JP"/>
              </w:rPr>
            </w:pPr>
            <w:r w:rsidRPr="006D5145">
              <w:rPr>
                <w:lang w:eastAsia="ja-JP"/>
              </w:rPr>
              <w:t>The lowest con</w:t>
            </w:r>
            <w:r w:rsidRPr="006D5145">
              <w:rPr>
                <w:lang w:eastAsia="ja-JP"/>
              </w:rPr>
              <w:t>centration of a material used in a toxicity test that has a statistically significant adverse effect on the exposed population of test organisms as compared with the controls.</w:t>
            </w:r>
          </w:p>
        </w:tc>
      </w:tr>
      <w:tr w:rsidR="006A7BE0" w14:paraId="5B854B28" w14:textId="77777777" w:rsidTr="00751811">
        <w:trPr>
          <w:cantSplit/>
        </w:trPr>
        <w:tc>
          <w:tcPr>
            <w:tcW w:w="1509" w:type="pct"/>
            <w:tcBorders>
              <w:top w:val="single" w:sz="4" w:space="0" w:color="auto"/>
              <w:bottom w:val="single" w:sz="4" w:space="0" w:color="auto"/>
            </w:tcBorders>
          </w:tcPr>
          <w:p w14:paraId="5B854B26" w14:textId="77777777" w:rsidR="006D5145" w:rsidRPr="006D5145" w:rsidRDefault="00576A22" w:rsidP="006D5145">
            <w:pPr>
              <w:pStyle w:val="TableText"/>
            </w:pPr>
            <w:r w:rsidRPr="006D5145">
              <w:t>Log K</w:t>
            </w:r>
            <w:r w:rsidRPr="006D5145">
              <w:rPr>
                <w:vertAlign w:val="subscript"/>
              </w:rPr>
              <w:t>ow</w:t>
            </w:r>
          </w:p>
        </w:tc>
        <w:tc>
          <w:tcPr>
            <w:tcW w:w="3491" w:type="pct"/>
            <w:tcBorders>
              <w:top w:val="single" w:sz="4" w:space="0" w:color="auto"/>
              <w:bottom w:val="single" w:sz="4" w:space="0" w:color="auto"/>
            </w:tcBorders>
          </w:tcPr>
          <w:p w14:paraId="5B854B27" w14:textId="77777777" w:rsidR="006D5145" w:rsidRPr="006D5145" w:rsidRDefault="00576A22" w:rsidP="006D5145">
            <w:pPr>
              <w:pStyle w:val="TableText"/>
            </w:pPr>
            <w:r w:rsidRPr="006D5145">
              <w:t xml:space="preserve">Logarithm of the octanol-water coefficient, the ratio of the </w:t>
            </w:r>
            <w:r w:rsidRPr="006D5145">
              <w:t>compound’s concentration in a known volume of n-octanol to its concentration in a known volume of water after the octanol and water have reached equilibrium</w:t>
            </w:r>
            <w:r w:rsidR="00B00256">
              <w:t>.</w:t>
            </w:r>
          </w:p>
        </w:tc>
      </w:tr>
      <w:tr w:rsidR="006A7BE0" w14:paraId="5B854B2B" w14:textId="77777777" w:rsidTr="00751811">
        <w:trPr>
          <w:cantSplit/>
        </w:trPr>
        <w:tc>
          <w:tcPr>
            <w:tcW w:w="1509" w:type="pct"/>
            <w:tcBorders>
              <w:top w:val="single" w:sz="4" w:space="0" w:color="auto"/>
              <w:bottom w:val="single" w:sz="4" w:space="0" w:color="auto"/>
            </w:tcBorders>
          </w:tcPr>
          <w:p w14:paraId="5B854B29" w14:textId="77777777" w:rsidR="00753771" w:rsidRPr="006D5145" w:rsidRDefault="00576A22" w:rsidP="006D5145">
            <w:pPr>
              <w:pStyle w:val="TableText"/>
            </w:pPr>
            <w:r w:rsidRPr="003E2CD1">
              <w:t>maximum acceptable toxicant concentration</w:t>
            </w:r>
            <w:r>
              <w:t xml:space="preserve"> (</w:t>
            </w:r>
            <w:r w:rsidRPr="002A554D">
              <w:t>MATC</w:t>
            </w:r>
            <w:r>
              <w:t>)</w:t>
            </w:r>
          </w:p>
        </w:tc>
        <w:tc>
          <w:tcPr>
            <w:tcW w:w="3491" w:type="pct"/>
            <w:tcBorders>
              <w:top w:val="single" w:sz="4" w:space="0" w:color="auto"/>
              <w:bottom w:val="single" w:sz="4" w:space="0" w:color="auto"/>
            </w:tcBorders>
          </w:tcPr>
          <w:p w14:paraId="5B854B2A" w14:textId="77777777" w:rsidR="00753771" w:rsidRPr="006D5145" w:rsidRDefault="00576A22" w:rsidP="00753771">
            <w:pPr>
              <w:pStyle w:val="TableText"/>
            </w:pPr>
            <w:r>
              <w:t>T</w:t>
            </w:r>
            <w:r w:rsidRPr="002A554D">
              <w:t xml:space="preserve">he geometric mean of the lowest </w:t>
            </w:r>
            <w:r w:rsidRPr="002A554D">
              <w:t>exposure concentration that causes a statistically significant adverse effect (LOEC) and the highest exposure concentration where no statistically significant effect is observed (NOEC)</w:t>
            </w:r>
            <w:r>
              <w:t>.</w:t>
            </w:r>
          </w:p>
        </w:tc>
      </w:tr>
      <w:tr w:rsidR="006A7BE0" w14:paraId="5B854B2E" w14:textId="77777777" w:rsidTr="00751811">
        <w:trPr>
          <w:cantSplit/>
        </w:trPr>
        <w:tc>
          <w:tcPr>
            <w:tcW w:w="1509" w:type="pct"/>
            <w:tcBorders>
              <w:top w:val="single" w:sz="4" w:space="0" w:color="auto"/>
              <w:bottom w:val="single" w:sz="4" w:space="0" w:color="auto"/>
            </w:tcBorders>
          </w:tcPr>
          <w:p w14:paraId="5B854B2C" w14:textId="77777777" w:rsidR="006D5145" w:rsidRPr="006D5145" w:rsidRDefault="00576A22" w:rsidP="006D5145">
            <w:pPr>
              <w:pStyle w:val="TableText"/>
            </w:pPr>
            <w:r>
              <w:t>n</w:t>
            </w:r>
            <w:r w:rsidRPr="006D5145">
              <w:t>g/L</w:t>
            </w:r>
          </w:p>
        </w:tc>
        <w:tc>
          <w:tcPr>
            <w:tcW w:w="3491" w:type="pct"/>
            <w:tcBorders>
              <w:top w:val="single" w:sz="4" w:space="0" w:color="auto"/>
              <w:bottom w:val="single" w:sz="4" w:space="0" w:color="auto"/>
            </w:tcBorders>
          </w:tcPr>
          <w:p w14:paraId="5B854B2D" w14:textId="77777777" w:rsidR="006D5145" w:rsidRPr="006D5145" w:rsidRDefault="00576A22" w:rsidP="00B00256">
            <w:pPr>
              <w:pStyle w:val="TableText"/>
            </w:pPr>
            <w:r w:rsidRPr="006D5145">
              <w:t>Nanograms/litre (i</w:t>
            </w:r>
            <w:r w:rsidR="00B00256">
              <w:t>.</w:t>
            </w:r>
            <w:r w:rsidRPr="006D5145">
              <w:t>e. 10</w:t>
            </w:r>
            <w:r w:rsidRPr="006D5145">
              <w:rPr>
                <w:vertAlign w:val="superscript"/>
              </w:rPr>
              <w:t>-9</w:t>
            </w:r>
            <w:r w:rsidR="00B00256">
              <w:t> </w:t>
            </w:r>
            <w:r w:rsidRPr="006D5145">
              <w:t>g/L); 1 ng/L = 0.001</w:t>
            </w:r>
            <w:r w:rsidR="00B00256">
              <w:t> </w:t>
            </w:r>
            <w:r w:rsidRPr="006D5145">
              <w:t>µg/L.</w:t>
            </w:r>
          </w:p>
        </w:tc>
      </w:tr>
      <w:tr w:rsidR="006A7BE0" w14:paraId="5B854B31" w14:textId="77777777" w:rsidTr="00751811">
        <w:trPr>
          <w:cantSplit/>
        </w:trPr>
        <w:tc>
          <w:tcPr>
            <w:tcW w:w="1509" w:type="pct"/>
            <w:tcBorders>
              <w:top w:val="single" w:sz="4" w:space="0" w:color="auto"/>
              <w:bottom w:val="single" w:sz="4" w:space="0" w:color="auto"/>
            </w:tcBorders>
          </w:tcPr>
          <w:p w14:paraId="5B854B2F" w14:textId="77777777" w:rsidR="001303C0" w:rsidRPr="006D5145" w:rsidRDefault="00576A22" w:rsidP="007336AC">
            <w:pPr>
              <w:pStyle w:val="TableText"/>
              <w:rPr>
                <w:lang w:eastAsia="ja-JP"/>
              </w:rPr>
            </w:pPr>
            <w:r w:rsidRPr="006D5145">
              <w:rPr>
                <w:lang w:eastAsia="ja-JP"/>
              </w:rPr>
              <w:t>no observ</w:t>
            </w:r>
            <w:r w:rsidRPr="006D5145">
              <w:rPr>
                <w:lang w:eastAsia="ja-JP"/>
              </w:rPr>
              <w:t>ed effect concentration</w:t>
            </w:r>
            <w:r w:rsidR="00B00256">
              <w:rPr>
                <w:lang w:eastAsia="ja-JP"/>
              </w:rPr>
              <w:t xml:space="preserve"> (NOEC)</w:t>
            </w:r>
          </w:p>
        </w:tc>
        <w:tc>
          <w:tcPr>
            <w:tcW w:w="3491" w:type="pct"/>
            <w:tcBorders>
              <w:top w:val="single" w:sz="4" w:space="0" w:color="auto"/>
              <w:bottom w:val="single" w:sz="4" w:space="0" w:color="auto"/>
            </w:tcBorders>
          </w:tcPr>
          <w:p w14:paraId="5B854B30" w14:textId="77777777" w:rsidR="001303C0" w:rsidRPr="006D5145" w:rsidRDefault="00576A22" w:rsidP="007336AC">
            <w:pPr>
              <w:pStyle w:val="TableText"/>
              <w:rPr>
                <w:lang w:eastAsia="ja-JP"/>
              </w:rPr>
            </w:pPr>
            <w:r>
              <w:rPr>
                <w:lang w:eastAsia="ja-JP"/>
              </w:rPr>
              <w:t>T</w:t>
            </w:r>
            <w:r w:rsidRPr="00B00256">
              <w:rPr>
                <w:lang w:eastAsia="ja-JP"/>
              </w:rPr>
              <w:t>he highest concentration of a material used in a toxicity test that has no statistically significant adverse effect on the exposed population of test organisms as compared with the controls.</w:t>
            </w:r>
          </w:p>
        </w:tc>
      </w:tr>
      <w:tr w:rsidR="006A7BE0" w14:paraId="5B854B34" w14:textId="77777777" w:rsidTr="00751811">
        <w:trPr>
          <w:cantSplit/>
        </w:trPr>
        <w:tc>
          <w:tcPr>
            <w:tcW w:w="1509" w:type="pct"/>
            <w:tcBorders>
              <w:top w:val="single" w:sz="4" w:space="0" w:color="auto"/>
              <w:bottom w:val="single" w:sz="4" w:space="0" w:color="auto"/>
            </w:tcBorders>
          </w:tcPr>
          <w:p w14:paraId="5B854B32" w14:textId="77777777" w:rsidR="006D5145" w:rsidRPr="006D5145" w:rsidRDefault="00576A22" w:rsidP="006D5145">
            <w:pPr>
              <w:pStyle w:val="TableText"/>
            </w:pPr>
            <w:r w:rsidRPr="006D5145">
              <w:t xml:space="preserve">OCDD </w:t>
            </w:r>
          </w:p>
        </w:tc>
        <w:tc>
          <w:tcPr>
            <w:tcW w:w="3491" w:type="pct"/>
            <w:tcBorders>
              <w:top w:val="single" w:sz="4" w:space="0" w:color="auto"/>
              <w:bottom w:val="single" w:sz="4" w:space="0" w:color="auto"/>
            </w:tcBorders>
          </w:tcPr>
          <w:p w14:paraId="5B854B33" w14:textId="77777777" w:rsidR="006D5145" w:rsidRPr="006D5145" w:rsidRDefault="00576A22" w:rsidP="006D5145">
            <w:pPr>
              <w:pStyle w:val="TableText"/>
            </w:pPr>
            <w:r w:rsidRPr="006D5145">
              <w:t>Octachlorinated dibenzo-</w:t>
            </w:r>
            <w:r w:rsidRPr="00B00256">
              <w:rPr>
                <w:rStyle w:val="Emphasis"/>
              </w:rPr>
              <w:t>p</w:t>
            </w:r>
            <w:r w:rsidRPr="006D5145">
              <w:t>-dioxin</w:t>
            </w:r>
            <w:r w:rsidR="0074426B">
              <w:t>.</w:t>
            </w:r>
          </w:p>
        </w:tc>
      </w:tr>
      <w:tr w:rsidR="006A7BE0" w14:paraId="5B854B37" w14:textId="77777777" w:rsidTr="00751811">
        <w:trPr>
          <w:cantSplit/>
        </w:trPr>
        <w:tc>
          <w:tcPr>
            <w:tcW w:w="1509" w:type="pct"/>
            <w:tcBorders>
              <w:top w:val="single" w:sz="4" w:space="0" w:color="auto"/>
              <w:bottom w:val="single" w:sz="4" w:space="0" w:color="auto"/>
            </w:tcBorders>
          </w:tcPr>
          <w:p w14:paraId="5B854B35" w14:textId="77777777" w:rsidR="006D5145" w:rsidRPr="006D5145" w:rsidRDefault="00576A22" w:rsidP="006D5145">
            <w:pPr>
              <w:pStyle w:val="TableText"/>
            </w:pPr>
            <w:r w:rsidRPr="006D5145">
              <w:t xml:space="preserve">OCDF </w:t>
            </w:r>
          </w:p>
        </w:tc>
        <w:tc>
          <w:tcPr>
            <w:tcW w:w="3491" w:type="pct"/>
            <w:tcBorders>
              <w:top w:val="single" w:sz="4" w:space="0" w:color="auto"/>
              <w:bottom w:val="single" w:sz="4" w:space="0" w:color="auto"/>
            </w:tcBorders>
          </w:tcPr>
          <w:p w14:paraId="5B854B36" w14:textId="77777777" w:rsidR="006D5145" w:rsidRPr="006D5145" w:rsidRDefault="00576A22" w:rsidP="006D5145">
            <w:pPr>
              <w:pStyle w:val="TableText"/>
            </w:pPr>
            <w:r w:rsidRPr="006D5145">
              <w:t>Octachlorinated dibenzofuran</w:t>
            </w:r>
            <w:r w:rsidR="0074426B">
              <w:t>.</w:t>
            </w:r>
          </w:p>
        </w:tc>
      </w:tr>
      <w:tr w:rsidR="006A7BE0" w14:paraId="5B854B3A" w14:textId="77777777" w:rsidTr="00751811">
        <w:trPr>
          <w:cantSplit/>
        </w:trPr>
        <w:tc>
          <w:tcPr>
            <w:tcW w:w="1509" w:type="pct"/>
            <w:tcBorders>
              <w:top w:val="single" w:sz="4" w:space="0" w:color="auto"/>
              <w:bottom w:val="single" w:sz="4" w:space="0" w:color="auto"/>
            </w:tcBorders>
          </w:tcPr>
          <w:p w14:paraId="5B854B38" w14:textId="77777777" w:rsidR="006D5145" w:rsidRPr="006D5145" w:rsidRDefault="00576A22" w:rsidP="006D5145">
            <w:pPr>
              <w:pStyle w:val="TableText"/>
            </w:pPr>
            <w:r w:rsidRPr="006D5145">
              <w:t xml:space="preserve">PCBs </w:t>
            </w:r>
            <w:r w:rsidR="00B00256">
              <w:t>(p</w:t>
            </w:r>
            <w:r w:rsidR="00B00256" w:rsidRPr="00B00256">
              <w:t>olychlorinated biphenyls</w:t>
            </w:r>
            <w:r w:rsidR="00B00256">
              <w:t>)</w:t>
            </w:r>
          </w:p>
        </w:tc>
        <w:tc>
          <w:tcPr>
            <w:tcW w:w="3491" w:type="pct"/>
            <w:tcBorders>
              <w:top w:val="single" w:sz="4" w:space="0" w:color="auto"/>
              <w:bottom w:val="single" w:sz="4" w:space="0" w:color="auto"/>
            </w:tcBorders>
          </w:tcPr>
          <w:p w14:paraId="5B854B39" w14:textId="77777777" w:rsidR="006D5145" w:rsidRPr="006D5145" w:rsidRDefault="00576A22" w:rsidP="006D5145">
            <w:pPr>
              <w:pStyle w:val="TableText"/>
            </w:pPr>
            <w:r>
              <w:t>H</w:t>
            </w:r>
            <w:r w:rsidRPr="00B00256">
              <w:t>ighly toxic and persistent compounds derived from the replacement by Cl radicals of numerous H radicals on biphenyl, which consists of two benzene rin</w:t>
            </w:r>
            <w:r w:rsidRPr="00B00256">
              <w:t>gs joined by a covalent bond, with the elimination of two H radicals (C</w:t>
            </w:r>
            <w:r w:rsidRPr="00B00256">
              <w:rPr>
                <w:vertAlign w:val="subscript"/>
              </w:rPr>
              <w:t>12</w:t>
            </w:r>
            <w:r w:rsidRPr="00B00256">
              <w:t>H</w:t>
            </w:r>
            <w:r w:rsidRPr="00B00256">
              <w:rPr>
                <w:vertAlign w:val="subscript"/>
              </w:rPr>
              <w:t>10</w:t>
            </w:r>
            <w:r w:rsidRPr="00B00256">
              <w:t>).</w:t>
            </w:r>
          </w:p>
        </w:tc>
      </w:tr>
      <w:tr w:rsidR="006A7BE0" w14:paraId="5B854B3D" w14:textId="77777777" w:rsidTr="00E45D5B">
        <w:trPr>
          <w:cantSplit/>
        </w:trPr>
        <w:tc>
          <w:tcPr>
            <w:tcW w:w="1509" w:type="pct"/>
            <w:tcBorders>
              <w:top w:val="single" w:sz="4" w:space="0" w:color="auto"/>
              <w:bottom w:val="single" w:sz="4" w:space="0" w:color="auto"/>
            </w:tcBorders>
            <w:shd w:val="clear" w:color="auto" w:fill="auto"/>
          </w:tcPr>
          <w:p w14:paraId="5B854B3B" w14:textId="77777777" w:rsidR="006D5145" w:rsidRPr="00E45D5B" w:rsidRDefault="00576A22" w:rsidP="006D5145">
            <w:pPr>
              <w:pStyle w:val="TableText"/>
            </w:pPr>
            <w:r w:rsidRPr="00E45D5B">
              <w:t xml:space="preserve">PCDDs </w:t>
            </w:r>
          </w:p>
        </w:tc>
        <w:tc>
          <w:tcPr>
            <w:tcW w:w="3491" w:type="pct"/>
            <w:tcBorders>
              <w:top w:val="single" w:sz="4" w:space="0" w:color="auto"/>
              <w:bottom w:val="single" w:sz="4" w:space="0" w:color="auto"/>
            </w:tcBorders>
            <w:shd w:val="clear" w:color="auto" w:fill="auto"/>
          </w:tcPr>
          <w:p w14:paraId="5B854B3C" w14:textId="77777777" w:rsidR="006D5145" w:rsidRPr="006D5145" w:rsidRDefault="00576A22" w:rsidP="006D5145">
            <w:pPr>
              <w:pStyle w:val="TableText"/>
            </w:pPr>
            <w:r w:rsidRPr="00E45D5B">
              <w:t>Polychlorinated dibenzo-</w:t>
            </w:r>
            <w:r w:rsidRPr="00E45D5B">
              <w:rPr>
                <w:rStyle w:val="Emphasis"/>
              </w:rPr>
              <w:t>p</w:t>
            </w:r>
            <w:r w:rsidRPr="00E45D5B">
              <w:t>-dioxins</w:t>
            </w:r>
            <w:r w:rsidR="0074426B" w:rsidRPr="00E45D5B">
              <w:t>.</w:t>
            </w:r>
          </w:p>
        </w:tc>
      </w:tr>
      <w:tr w:rsidR="006A7BE0" w14:paraId="5B854B40" w14:textId="77777777" w:rsidTr="00E45D5B">
        <w:trPr>
          <w:cantSplit/>
        </w:trPr>
        <w:tc>
          <w:tcPr>
            <w:tcW w:w="1509" w:type="pct"/>
            <w:tcBorders>
              <w:top w:val="single" w:sz="4" w:space="0" w:color="auto"/>
              <w:bottom w:val="single" w:sz="4" w:space="0" w:color="auto"/>
            </w:tcBorders>
            <w:shd w:val="clear" w:color="auto" w:fill="auto"/>
          </w:tcPr>
          <w:p w14:paraId="5B854B3E" w14:textId="77777777" w:rsidR="006D5145" w:rsidRPr="006D5145" w:rsidRDefault="00576A22" w:rsidP="006D5145">
            <w:pPr>
              <w:pStyle w:val="TableText"/>
            </w:pPr>
            <w:r w:rsidRPr="006D5145">
              <w:t xml:space="preserve">PCDFs </w:t>
            </w:r>
          </w:p>
        </w:tc>
        <w:tc>
          <w:tcPr>
            <w:tcW w:w="3491" w:type="pct"/>
            <w:tcBorders>
              <w:top w:val="single" w:sz="4" w:space="0" w:color="auto"/>
              <w:bottom w:val="single" w:sz="4" w:space="0" w:color="auto"/>
            </w:tcBorders>
            <w:shd w:val="clear" w:color="auto" w:fill="auto"/>
          </w:tcPr>
          <w:p w14:paraId="5B854B3F" w14:textId="77777777" w:rsidR="006D5145" w:rsidRPr="006D5145" w:rsidRDefault="00576A22" w:rsidP="006D5145">
            <w:pPr>
              <w:pStyle w:val="TableText"/>
            </w:pPr>
            <w:r w:rsidRPr="006D5145">
              <w:t>Polychlorinated dibenzofurans</w:t>
            </w:r>
            <w:r w:rsidR="0074426B">
              <w:t>.</w:t>
            </w:r>
          </w:p>
        </w:tc>
      </w:tr>
      <w:tr w:rsidR="006A7BE0" w14:paraId="5B854B43" w14:textId="77777777" w:rsidTr="009B26DB">
        <w:trPr>
          <w:cantSplit/>
        </w:trPr>
        <w:tc>
          <w:tcPr>
            <w:tcW w:w="1509" w:type="pct"/>
            <w:tcBorders>
              <w:top w:val="single" w:sz="4" w:space="0" w:color="auto"/>
              <w:bottom w:val="single" w:sz="4" w:space="0" w:color="auto"/>
            </w:tcBorders>
          </w:tcPr>
          <w:p w14:paraId="5B854B41" w14:textId="77777777" w:rsidR="00A50A8E" w:rsidRPr="006D5145" w:rsidRDefault="00576A22" w:rsidP="009B26DB">
            <w:pPr>
              <w:pStyle w:val="TableText"/>
            </w:pPr>
            <w:r>
              <w:t>p</w:t>
            </w:r>
            <w:r w:rsidRPr="006D5145">
              <w:t>g/</w:t>
            </w:r>
            <w:r>
              <w:t>g</w:t>
            </w:r>
          </w:p>
        </w:tc>
        <w:tc>
          <w:tcPr>
            <w:tcW w:w="3491" w:type="pct"/>
            <w:tcBorders>
              <w:top w:val="single" w:sz="4" w:space="0" w:color="auto"/>
              <w:bottom w:val="single" w:sz="4" w:space="0" w:color="auto"/>
            </w:tcBorders>
          </w:tcPr>
          <w:p w14:paraId="5B854B42" w14:textId="77777777" w:rsidR="00A50A8E" w:rsidRPr="006D5145" w:rsidRDefault="00576A22" w:rsidP="009B26DB">
            <w:pPr>
              <w:pStyle w:val="TableText"/>
            </w:pPr>
            <w:r w:rsidRPr="006D5145">
              <w:t>Picograms/</w:t>
            </w:r>
            <w:r>
              <w:t>gram</w:t>
            </w:r>
            <w:r w:rsidRPr="006D5145">
              <w:t xml:space="preserve"> (i</w:t>
            </w:r>
            <w:r>
              <w:t>.</w:t>
            </w:r>
            <w:r w:rsidRPr="006D5145">
              <w:t>e. 10</w:t>
            </w:r>
            <w:r w:rsidRPr="006D5145">
              <w:rPr>
                <w:vertAlign w:val="superscript"/>
              </w:rPr>
              <w:t>-</w:t>
            </w:r>
            <w:r>
              <w:rPr>
                <w:vertAlign w:val="superscript"/>
              </w:rPr>
              <w:t>12</w:t>
            </w:r>
            <w:r>
              <w:t> </w:t>
            </w:r>
            <w:r w:rsidRPr="006D5145">
              <w:t>g/</w:t>
            </w:r>
            <w:r>
              <w:t>g</w:t>
            </w:r>
            <w:r w:rsidRPr="006D5145">
              <w:t>); 1</w:t>
            </w:r>
            <w:r>
              <w:t> </w:t>
            </w:r>
            <w:r w:rsidRPr="006D5145">
              <w:t>pg/</w:t>
            </w:r>
            <w:r>
              <w:t>g</w:t>
            </w:r>
            <w:r w:rsidRPr="006D5145">
              <w:t xml:space="preserve"> = 0.001</w:t>
            </w:r>
            <w:r>
              <w:t> </w:t>
            </w:r>
            <w:r w:rsidRPr="006D5145">
              <w:t>ng/</w:t>
            </w:r>
            <w:r>
              <w:t>g</w:t>
            </w:r>
            <w:r w:rsidRPr="006D5145">
              <w:t xml:space="preserve"> or 0.000001</w:t>
            </w:r>
            <w:r>
              <w:t> </w:t>
            </w:r>
            <w:r w:rsidRPr="006D5145">
              <w:t>µg/</w:t>
            </w:r>
            <w:r>
              <w:t>g</w:t>
            </w:r>
            <w:r w:rsidRPr="006D5145">
              <w:t>.</w:t>
            </w:r>
          </w:p>
        </w:tc>
      </w:tr>
      <w:tr w:rsidR="006A7BE0" w14:paraId="5B854B46" w14:textId="77777777" w:rsidTr="00751811">
        <w:trPr>
          <w:cantSplit/>
        </w:trPr>
        <w:tc>
          <w:tcPr>
            <w:tcW w:w="1509" w:type="pct"/>
            <w:tcBorders>
              <w:top w:val="single" w:sz="4" w:space="0" w:color="auto"/>
              <w:bottom w:val="single" w:sz="4" w:space="0" w:color="auto"/>
            </w:tcBorders>
          </w:tcPr>
          <w:p w14:paraId="5B854B44" w14:textId="77777777" w:rsidR="006D5145" w:rsidRPr="006D5145" w:rsidRDefault="00576A22" w:rsidP="006D5145">
            <w:pPr>
              <w:pStyle w:val="TableText"/>
            </w:pPr>
            <w:r>
              <w:t>p</w:t>
            </w:r>
            <w:r w:rsidRPr="006D5145">
              <w:t>g/L</w:t>
            </w:r>
          </w:p>
        </w:tc>
        <w:tc>
          <w:tcPr>
            <w:tcW w:w="3491" w:type="pct"/>
            <w:tcBorders>
              <w:top w:val="single" w:sz="4" w:space="0" w:color="auto"/>
              <w:bottom w:val="single" w:sz="4" w:space="0" w:color="auto"/>
            </w:tcBorders>
          </w:tcPr>
          <w:p w14:paraId="5B854B45" w14:textId="77777777" w:rsidR="006D5145" w:rsidRPr="006D5145" w:rsidRDefault="00576A22" w:rsidP="006D5145">
            <w:pPr>
              <w:pStyle w:val="TableText"/>
            </w:pPr>
            <w:r w:rsidRPr="006D5145">
              <w:t>Picograms/litre (i</w:t>
            </w:r>
            <w:r w:rsidR="0074426B">
              <w:t>.</w:t>
            </w:r>
            <w:r w:rsidRPr="006D5145">
              <w:t>e. 10</w:t>
            </w:r>
            <w:r w:rsidRPr="006D5145">
              <w:rPr>
                <w:vertAlign w:val="superscript"/>
              </w:rPr>
              <w:t>-12</w:t>
            </w:r>
            <w:r w:rsidR="0074426B">
              <w:t> </w:t>
            </w:r>
            <w:r w:rsidRPr="006D5145">
              <w:t>g/L); 1</w:t>
            </w:r>
            <w:r w:rsidR="0074426B">
              <w:t> </w:t>
            </w:r>
            <w:r w:rsidRPr="006D5145">
              <w:t>pg/L = 0.001</w:t>
            </w:r>
            <w:r w:rsidR="0074426B">
              <w:t> </w:t>
            </w:r>
            <w:r w:rsidRPr="006D5145">
              <w:t>ng/L or 0.000001</w:t>
            </w:r>
            <w:r w:rsidR="0074426B">
              <w:t> </w:t>
            </w:r>
            <w:r w:rsidRPr="006D5145">
              <w:t>µg/L.</w:t>
            </w:r>
          </w:p>
        </w:tc>
      </w:tr>
      <w:tr w:rsidR="006A7BE0" w14:paraId="5B854B49" w14:textId="77777777" w:rsidTr="00751811">
        <w:trPr>
          <w:cantSplit/>
        </w:trPr>
        <w:tc>
          <w:tcPr>
            <w:tcW w:w="1509" w:type="pct"/>
            <w:tcBorders>
              <w:top w:val="single" w:sz="4" w:space="0" w:color="auto"/>
              <w:bottom w:val="single" w:sz="4" w:space="0" w:color="auto"/>
            </w:tcBorders>
          </w:tcPr>
          <w:p w14:paraId="5B854B47" w14:textId="77777777" w:rsidR="00D65959" w:rsidRDefault="00576A22" w:rsidP="007336AC">
            <w:pPr>
              <w:pStyle w:val="TableText"/>
              <w:rPr>
                <w:lang w:eastAsia="ja-JP"/>
              </w:rPr>
            </w:pPr>
            <w:r>
              <w:rPr>
                <w:lang w:eastAsia="ja-JP"/>
              </w:rPr>
              <w:t>sac fry</w:t>
            </w:r>
          </w:p>
        </w:tc>
        <w:tc>
          <w:tcPr>
            <w:tcW w:w="3491" w:type="pct"/>
            <w:tcBorders>
              <w:top w:val="single" w:sz="4" w:space="0" w:color="auto"/>
              <w:bottom w:val="single" w:sz="4" w:space="0" w:color="auto"/>
            </w:tcBorders>
          </w:tcPr>
          <w:p w14:paraId="5B854B48" w14:textId="77777777" w:rsidR="00D65959" w:rsidRDefault="00576A22" w:rsidP="007336AC">
            <w:pPr>
              <w:pStyle w:val="TableText"/>
              <w:rPr>
                <w:lang w:eastAsia="ja-JP"/>
              </w:rPr>
            </w:pPr>
            <w:r>
              <w:rPr>
                <w:lang w:eastAsia="ja-JP"/>
              </w:rPr>
              <w:t>Fish fry (larvae) that still have their yolk sac present.</w:t>
            </w:r>
          </w:p>
        </w:tc>
      </w:tr>
      <w:tr w:rsidR="006A7BE0" w14:paraId="5B854B4C" w14:textId="77777777" w:rsidTr="00751811">
        <w:trPr>
          <w:cantSplit/>
        </w:trPr>
        <w:tc>
          <w:tcPr>
            <w:tcW w:w="1509" w:type="pct"/>
            <w:tcBorders>
              <w:top w:val="single" w:sz="4" w:space="0" w:color="auto"/>
              <w:bottom w:val="single" w:sz="4" w:space="0" w:color="auto"/>
            </w:tcBorders>
          </w:tcPr>
          <w:p w14:paraId="5B854B4A" w14:textId="77777777" w:rsidR="001303C0" w:rsidRPr="006D5145" w:rsidRDefault="00576A22" w:rsidP="007336AC">
            <w:pPr>
              <w:pStyle w:val="TableText"/>
              <w:rPr>
                <w:lang w:eastAsia="ja-JP"/>
              </w:rPr>
            </w:pPr>
            <w:r>
              <w:rPr>
                <w:lang w:eastAsia="ja-JP"/>
              </w:rPr>
              <w:t>s</w:t>
            </w:r>
            <w:r w:rsidRPr="006D5145">
              <w:rPr>
                <w:lang w:eastAsia="ja-JP"/>
              </w:rPr>
              <w:t>ite-specific</w:t>
            </w:r>
            <w:r w:rsidR="0074426B">
              <w:rPr>
                <w:lang w:eastAsia="ja-JP"/>
              </w:rPr>
              <w:t xml:space="preserve"> </w:t>
            </w:r>
            <w:r w:rsidR="0074426B" w:rsidRPr="0074426B">
              <w:rPr>
                <w:lang w:eastAsia="ja-JP"/>
              </w:rPr>
              <w:t>guideline value</w:t>
            </w:r>
          </w:p>
        </w:tc>
        <w:tc>
          <w:tcPr>
            <w:tcW w:w="3491" w:type="pct"/>
            <w:tcBorders>
              <w:top w:val="single" w:sz="4" w:space="0" w:color="auto"/>
              <w:bottom w:val="single" w:sz="4" w:space="0" w:color="auto"/>
            </w:tcBorders>
          </w:tcPr>
          <w:p w14:paraId="5B854B4B" w14:textId="77777777" w:rsidR="001303C0" w:rsidRPr="006D5145" w:rsidRDefault="00576A22" w:rsidP="007336AC">
            <w:pPr>
              <w:pStyle w:val="TableText"/>
              <w:rPr>
                <w:lang w:eastAsia="ja-JP"/>
              </w:rPr>
            </w:pPr>
            <w:r>
              <w:rPr>
                <w:lang w:eastAsia="ja-JP"/>
              </w:rPr>
              <w:t>A</w:t>
            </w:r>
            <w:r w:rsidRPr="0074426B">
              <w:rPr>
                <w:lang w:eastAsia="ja-JP"/>
              </w:rPr>
              <w:t xml:space="preserve"> guideline value that is relevant to the specific location or conditions that are the focus of a given assessment or issue.</w:t>
            </w:r>
          </w:p>
        </w:tc>
      </w:tr>
      <w:tr w:rsidR="006A7BE0" w14:paraId="5B854B4F" w14:textId="77777777" w:rsidTr="00751811">
        <w:trPr>
          <w:cantSplit/>
        </w:trPr>
        <w:tc>
          <w:tcPr>
            <w:tcW w:w="1509" w:type="pct"/>
            <w:tcBorders>
              <w:top w:val="single" w:sz="4" w:space="0" w:color="auto"/>
              <w:bottom w:val="single" w:sz="4" w:space="0" w:color="auto"/>
            </w:tcBorders>
          </w:tcPr>
          <w:p w14:paraId="5B854B4D" w14:textId="77777777" w:rsidR="001303C0" w:rsidRPr="006D5145" w:rsidRDefault="00576A22" w:rsidP="007336AC">
            <w:pPr>
              <w:pStyle w:val="TableText"/>
              <w:rPr>
                <w:lang w:eastAsia="ja-JP"/>
              </w:rPr>
            </w:pPr>
            <w:r>
              <w:rPr>
                <w:lang w:eastAsia="ja-JP"/>
              </w:rPr>
              <w:t>s</w:t>
            </w:r>
            <w:r w:rsidRPr="006D5145">
              <w:rPr>
                <w:lang w:eastAsia="ja-JP"/>
              </w:rPr>
              <w:t>pecies</w:t>
            </w:r>
            <w:r w:rsidR="0074426B">
              <w:rPr>
                <w:lang w:eastAsia="ja-JP"/>
              </w:rPr>
              <w:t xml:space="preserve"> (biological)</w:t>
            </w:r>
          </w:p>
        </w:tc>
        <w:tc>
          <w:tcPr>
            <w:tcW w:w="3491" w:type="pct"/>
            <w:tcBorders>
              <w:top w:val="single" w:sz="4" w:space="0" w:color="auto"/>
              <w:bottom w:val="single" w:sz="4" w:space="0" w:color="auto"/>
            </w:tcBorders>
          </w:tcPr>
          <w:p w14:paraId="5B854B4E" w14:textId="77777777" w:rsidR="001303C0" w:rsidRPr="006D5145" w:rsidRDefault="00576A22" w:rsidP="007336AC">
            <w:pPr>
              <w:pStyle w:val="TableText"/>
              <w:rPr>
                <w:lang w:eastAsia="ja-JP"/>
              </w:rPr>
            </w:pPr>
            <w:r w:rsidRPr="006D5145">
              <w:rPr>
                <w:lang w:eastAsia="ja-JP"/>
              </w:rPr>
              <w:t>A group of organisms that resemble each other to a greater degree than members of other groups and that form a</w:t>
            </w:r>
            <w:r w:rsidRPr="006D5145">
              <w:rPr>
                <w:lang w:eastAsia="ja-JP"/>
              </w:rPr>
              <w:t xml:space="preserve"> reproductively isolated group that will not produce viable offspring if bred with members of another group.</w:t>
            </w:r>
          </w:p>
        </w:tc>
      </w:tr>
      <w:tr w:rsidR="006A7BE0" w14:paraId="5B854B52" w14:textId="77777777" w:rsidTr="00751811">
        <w:trPr>
          <w:cantSplit/>
        </w:trPr>
        <w:tc>
          <w:tcPr>
            <w:tcW w:w="1509" w:type="pct"/>
            <w:tcBorders>
              <w:top w:val="single" w:sz="4" w:space="0" w:color="auto"/>
              <w:bottom w:val="single" w:sz="4" w:space="0" w:color="auto"/>
            </w:tcBorders>
          </w:tcPr>
          <w:p w14:paraId="5B854B50" w14:textId="77777777" w:rsidR="0074426B" w:rsidRPr="00810E9E" w:rsidRDefault="00576A22" w:rsidP="007336AC">
            <w:pPr>
              <w:pStyle w:val="TableText"/>
              <w:rPr>
                <w:highlight w:val="yellow"/>
                <w:lang w:eastAsia="ja-JP"/>
              </w:rPr>
            </w:pPr>
            <w:r>
              <w:rPr>
                <w:lang w:eastAsia="ja-JP"/>
              </w:rPr>
              <w:t>s</w:t>
            </w:r>
            <w:r w:rsidRPr="0074426B">
              <w:rPr>
                <w:lang w:eastAsia="ja-JP"/>
              </w:rPr>
              <w:t xml:space="preserve">pecies sensitivity distribution (SSD) </w:t>
            </w:r>
          </w:p>
        </w:tc>
        <w:tc>
          <w:tcPr>
            <w:tcW w:w="3491" w:type="pct"/>
            <w:tcBorders>
              <w:top w:val="single" w:sz="4" w:space="0" w:color="auto"/>
              <w:bottom w:val="single" w:sz="4" w:space="0" w:color="auto"/>
            </w:tcBorders>
          </w:tcPr>
          <w:p w14:paraId="5B854B51" w14:textId="77777777" w:rsidR="0074426B" w:rsidRPr="00810E9E" w:rsidRDefault="00576A22" w:rsidP="007336AC">
            <w:pPr>
              <w:pStyle w:val="TableText"/>
              <w:rPr>
                <w:highlight w:val="yellow"/>
                <w:lang w:eastAsia="ja-JP"/>
              </w:rPr>
            </w:pPr>
            <w:r>
              <w:rPr>
                <w:lang w:eastAsia="ja-JP"/>
              </w:rPr>
              <w:t>A</w:t>
            </w:r>
            <w:r w:rsidRPr="0074426B">
              <w:rPr>
                <w:lang w:eastAsia="ja-JP"/>
              </w:rPr>
              <w:t xml:space="preserve"> method that plots the cumulative frequency of species’ sensitivities to a toxicant and fits a statistica</w:t>
            </w:r>
            <w:r w:rsidRPr="0074426B">
              <w:rPr>
                <w:lang w:eastAsia="ja-JP"/>
              </w:rPr>
              <w:t>l distribution to the data. From the distribution, the concentration that should theoretically protect a selected percentage of species can be determined.</w:t>
            </w:r>
          </w:p>
        </w:tc>
      </w:tr>
      <w:tr w:rsidR="006A7BE0" w14:paraId="5B854B55" w14:textId="77777777" w:rsidTr="00E45D5B">
        <w:trPr>
          <w:cantSplit/>
        </w:trPr>
        <w:tc>
          <w:tcPr>
            <w:tcW w:w="1509" w:type="pct"/>
            <w:tcBorders>
              <w:top w:val="single" w:sz="4" w:space="0" w:color="auto"/>
              <w:bottom w:val="single" w:sz="4" w:space="0" w:color="auto"/>
            </w:tcBorders>
            <w:shd w:val="clear" w:color="auto" w:fill="auto"/>
          </w:tcPr>
          <w:p w14:paraId="5B854B53" w14:textId="77777777" w:rsidR="00D65959" w:rsidRPr="00E45D5B" w:rsidRDefault="00576A22" w:rsidP="006D5145">
            <w:pPr>
              <w:pStyle w:val="TableText"/>
            </w:pPr>
            <w:r>
              <w:t>swim-up fry</w:t>
            </w:r>
          </w:p>
        </w:tc>
        <w:tc>
          <w:tcPr>
            <w:tcW w:w="3491" w:type="pct"/>
            <w:tcBorders>
              <w:top w:val="single" w:sz="4" w:space="0" w:color="auto"/>
              <w:bottom w:val="single" w:sz="4" w:space="0" w:color="auto"/>
            </w:tcBorders>
            <w:shd w:val="clear" w:color="auto" w:fill="auto"/>
          </w:tcPr>
          <w:p w14:paraId="5B854B54" w14:textId="77777777" w:rsidR="00D65959" w:rsidRPr="00E45D5B" w:rsidRDefault="00576A22" w:rsidP="006D5145">
            <w:pPr>
              <w:pStyle w:val="TableText"/>
            </w:pPr>
            <w:r>
              <w:t>Fish fry (larvae)</w:t>
            </w:r>
            <w:r w:rsidRPr="00D65959">
              <w:t xml:space="preserve"> that have absorbed their yolk sac, are ready to start feeding and rise</w:t>
            </w:r>
            <w:r w:rsidRPr="00D65959">
              <w:t xml:space="preserve"> to the surface to gulp air into the swim bladder</w:t>
            </w:r>
            <w:r>
              <w:t xml:space="preserve">. </w:t>
            </w:r>
          </w:p>
        </w:tc>
      </w:tr>
      <w:tr w:rsidR="006A7BE0" w14:paraId="5B854B58" w14:textId="77777777" w:rsidTr="00E45D5B">
        <w:trPr>
          <w:cantSplit/>
        </w:trPr>
        <w:tc>
          <w:tcPr>
            <w:tcW w:w="1509" w:type="pct"/>
            <w:tcBorders>
              <w:top w:val="single" w:sz="4" w:space="0" w:color="auto"/>
              <w:bottom w:val="single" w:sz="4" w:space="0" w:color="auto"/>
            </w:tcBorders>
            <w:shd w:val="clear" w:color="auto" w:fill="auto"/>
          </w:tcPr>
          <w:p w14:paraId="5B854B56" w14:textId="77777777" w:rsidR="006D5145" w:rsidRPr="00E45D5B" w:rsidRDefault="00576A22" w:rsidP="006D5145">
            <w:pPr>
              <w:pStyle w:val="TableText"/>
            </w:pPr>
            <w:r w:rsidRPr="00E45D5B">
              <w:t>TCDD</w:t>
            </w:r>
          </w:p>
        </w:tc>
        <w:tc>
          <w:tcPr>
            <w:tcW w:w="3491" w:type="pct"/>
            <w:tcBorders>
              <w:top w:val="single" w:sz="4" w:space="0" w:color="auto"/>
              <w:bottom w:val="single" w:sz="4" w:space="0" w:color="auto"/>
            </w:tcBorders>
            <w:shd w:val="clear" w:color="auto" w:fill="auto"/>
          </w:tcPr>
          <w:p w14:paraId="5B854B57" w14:textId="77777777" w:rsidR="006D5145" w:rsidRPr="00E45D5B" w:rsidRDefault="00576A22" w:rsidP="006D5145">
            <w:pPr>
              <w:pStyle w:val="TableText"/>
            </w:pPr>
            <w:r w:rsidRPr="00E45D5B">
              <w:t>Tetrachlorinated dibenzo-</w:t>
            </w:r>
            <w:r w:rsidRPr="00E45D5B">
              <w:rPr>
                <w:rStyle w:val="Emphasis"/>
              </w:rPr>
              <w:t>p</w:t>
            </w:r>
            <w:r w:rsidRPr="00E45D5B">
              <w:t>-dioxin; used in this document interchangeably as 2,3,7,8-TCDD</w:t>
            </w:r>
            <w:r w:rsidR="0074426B" w:rsidRPr="00E45D5B">
              <w:t>.</w:t>
            </w:r>
          </w:p>
        </w:tc>
      </w:tr>
      <w:tr w:rsidR="006A7BE0" w14:paraId="5B854B5B" w14:textId="77777777" w:rsidTr="00E45D5B">
        <w:trPr>
          <w:cantSplit/>
        </w:trPr>
        <w:tc>
          <w:tcPr>
            <w:tcW w:w="1509" w:type="pct"/>
            <w:tcBorders>
              <w:top w:val="single" w:sz="4" w:space="0" w:color="auto"/>
              <w:bottom w:val="single" w:sz="4" w:space="0" w:color="auto"/>
            </w:tcBorders>
            <w:shd w:val="clear" w:color="auto" w:fill="auto"/>
          </w:tcPr>
          <w:p w14:paraId="5B854B59" w14:textId="77777777" w:rsidR="006D5145" w:rsidRPr="00E45D5B" w:rsidRDefault="00576A22" w:rsidP="006D5145">
            <w:pPr>
              <w:pStyle w:val="TableText"/>
            </w:pPr>
            <w:r w:rsidRPr="00E45D5B">
              <w:t xml:space="preserve">TCDF </w:t>
            </w:r>
          </w:p>
        </w:tc>
        <w:tc>
          <w:tcPr>
            <w:tcW w:w="3491" w:type="pct"/>
            <w:tcBorders>
              <w:top w:val="single" w:sz="4" w:space="0" w:color="auto"/>
              <w:bottom w:val="single" w:sz="4" w:space="0" w:color="auto"/>
            </w:tcBorders>
            <w:shd w:val="clear" w:color="auto" w:fill="auto"/>
          </w:tcPr>
          <w:p w14:paraId="5B854B5A" w14:textId="77777777" w:rsidR="006D5145" w:rsidRPr="00E45D5B" w:rsidRDefault="00576A22" w:rsidP="006D5145">
            <w:pPr>
              <w:pStyle w:val="TableText"/>
            </w:pPr>
            <w:r w:rsidRPr="00E45D5B">
              <w:t>Tetrachlorinated dibenzofuran</w:t>
            </w:r>
            <w:r w:rsidR="0074426B" w:rsidRPr="00E45D5B">
              <w:t>.</w:t>
            </w:r>
          </w:p>
        </w:tc>
      </w:tr>
      <w:tr w:rsidR="006A7BE0" w14:paraId="5B854B5E" w14:textId="77777777" w:rsidTr="00E45D5B">
        <w:trPr>
          <w:cantSplit/>
        </w:trPr>
        <w:tc>
          <w:tcPr>
            <w:tcW w:w="1509" w:type="pct"/>
            <w:tcBorders>
              <w:top w:val="single" w:sz="4" w:space="0" w:color="auto"/>
              <w:bottom w:val="single" w:sz="4" w:space="0" w:color="auto"/>
            </w:tcBorders>
            <w:shd w:val="clear" w:color="auto" w:fill="auto"/>
          </w:tcPr>
          <w:p w14:paraId="5B854B5C" w14:textId="77777777" w:rsidR="006D5145" w:rsidRPr="006D5145" w:rsidRDefault="00576A22" w:rsidP="006D5145">
            <w:pPr>
              <w:pStyle w:val="TableText"/>
            </w:pPr>
            <w:r w:rsidRPr="006D5145">
              <w:t xml:space="preserve">2,3,7,8-TCDD </w:t>
            </w:r>
          </w:p>
        </w:tc>
        <w:tc>
          <w:tcPr>
            <w:tcW w:w="3491" w:type="pct"/>
            <w:tcBorders>
              <w:top w:val="single" w:sz="4" w:space="0" w:color="auto"/>
              <w:bottom w:val="single" w:sz="4" w:space="0" w:color="auto"/>
            </w:tcBorders>
            <w:shd w:val="clear" w:color="auto" w:fill="auto"/>
          </w:tcPr>
          <w:p w14:paraId="5B854B5D" w14:textId="77777777" w:rsidR="006D5145" w:rsidRPr="006D5145" w:rsidRDefault="00576A22" w:rsidP="006D5145">
            <w:pPr>
              <w:pStyle w:val="TableText"/>
            </w:pPr>
            <w:r w:rsidRPr="006D5145">
              <w:t>2,3,7,8-tetrachlorodibenzo-</w:t>
            </w:r>
            <w:r w:rsidRPr="0074426B">
              <w:rPr>
                <w:rStyle w:val="Emphasis"/>
              </w:rPr>
              <w:t>p</w:t>
            </w:r>
            <w:r w:rsidRPr="006D5145">
              <w:t>-dioxin</w:t>
            </w:r>
            <w:r w:rsidR="0074426B">
              <w:t>.</w:t>
            </w:r>
          </w:p>
        </w:tc>
      </w:tr>
      <w:tr w:rsidR="006A7BE0" w14:paraId="5B854B61" w14:textId="77777777" w:rsidTr="00751811">
        <w:trPr>
          <w:cantSplit/>
        </w:trPr>
        <w:tc>
          <w:tcPr>
            <w:tcW w:w="1509" w:type="pct"/>
            <w:tcBorders>
              <w:top w:val="single" w:sz="4" w:space="0" w:color="auto"/>
              <w:bottom w:val="single" w:sz="4" w:space="0" w:color="auto"/>
            </w:tcBorders>
          </w:tcPr>
          <w:p w14:paraId="5B854B5F" w14:textId="77777777" w:rsidR="006D5145" w:rsidRPr="006D5145" w:rsidRDefault="00576A22" w:rsidP="006D5145">
            <w:pPr>
              <w:pStyle w:val="TableText"/>
            </w:pPr>
            <w:r w:rsidRPr="006D5145">
              <w:t>TEF</w:t>
            </w:r>
          </w:p>
        </w:tc>
        <w:tc>
          <w:tcPr>
            <w:tcW w:w="3491" w:type="pct"/>
            <w:tcBorders>
              <w:top w:val="single" w:sz="4" w:space="0" w:color="auto"/>
              <w:bottom w:val="single" w:sz="4" w:space="0" w:color="auto"/>
            </w:tcBorders>
          </w:tcPr>
          <w:p w14:paraId="5B854B60" w14:textId="77777777" w:rsidR="006D5145" w:rsidRPr="006D5145" w:rsidRDefault="00576A22" w:rsidP="00E45D5B">
            <w:pPr>
              <w:pStyle w:val="TableText"/>
            </w:pPr>
            <w:r w:rsidRPr="006D5145">
              <w:t>Toxicity equivalence factor</w:t>
            </w:r>
            <w:r w:rsidR="00E45D5B">
              <w:t>.</w:t>
            </w:r>
            <w:r w:rsidR="00987B5B">
              <w:t xml:space="preserve"> </w:t>
            </w:r>
            <w:r w:rsidR="00987B5B">
              <w:rPr>
                <w:lang w:eastAsia="ja-JP"/>
              </w:rPr>
              <w:t>An estimate of the potency, relative to TCDD, of an individual PCDD, PCDF or polychlorinated biphenyl congener, determined using careful scientific judgment after considering all available relative potency data</w:t>
            </w:r>
            <w:r w:rsidR="00751811">
              <w:t>.</w:t>
            </w:r>
          </w:p>
        </w:tc>
      </w:tr>
      <w:tr w:rsidR="006A7BE0" w14:paraId="5B854B64" w14:textId="77777777" w:rsidTr="00751811">
        <w:trPr>
          <w:cantSplit/>
        </w:trPr>
        <w:tc>
          <w:tcPr>
            <w:tcW w:w="1509" w:type="pct"/>
            <w:tcBorders>
              <w:top w:val="single" w:sz="4" w:space="0" w:color="auto"/>
              <w:bottom w:val="single" w:sz="4" w:space="0" w:color="auto"/>
            </w:tcBorders>
          </w:tcPr>
          <w:p w14:paraId="5B854B62" w14:textId="77777777" w:rsidR="006D5145" w:rsidRPr="006D5145" w:rsidRDefault="00576A22" w:rsidP="006D5145">
            <w:pPr>
              <w:pStyle w:val="TableText"/>
            </w:pPr>
            <w:r w:rsidRPr="006D5145">
              <w:t>TEQ</w:t>
            </w:r>
          </w:p>
        </w:tc>
        <w:tc>
          <w:tcPr>
            <w:tcW w:w="3491" w:type="pct"/>
            <w:tcBorders>
              <w:top w:val="single" w:sz="4" w:space="0" w:color="auto"/>
              <w:bottom w:val="single" w:sz="4" w:space="0" w:color="auto"/>
            </w:tcBorders>
          </w:tcPr>
          <w:p w14:paraId="5B854B63" w14:textId="77777777" w:rsidR="006D5145" w:rsidRPr="006D5145" w:rsidRDefault="00576A22" w:rsidP="006D5145">
            <w:pPr>
              <w:pStyle w:val="TableText"/>
            </w:pPr>
            <w:r w:rsidRPr="006D5145">
              <w:t xml:space="preserve">Toxic </w:t>
            </w:r>
            <w:r w:rsidR="0082716C" w:rsidRPr="006D5145">
              <w:t>equivalenc</w:t>
            </w:r>
            <w:r w:rsidR="0082716C">
              <w:t>y</w:t>
            </w:r>
            <w:r w:rsidR="0017517E">
              <w:t>—</w:t>
            </w:r>
            <w:r w:rsidRPr="006D5145">
              <w:t xml:space="preserve">referring to the approach using </w:t>
            </w:r>
            <w:r w:rsidR="00DB4D31">
              <w:t>t</w:t>
            </w:r>
            <w:r w:rsidR="0074426B" w:rsidRPr="0074426B">
              <w:t>oxicity equivalence factor</w:t>
            </w:r>
            <w:r w:rsidR="0074426B">
              <w:t>s.</w:t>
            </w:r>
          </w:p>
        </w:tc>
      </w:tr>
      <w:tr w:rsidR="006A7BE0" w14:paraId="5B854B67" w14:textId="77777777" w:rsidTr="00751811">
        <w:trPr>
          <w:cantSplit/>
        </w:trPr>
        <w:tc>
          <w:tcPr>
            <w:tcW w:w="1509" w:type="pct"/>
            <w:tcBorders>
              <w:top w:val="single" w:sz="4" w:space="0" w:color="auto"/>
              <w:bottom w:val="single" w:sz="4" w:space="0" w:color="auto"/>
            </w:tcBorders>
          </w:tcPr>
          <w:p w14:paraId="5B854B65" w14:textId="77777777" w:rsidR="001303C0" w:rsidRPr="006D5145" w:rsidRDefault="00576A22" w:rsidP="007336AC">
            <w:pPr>
              <w:pStyle w:val="TableText"/>
              <w:rPr>
                <w:lang w:eastAsia="ja-JP"/>
              </w:rPr>
            </w:pPr>
            <w:r w:rsidRPr="006D5145">
              <w:rPr>
                <w:lang w:eastAsia="ja-JP"/>
              </w:rPr>
              <w:t>toxicity</w:t>
            </w:r>
          </w:p>
        </w:tc>
        <w:tc>
          <w:tcPr>
            <w:tcW w:w="3491" w:type="pct"/>
            <w:tcBorders>
              <w:top w:val="single" w:sz="4" w:space="0" w:color="auto"/>
              <w:bottom w:val="single" w:sz="4" w:space="0" w:color="auto"/>
            </w:tcBorders>
          </w:tcPr>
          <w:p w14:paraId="5B854B66" w14:textId="77777777" w:rsidR="001303C0" w:rsidRPr="006D5145" w:rsidRDefault="00576A22" w:rsidP="007336AC">
            <w:pPr>
              <w:pStyle w:val="TableText"/>
              <w:rPr>
                <w:lang w:eastAsia="ja-JP"/>
              </w:rPr>
            </w:pPr>
            <w:r w:rsidRPr="006D5145">
              <w:rPr>
                <w:lang w:eastAsia="ja-JP"/>
              </w:rPr>
              <w:t>The inherent potential or capacity of a material to cause adverse effects in a living organism.</w:t>
            </w:r>
          </w:p>
        </w:tc>
      </w:tr>
      <w:tr w:rsidR="006A7BE0" w14:paraId="5B854B6A" w14:textId="77777777" w:rsidTr="00751811">
        <w:trPr>
          <w:cantSplit/>
        </w:trPr>
        <w:tc>
          <w:tcPr>
            <w:tcW w:w="1509" w:type="pct"/>
            <w:tcBorders>
              <w:top w:val="single" w:sz="4" w:space="0" w:color="auto"/>
              <w:bottom w:val="single" w:sz="12" w:space="0" w:color="auto"/>
            </w:tcBorders>
          </w:tcPr>
          <w:p w14:paraId="5B854B68" w14:textId="77777777" w:rsidR="006D5145" w:rsidRPr="006D5145" w:rsidRDefault="00576A22" w:rsidP="007336AC">
            <w:pPr>
              <w:pStyle w:val="TableText"/>
              <w:rPr>
                <w:lang w:eastAsia="ja-JP"/>
              </w:rPr>
            </w:pPr>
            <w:r w:rsidRPr="006D5145">
              <w:rPr>
                <w:lang w:eastAsia="ja-JP"/>
              </w:rPr>
              <w:t>toxicity test</w:t>
            </w:r>
          </w:p>
        </w:tc>
        <w:tc>
          <w:tcPr>
            <w:tcW w:w="3491" w:type="pct"/>
            <w:tcBorders>
              <w:top w:val="single" w:sz="4" w:space="0" w:color="auto"/>
              <w:bottom w:val="single" w:sz="12" w:space="0" w:color="auto"/>
            </w:tcBorders>
          </w:tcPr>
          <w:p w14:paraId="5B854B69" w14:textId="77777777" w:rsidR="006D5145" w:rsidRPr="006D5145" w:rsidRDefault="00576A22" w:rsidP="00751811">
            <w:pPr>
              <w:pStyle w:val="TableText"/>
              <w:rPr>
                <w:lang w:eastAsia="ja-JP"/>
              </w:rPr>
            </w:pPr>
            <w:r w:rsidRPr="006D5145">
              <w:rPr>
                <w:lang w:eastAsia="ja-JP"/>
              </w:rPr>
              <w:t xml:space="preserve">The means by which the toxicity of a chemical or other </w:t>
            </w:r>
            <w:r w:rsidRPr="006D5145">
              <w:rPr>
                <w:lang w:eastAsia="ja-JP"/>
              </w:rPr>
              <w:t>test material is determined. A toxicity test is used to measure the degree of response produced by exposure to a specific level of stimulus (or concentration of chemical)</w:t>
            </w:r>
            <w:r w:rsidR="00751811">
              <w:t xml:space="preserve"> </w:t>
            </w:r>
            <w:r w:rsidR="00751811">
              <w:rPr>
                <w:lang w:eastAsia="ja-JP"/>
              </w:rPr>
              <w:t>for a specified test period</w:t>
            </w:r>
            <w:r w:rsidRPr="006D5145">
              <w:rPr>
                <w:lang w:eastAsia="ja-JP"/>
              </w:rPr>
              <w:t>.</w:t>
            </w:r>
          </w:p>
        </w:tc>
      </w:tr>
    </w:tbl>
    <w:p w14:paraId="5B854B6B" w14:textId="77777777" w:rsidR="005716AB" w:rsidRPr="00585FD8" w:rsidRDefault="005716AB" w:rsidP="001303C0">
      <w:pPr>
        <w:rPr>
          <w:lang w:eastAsia="ja-JP"/>
        </w:rPr>
      </w:pPr>
    </w:p>
    <w:p w14:paraId="5B854B6C" w14:textId="77777777" w:rsidR="00606A7B" w:rsidRDefault="00606A7B" w:rsidP="001303C0">
      <w:pPr>
        <w:rPr>
          <w:lang w:eastAsia="ja-JP"/>
        </w:rPr>
        <w:sectPr w:rsidR="00606A7B" w:rsidSect="00912C55">
          <w:pgSz w:w="11906" w:h="16838" w:code="9"/>
          <w:pgMar w:top="1418" w:right="1418" w:bottom="1418" w:left="1418" w:header="567" w:footer="284" w:gutter="0"/>
          <w:pgNumType w:start="1"/>
          <w:cols w:space="708"/>
          <w:docGrid w:linePitch="360"/>
        </w:sectPr>
      </w:pPr>
    </w:p>
    <w:p w14:paraId="5B854B6D" w14:textId="77777777" w:rsidR="001C0D1C" w:rsidRPr="00810E9E" w:rsidRDefault="00576A22">
      <w:pPr>
        <w:pStyle w:val="Heading2"/>
        <w:numPr>
          <w:ilvl w:val="0"/>
          <w:numId w:val="0"/>
        </w:numPr>
        <w:rPr>
          <w:highlight w:val="yellow"/>
        </w:rPr>
      </w:pPr>
      <w:bookmarkStart w:id="48" w:name="_Appendix_A:_Summary"/>
      <w:bookmarkStart w:id="49" w:name="_Ref37255104"/>
      <w:bookmarkStart w:id="50" w:name="_Toc132885725"/>
      <w:bookmarkEnd w:id="48"/>
      <w:r w:rsidRPr="00DC6EBD">
        <w:t>Appendix</w:t>
      </w:r>
      <w:r w:rsidR="007152D6">
        <w:t> </w:t>
      </w:r>
      <w:r w:rsidRPr="00DC6EBD">
        <w:t xml:space="preserve">A: </w:t>
      </w:r>
      <w:r>
        <w:t>T</w:t>
      </w:r>
      <w:r w:rsidR="005716AB" w:rsidRPr="005716AB">
        <w:t xml:space="preserve">oxicity data that passed the screening and quality assessment </w:t>
      </w:r>
      <w:r>
        <w:t>and were used to derive the default guideline values</w:t>
      </w:r>
      <w:bookmarkEnd w:id="49"/>
      <w:bookmarkEnd w:id="50"/>
    </w:p>
    <w:p w14:paraId="5B854B6E" w14:textId="77777777" w:rsidR="00DC6EBD" w:rsidRPr="003413B2" w:rsidRDefault="00576A22" w:rsidP="007152D6">
      <w:pPr>
        <w:pStyle w:val="Caption"/>
      </w:pPr>
      <w:bookmarkStart w:id="51" w:name="_Ref6322195"/>
      <w:bookmarkStart w:id="52" w:name="_Ref6322511"/>
      <w:bookmarkStart w:id="53" w:name="_Toc47526115"/>
      <w:r>
        <w:t>Table A </w:t>
      </w:r>
      <w:r w:rsidR="00390AEE">
        <w:rPr>
          <w:noProof/>
        </w:rPr>
        <w:fldChar w:fldCharType="begin"/>
      </w:r>
      <w:r w:rsidR="00390AEE">
        <w:rPr>
          <w:noProof/>
        </w:rPr>
        <w:instrText xml:space="preserve"> SEQ Table_A \* ARABIC </w:instrText>
      </w:r>
      <w:r w:rsidR="00390AEE">
        <w:rPr>
          <w:noProof/>
        </w:rPr>
        <w:fldChar w:fldCharType="separate"/>
      </w:r>
      <w:r w:rsidR="008E67C0">
        <w:rPr>
          <w:noProof/>
        </w:rPr>
        <w:t>1</w:t>
      </w:r>
      <w:r w:rsidR="00390AEE">
        <w:rPr>
          <w:noProof/>
        </w:rPr>
        <w:fldChar w:fldCharType="end"/>
      </w:r>
      <w:bookmarkEnd w:id="51"/>
      <w:r w:rsidR="00061882" w:rsidRPr="00DC6EBD">
        <w:t xml:space="preserve"> </w:t>
      </w:r>
      <w:bookmarkEnd w:id="52"/>
      <w:r w:rsidRPr="00DC6EBD">
        <w:t xml:space="preserve">Summary, toxicity data that passed the screening and quality assurance processes, </w:t>
      </w:r>
      <w:r>
        <w:t>dioxin in freshwater</w:t>
      </w:r>
      <w:bookmarkEnd w:id="53"/>
    </w:p>
    <w:tbl>
      <w:tblPr>
        <w:tblW w:w="5021" w:type="pct"/>
        <w:jc w:val="center"/>
        <w:tblBorders>
          <w:top w:val="single" w:sz="4" w:space="0" w:color="auto"/>
          <w:bottom w:val="single" w:sz="4" w:space="0" w:color="auto"/>
          <w:insideH w:val="single" w:sz="4" w:space="0" w:color="auto"/>
        </w:tblBorders>
        <w:tblLayout w:type="fixed"/>
        <w:tblLook w:val="0000" w:firstRow="0" w:lastRow="0" w:firstColumn="0" w:lastColumn="0" w:noHBand="0" w:noVBand="0"/>
        <w:tblCaption w:val="Summary, toxicity data that passed the screening and quality assurance processes, dioxin in freshwater"/>
        <w:tblDescription w:val="Table lists eight species with their taxonomic group and species name. The different life stages for each species are provided with the following test information: exposure duration, test type, toxicity measure, test medium, temperature, pH, water hardness, concentration (nanograms per litre), final concentration (nanograms per litre), and reference."/>
      </w:tblPr>
      <w:tblGrid>
        <w:gridCol w:w="1115"/>
        <w:gridCol w:w="1254"/>
        <w:gridCol w:w="841"/>
        <w:gridCol w:w="976"/>
        <w:gridCol w:w="838"/>
        <w:gridCol w:w="1116"/>
        <w:gridCol w:w="1254"/>
        <w:gridCol w:w="1257"/>
        <w:gridCol w:w="562"/>
        <w:gridCol w:w="1136"/>
        <w:gridCol w:w="1378"/>
        <w:gridCol w:w="1265"/>
        <w:gridCol w:w="1069"/>
      </w:tblGrid>
      <w:tr w:rsidR="006A7BE0" w14:paraId="5B854B7C" w14:textId="77777777" w:rsidTr="009F6148">
        <w:trPr>
          <w:cantSplit/>
          <w:tblHeader/>
          <w:jc w:val="center"/>
        </w:trPr>
        <w:tc>
          <w:tcPr>
            <w:tcW w:w="396" w:type="pct"/>
            <w:tcBorders>
              <w:top w:val="single" w:sz="12" w:space="0" w:color="auto"/>
              <w:bottom w:val="single" w:sz="12" w:space="0" w:color="auto"/>
            </w:tcBorders>
            <w:shd w:val="clear" w:color="auto" w:fill="auto"/>
            <w:vAlign w:val="center"/>
          </w:tcPr>
          <w:p w14:paraId="5B854B6F" w14:textId="77777777" w:rsidR="005716AB" w:rsidRDefault="00576A22" w:rsidP="005D37F2">
            <w:pPr>
              <w:pStyle w:val="TableHeading"/>
            </w:pPr>
            <w:r>
              <w:t xml:space="preserve">Taxonomic group </w:t>
            </w:r>
          </w:p>
        </w:tc>
        <w:tc>
          <w:tcPr>
            <w:tcW w:w="446" w:type="pct"/>
            <w:tcBorders>
              <w:top w:val="single" w:sz="12" w:space="0" w:color="auto"/>
              <w:bottom w:val="single" w:sz="12" w:space="0" w:color="auto"/>
            </w:tcBorders>
            <w:shd w:val="clear" w:color="auto" w:fill="auto"/>
            <w:vAlign w:val="center"/>
          </w:tcPr>
          <w:p w14:paraId="5B854B70" w14:textId="77777777" w:rsidR="005716AB" w:rsidRDefault="00576A22" w:rsidP="00AF3032">
            <w:pPr>
              <w:pStyle w:val="TableHeading"/>
            </w:pPr>
            <w:r w:rsidRPr="00C41308">
              <w:t>Species</w:t>
            </w:r>
          </w:p>
        </w:tc>
        <w:tc>
          <w:tcPr>
            <w:tcW w:w="299" w:type="pct"/>
            <w:tcBorders>
              <w:top w:val="single" w:sz="12" w:space="0" w:color="auto"/>
              <w:bottom w:val="single" w:sz="12" w:space="0" w:color="auto"/>
            </w:tcBorders>
            <w:shd w:val="clear" w:color="auto" w:fill="auto"/>
            <w:vAlign w:val="center"/>
          </w:tcPr>
          <w:p w14:paraId="5B854B71" w14:textId="77777777" w:rsidR="005716AB" w:rsidRDefault="00576A22" w:rsidP="00AF3032">
            <w:pPr>
              <w:pStyle w:val="TableHeading"/>
            </w:pPr>
            <w:r w:rsidRPr="00A9276E">
              <w:t>Life stage</w:t>
            </w:r>
          </w:p>
        </w:tc>
        <w:tc>
          <w:tcPr>
            <w:tcW w:w="347" w:type="pct"/>
            <w:tcBorders>
              <w:top w:val="single" w:sz="12" w:space="0" w:color="auto"/>
              <w:bottom w:val="single" w:sz="12" w:space="0" w:color="auto"/>
            </w:tcBorders>
            <w:shd w:val="clear" w:color="auto" w:fill="auto"/>
            <w:vAlign w:val="center"/>
          </w:tcPr>
          <w:p w14:paraId="5B854B72" w14:textId="77777777" w:rsidR="005716AB" w:rsidRDefault="00576A22" w:rsidP="00AF3032">
            <w:pPr>
              <w:pStyle w:val="TableHeading"/>
            </w:pPr>
            <w:r>
              <w:t>Exposure duration (d</w:t>
            </w:r>
            <w:r w:rsidRPr="00A9276E">
              <w:t>)</w:t>
            </w:r>
          </w:p>
        </w:tc>
        <w:tc>
          <w:tcPr>
            <w:tcW w:w="298" w:type="pct"/>
            <w:tcBorders>
              <w:top w:val="single" w:sz="12" w:space="0" w:color="auto"/>
              <w:bottom w:val="single" w:sz="12" w:space="0" w:color="auto"/>
            </w:tcBorders>
            <w:shd w:val="clear" w:color="auto" w:fill="auto"/>
            <w:vAlign w:val="center"/>
          </w:tcPr>
          <w:p w14:paraId="5B854B73" w14:textId="77777777" w:rsidR="005716AB" w:rsidRDefault="00576A22" w:rsidP="00AF3032">
            <w:pPr>
              <w:pStyle w:val="TableHeading"/>
            </w:pPr>
            <w:r w:rsidRPr="00A9276E">
              <w:t>Test type</w:t>
            </w:r>
          </w:p>
        </w:tc>
        <w:tc>
          <w:tcPr>
            <w:tcW w:w="397" w:type="pct"/>
            <w:tcBorders>
              <w:top w:val="single" w:sz="12" w:space="0" w:color="auto"/>
              <w:bottom w:val="single" w:sz="12" w:space="0" w:color="auto"/>
            </w:tcBorders>
            <w:shd w:val="clear" w:color="auto" w:fill="auto"/>
            <w:vAlign w:val="center"/>
          </w:tcPr>
          <w:p w14:paraId="5B854B74" w14:textId="77777777" w:rsidR="005716AB" w:rsidRDefault="00576A22" w:rsidP="005D37F2">
            <w:pPr>
              <w:pStyle w:val="TableHeading"/>
            </w:pPr>
            <w:r w:rsidRPr="00A9276E">
              <w:t>Toxicity measure (</w:t>
            </w:r>
            <w:r w:rsidR="005D37F2" w:rsidRPr="00A9276E">
              <w:t>test endpoint</w:t>
            </w:r>
            <w:r w:rsidRPr="00A9276E">
              <w:t>)</w:t>
            </w:r>
            <w:r w:rsidR="005D37F2" w:rsidRPr="00EC5FA8">
              <w:rPr>
                <w:rStyle w:val="Strong"/>
                <w:b/>
                <w:vertAlign w:val="superscript"/>
              </w:rPr>
              <w:t xml:space="preserve"> a</w:t>
            </w:r>
          </w:p>
        </w:tc>
        <w:tc>
          <w:tcPr>
            <w:tcW w:w="446" w:type="pct"/>
            <w:tcBorders>
              <w:top w:val="single" w:sz="12" w:space="0" w:color="auto"/>
              <w:bottom w:val="single" w:sz="12" w:space="0" w:color="auto"/>
            </w:tcBorders>
            <w:shd w:val="clear" w:color="auto" w:fill="auto"/>
            <w:vAlign w:val="center"/>
          </w:tcPr>
          <w:p w14:paraId="5B854B75" w14:textId="77777777" w:rsidR="005716AB" w:rsidRDefault="00576A22" w:rsidP="00AF3032">
            <w:pPr>
              <w:pStyle w:val="TableHeading"/>
            </w:pPr>
            <w:r w:rsidRPr="00A9276E">
              <w:t>Test medium</w:t>
            </w:r>
          </w:p>
        </w:tc>
        <w:tc>
          <w:tcPr>
            <w:tcW w:w="447" w:type="pct"/>
            <w:tcBorders>
              <w:top w:val="single" w:sz="12" w:space="0" w:color="auto"/>
              <w:bottom w:val="single" w:sz="12" w:space="0" w:color="auto"/>
            </w:tcBorders>
            <w:shd w:val="clear" w:color="auto" w:fill="auto"/>
            <w:vAlign w:val="center"/>
          </w:tcPr>
          <w:p w14:paraId="5B854B76" w14:textId="77777777" w:rsidR="005716AB" w:rsidRDefault="00576A22" w:rsidP="00AF3032">
            <w:pPr>
              <w:pStyle w:val="TableHeading"/>
            </w:pPr>
            <w:r w:rsidRPr="00A9276E">
              <w:t>Temp</w:t>
            </w:r>
            <w:r w:rsidR="005D37F2">
              <w:t>erature</w:t>
            </w:r>
            <w:r w:rsidRPr="00A9276E">
              <w:t xml:space="preserve"> (</w:t>
            </w:r>
            <w:r w:rsidRPr="00A9276E">
              <w:rPr>
                <w:rFonts w:ascii="Symbol" w:hAnsi="Symbol"/>
              </w:rPr>
              <w:sym w:font="Symbol" w:char="F0B0"/>
            </w:r>
            <w:r w:rsidRPr="00A9276E">
              <w:t>C)</w:t>
            </w:r>
          </w:p>
        </w:tc>
        <w:tc>
          <w:tcPr>
            <w:tcW w:w="200" w:type="pct"/>
            <w:tcBorders>
              <w:top w:val="single" w:sz="12" w:space="0" w:color="auto"/>
              <w:bottom w:val="single" w:sz="12" w:space="0" w:color="auto"/>
            </w:tcBorders>
            <w:shd w:val="clear" w:color="auto" w:fill="auto"/>
            <w:vAlign w:val="center"/>
          </w:tcPr>
          <w:p w14:paraId="5B854B77" w14:textId="77777777" w:rsidR="005716AB" w:rsidRDefault="00576A22" w:rsidP="00AF3032">
            <w:pPr>
              <w:pStyle w:val="TableHeading"/>
            </w:pPr>
            <w:r w:rsidRPr="00A9276E">
              <w:t>pH</w:t>
            </w:r>
          </w:p>
        </w:tc>
        <w:tc>
          <w:tcPr>
            <w:tcW w:w="404" w:type="pct"/>
            <w:tcBorders>
              <w:top w:val="single" w:sz="12" w:space="0" w:color="auto"/>
              <w:bottom w:val="single" w:sz="12" w:space="0" w:color="auto"/>
            </w:tcBorders>
            <w:shd w:val="clear" w:color="auto" w:fill="auto"/>
            <w:vAlign w:val="center"/>
          </w:tcPr>
          <w:p w14:paraId="5B854B78" w14:textId="77777777" w:rsidR="005716AB" w:rsidRPr="00A9276E" w:rsidRDefault="00576A22" w:rsidP="00AF3032">
            <w:pPr>
              <w:pStyle w:val="TableHeading"/>
            </w:pPr>
            <w:r>
              <w:t xml:space="preserve">Water </w:t>
            </w:r>
            <w:r>
              <w:t>hardness (</w:t>
            </w:r>
            <w:r w:rsidRPr="00335A3B">
              <w:t xml:space="preserve">mg </w:t>
            </w:r>
            <w:r>
              <w:t>Ca</w:t>
            </w:r>
            <w:r w:rsidRPr="00335A3B">
              <w:t>CO</w:t>
            </w:r>
            <w:r w:rsidRPr="005D37F2">
              <w:rPr>
                <w:vertAlign w:val="subscript"/>
              </w:rPr>
              <w:t>3</w:t>
            </w:r>
            <w:r w:rsidRPr="00335A3B">
              <w:t>/L)</w:t>
            </w:r>
          </w:p>
        </w:tc>
        <w:tc>
          <w:tcPr>
            <w:tcW w:w="490" w:type="pct"/>
            <w:tcBorders>
              <w:top w:val="single" w:sz="12" w:space="0" w:color="auto"/>
              <w:bottom w:val="single" w:sz="12" w:space="0" w:color="auto"/>
            </w:tcBorders>
            <w:shd w:val="clear" w:color="auto" w:fill="auto"/>
            <w:vAlign w:val="center"/>
          </w:tcPr>
          <w:p w14:paraId="5B854B79" w14:textId="77777777" w:rsidR="005716AB" w:rsidRDefault="00576A22" w:rsidP="00EC5FA8">
            <w:pPr>
              <w:pStyle w:val="TableHeading"/>
            </w:pPr>
            <w:r>
              <w:t>Concentration (</w:t>
            </w:r>
            <w:r>
              <w:rPr>
                <w:rFonts w:ascii="Corbel" w:hAnsi="Corbel"/>
              </w:rPr>
              <w:t>n</w:t>
            </w:r>
            <w:r w:rsidRPr="00A9276E">
              <w:t>g/L)</w:t>
            </w:r>
          </w:p>
        </w:tc>
        <w:tc>
          <w:tcPr>
            <w:tcW w:w="450" w:type="pct"/>
            <w:tcBorders>
              <w:top w:val="single" w:sz="12" w:space="0" w:color="auto"/>
              <w:bottom w:val="single" w:sz="12" w:space="0" w:color="auto"/>
            </w:tcBorders>
            <w:shd w:val="clear" w:color="auto" w:fill="auto"/>
          </w:tcPr>
          <w:p w14:paraId="5B854B7A" w14:textId="77777777" w:rsidR="005716AB" w:rsidRPr="00A9276E" w:rsidRDefault="00576A22" w:rsidP="00EC5FA8">
            <w:pPr>
              <w:pStyle w:val="TableHeading"/>
            </w:pPr>
            <w:r>
              <w:t>Final c</w:t>
            </w:r>
            <w:r w:rsidRPr="00A9276E">
              <w:t>oncentration</w:t>
            </w:r>
            <w:r>
              <w:t xml:space="preserve"> (n</w:t>
            </w:r>
            <w:r w:rsidRPr="00A9276E">
              <w:t>g/L)</w:t>
            </w:r>
          </w:p>
        </w:tc>
        <w:tc>
          <w:tcPr>
            <w:tcW w:w="380" w:type="pct"/>
            <w:tcBorders>
              <w:top w:val="single" w:sz="12" w:space="0" w:color="auto"/>
              <w:bottom w:val="single" w:sz="12" w:space="0" w:color="auto"/>
            </w:tcBorders>
            <w:shd w:val="clear" w:color="auto" w:fill="auto"/>
            <w:vAlign w:val="center"/>
          </w:tcPr>
          <w:p w14:paraId="5B854B7B" w14:textId="77777777" w:rsidR="005716AB" w:rsidRDefault="00576A22" w:rsidP="00AF3032">
            <w:pPr>
              <w:pStyle w:val="TableHeading"/>
            </w:pPr>
            <w:r w:rsidRPr="00A9276E">
              <w:t>Reference</w:t>
            </w:r>
          </w:p>
        </w:tc>
      </w:tr>
      <w:tr w:rsidR="006A7BE0" w14:paraId="5B854B8B" w14:textId="77777777" w:rsidTr="009F6148">
        <w:trPr>
          <w:cantSplit/>
          <w:jc w:val="center"/>
        </w:trPr>
        <w:tc>
          <w:tcPr>
            <w:tcW w:w="396" w:type="pct"/>
            <w:tcBorders>
              <w:top w:val="single" w:sz="12" w:space="0" w:color="auto"/>
            </w:tcBorders>
            <w:shd w:val="clear" w:color="auto" w:fill="auto"/>
          </w:tcPr>
          <w:p w14:paraId="5B854B7D" w14:textId="77777777" w:rsidR="005716AB" w:rsidRPr="00C41308" w:rsidRDefault="00576A22" w:rsidP="00AC206B">
            <w:pPr>
              <w:pStyle w:val="TableText"/>
              <w:rPr>
                <w:lang w:val="es-ES"/>
              </w:rPr>
            </w:pPr>
            <w:r w:rsidRPr="00261260">
              <w:t>Chordata</w:t>
            </w:r>
          </w:p>
        </w:tc>
        <w:tc>
          <w:tcPr>
            <w:tcW w:w="446" w:type="pct"/>
            <w:tcBorders>
              <w:top w:val="single" w:sz="12" w:space="0" w:color="auto"/>
            </w:tcBorders>
            <w:shd w:val="clear" w:color="auto" w:fill="auto"/>
          </w:tcPr>
          <w:p w14:paraId="5B854B7E" w14:textId="77777777" w:rsidR="005716AB" w:rsidRPr="00EC5FA8" w:rsidRDefault="00576A22" w:rsidP="00AC206B">
            <w:pPr>
              <w:pStyle w:val="TableText"/>
              <w:rPr>
                <w:rStyle w:val="Emphasis"/>
              </w:rPr>
            </w:pPr>
            <w:r w:rsidRPr="00EC5FA8">
              <w:rPr>
                <w:rStyle w:val="Emphasis"/>
              </w:rPr>
              <w:t>Cyprinus carpio</w:t>
            </w:r>
          </w:p>
        </w:tc>
        <w:tc>
          <w:tcPr>
            <w:tcW w:w="299" w:type="pct"/>
            <w:tcBorders>
              <w:top w:val="single" w:sz="12" w:space="0" w:color="auto"/>
            </w:tcBorders>
            <w:shd w:val="clear" w:color="auto" w:fill="auto"/>
          </w:tcPr>
          <w:p w14:paraId="5B854B7F" w14:textId="77777777" w:rsidR="005716AB" w:rsidRPr="00C41308" w:rsidRDefault="00576A22" w:rsidP="00AC206B">
            <w:pPr>
              <w:pStyle w:val="TableText"/>
              <w:rPr>
                <w:lang w:val="es-ES"/>
              </w:rPr>
            </w:pPr>
            <w:r>
              <w:rPr>
                <w:lang w:val="es-ES"/>
              </w:rPr>
              <w:t>Adult</w:t>
            </w:r>
          </w:p>
        </w:tc>
        <w:tc>
          <w:tcPr>
            <w:tcW w:w="347" w:type="pct"/>
            <w:tcBorders>
              <w:top w:val="single" w:sz="12" w:space="0" w:color="auto"/>
            </w:tcBorders>
            <w:shd w:val="clear" w:color="auto" w:fill="auto"/>
          </w:tcPr>
          <w:p w14:paraId="5B854B80" w14:textId="77777777" w:rsidR="005716AB" w:rsidRPr="00C41308" w:rsidRDefault="00576A22" w:rsidP="00AC206B">
            <w:pPr>
              <w:pStyle w:val="TableText"/>
              <w:rPr>
                <w:lang w:val="es-ES"/>
              </w:rPr>
            </w:pPr>
            <w:r>
              <w:rPr>
                <w:lang w:val="es-ES"/>
              </w:rPr>
              <w:t>71 + 61</w:t>
            </w:r>
          </w:p>
        </w:tc>
        <w:tc>
          <w:tcPr>
            <w:tcW w:w="298" w:type="pct"/>
            <w:tcBorders>
              <w:top w:val="single" w:sz="12" w:space="0" w:color="auto"/>
            </w:tcBorders>
            <w:shd w:val="clear" w:color="auto" w:fill="auto"/>
          </w:tcPr>
          <w:p w14:paraId="5B854B81" w14:textId="77777777" w:rsidR="005716AB" w:rsidRPr="00C41308" w:rsidRDefault="00576A22" w:rsidP="00AC206B">
            <w:pPr>
              <w:pStyle w:val="TableText"/>
              <w:rPr>
                <w:lang w:val="es-ES"/>
              </w:rPr>
            </w:pPr>
            <w:r>
              <w:rPr>
                <w:lang w:val="es-ES"/>
              </w:rPr>
              <w:t>Chronic</w:t>
            </w:r>
          </w:p>
        </w:tc>
        <w:tc>
          <w:tcPr>
            <w:tcW w:w="397" w:type="pct"/>
            <w:tcBorders>
              <w:top w:val="single" w:sz="12" w:space="0" w:color="auto"/>
            </w:tcBorders>
            <w:shd w:val="clear" w:color="auto" w:fill="auto"/>
          </w:tcPr>
          <w:p w14:paraId="5B854B82" w14:textId="77777777" w:rsidR="005716AB" w:rsidRDefault="00576A22" w:rsidP="00AC206B">
            <w:pPr>
              <w:pStyle w:val="TableText"/>
              <w:rPr>
                <w:lang w:val="es-ES"/>
              </w:rPr>
            </w:pPr>
            <w:r>
              <w:rPr>
                <w:lang w:val="es-ES"/>
              </w:rPr>
              <w:t>L</w:t>
            </w:r>
            <w:r w:rsidR="008D032E">
              <w:rPr>
                <w:lang w:val="es-ES"/>
              </w:rPr>
              <w:t>OEC</w:t>
            </w:r>
          </w:p>
          <w:p w14:paraId="5B854B83" w14:textId="77777777" w:rsidR="005716AB" w:rsidRPr="00C41308" w:rsidRDefault="00576A22" w:rsidP="00AC206B">
            <w:pPr>
              <w:pStyle w:val="TableText"/>
              <w:rPr>
                <w:lang w:val="es-ES"/>
              </w:rPr>
            </w:pPr>
            <w:r>
              <w:rPr>
                <w:lang w:val="es-ES"/>
              </w:rPr>
              <w:t>(</w:t>
            </w:r>
            <w:r w:rsidR="00F534A5">
              <w:rPr>
                <w:lang w:val="es-ES"/>
              </w:rPr>
              <w:t>Mortality</w:t>
            </w:r>
            <w:r>
              <w:rPr>
                <w:lang w:val="es-ES"/>
              </w:rPr>
              <w:t>)</w:t>
            </w:r>
          </w:p>
        </w:tc>
        <w:tc>
          <w:tcPr>
            <w:tcW w:w="446" w:type="pct"/>
            <w:tcBorders>
              <w:top w:val="single" w:sz="12" w:space="0" w:color="auto"/>
            </w:tcBorders>
            <w:shd w:val="clear" w:color="auto" w:fill="auto"/>
          </w:tcPr>
          <w:p w14:paraId="5B854B84" w14:textId="77777777" w:rsidR="005716AB" w:rsidRDefault="00576A22" w:rsidP="00AC206B">
            <w:pPr>
              <w:pStyle w:val="TableText"/>
              <w:rPr>
                <w:lang w:val="es-ES"/>
              </w:rPr>
            </w:pPr>
            <w:r>
              <w:t xml:space="preserve">Lake Superior </w:t>
            </w:r>
            <w:r w:rsidR="00EC5FA8">
              <w:t>–</w:t>
            </w:r>
            <w:r>
              <w:t xml:space="preserve"> filtered</w:t>
            </w:r>
          </w:p>
        </w:tc>
        <w:tc>
          <w:tcPr>
            <w:tcW w:w="447" w:type="pct"/>
            <w:tcBorders>
              <w:top w:val="single" w:sz="12" w:space="0" w:color="auto"/>
            </w:tcBorders>
            <w:shd w:val="clear" w:color="auto" w:fill="auto"/>
          </w:tcPr>
          <w:p w14:paraId="5B854B85" w14:textId="77777777" w:rsidR="005716AB" w:rsidRPr="00C41308" w:rsidRDefault="00576A22" w:rsidP="00AC206B">
            <w:pPr>
              <w:pStyle w:val="TableText"/>
              <w:rPr>
                <w:lang w:val="es-ES"/>
              </w:rPr>
            </w:pPr>
            <w:r>
              <w:rPr>
                <w:lang w:val="es-ES"/>
              </w:rPr>
              <w:t>25</w:t>
            </w:r>
          </w:p>
        </w:tc>
        <w:tc>
          <w:tcPr>
            <w:tcW w:w="200" w:type="pct"/>
            <w:tcBorders>
              <w:top w:val="single" w:sz="12" w:space="0" w:color="auto"/>
            </w:tcBorders>
            <w:shd w:val="clear" w:color="auto" w:fill="auto"/>
          </w:tcPr>
          <w:p w14:paraId="5B854B86" w14:textId="77777777" w:rsidR="005716AB" w:rsidRDefault="00576A22" w:rsidP="00AC206B">
            <w:pPr>
              <w:pStyle w:val="TableText"/>
              <w:rPr>
                <w:lang w:val="es-ES"/>
              </w:rPr>
            </w:pPr>
            <w:r>
              <w:rPr>
                <w:lang w:val="es-ES"/>
              </w:rPr>
              <w:t>–</w:t>
            </w:r>
          </w:p>
        </w:tc>
        <w:tc>
          <w:tcPr>
            <w:tcW w:w="404" w:type="pct"/>
            <w:tcBorders>
              <w:top w:val="single" w:sz="12" w:space="0" w:color="auto"/>
            </w:tcBorders>
            <w:shd w:val="clear" w:color="auto" w:fill="auto"/>
          </w:tcPr>
          <w:p w14:paraId="5B854B87" w14:textId="77777777" w:rsidR="005716AB" w:rsidRDefault="00576A22" w:rsidP="00AC206B">
            <w:pPr>
              <w:pStyle w:val="TableText"/>
              <w:rPr>
                <w:lang w:val="es-ES"/>
              </w:rPr>
            </w:pPr>
            <w:r>
              <w:rPr>
                <w:lang w:val="es-ES"/>
              </w:rPr>
              <w:t>–</w:t>
            </w:r>
          </w:p>
        </w:tc>
        <w:tc>
          <w:tcPr>
            <w:tcW w:w="490" w:type="pct"/>
            <w:tcBorders>
              <w:top w:val="single" w:sz="12" w:space="0" w:color="auto"/>
            </w:tcBorders>
            <w:shd w:val="clear" w:color="auto" w:fill="auto"/>
          </w:tcPr>
          <w:p w14:paraId="5B854B88" w14:textId="77777777" w:rsidR="005716AB" w:rsidRDefault="00576A22" w:rsidP="00AC206B">
            <w:pPr>
              <w:pStyle w:val="TableText"/>
              <w:rPr>
                <w:lang w:val="es-ES"/>
              </w:rPr>
            </w:pPr>
            <w:r>
              <w:rPr>
                <w:lang w:val="es-ES"/>
              </w:rPr>
              <w:t>0.06</w:t>
            </w:r>
          </w:p>
        </w:tc>
        <w:tc>
          <w:tcPr>
            <w:tcW w:w="450" w:type="pct"/>
            <w:tcBorders>
              <w:top w:val="single" w:sz="12" w:space="0" w:color="auto"/>
            </w:tcBorders>
            <w:shd w:val="clear" w:color="auto" w:fill="auto"/>
          </w:tcPr>
          <w:p w14:paraId="5B854B89" w14:textId="77777777" w:rsidR="005716AB" w:rsidRDefault="00576A22" w:rsidP="00AC206B">
            <w:pPr>
              <w:pStyle w:val="TableText"/>
              <w:rPr>
                <w:lang w:val="es-ES"/>
              </w:rPr>
            </w:pPr>
            <w:r>
              <w:rPr>
                <w:lang w:val="es-ES"/>
              </w:rPr>
              <w:t>0.</w:t>
            </w:r>
            <w:r w:rsidR="008D032E">
              <w:rPr>
                <w:lang w:val="es-ES"/>
              </w:rPr>
              <w:t xml:space="preserve">024 </w:t>
            </w:r>
            <w:r w:rsidR="0020406E" w:rsidRPr="00AC206B">
              <w:rPr>
                <w:rStyle w:val="Strong"/>
                <w:vertAlign w:val="superscript"/>
              </w:rPr>
              <w:t>b, c</w:t>
            </w:r>
          </w:p>
        </w:tc>
        <w:tc>
          <w:tcPr>
            <w:tcW w:w="380" w:type="pct"/>
            <w:tcBorders>
              <w:top w:val="single" w:sz="12" w:space="0" w:color="auto"/>
            </w:tcBorders>
            <w:shd w:val="clear" w:color="auto" w:fill="auto"/>
          </w:tcPr>
          <w:p w14:paraId="5B854B8A" w14:textId="77777777" w:rsidR="005716AB" w:rsidRPr="00C41308" w:rsidRDefault="00576A22" w:rsidP="00AC206B">
            <w:pPr>
              <w:pStyle w:val="TableText"/>
              <w:rPr>
                <w:lang w:val="es-ES"/>
              </w:rPr>
            </w:pPr>
            <w:r>
              <w:rPr>
                <w:lang w:val="es-ES"/>
              </w:rPr>
              <w:t>Cook et al. (1991)</w:t>
            </w:r>
          </w:p>
        </w:tc>
      </w:tr>
      <w:tr w:rsidR="006A7BE0" w14:paraId="5B854B99" w14:textId="77777777" w:rsidTr="009F6148">
        <w:trPr>
          <w:cantSplit/>
          <w:jc w:val="center"/>
        </w:trPr>
        <w:tc>
          <w:tcPr>
            <w:tcW w:w="396" w:type="pct"/>
            <w:shd w:val="clear" w:color="auto" w:fill="auto"/>
          </w:tcPr>
          <w:p w14:paraId="5B854B8C" w14:textId="77777777" w:rsidR="005716AB" w:rsidRPr="000F28D1" w:rsidRDefault="00576A22" w:rsidP="00AC206B">
            <w:pPr>
              <w:pStyle w:val="TableText"/>
              <w:rPr>
                <w:highlight w:val="yellow"/>
              </w:rPr>
            </w:pPr>
            <w:r w:rsidRPr="00261260">
              <w:t>Chordata</w:t>
            </w:r>
          </w:p>
        </w:tc>
        <w:tc>
          <w:tcPr>
            <w:tcW w:w="446" w:type="pct"/>
            <w:shd w:val="clear" w:color="auto" w:fill="auto"/>
          </w:tcPr>
          <w:p w14:paraId="5B854B8D" w14:textId="77777777" w:rsidR="005716AB" w:rsidRPr="00EC5FA8" w:rsidRDefault="00576A22" w:rsidP="00AC206B">
            <w:pPr>
              <w:pStyle w:val="TableText"/>
              <w:rPr>
                <w:rStyle w:val="Emphasis"/>
              </w:rPr>
            </w:pPr>
            <w:r w:rsidRPr="00EC5FA8">
              <w:rPr>
                <w:rStyle w:val="Emphasis"/>
              </w:rPr>
              <w:t>Esox lucius</w:t>
            </w:r>
          </w:p>
        </w:tc>
        <w:tc>
          <w:tcPr>
            <w:tcW w:w="299" w:type="pct"/>
            <w:shd w:val="clear" w:color="auto" w:fill="auto"/>
          </w:tcPr>
          <w:p w14:paraId="5B854B8E" w14:textId="77777777" w:rsidR="005716AB" w:rsidRPr="00C41308" w:rsidRDefault="00576A22" w:rsidP="00AC206B">
            <w:pPr>
              <w:pStyle w:val="TableText"/>
            </w:pPr>
            <w:r>
              <w:t>Egg</w:t>
            </w:r>
          </w:p>
        </w:tc>
        <w:tc>
          <w:tcPr>
            <w:tcW w:w="347" w:type="pct"/>
            <w:shd w:val="clear" w:color="auto" w:fill="auto"/>
          </w:tcPr>
          <w:p w14:paraId="5B854B8F" w14:textId="77777777" w:rsidR="005716AB" w:rsidRPr="00C41308" w:rsidRDefault="00576A22" w:rsidP="00AC206B">
            <w:pPr>
              <w:pStyle w:val="TableText"/>
            </w:pPr>
            <w:r>
              <w:t>4</w:t>
            </w:r>
            <w:r w:rsidR="005D37F2">
              <w:t xml:space="preserve"> </w:t>
            </w:r>
            <w:r>
              <w:t>+</w:t>
            </w:r>
            <w:r w:rsidR="005D37F2">
              <w:t xml:space="preserve"> </w:t>
            </w:r>
            <w:r w:rsidR="003B2CF4">
              <w:t>1</w:t>
            </w:r>
            <w:r>
              <w:t>1</w:t>
            </w:r>
          </w:p>
        </w:tc>
        <w:tc>
          <w:tcPr>
            <w:tcW w:w="298" w:type="pct"/>
            <w:shd w:val="clear" w:color="auto" w:fill="auto"/>
          </w:tcPr>
          <w:p w14:paraId="5B854B90" w14:textId="77777777" w:rsidR="005716AB" w:rsidRPr="00C41308" w:rsidRDefault="00576A22" w:rsidP="00AC206B">
            <w:pPr>
              <w:pStyle w:val="TableText"/>
            </w:pPr>
            <w:r>
              <w:t>Acute</w:t>
            </w:r>
          </w:p>
        </w:tc>
        <w:tc>
          <w:tcPr>
            <w:tcW w:w="397" w:type="pct"/>
            <w:shd w:val="clear" w:color="auto" w:fill="auto"/>
          </w:tcPr>
          <w:p w14:paraId="5B854B91" w14:textId="77777777" w:rsidR="005716AB" w:rsidRPr="00C41308" w:rsidRDefault="00576A22" w:rsidP="00AC206B">
            <w:pPr>
              <w:pStyle w:val="TableText"/>
            </w:pPr>
            <w:r>
              <w:t>LC49</w:t>
            </w:r>
            <w:r w:rsidRPr="00C41308">
              <w:t xml:space="preserve"> (</w:t>
            </w:r>
            <w:r>
              <w:t>Mortality</w:t>
            </w:r>
            <w:r w:rsidRPr="00C41308">
              <w:t>)</w:t>
            </w:r>
          </w:p>
        </w:tc>
        <w:tc>
          <w:tcPr>
            <w:tcW w:w="446" w:type="pct"/>
            <w:shd w:val="clear" w:color="auto" w:fill="auto"/>
          </w:tcPr>
          <w:p w14:paraId="5B854B92" w14:textId="77777777" w:rsidR="005716AB" w:rsidRPr="00C41308" w:rsidRDefault="00576A22" w:rsidP="00AC206B">
            <w:pPr>
              <w:pStyle w:val="TableText"/>
            </w:pPr>
            <w:r>
              <w:t>Dechlorinated tap water</w:t>
            </w:r>
          </w:p>
        </w:tc>
        <w:tc>
          <w:tcPr>
            <w:tcW w:w="447" w:type="pct"/>
            <w:shd w:val="clear" w:color="auto" w:fill="auto"/>
          </w:tcPr>
          <w:p w14:paraId="5B854B93" w14:textId="77777777" w:rsidR="005716AB" w:rsidRPr="00C41308" w:rsidRDefault="00576A22" w:rsidP="00AC206B">
            <w:pPr>
              <w:pStyle w:val="TableText"/>
            </w:pPr>
            <w:r>
              <w:t>14</w:t>
            </w:r>
            <w:r w:rsidR="004673BD">
              <w:t xml:space="preserve"> </w:t>
            </w:r>
            <w:r w:rsidRPr="0033133A">
              <w:rPr>
                <w:u w:val="single"/>
              </w:rPr>
              <w:t>+</w:t>
            </w:r>
            <w:r w:rsidR="004673BD">
              <w:rPr>
                <w:u w:val="single"/>
              </w:rPr>
              <w:t xml:space="preserve"> </w:t>
            </w:r>
            <w:r>
              <w:t>0.5</w:t>
            </w:r>
          </w:p>
        </w:tc>
        <w:tc>
          <w:tcPr>
            <w:tcW w:w="200" w:type="pct"/>
            <w:shd w:val="clear" w:color="auto" w:fill="auto"/>
          </w:tcPr>
          <w:p w14:paraId="5B854B94" w14:textId="77777777" w:rsidR="005716AB" w:rsidRPr="00C41308" w:rsidRDefault="00576A22" w:rsidP="00AC206B">
            <w:pPr>
              <w:pStyle w:val="TableText"/>
            </w:pPr>
            <w:r>
              <w:t>6.9</w:t>
            </w:r>
          </w:p>
        </w:tc>
        <w:tc>
          <w:tcPr>
            <w:tcW w:w="404" w:type="pct"/>
            <w:shd w:val="clear" w:color="auto" w:fill="auto"/>
          </w:tcPr>
          <w:p w14:paraId="5B854B95" w14:textId="77777777" w:rsidR="005716AB" w:rsidRPr="00C41308" w:rsidRDefault="00576A22" w:rsidP="00AC206B">
            <w:pPr>
              <w:pStyle w:val="TableText"/>
            </w:pPr>
            <w:r>
              <w:t>94</w:t>
            </w:r>
            <w:r w:rsidR="00EC5FA8">
              <w:t>–</w:t>
            </w:r>
            <w:r>
              <w:t>102</w:t>
            </w:r>
          </w:p>
        </w:tc>
        <w:tc>
          <w:tcPr>
            <w:tcW w:w="490" w:type="pct"/>
            <w:shd w:val="clear" w:color="auto" w:fill="auto"/>
          </w:tcPr>
          <w:p w14:paraId="5B854B96" w14:textId="77777777" w:rsidR="005716AB" w:rsidRPr="00C54740" w:rsidRDefault="00576A22" w:rsidP="00AC206B">
            <w:pPr>
              <w:pStyle w:val="TableText"/>
            </w:pPr>
            <w:r>
              <w:t>1</w:t>
            </w:r>
          </w:p>
        </w:tc>
        <w:tc>
          <w:tcPr>
            <w:tcW w:w="450" w:type="pct"/>
            <w:shd w:val="clear" w:color="auto" w:fill="auto"/>
          </w:tcPr>
          <w:p w14:paraId="5B854B97" w14:textId="77777777" w:rsidR="005716AB" w:rsidRPr="00C41308" w:rsidRDefault="00576A22" w:rsidP="00AC206B">
            <w:pPr>
              <w:pStyle w:val="TableText"/>
            </w:pPr>
            <w:r>
              <w:t>0.1</w:t>
            </w:r>
            <w:r w:rsidR="0020406E">
              <w:t xml:space="preserve"> </w:t>
            </w:r>
            <w:r w:rsidR="0020406E" w:rsidRPr="00AC206B">
              <w:rPr>
                <w:rStyle w:val="Strong"/>
                <w:vertAlign w:val="superscript"/>
              </w:rPr>
              <w:t>b, c</w:t>
            </w:r>
          </w:p>
        </w:tc>
        <w:tc>
          <w:tcPr>
            <w:tcW w:w="380" w:type="pct"/>
            <w:shd w:val="clear" w:color="auto" w:fill="auto"/>
          </w:tcPr>
          <w:p w14:paraId="5B854B98" w14:textId="77777777" w:rsidR="005716AB" w:rsidRPr="00C41308" w:rsidRDefault="00576A22" w:rsidP="00AC206B">
            <w:pPr>
              <w:pStyle w:val="TableText"/>
              <w:rPr>
                <w:highlight w:val="yellow"/>
              </w:rPr>
            </w:pPr>
            <w:r w:rsidRPr="00C54740">
              <w:t>Helder</w:t>
            </w:r>
            <w:r w:rsidR="00EC5FA8">
              <w:t xml:space="preserve"> (</w:t>
            </w:r>
            <w:r w:rsidRPr="00C54740">
              <w:t>1980</w:t>
            </w:r>
            <w:r w:rsidR="00EC5FA8">
              <w:t>)</w:t>
            </w:r>
          </w:p>
        </w:tc>
      </w:tr>
      <w:tr w:rsidR="006A7BE0" w14:paraId="5B854BA8" w14:textId="77777777" w:rsidTr="009F6148">
        <w:trPr>
          <w:cantSplit/>
          <w:jc w:val="center"/>
        </w:trPr>
        <w:tc>
          <w:tcPr>
            <w:tcW w:w="396" w:type="pct"/>
            <w:shd w:val="clear" w:color="auto" w:fill="auto"/>
          </w:tcPr>
          <w:p w14:paraId="5B854B9A" w14:textId="77777777" w:rsidR="005716AB" w:rsidRPr="00C41308" w:rsidRDefault="00576A22" w:rsidP="00AC206B">
            <w:pPr>
              <w:pStyle w:val="TableText"/>
              <w:rPr>
                <w:highlight w:val="yellow"/>
              </w:rPr>
            </w:pPr>
            <w:r w:rsidRPr="00261260">
              <w:t>Chordata</w:t>
            </w:r>
          </w:p>
        </w:tc>
        <w:tc>
          <w:tcPr>
            <w:tcW w:w="446" w:type="pct"/>
            <w:shd w:val="clear" w:color="auto" w:fill="auto"/>
          </w:tcPr>
          <w:p w14:paraId="5B854B9B" w14:textId="77777777" w:rsidR="005716AB" w:rsidRPr="00EC5FA8" w:rsidRDefault="00576A22" w:rsidP="00AC206B">
            <w:pPr>
              <w:pStyle w:val="TableText"/>
              <w:rPr>
                <w:rStyle w:val="Emphasis"/>
              </w:rPr>
            </w:pPr>
            <w:r w:rsidRPr="00EC5FA8">
              <w:rPr>
                <w:rStyle w:val="Emphasis"/>
              </w:rPr>
              <w:t>Oncorhync</w:t>
            </w:r>
            <w:r w:rsidR="00811C3B">
              <w:rPr>
                <w:rStyle w:val="Emphasis"/>
              </w:rPr>
              <w:t>h</w:t>
            </w:r>
            <w:r w:rsidRPr="00EC5FA8">
              <w:rPr>
                <w:rStyle w:val="Emphasis"/>
              </w:rPr>
              <w:t>us kisutch</w:t>
            </w:r>
          </w:p>
        </w:tc>
        <w:tc>
          <w:tcPr>
            <w:tcW w:w="299" w:type="pct"/>
            <w:shd w:val="clear" w:color="auto" w:fill="auto"/>
          </w:tcPr>
          <w:p w14:paraId="5B854B9C" w14:textId="77777777" w:rsidR="005716AB" w:rsidRDefault="00576A22" w:rsidP="00AC206B">
            <w:pPr>
              <w:pStyle w:val="TableText"/>
            </w:pPr>
            <w:r>
              <w:t>Juvenile</w:t>
            </w:r>
          </w:p>
        </w:tc>
        <w:tc>
          <w:tcPr>
            <w:tcW w:w="347" w:type="pct"/>
            <w:shd w:val="clear" w:color="auto" w:fill="auto"/>
          </w:tcPr>
          <w:p w14:paraId="5B854B9D" w14:textId="77777777" w:rsidR="005716AB" w:rsidRDefault="00576A22" w:rsidP="00AC206B">
            <w:pPr>
              <w:pStyle w:val="TableText"/>
            </w:pPr>
            <w:r>
              <w:t>4 + 60</w:t>
            </w:r>
          </w:p>
        </w:tc>
        <w:tc>
          <w:tcPr>
            <w:tcW w:w="298" w:type="pct"/>
            <w:shd w:val="clear" w:color="auto" w:fill="auto"/>
          </w:tcPr>
          <w:p w14:paraId="5B854B9E" w14:textId="77777777" w:rsidR="005716AB" w:rsidRDefault="00576A22" w:rsidP="00AC206B">
            <w:pPr>
              <w:pStyle w:val="TableText"/>
            </w:pPr>
            <w:r>
              <w:t>Acute</w:t>
            </w:r>
          </w:p>
        </w:tc>
        <w:tc>
          <w:tcPr>
            <w:tcW w:w="397" w:type="pct"/>
            <w:shd w:val="clear" w:color="auto" w:fill="auto"/>
          </w:tcPr>
          <w:p w14:paraId="5B854B9F" w14:textId="77777777" w:rsidR="005716AB" w:rsidRDefault="00576A22" w:rsidP="00AC206B">
            <w:pPr>
              <w:pStyle w:val="TableText"/>
            </w:pPr>
            <w:r>
              <w:t>LC55</w:t>
            </w:r>
          </w:p>
          <w:p w14:paraId="5B854BA0" w14:textId="77777777" w:rsidR="005716AB" w:rsidRDefault="00576A22" w:rsidP="00AC206B">
            <w:pPr>
              <w:pStyle w:val="TableText"/>
            </w:pPr>
            <w:r>
              <w:t>(Mortality)</w:t>
            </w:r>
          </w:p>
        </w:tc>
        <w:tc>
          <w:tcPr>
            <w:tcW w:w="446" w:type="pct"/>
            <w:shd w:val="clear" w:color="auto" w:fill="auto"/>
          </w:tcPr>
          <w:p w14:paraId="5B854BA1" w14:textId="77777777" w:rsidR="005716AB" w:rsidRPr="007B72BB" w:rsidRDefault="00576A22" w:rsidP="00AC206B">
            <w:pPr>
              <w:pStyle w:val="TableText"/>
            </w:pPr>
            <w:r w:rsidRPr="007B72BB">
              <w:t>Well water</w:t>
            </w:r>
          </w:p>
        </w:tc>
        <w:tc>
          <w:tcPr>
            <w:tcW w:w="447" w:type="pct"/>
            <w:shd w:val="clear" w:color="auto" w:fill="auto"/>
          </w:tcPr>
          <w:p w14:paraId="5B854BA2" w14:textId="77777777" w:rsidR="005716AB" w:rsidRPr="00605CBC" w:rsidRDefault="00576A22" w:rsidP="00AC206B">
            <w:pPr>
              <w:pStyle w:val="TableText"/>
              <w:rPr>
                <w:i/>
              </w:rPr>
            </w:pPr>
            <w:r>
              <w:t>12</w:t>
            </w:r>
            <w:r w:rsidR="00EC5FA8">
              <w:t>–</w:t>
            </w:r>
            <w:r>
              <w:t>18</w:t>
            </w:r>
          </w:p>
        </w:tc>
        <w:tc>
          <w:tcPr>
            <w:tcW w:w="200" w:type="pct"/>
            <w:shd w:val="clear" w:color="auto" w:fill="auto"/>
          </w:tcPr>
          <w:p w14:paraId="5B854BA3" w14:textId="77777777" w:rsidR="005716AB" w:rsidRDefault="00576A22" w:rsidP="00AC206B">
            <w:pPr>
              <w:pStyle w:val="TableText"/>
            </w:pPr>
            <w:r>
              <w:t>6.9</w:t>
            </w:r>
          </w:p>
        </w:tc>
        <w:tc>
          <w:tcPr>
            <w:tcW w:w="404" w:type="pct"/>
            <w:shd w:val="clear" w:color="auto" w:fill="auto"/>
          </w:tcPr>
          <w:p w14:paraId="5B854BA4" w14:textId="77777777" w:rsidR="005716AB" w:rsidRDefault="00576A22" w:rsidP="00AC206B">
            <w:pPr>
              <w:pStyle w:val="TableText"/>
            </w:pPr>
            <w:r>
              <w:t>64</w:t>
            </w:r>
          </w:p>
        </w:tc>
        <w:tc>
          <w:tcPr>
            <w:tcW w:w="490" w:type="pct"/>
            <w:shd w:val="clear" w:color="auto" w:fill="auto"/>
          </w:tcPr>
          <w:p w14:paraId="5B854BA5" w14:textId="77777777" w:rsidR="005716AB" w:rsidRDefault="00576A22" w:rsidP="00AC206B">
            <w:pPr>
              <w:pStyle w:val="TableText"/>
            </w:pPr>
            <w:r>
              <w:t>5.6</w:t>
            </w:r>
          </w:p>
        </w:tc>
        <w:tc>
          <w:tcPr>
            <w:tcW w:w="450" w:type="pct"/>
            <w:shd w:val="clear" w:color="auto" w:fill="auto"/>
          </w:tcPr>
          <w:p w14:paraId="5B854BA6" w14:textId="77777777" w:rsidR="005716AB" w:rsidRDefault="00576A22" w:rsidP="00AC206B">
            <w:pPr>
              <w:pStyle w:val="TableText"/>
              <w:rPr>
                <w:lang w:val="es-ES"/>
              </w:rPr>
            </w:pPr>
            <w:r>
              <w:rPr>
                <w:lang w:val="es-ES"/>
              </w:rPr>
              <w:t>0.56</w:t>
            </w:r>
            <w:r w:rsidR="0020406E">
              <w:rPr>
                <w:lang w:val="es-ES"/>
              </w:rPr>
              <w:t xml:space="preserve"> </w:t>
            </w:r>
            <w:r w:rsidR="0020406E" w:rsidRPr="00AC206B">
              <w:rPr>
                <w:rStyle w:val="Strong"/>
                <w:vertAlign w:val="superscript"/>
              </w:rPr>
              <w:t>b, c</w:t>
            </w:r>
          </w:p>
        </w:tc>
        <w:tc>
          <w:tcPr>
            <w:tcW w:w="380" w:type="pct"/>
            <w:shd w:val="clear" w:color="auto" w:fill="auto"/>
          </w:tcPr>
          <w:p w14:paraId="5B854BA7" w14:textId="77777777" w:rsidR="005716AB" w:rsidRDefault="00576A22" w:rsidP="00AC206B">
            <w:pPr>
              <w:pStyle w:val="TableText"/>
            </w:pPr>
            <w:r>
              <w:t xml:space="preserve">Miller et al. </w:t>
            </w:r>
            <w:r w:rsidR="00EC5FA8">
              <w:t>(</w:t>
            </w:r>
            <w:r>
              <w:t>1973</w:t>
            </w:r>
            <w:r w:rsidR="00EC5FA8">
              <w:t>)</w:t>
            </w:r>
          </w:p>
        </w:tc>
      </w:tr>
      <w:tr w:rsidR="006A7BE0" w14:paraId="5B854BB7" w14:textId="77777777" w:rsidTr="009F6148">
        <w:trPr>
          <w:cantSplit/>
          <w:jc w:val="center"/>
        </w:trPr>
        <w:tc>
          <w:tcPr>
            <w:tcW w:w="396" w:type="pct"/>
            <w:shd w:val="clear" w:color="auto" w:fill="auto"/>
          </w:tcPr>
          <w:p w14:paraId="5B854BA9" w14:textId="77777777" w:rsidR="005716AB" w:rsidRPr="00C41308" w:rsidRDefault="00576A22" w:rsidP="00AC206B">
            <w:pPr>
              <w:pStyle w:val="TableText"/>
              <w:rPr>
                <w:highlight w:val="yellow"/>
              </w:rPr>
            </w:pPr>
            <w:r w:rsidRPr="00261260">
              <w:t>Chordata</w:t>
            </w:r>
          </w:p>
        </w:tc>
        <w:tc>
          <w:tcPr>
            <w:tcW w:w="446" w:type="pct"/>
            <w:shd w:val="clear" w:color="auto" w:fill="auto"/>
          </w:tcPr>
          <w:p w14:paraId="5B854BAA" w14:textId="77777777" w:rsidR="005716AB" w:rsidRPr="00EC5FA8" w:rsidRDefault="00576A22" w:rsidP="00AC206B">
            <w:pPr>
              <w:pStyle w:val="TableText"/>
              <w:rPr>
                <w:rStyle w:val="Emphasis"/>
              </w:rPr>
            </w:pPr>
            <w:r w:rsidRPr="00EC5FA8">
              <w:rPr>
                <w:rStyle w:val="Emphasis"/>
              </w:rPr>
              <w:t>Oncorhynchus mykiss</w:t>
            </w:r>
          </w:p>
        </w:tc>
        <w:tc>
          <w:tcPr>
            <w:tcW w:w="299" w:type="pct"/>
            <w:shd w:val="clear" w:color="auto" w:fill="auto"/>
          </w:tcPr>
          <w:p w14:paraId="5B854BAB" w14:textId="77777777" w:rsidR="005716AB" w:rsidRDefault="00576A22" w:rsidP="00AC206B">
            <w:pPr>
              <w:pStyle w:val="TableText"/>
            </w:pPr>
            <w:r>
              <w:t>Fry</w:t>
            </w:r>
          </w:p>
        </w:tc>
        <w:tc>
          <w:tcPr>
            <w:tcW w:w="347" w:type="pct"/>
            <w:shd w:val="clear" w:color="auto" w:fill="auto"/>
          </w:tcPr>
          <w:p w14:paraId="5B854BAC" w14:textId="77777777" w:rsidR="005716AB" w:rsidRDefault="00576A22" w:rsidP="00AC206B">
            <w:pPr>
              <w:pStyle w:val="TableText"/>
            </w:pPr>
            <w:r>
              <w:t>28</w:t>
            </w:r>
            <w:r w:rsidR="00987B5B">
              <w:t xml:space="preserve"> + 28</w:t>
            </w:r>
          </w:p>
        </w:tc>
        <w:tc>
          <w:tcPr>
            <w:tcW w:w="298" w:type="pct"/>
            <w:shd w:val="clear" w:color="auto" w:fill="auto"/>
          </w:tcPr>
          <w:p w14:paraId="5B854BAD" w14:textId="77777777" w:rsidR="005716AB" w:rsidRDefault="00576A22" w:rsidP="00AC206B">
            <w:pPr>
              <w:pStyle w:val="TableText"/>
            </w:pPr>
            <w:r>
              <w:t>Chronic</w:t>
            </w:r>
          </w:p>
        </w:tc>
        <w:tc>
          <w:tcPr>
            <w:tcW w:w="397" w:type="pct"/>
            <w:shd w:val="clear" w:color="auto" w:fill="auto"/>
          </w:tcPr>
          <w:p w14:paraId="5B854BAE" w14:textId="77777777" w:rsidR="005716AB" w:rsidRDefault="00576A22" w:rsidP="00AC206B">
            <w:pPr>
              <w:pStyle w:val="TableText"/>
            </w:pPr>
            <w:r>
              <w:t xml:space="preserve">LOEC </w:t>
            </w:r>
          </w:p>
          <w:p w14:paraId="5B854BAF" w14:textId="77777777" w:rsidR="005716AB" w:rsidRDefault="00576A22" w:rsidP="00AC206B">
            <w:pPr>
              <w:pStyle w:val="TableText"/>
            </w:pPr>
            <w:r>
              <w:t>(Growth – wet w</w:t>
            </w:r>
            <w:r w:rsidR="0020406E">
              <w:t>eigh</w:t>
            </w:r>
            <w:r>
              <w:t>t)</w:t>
            </w:r>
          </w:p>
        </w:tc>
        <w:tc>
          <w:tcPr>
            <w:tcW w:w="446" w:type="pct"/>
            <w:shd w:val="clear" w:color="auto" w:fill="auto"/>
          </w:tcPr>
          <w:p w14:paraId="5B854BB0" w14:textId="77777777" w:rsidR="005716AB" w:rsidRDefault="00576A22" w:rsidP="00AC206B">
            <w:pPr>
              <w:pStyle w:val="TableText"/>
            </w:pPr>
            <w:r>
              <w:t>Reconstituted water</w:t>
            </w:r>
          </w:p>
        </w:tc>
        <w:tc>
          <w:tcPr>
            <w:tcW w:w="447" w:type="pct"/>
            <w:shd w:val="clear" w:color="auto" w:fill="auto"/>
          </w:tcPr>
          <w:p w14:paraId="5B854BB1" w14:textId="77777777" w:rsidR="005716AB" w:rsidRDefault="00576A22" w:rsidP="00AC206B">
            <w:pPr>
              <w:pStyle w:val="TableText"/>
            </w:pPr>
            <w:r>
              <w:t>9</w:t>
            </w:r>
            <w:r w:rsidR="00EC5FA8">
              <w:t>–</w:t>
            </w:r>
            <w:r>
              <w:t>13</w:t>
            </w:r>
          </w:p>
        </w:tc>
        <w:tc>
          <w:tcPr>
            <w:tcW w:w="200" w:type="pct"/>
            <w:shd w:val="clear" w:color="auto" w:fill="auto"/>
          </w:tcPr>
          <w:p w14:paraId="5B854BB2" w14:textId="77777777" w:rsidR="005716AB" w:rsidRDefault="00576A22" w:rsidP="00AC206B">
            <w:pPr>
              <w:pStyle w:val="TableText"/>
            </w:pPr>
            <w:r>
              <w:t>7.5–7.9</w:t>
            </w:r>
          </w:p>
        </w:tc>
        <w:tc>
          <w:tcPr>
            <w:tcW w:w="404" w:type="pct"/>
            <w:shd w:val="clear" w:color="auto" w:fill="auto"/>
          </w:tcPr>
          <w:p w14:paraId="5B854BB3" w14:textId="77777777" w:rsidR="005716AB" w:rsidRDefault="00576A22" w:rsidP="00AC206B">
            <w:pPr>
              <w:pStyle w:val="TableText"/>
            </w:pPr>
            <w:r>
              <w:t>50–87</w:t>
            </w:r>
          </w:p>
        </w:tc>
        <w:tc>
          <w:tcPr>
            <w:tcW w:w="490" w:type="pct"/>
            <w:shd w:val="clear" w:color="auto" w:fill="auto"/>
          </w:tcPr>
          <w:p w14:paraId="5B854BB4" w14:textId="77777777" w:rsidR="005716AB" w:rsidRDefault="00576A22" w:rsidP="00AC206B">
            <w:pPr>
              <w:pStyle w:val="TableText"/>
            </w:pPr>
            <w:r>
              <w:t>0.038</w:t>
            </w:r>
          </w:p>
        </w:tc>
        <w:tc>
          <w:tcPr>
            <w:tcW w:w="450" w:type="pct"/>
            <w:shd w:val="clear" w:color="auto" w:fill="auto"/>
          </w:tcPr>
          <w:p w14:paraId="5B854BB5" w14:textId="77777777" w:rsidR="005716AB" w:rsidRDefault="00576A22" w:rsidP="00AC206B">
            <w:pPr>
              <w:pStyle w:val="TableText"/>
              <w:rPr>
                <w:lang w:val="es-ES"/>
              </w:rPr>
            </w:pPr>
            <w:r>
              <w:rPr>
                <w:lang w:val="es-ES"/>
              </w:rPr>
              <w:t>0.015</w:t>
            </w:r>
            <w:r w:rsidR="0020406E">
              <w:rPr>
                <w:lang w:val="es-ES"/>
              </w:rPr>
              <w:t xml:space="preserve"> </w:t>
            </w:r>
            <w:r w:rsidR="0020406E" w:rsidRPr="00AC206B">
              <w:rPr>
                <w:rStyle w:val="Strong"/>
                <w:vertAlign w:val="superscript"/>
              </w:rPr>
              <w:t>b, c</w:t>
            </w:r>
          </w:p>
        </w:tc>
        <w:tc>
          <w:tcPr>
            <w:tcW w:w="380" w:type="pct"/>
            <w:shd w:val="clear" w:color="auto" w:fill="auto"/>
          </w:tcPr>
          <w:p w14:paraId="5B854BB6" w14:textId="77777777" w:rsidR="005716AB" w:rsidRDefault="00576A22" w:rsidP="00AC206B">
            <w:pPr>
              <w:pStyle w:val="TableText"/>
            </w:pPr>
            <w:r>
              <w:t>Mehrle et al. (1988)</w:t>
            </w:r>
          </w:p>
        </w:tc>
      </w:tr>
      <w:tr w:rsidR="006A7BE0" w14:paraId="5B854BC5" w14:textId="77777777" w:rsidTr="009F6148">
        <w:trPr>
          <w:cantSplit/>
          <w:jc w:val="center"/>
        </w:trPr>
        <w:tc>
          <w:tcPr>
            <w:tcW w:w="396" w:type="pct"/>
            <w:shd w:val="clear" w:color="auto" w:fill="auto"/>
          </w:tcPr>
          <w:p w14:paraId="5B854BB8" w14:textId="77777777" w:rsidR="005716AB" w:rsidRPr="00C41308" w:rsidRDefault="00576A22" w:rsidP="00AC206B">
            <w:pPr>
              <w:pStyle w:val="TableText"/>
              <w:rPr>
                <w:highlight w:val="yellow"/>
              </w:rPr>
            </w:pPr>
            <w:r w:rsidRPr="00261260">
              <w:t>Chordata</w:t>
            </w:r>
          </w:p>
        </w:tc>
        <w:tc>
          <w:tcPr>
            <w:tcW w:w="446" w:type="pct"/>
            <w:shd w:val="clear" w:color="auto" w:fill="auto"/>
          </w:tcPr>
          <w:p w14:paraId="5B854BB9" w14:textId="77777777" w:rsidR="005716AB" w:rsidRPr="00EC5FA8" w:rsidRDefault="00576A22" w:rsidP="00AC206B">
            <w:pPr>
              <w:pStyle w:val="TableText"/>
              <w:rPr>
                <w:rStyle w:val="Emphasis"/>
              </w:rPr>
            </w:pPr>
            <w:r w:rsidRPr="00EC5FA8">
              <w:rPr>
                <w:rStyle w:val="Emphasis"/>
              </w:rPr>
              <w:t>Oryzias latipes</w:t>
            </w:r>
          </w:p>
        </w:tc>
        <w:tc>
          <w:tcPr>
            <w:tcW w:w="299" w:type="pct"/>
            <w:shd w:val="clear" w:color="auto" w:fill="auto"/>
          </w:tcPr>
          <w:p w14:paraId="5B854BBA" w14:textId="77777777" w:rsidR="005716AB" w:rsidRDefault="00576A22" w:rsidP="00AC206B">
            <w:pPr>
              <w:pStyle w:val="TableText"/>
            </w:pPr>
            <w:r>
              <w:t>Embryo</w:t>
            </w:r>
          </w:p>
        </w:tc>
        <w:tc>
          <w:tcPr>
            <w:tcW w:w="347" w:type="pct"/>
            <w:shd w:val="clear" w:color="auto" w:fill="auto"/>
          </w:tcPr>
          <w:p w14:paraId="5B854BBB" w14:textId="77777777" w:rsidR="005716AB" w:rsidRDefault="00576A22" w:rsidP="00AC206B">
            <w:pPr>
              <w:pStyle w:val="TableText"/>
            </w:pPr>
            <w:r>
              <w:t>11</w:t>
            </w:r>
          </w:p>
        </w:tc>
        <w:tc>
          <w:tcPr>
            <w:tcW w:w="298" w:type="pct"/>
            <w:shd w:val="clear" w:color="auto" w:fill="auto"/>
          </w:tcPr>
          <w:p w14:paraId="5B854BBC" w14:textId="77777777" w:rsidR="005716AB" w:rsidRDefault="00576A22" w:rsidP="00AC206B">
            <w:pPr>
              <w:pStyle w:val="TableText"/>
            </w:pPr>
            <w:r>
              <w:t>Chronic</w:t>
            </w:r>
          </w:p>
        </w:tc>
        <w:tc>
          <w:tcPr>
            <w:tcW w:w="397" w:type="pct"/>
            <w:shd w:val="clear" w:color="auto" w:fill="auto"/>
          </w:tcPr>
          <w:p w14:paraId="5B854BBD" w14:textId="77777777" w:rsidR="005716AB" w:rsidRDefault="00576A22" w:rsidP="00AC206B">
            <w:pPr>
              <w:pStyle w:val="TableText"/>
            </w:pPr>
            <w:r>
              <w:t xml:space="preserve">NOEC </w:t>
            </w:r>
            <w:r w:rsidR="003B2CF4">
              <w:t>(Mortality)</w:t>
            </w:r>
          </w:p>
        </w:tc>
        <w:tc>
          <w:tcPr>
            <w:tcW w:w="446" w:type="pct"/>
            <w:shd w:val="clear" w:color="auto" w:fill="auto"/>
          </w:tcPr>
          <w:p w14:paraId="5B854BBE" w14:textId="77777777" w:rsidR="005716AB" w:rsidRDefault="00576A22" w:rsidP="00AC206B">
            <w:pPr>
              <w:pStyle w:val="TableText"/>
            </w:pPr>
            <w:r>
              <w:t>‘Rearing solution’</w:t>
            </w:r>
            <w:r w:rsidR="00EC5FA8">
              <w:t xml:space="preserve"> </w:t>
            </w:r>
            <w:r w:rsidRPr="00EC5FA8">
              <w:rPr>
                <w:rStyle w:val="Strong"/>
                <w:vertAlign w:val="superscript"/>
              </w:rPr>
              <w:t>e</w:t>
            </w:r>
          </w:p>
        </w:tc>
        <w:tc>
          <w:tcPr>
            <w:tcW w:w="447" w:type="pct"/>
            <w:shd w:val="clear" w:color="auto" w:fill="auto"/>
          </w:tcPr>
          <w:p w14:paraId="5B854BBF" w14:textId="77777777" w:rsidR="005716AB" w:rsidRDefault="00576A22" w:rsidP="00AC206B">
            <w:pPr>
              <w:pStyle w:val="TableText"/>
            </w:pPr>
            <w:r>
              <w:t>25</w:t>
            </w:r>
            <w:r w:rsidR="004673BD">
              <w:t xml:space="preserve"> </w:t>
            </w:r>
            <w:r w:rsidRPr="00FA6736">
              <w:rPr>
                <w:u w:val="single"/>
              </w:rPr>
              <w:t>+</w:t>
            </w:r>
            <w:r w:rsidR="004673BD">
              <w:rPr>
                <w:u w:val="single"/>
              </w:rPr>
              <w:t xml:space="preserve"> </w:t>
            </w:r>
            <w:r>
              <w:t>2</w:t>
            </w:r>
          </w:p>
        </w:tc>
        <w:tc>
          <w:tcPr>
            <w:tcW w:w="200" w:type="pct"/>
            <w:shd w:val="clear" w:color="auto" w:fill="auto"/>
          </w:tcPr>
          <w:p w14:paraId="5B854BC0" w14:textId="77777777" w:rsidR="005716AB" w:rsidRDefault="00576A22" w:rsidP="00AC206B">
            <w:pPr>
              <w:pStyle w:val="TableText"/>
            </w:pPr>
            <w:r>
              <w:t>–</w:t>
            </w:r>
          </w:p>
        </w:tc>
        <w:tc>
          <w:tcPr>
            <w:tcW w:w="404" w:type="pct"/>
            <w:shd w:val="clear" w:color="auto" w:fill="auto"/>
          </w:tcPr>
          <w:p w14:paraId="5B854BC1" w14:textId="77777777" w:rsidR="005716AB" w:rsidRPr="003A2F4C" w:rsidRDefault="00576A22" w:rsidP="00AC206B">
            <w:pPr>
              <w:pStyle w:val="TableText"/>
            </w:pPr>
            <w:r w:rsidRPr="003A2F4C">
              <w:t>2</w:t>
            </w:r>
          </w:p>
        </w:tc>
        <w:tc>
          <w:tcPr>
            <w:tcW w:w="490" w:type="pct"/>
            <w:shd w:val="clear" w:color="auto" w:fill="auto"/>
          </w:tcPr>
          <w:p w14:paraId="5B854BC2" w14:textId="77777777" w:rsidR="005716AB" w:rsidRDefault="00576A22" w:rsidP="00AC206B">
            <w:pPr>
              <w:pStyle w:val="TableText"/>
            </w:pPr>
            <w:r>
              <w:t>2.5</w:t>
            </w:r>
          </w:p>
        </w:tc>
        <w:tc>
          <w:tcPr>
            <w:tcW w:w="450" w:type="pct"/>
            <w:shd w:val="clear" w:color="auto" w:fill="auto"/>
          </w:tcPr>
          <w:p w14:paraId="5B854BC3" w14:textId="77777777" w:rsidR="005716AB" w:rsidRDefault="00576A22" w:rsidP="00AC206B">
            <w:pPr>
              <w:pStyle w:val="TableText"/>
              <w:rPr>
                <w:lang w:val="es-ES"/>
              </w:rPr>
            </w:pPr>
            <w:r>
              <w:rPr>
                <w:lang w:val="es-ES"/>
              </w:rPr>
              <w:t>2.5</w:t>
            </w:r>
            <w:r w:rsidR="0020406E">
              <w:rPr>
                <w:lang w:val="es-ES"/>
              </w:rPr>
              <w:t xml:space="preserve"> </w:t>
            </w:r>
            <w:r w:rsidR="0020406E" w:rsidRPr="00AC206B">
              <w:rPr>
                <w:rStyle w:val="Strong"/>
                <w:vertAlign w:val="superscript"/>
              </w:rPr>
              <w:t>b, c</w:t>
            </w:r>
          </w:p>
        </w:tc>
        <w:tc>
          <w:tcPr>
            <w:tcW w:w="380" w:type="pct"/>
            <w:shd w:val="clear" w:color="auto" w:fill="auto"/>
          </w:tcPr>
          <w:p w14:paraId="5B854BC4" w14:textId="77777777" w:rsidR="005716AB" w:rsidRDefault="00576A22" w:rsidP="00AC206B">
            <w:pPr>
              <w:pStyle w:val="TableText"/>
            </w:pPr>
            <w:r>
              <w:t>Kim and Cooper (1999)</w:t>
            </w:r>
          </w:p>
        </w:tc>
      </w:tr>
      <w:tr w:rsidR="006A7BE0" w14:paraId="5B854BD4" w14:textId="77777777" w:rsidTr="009F6148">
        <w:trPr>
          <w:cantSplit/>
          <w:jc w:val="center"/>
        </w:trPr>
        <w:tc>
          <w:tcPr>
            <w:tcW w:w="396" w:type="pct"/>
            <w:shd w:val="clear" w:color="auto" w:fill="auto"/>
          </w:tcPr>
          <w:p w14:paraId="5B854BC6" w14:textId="77777777" w:rsidR="005716AB" w:rsidRPr="00C41308" w:rsidRDefault="00576A22" w:rsidP="00AC206B">
            <w:pPr>
              <w:pStyle w:val="TableText"/>
              <w:rPr>
                <w:highlight w:val="yellow"/>
              </w:rPr>
            </w:pPr>
            <w:r w:rsidRPr="00261260">
              <w:t>Chordata</w:t>
            </w:r>
          </w:p>
        </w:tc>
        <w:tc>
          <w:tcPr>
            <w:tcW w:w="446" w:type="pct"/>
            <w:shd w:val="clear" w:color="auto" w:fill="auto"/>
          </w:tcPr>
          <w:p w14:paraId="5B854BC7" w14:textId="77777777" w:rsidR="005716AB" w:rsidRPr="00EC5FA8" w:rsidRDefault="00576A22" w:rsidP="00AC206B">
            <w:pPr>
              <w:pStyle w:val="TableText"/>
              <w:rPr>
                <w:rStyle w:val="Emphasis"/>
              </w:rPr>
            </w:pPr>
            <w:r w:rsidRPr="00EC5FA8">
              <w:rPr>
                <w:rStyle w:val="Emphasis"/>
              </w:rPr>
              <w:t>Pimephales promelas</w:t>
            </w:r>
          </w:p>
        </w:tc>
        <w:tc>
          <w:tcPr>
            <w:tcW w:w="299" w:type="pct"/>
            <w:shd w:val="clear" w:color="auto" w:fill="auto"/>
          </w:tcPr>
          <w:p w14:paraId="5B854BC8" w14:textId="77777777" w:rsidR="005716AB" w:rsidRDefault="00576A22" w:rsidP="00AC206B">
            <w:pPr>
              <w:pStyle w:val="TableText"/>
            </w:pPr>
            <w:r>
              <w:t>Embryo</w:t>
            </w:r>
          </w:p>
        </w:tc>
        <w:tc>
          <w:tcPr>
            <w:tcW w:w="347" w:type="pct"/>
            <w:shd w:val="clear" w:color="auto" w:fill="auto"/>
          </w:tcPr>
          <w:p w14:paraId="5B854BC9" w14:textId="77777777" w:rsidR="005716AB" w:rsidRDefault="00576A22" w:rsidP="00AC206B">
            <w:pPr>
              <w:pStyle w:val="TableText"/>
            </w:pPr>
            <w:r>
              <w:t>7</w:t>
            </w:r>
          </w:p>
        </w:tc>
        <w:tc>
          <w:tcPr>
            <w:tcW w:w="298" w:type="pct"/>
            <w:shd w:val="clear" w:color="auto" w:fill="auto"/>
          </w:tcPr>
          <w:p w14:paraId="5B854BCA" w14:textId="77777777" w:rsidR="005716AB" w:rsidRDefault="00576A22" w:rsidP="00AC206B">
            <w:pPr>
              <w:pStyle w:val="TableText"/>
            </w:pPr>
            <w:r>
              <w:t>Chronic</w:t>
            </w:r>
          </w:p>
        </w:tc>
        <w:tc>
          <w:tcPr>
            <w:tcW w:w="397" w:type="pct"/>
            <w:shd w:val="clear" w:color="auto" w:fill="auto"/>
          </w:tcPr>
          <w:p w14:paraId="5B854BCB" w14:textId="77777777" w:rsidR="005716AB" w:rsidRDefault="00576A22" w:rsidP="00AC206B">
            <w:pPr>
              <w:pStyle w:val="TableText"/>
            </w:pPr>
            <w:r>
              <w:t>NOEC</w:t>
            </w:r>
          </w:p>
          <w:p w14:paraId="5B854BCC" w14:textId="77777777" w:rsidR="005716AB" w:rsidRDefault="00576A22" w:rsidP="00AC206B">
            <w:pPr>
              <w:pStyle w:val="TableText"/>
            </w:pPr>
            <w:r>
              <w:t>(Mortality)</w:t>
            </w:r>
          </w:p>
        </w:tc>
        <w:tc>
          <w:tcPr>
            <w:tcW w:w="446" w:type="pct"/>
            <w:shd w:val="clear" w:color="auto" w:fill="auto"/>
          </w:tcPr>
          <w:p w14:paraId="5B854BCD" w14:textId="77777777" w:rsidR="005716AB" w:rsidRDefault="00576A22" w:rsidP="00AC206B">
            <w:pPr>
              <w:pStyle w:val="TableText"/>
            </w:pPr>
            <w:r>
              <w:t>Dechlorinated tap water</w:t>
            </w:r>
          </w:p>
        </w:tc>
        <w:tc>
          <w:tcPr>
            <w:tcW w:w="447" w:type="pct"/>
            <w:shd w:val="clear" w:color="auto" w:fill="auto"/>
          </w:tcPr>
          <w:p w14:paraId="5B854BCE" w14:textId="77777777" w:rsidR="005716AB" w:rsidRDefault="00576A22" w:rsidP="00AC206B">
            <w:pPr>
              <w:pStyle w:val="TableText"/>
            </w:pPr>
            <w:r>
              <w:t>23</w:t>
            </w:r>
            <w:r w:rsidR="004673BD">
              <w:t xml:space="preserve"> </w:t>
            </w:r>
            <w:r w:rsidRPr="00266B70">
              <w:rPr>
                <w:u w:val="single"/>
              </w:rPr>
              <w:t>+</w:t>
            </w:r>
            <w:r w:rsidR="004673BD">
              <w:rPr>
                <w:u w:val="single"/>
              </w:rPr>
              <w:t xml:space="preserve"> </w:t>
            </w:r>
            <w:r>
              <w:t>0.5</w:t>
            </w:r>
          </w:p>
        </w:tc>
        <w:tc>
          <w:tcPr>
            <w:tcW w:w="200" w:type="pct"/>
            <w:shd w:val="clear" w:color="auto" w:fill="auto"/>
          </w:tcPr>
          <w:p w14:paraId="5B854BCF" w14:textId="77777777" w:rsidR="005716AB" w:rsidRDefault="00576A22" w:rsidP="00AC206B">
            <w:pPr>
              <w:pStyle w:val="TableText"/>
            </w:pPr>
            <w:r>
              <w:t>–</w:t>
            </w:r>
          </w:p>
        </w:tc>
        <w:tc>
          <w:tcPr>
            <w:tcW w:w="404" w:type="pct"/>
            <w:shd w:val="clear" w:color="auto" w:fill="auto"/>
          </w:tcPr>
          <w:p w14:paraId="5B854BD0" w14:textId="77777777" w:rsidR="005716AB" w:rsidRDefault="00576A22" w:rsidP="00AC206B">
            <w:pPr>
              <w:pStyle w:val="TableText"/>
            </w:pPr>
            <w:r>
              <w:t>–</w:t>
            </w:r>
          </w:p>
        </w:tc>
        <w:tc>
          <w:tcPr>
            <w:tcW w:w="490" w:type="pct"/>
            <w:shd w:val="clear" w:color="auto" w:fill="auto"/>
          </w:tcPr>
          <w:p w14:paraId="5B854BD1" w14:textId="77777777" w:rsidR="005716AB" w:rsidRDefault="00576A22" w:rsidP="00AC206B">
            <w:pPr>
              <w:pStyle w:val="TableText"/>
            </w:pPr>
            <w:r>
              <w:t>0.59</w:t>
            </w:r>
          </w:p>
        </w:tc>
        <w:tc>
          <w:tcPr>
            <w:tcW w:w="450" w:type="pct"/>
            <w:shd w:val="clear" w:color="auto" w:fill="auto"/>
          </w:tcPr>
          <w:p w14:paraId="5B854BD2" w14:textId="77777777" w:rsidR="005716AB" w:rsidRDefault="00576A22" w:rsidP="00AC206B">
            <w:pPr>
              <w:pStyle w:val="TableText"/>
              <w:rPr>
                <w:lang w:val="es-ES"/>
              </w:rPr>
            </w:pPr>
            <w:r>
              <w:rPr>
                <w:lang w:val="es-ES"/>
              </w:rPr>
              <w:t>0.59</w:t>
            </w:r>
            <w:r w:rsidR="0020406E">
              <w:rPr>
                <w:lang w:val="es-ES"/>
              </w:rPr>
              <w:t xml:space="preserve"> </w:t>
            </w:r>
            <w:r w:rsidR="0020406E" w:rsidRPr="00AC206B">
              <w:rPr>
                <w:rStyle w:val="Strong"/>
                <w:vertAlign w:val="superscript"/>
              </w:rPr>
              <w:t>b, c</w:t>
            </w:r>
          </w:p>
        </w:tc>
        <w:tc>
          <w:tcPr>
            <w:tcW w:w="380" w:type="pct"/>
            <w:shd w:val="clear" w:color="auto" w:fill="auto"/>
          </w:tcPr>
          <w:p w14:paraId="5B854BD3" w14:textId="77777777" w:rsidR="005716AB" w:rsidRDefault="00576A22" w:rsidP="00AC206B">
            <w:pPr>
              <w:pStyle w:val="TableText"/>
            </w:pPr>
            <w:r>
              <w:t xml:space="preserve">Olivieri and </w:t>
            </w:r>
            <w:r w:rsidR="00EC5FA8">
              <w:t>Cooper (</w:t>
            </w:r>
            <w:r>
              <w:t>1997</w:t>
            </w:r>
            <w:r w:rsidR="00EC5FA8">
              <w:t>)</w:t>
            </w:r>
          </w:p>
        </w:tc>
      </w:tr>
      <w:tr w:rsidR="006A7BE0" w14:paraId="5B854BE3" w14:textId="77777777" w:rsidTr="009F6148">
        <w:trPr>
          <w:cantSplit/>
          <w:jc w:val="center"/>
        </w:trPr>
        <w:tc>
          <w:tcPr>
            <w:tcW w:w="396" w:type="pct"/>
            <w:tcBorders>
              <w:bottom w:val="single" w:sz="4" w:space="0" w:color="auto"/>
            </w:tcBorders>
            <w:shd w:val="clear" w:color="auto" w:fill="auto"/>
          </w:tcPr>
          <w:p w14:paraId="5B854BD5" w14:textId="77777777" w:rsidR="005716AB" w:rsidRPr="00C41308" w:rsidRDefault="00576A22" w:rsidP="00AC206B">
            <w:pPr>
              <w:pStyle w:val="TableText"/>
              <w:rPr>
                <w:highlight w:val="yellow"/>
              </w:rPr>
            </w:pPr>
            <w:r w:rsidRPr="00261260">
              <w:t>Chordata</w:t>
            </w:r>
          </w:p>
        </w:tc>
        <w:tc>
          <w:tcPr>
            <w:tcW w:w="446" w:type="pct"/>
            <w:tcBorders>
              <w:bottom w:val="single" w:sz="4" w:space="0" w:color="auto"/>
            </w:tcBorders>
            <w:shd w:val="clear" w:color="auto" w:fill="auto"/>
          </w:tcPr>
          <w:p w14:paraId="5B854BD6" w14:textId="77777777" w:rsidR="005716AB" w:rsidRPr="00EC5FA8" w:rsidRDefault="00576A22" w:rsidP="00AC206B">
            <w:pPr>
              <w:pStyle w:val="TableText"/>
              <w:rPr>
                <w:rStyle w:val="Emphasis"/>
              </w:rPr>
            </w:pPr>
            <w:r w:rsidRPr="00EC5FA8">
              <w:rPr>
                <w:rStyle w:val="Emphasis"/>
              </w:rPr>
              <w:t>Salvelinus fontinalis</w:t>
            </w:r>
          </w:p>
        </w:tc>
        <w:tc>
          <w:tcPr>
            <w:tcW w:w="299" w:type="pct"/>
            <w:tcBorders>
              <w:bottom w:val="single" w:sz="4" w:space="0" w:color="auto"/>
            </w:tcBorders>
            <w:shd w:val="clear" w:color="auto" w:fill="auto"/>
          </w:tcPr>
          <w:p w14:paraId="5B854BD7" w14:textId="77777777" w:rsidR="005716AB" w:rsidRDefault="00576A22" w:rsidP="00AC206B">
            <w:pPr>
              <w:pStyle w:val="TableText"/>
            </w:pPr>
            <w:r>
              <w:t>Egg</w:t>
            </w:r>
          </w:p>
        </w:tc>
        <w:tc>
          <w:tcPr>
            <w:tcW w:w="347" w:type="pct"/>
            <w:tcBorders>
              <w:bottom w:val="single" w:sz="4" w:space="0" w:color="auto"/>
            </w:tcBorders>
            <w:shd w:val="clear" w:color="auto" w:fill="auto"/>
          </w:tcPr>
          <w:p w14:paraId="5B854BD8" w14:textId="77777777" w:rsidR="005716AB" w:rsidRDefault="00576A22" w:rsidP="00AC206B">
            <w:pPr>
              <w:pStyle w:val="TableText"/>
            </w:pPr>
            <w:r>
              <w:t>2 + 80</w:t>
            </w:r>
          </w:p>
        </w:tc>
        <w:tc>
          <w:tcPr>
            <w:tcW w:w="298" w:type="pct"/>
            <w:tcBorders>
              <w:bottom w:val="single" w:sz="4" w:space="0" w:color="auto"/>
            </w:tcBorders>
            <w:shd w:val="clear" w:color="auto" w:fill="auto"/>
          </w:tcPr>
          <w:p w14:paraId="5B854BD9" w14:textId="77777777" w:rsidR="005716AB" w:rsidRDefault="00576A22" w:rsidP="00AC206B">
            <w:pPr>
              <w:pStyle w:val="TableText"/>
            </w:pPr>
            <w:r>
              <w:t>Acute</w:t>
            </w:r>
          </w:p>
        </w:tc>
        <w:tc>
          <w:tcPr>
            <w:tcW w:w="397" w:type="pct"/>
            <w:tcBorders>
              <w:bottom w:val="single" w:sz="4" w:space="0" w:color="auto"/>
            </w:tcBorders>
            <w:shd w:val="clear" w:color="auto" w:fill="auto"/>
          </w:tcPr>
          <w:p w14:paraId="5B854BDA" w14:textId="77777777" w:rsidR="005716AB" w:rsidRDefault="00576A22" w:rsidP="00AC206B">
            <w:pPr>
              <w:pStyle w:val="TableText"/>
            </w:pPr>
            <w:r>
              <w:t>LC50</w:t>
            </w:r>
          </w:p>
          <w:p w14:paraId="5B854BDB" w14:textId="77777777" w:rsidR="005716AB" w:rsidRDefault="00576A22" w:rsidP="00AC206B">
            <w:pPr>
              <w:pStyle w:val="TableText"/>
            </w:pPr>
            <w:r>
              <w:t>(Mortality)</w:t>
            </w:r>
          </w:p>
        </w:tc>
        <w:tc>
          <w:tcPr>
            <w:tcW w:w="446" w:type="pct"/>
            <w:tcBorders>
              <w:bottom w:val="single" w:sz="4" w:space="0" w:color="auto"/>
            </w:tcBorders>
            <w:shd w:val="clear" w:color="auto" w:fill="auto"/>
          </w:tcPr>
          <w:p w14:paraId="5B854BDC" w14:textId="77777777" w:rsidR="005716AB" w:rsidRDefault="00576A22" w:rsidP="00AC206B">
            <w:pPr>
              <w:pStyle w:val="TableText"/>
            </w:pPr>
            <w:r>
              <w:t>–</w:t>
            </w:r>
          </w:p>
        </w:tc>
        <w:tc>
          <w:tcPr>
            <w:tcW w:w="447" w:type="pct"/>
            <w:tcBorders>
              <w:bottom w:val="single" w:sz="4" w:space="0" w:color="auto"/>
            </w:tcBorders>
            <w:shd w:val="clear" w:color="auto" w:fill="auto"/>
          </w:tcPr>
          <w:p w14:paraId="5B854BDD" w14:textId="77777777" w:rsidR="005716AB" w:rsidRDefault="00576A22" w:rsidP="00AC206B">
            <w:pPr>
              <w:pStyle w:val="TableText"/>
            </w:pPr>
            <w:r>
              <w:t>7</w:t>
            </w:r>
            <w:r w:rsidR="004673BD">
              <w:t xml:space="preserve"> </w:t>
            </w:r>
            <w:r w:rsidRPr="00A93D09">
              <w:rPr>
                <w:u w:val="single"/>
              </w:rPr>
              <w:t>+</w:t>
            </w:r>
            <w:r w:rsidR="004673BD">
              <w:rPr>
                <w:u w:val="single"/>
              </w:rPr>
              <w:t xml:space="preserve"> </w:t>
            </w:r>
            <w:r>
              <w:t>1</w:t>
            </w:r>
          </w:p>
        </w:tc>
        <w:tc>
          <w:tcPr>
            <w:tcW w:w="200" w:type="pct"/>
            <w:tcBorders>
              <w:bottom w:val="single" w:sz="4" w:space="0" w:color="auto"/>
            </w:tcBorders>
            <w:shd w:val="clear" w:color="auto" w:fill="auto"/>
          </w:tcPr>
          <w:p w14:paraId="5B854BDE" w14:textId="77777777" w:rsidR="005716AB" w:rsidRDefault="00576A22" w:rsidP="00AC206B">
            <w:pPr>
              <w:pStyle w:val="TableText"/>
            </w:pPr>
            <w:r>
              <w:t>7.5</w:t>
            </w:r>
          </w:p>
        </w:tc>
        <w:tc>
          <w:tcPr>
            <w:tcW w:w="404" w:type="pct"/>
            <w:tcBorders>
              <w:bottom w:val="single" w:sz="4" w:space="0" w:color="auto"/>
            </w:tcBorders>
            <w:shd w:val="clear" w:color="auto" w:fill="auto"/>
          </w:tcPr>
          <w:p w14:paraId="5B854BDF" w14:textId="77777777" w:rsidR="005716AB" w:rsidRDefault="00576A22" w:rsidP="00AC206B">
            <w:pPr>
              <w:pStyle w:val="TableText"/>
            </w:pPr>
            <w:r>
              <w:t>350</w:t>
            </w:r>
          </w:p>
        </w:tc>
        <w:tc>
          <w:tcPr>
            <w:tcW w:w="490" w:type="pct"/>
            <w:tcBorders>
              <w:bottom w:val="single" w:sz="4" w:space="0" w:color="auto"/>
            </w:tcBorders>
            <w:shd w:val="clear" w:color="auto" w:fill="auto"/>
          </w:tcPr>
          <w:p w14:paraId="5B854BE0" w14:textId="77777777" w:rsidR="005716AB" w:rsidRDefault="00576A22" w:rsidP="00AC206B">
            <w:pPr>
              <w:pStyle w:val="TableText"/>
            </w:pPr>
            <w:r>
              <w:t>9</w:t>
            </w:r>
          </w:p>
        </w:tc>
        <w:tc>
          <w:tcPr>
            <w:tcW w:w="450" w:type="pct"/>
            <w:tcBorders>
              <w:bottom w:val="single" w:sz="4" w:space="0" w:color="auto"/>
            </w:tcBorders>
            <w:shd w:val="clear" w:color="auto" w:fill="auto"/>
          </w:tcPr>
          <w:p w14:paraId="5B854BE1" w14:textId="77777777" w:rsidR="005716AB" w:rsidRPr="00B6255B" w:rsidRDefault="00576A22" w:rsidP="00AC206B">
            <w:pPr>
              <w:pStyle w:val="TableText"/>
              <w:rPr>
                <w:highlight w:val="yellow"/>
                <w:lang w:val="es-ES"/>
              </w:rPr>
            </w:pPr>
            <w:r>
              <w:rPr>
                <w:lang w:val="es-ES"/>
              </w:rPr>
              <w:t>0.9</w:t>
            </w:r>
            <w:r w:rsidR="0020406E">
              <w:rPr>
                <w:lang w:val="es-ES"/>
              </w:rPr>
              <w:t xml:space="preserve"> </w:t>
            </w:r>
            <w:r w:rsidR="0020406E" w:rsidRPr="00AC206B">
              <w:rPr>
                <w:rStyle w:val="Strong"/>
                <w:vertAlign w:val="superscript"/>
              </w:rPr>
              <w:t>b, c</w:t>
            </w:r>
          </w:p>
        </w:tc>
        <w:tc>
          <w:tcPr>
            <w:tcW w:w="380" w:type="pct"/>
            <w:tcBorders>
              <w:bottom w:val="single" w:sz="4" w:space="0" w:color="auto"/>
            </w:tcBorders>
            <w:shd w:val="clear" w:color="auto" w:fill="auto"/>
          </w:tcPr>
          <w:p w14:paraId="5B854BE2" w14:textId="77777777" w:rsidR="005716AB" w:rsidRDefault="00576A22" w:rsidP="00AC206B">
            <w:pPr>
              <w:pStyle w:val="TableText"/>
            </w:pPr>
            <w:r>
              <w:t xml:space="preserve">Walker and Peterson </w:t>
            </w:r>
            <w:r w:rsidR="00EC5FA8">
              <w:t>(</w:t>
            </w:r>
            <w:r>
              <w:t>1994</w:t>
            </w:r>
            <w:r w:rsidR="00EC5FA8">
              <w:t>)</w:t>
            </w:r>
          </w:p>
        </w:tc>
      </w:tr>
      <w:tr w:rsidR="006A7BE0" w14:paraId="5B854BF2" w14:textId="77777777" w:rsidTr="009F6148">
        <w:trPr>
          <w:cantSplit/>
          <w:jc w:val="center"/>
        </w:trPr>
        <w:tc>
          <w:tcPr>
            <w:tcW w:w="396" w:type="pct"/>
            <w:vMerge w:val="restart"/>
            <w:shd w:val="clear" w:color="auto" w:fill="auto"/>
          </w:tcPr>
          <w:p w14:paraId="5B854BE4" w14:textId="77777777" w:rsidR="00AC206B" w:rsidRPr="00C41308" w:rsidRDefault="00576A22" w:rsidP="00AC206B">
            <w:pPr>
              <w:pStyle w:val="TableText"/>
              <w:rPr>
                <w:highlight w:val="yellow"/>
              </w:rPr>
            </w:pPr>
            <w:r w:rsidRPr="00261260">
              <w:t>Chordata</w:t>
            </w:r>
          </w:p>
        </w:tc>
        <w:tc>
          <w:tcPr>
            <w:tcW w:w="446" w:type="pct"/>
            <w:vMerge w:val="restart"/>
            <w:shd w:val="clear" w:color="auto" w:fill="auto"/>
          </w:tcPr>
          <w:p w14:paraId="5B854BE5" w14:textId="77777777" w:rsidR="00AC206B" w:rsidRPr="00EC5FA8" w:rsidRDefault="00576A22" w:rsidP="00AC206B">
            <w:pPr>
              <w:pStyle w:val="TableText"/>
              <w:rPr>
                <w:rStyle w:val="Emphasis"/>
              </w:rPr>
            </w:pPr>
            <w:r w:rsidRPr="00EC5FA8">
              <w:rPr>
                <w:rStyle w:val="Emphasis"/>
              </w:rPr>
              <w:t>Salvelinus namaycush</w:t>
            </w:r>
          </w:p>
        </w:tc>
        <w:tc>
          <w:tcPr>
            <w:tcW w:w="299" w:type="pct"/>
            <w:shd w:val="clear" w:color="auto" w:fill="auto"/>
          </w:tcPr>
          <w:p w14:paraId="5B854BE6" w14:textId="77777777" w:rsidR="00AC206B" w:rsidRDefault="00576A22" w:rsidP="00AC206B">
            <w:pPr>
              <w:pStyle w:val="TableText"/>
            </w:pPr>
            <w:r>
              <w:t>Egg</w:t>
            </w:r>
          </w:p>
        </w:tc>
        <w:tc>
          <w:tcPr>
            <w:tcW w:w="347" w:type="pct"/>
            <w:shd w:val="clear" w:color="auto" w:fill="auto"/>
          </w:tcPr>
          <w:p w14:paraId="5B854BE7" w14:textId="77777777" w:rsidR="00AC206B" w:rsidRDefault="00576A22" w:rsidP="00AC206B">
            <w:pPr>
              <w:pStyle w:val="TableText"/>
            </w:pPr>
            <w:r>
              <w:t>2 + 90</w:t>
            </w:r>
          </w:p>
        </w:tc>
        <w:tc>
          <w:tcPr>
            <w:tcW w:w="298" w:type="pct"/>
            <w:shd w:val="clear" w:color="auto" w:fill="auto"/>
          </w:tcPr>
          <w:p w14:paraId="5B854BE8" w14:textId="77777777" w:rsidR="00AC206B" w:rsidRDefault="00576A22" w:rsidP="00AC206B">
            <w:pPr>
              <w:pStyle w:val="TableText"/>
            </w:pPr>
            <w:r>
              <w:t>Acute</w:t>
            </w:r>
          </w:p>
        </w:tc>
        <w:tc>
          <w:tcPr>
            <w:tcW w:w="397" w:type="pct"/>
            <w:shd w:val="clear" w:color="auto" w:fill="auto"/>
          </w:tcPr>
          <w:p w14:paraId="5B854BE9" w14:textId="77777777" w:rsidR="00AC206B" w:rsidRDefault="00576A22" w:rsidP="00AC206B">
            <w:pPr>
              <w:pStyle w:val="TableText"/>
            </w:pPr>
            <w:r>
              <w:t>LC50</w:t>
            </w:r>
          </w:p>
          <w:p w14:paraId="5B854BEA" w14:textId="77777777" w:rsidR="00AC206B" w:rsidRDefault="00576A22" w:rsidP="00AC206B">
            <w:pPr>
              <w:pStyle w:val="TableText"/>
            </w:pPr>
            <w:r>
              <w:t>(Mortality)</w:t>
            </w:r>
          </w:p>
        </w:tc>
        <w:tc>
          <w:tcPr>
            <w:tcW w:w="446" w:type="pct"/>
            <w:shd w:val="clear" w:color="auto" w:fill="auto"/>
          </w:tcPr>
          <w:p w14:paraId="5B854BEB" w14:textId="77777777" w:rsidR="00AC206B" w:rsidRDefault="00576A22" w:rsidP="00AC206B">
            <w:pPr>
              <w:pStyle w:val="TableText"/>
            </w:pPr>
            <w:r>
              <w:t>Dechlorinated tap water</w:t>
            </w:r>
          </w:p>
        </w:tc>
        <w:tc>
          <w:tcPr>
            <w:tcW w:w="447" w:type="pct"/>
            <w:shd w:val="clear" w:color="auto" w:fill="auto"/>
          </w:tcPr>
          <w:p w14:paraId="5B854BEC" w14:textId="77777777" w:rsidR="00AC206B" w:rsidRDefault="00576A22" w:rsidP="00AC206B">
            <w:pPr>
              <w:pStyle w:val="TableText"/>
            </w:pPr>
            <w:r>
              <w:t xml:space="preserve">7 </w:t>
            </w:r>
            <w:r w:rsidRPr="002E1E73">
              <w:rPr>
                <w:u w:val="single"/>
              </w:rPr>
              <w:t>+</w:t>
            </w:r>
            <w:r>
              <w:rPr>
                <w:u w:val="single"/>
              </w:rPr>
              <w:t xml:space="preserve"> </w:t>
            </w:r>
            <w:r>
              <w:t>1</w:t>
            </w:r>
          </w:p>
        </w:tc>
        <w:tc>
          <w:tcPr>
            <w:tcW w:w="200" w:type="pct"/>
            <w:shd w:val="clear" w:color="auto" w:fill="auto"/>
          </w:tcPr>
          <w:p w14:paraId="5B854BED" w14:textId="77777777" w:rsidR="00AC206B" w:rsidRDefault="00576A22" w:rsidP="00AC206B">
            <w:pPr>
              <w:pStyle w:val="TableText"/>
            </w:pPr>
            <w:r>
              <w:t>7.5</w:t>
            </w:r>
          </w:p>
        </w:tc>
        <w:tc>
          <w:tcPr>
            <w:tcW w:w="404" w:type="pct"/>
            <w:shd w:val="clear" w:color="auto" w:fill="auto"/>
          </w:tcPr>
          <w:p w14:paraId="5B854BEE" w14:textId="77777777" w:rsidR="00AC206B" w:rsidRDefault="00576A22" w:rsidP="00AC206B">
            <w:pPr>
              <w:pStyle w:val="TableText"/>
            </w:pPr>
            <w:r>
              <w:t>304</w:t>
            </w:r>
          </w:p>
        </w:tc>
        <w:tc>
          <w:tcPr>
            <w:tcW w:w="490" w:type="pct"/>
            <w:shd w:val="clear" w:color="auto" w:fill="auto"/>
          </w:tcPr>
          <w:p w14:paraId="5B854BEF" w14:textId="77777777" w:rsidR="00AC206B" w:rsidRDefault="00576A22" w:rsidP="00AC206B">
            <w:pPr>
              <w:pStyle w:val="TableText"/>
            </w:pPr>
            <w:r>
              <w:t>7.5</w:t>
            </w:r>
          </w:p>
        </w:tc>
        <w:tc>
          <w:tcPr>
            <w:tcW w:w="450" w:type="pct"/>
            <w:shd w:val="clear" w:color="auto" w:fill="auto"/>
          </w:tcPr>
          <w:p w14:paraId="5B854BF0" w14:textId="77777777" w:rsidR="00AC206B" w:rsidRDefault="00576A22" w:rsidP="00AC206B">
            <w:pPr>
              <w:pStyle w:val="TableText"/>
              <w:rPr>
                <w:lang w:val="es-ES"/>
              </w:rPr>
            </w:pPr>
            <w:r>
              <w:rPr>
                <w:lang w:val="es-ES"/>
              </w:rPr>
              <w:t>0.75</w:t>
            </w:r>
          </w:p>
        </w:tc>
        <w:tc>
          <w:tcPr>
            <w:tcW w:w="380" w:type="pct"/>
            <w:shd w:val="clear" w:color="auto" w:fill="auto"/>
          </w:tcPr>
          <w:p w14:paraId="5B854BF1" w14:textId="77777777" w:rsidR="00AC206B" w:rsidRDefault="00576A22" w:rsidP="00AC206B">
            <w:pPr>
              <w:pStyle w:val="TableText"/>
            </w:pPr>
            <w:r>
              <w:t>Walker et al. (1996)</w:t>
            </w:r>
          </w:p>
        </w:tc>
      </w:tr>
      <w:tr w:rsidR="006A7BE0" w14:paraId="5B854C00" w14:textId="77777777" w:rsidTr="009F6148">
        <w:trPr>
          <w:cantSplit/>
          <w:jc w:val="center"/>
        </w:trPr>
        <w:tc>
          <w:tcPr>
            <w:tcW w:w="396" w:type="pct"/>
            <w:vMerge/>
            <w:tcBorders>
              <w:bottom w:val="nil"/>
            </w:tcBorders>
            <w:shd w:val="clear" w:color="auto" w:fill="auto"/>
          </w:tcPr>
          <w:p w14:paraId="5B854BF3" w14:textId="77777777" w:rsidR="00AC206B" w:rsidRPr="00261260" w:rsidRDefault="00AC206B" w:rsidP="00AC206B">
            <w:pPr>
              <w:pStyle w:val="TableText"/>
            </w:pPr>
          </w:p>
        </w:tc>
        <w:tc>
          <w:tcPr>
            <w:tcW w:w="446" w:type="pct"/>
            <w:vMerge/>
            <w:tcBorders>
              <w:bottom w:val="nil"/>
            </w:tcBorders>
            <w:shd w:val="clear" w:color="auto" w:fill="auto"/>
          </w:tcPr>
          <w:p w14:paraId="5B854BF4" w14:textId="77777777" w:rsidR="00AC206B" w:rsidRPr="00EC5FA8" w:rsidRDefault="00AC206B" w:rsidP="00AC206B">
            <w:pPr>
              <w:pStyle w:val="TableText"/>
              <w:rPr>
                <w:rStyle w:val="Emphasis"/>
              </w:rPr>
            </w:pPr>
          </w:p>
        </w:tc>
        <w:tc>
          <w:tcPr>
            <w:tcW w:w="299" w:type="pct"/>
            <w:tcBorders>
              <w:bottom w:val="nil"/>
            </w:tcBorders>
            <w:shd w:val="clear" w:color="auto" w:fill="auto"/>
          </w:tcPr>
          <w:p w14:paraId="5B854BF5" w14:textId="77777777" w:rsidR="00AC206B" w:rsidRDefault="00576A22" w:rsidP="00AC206B">
            <w:pPr>
              <w:pStyle w:val="TableText"/>
            </w:pPr>
            <w:r>
              <w:t>Egg</w:t>
            </w:r>
          </w:p>
        </w:tc>
        <w:tc>
          <w:tcPr>
            <w:tcW w:w="347" w:type="pct"/>
            <w:tcBorders>
              <w:bottom w:val="nil"/>
            </w:tcBorders>
            <w:shd w:val="clear" w:color="auto" w:fill="auto"/>
          </w:tcPr>
          <w:p w14:paraId="5B854BF6" w14:textId="77777777" w:rsidR="00AC206B" w:rsidRDefault="00576A22" w:rsidP="00AC206B">
            <w:pPr>
              <w:pStyle w:val="TableText"/>
            </w:pPr>
            <w:r>
              <w:t>2 + 119</w:t>
            </w:r>
          </w:p>
        </w:tc>
        <w:tc>
          <w:tcPr>
            <w:tcW w:w="298" w:type="pct"/>
            <w:tcBorders>
              <w:bottom w:val="nil"/>
            </w:tcBorders>
            <w:shd w:val="clear" w:color="auto" w:fill="auto"/>
          </w:tcPr>
          <w:p w14:paraId="5B854BF7" w14:textId="77777777" w:rsidR="00AC206B" w:rsidRDefault="00576A22" w:rsidP="00AC206B">
            <w:pPr>
              <w:pStyle w:val="TableText"/>
            </w:pPr>
            <w:r>
              <w:t>Acute</w:t>
            </w:r>
          </w:p>
        </w:tc>
        <w:tc>
          <w:tcPr>
            <w:tcW w:w="397" w:type="pct"/>
            <w:tcBorders>
              <w:bottom w:val="nil"/>
            </w:tcBorders>
            <w:shd w:val="clear" w:color="auto" w:fill="auto"/>
          </w:tcPr>
          <w:p w14:paraId="5B854BF8" w14:textId="77777777" w:rsidR="00AC206B" w:rsidRDefault="00576A22" w:rsidP="00AC206B">
            <w:pPr>
              <w:pStyle w:val="TableText"/>
            </w:pPr>
            <w:r>
              <w:t>LC50 (Mortality)</w:t>
            </w:r>
          </w:p>
        </w:tc>
        <w:tc>
          <w:tcPr>
            <w:tcW w:w="446" w:type="pct"/>
            <w:tcBorders>
              <w:bottom w:val="nil"/>
            </w:tcBorders>
            <w:shd w:val="clear" w:color="auto" w:fill="auto"/>
          </w:tcPr>
          <w:p w14:paraId="5B854BF9" w14:textId="77777777" w:rsidR="00AC206B" w:rsidRDefault="00576A22" w:rsidP="00AC206B">
            <w:pPr>
              <w:pStyle w:val="TableText"/>
            </w:pPr>
            <w:r>
              <w:t>Dechlorinated tap water</w:t>
            </w:r>
          </w:p>
        </w:tc>
        <w:tc>
          <w:tcPr>
            <w:tcW w:w="447" w:type="pct"/>
            <w:tcBorders>
              <w:bottom w:val="nil"/>
            </w:tcBorders>
            <w:shd w:val="clear" w:color="auto" w:fill="auto"/>
          </w:tcPr>
          <w:p w14:paraId="5B854BFA" w14:textId="77777777" w:rsidR="00AC206B" w:rsidRDefault="00576A22" w:rsidP="00AC206B">
            <w:pPr>
              <w:pStyle w:val="TableText"/>
            </w:pPr>
            <w:r>
              <w:t xml:space="preserve">8 </w:t>
            </w:r>
            <w:r w:rsidRPr="00266B70">
              <w:rPr>
                <w:u w:val="single"/>
              </w:rPr>
              <w:t>+</w:t>
            </w:r>
            <w:r>
              <w:rPr>
                <w:u w:val="single"/>
              </w:rPr>
              <w:t xml:space="preserve"> </w:t>
            </w:r>
            <w:r>
              <w:t>0.5</w:t>
            </w:r>
          </w:p>
        </w:tc>
        <w:tc>
          <w:tcPr>
            <w:tcW w:w="200" w:type="pct"/>
            <w:tcBorders>
              <w:bottom w:val="nil"/>
            </w:tcBorders>
            <w:shd w:val="clear" w:color="auto" w:fill="auto"/>
          </w:tcPr>
          <w:p w14:paraId="5B854BFB" w14:textId="77777777" w:rsidR="00AC206B" w:rsidRDefault="00576A22" w:rsidP="00AC206B">
            <w:pPr>
              <w:pStyle w:val="TableText"/>
            </w:pPr>
            <w:r>
              <w:t>7.5</w:t>
            </w:r>
          </w:p>
        </w:tc>
        <w:tc>
          <w:tcPr>
            <w:tcW w:w="404" w:type="pct"/>
            <w:tcBorders>
              <w:bottom w:val="nil"/>
            </w:tcBorders>
            <w:shd w:val="clear" w:color="auto" w:fill="auto"/>
          </w:tcPr>
          <w:p w14:paraId="5B854BFC" w14:textId="77777777" w:rsidR="00AC206B" w:rsidRDefault="00576A22" w:rsidP="00AC206B">
            <w:pPr>
              <w:pStyle w:val="TableText"/>
            </w:pPr>
            <w:r>
              <w:t>136</w:t>
            </w:r>
          </w:p>
        </w:tc>
        <w:tc>
          <w:tcPr>
            <w:tcW w:w="490" w:type="pct"/>
            <w:tcBorders>
              <w:bottom w:val="nil"/>
            </w:tcBorders>
            <w:shd w:val="clear" w:color="auto" w:fill="auto"/>
          </w:tcPr>
          <w:p w14:paraId="5B854BFD" w14:textId="77777777" w:rsidR="00AC206B" w:rsidRDefault="00576A22" w:rsidP="00AC206B">
            <w:pPr>
              <w:pStyle w:val="TableText"/>
            </w:pPr>
            <w:r>
              <w:t>21</w:t>
            </w:r>
          </w:p>
        </w:tc>
        <w:tc>
          <w:tcPr>
            <w:tcW w:w="450" w:type="pct"/>
            <w:tcBorders>
              <w:bottom w:val="nil"/>
            </w:tcBorders>
            <w:shd w:val="clear" w:color="auto" w:fill="auto"/>
          </w:tcPr>
          <w:p w14:paraId="5B854BFE" w14:textId="77777777" w:rsidR="00AC206B" w:rsidRDefault="00576A22" w:rsidP="00AC206B">
            <w:pPr>
              <w:pStyle w:val="TableText"/>
              <w:rPr>
                <w:lang w:val="es-ES"/>
              </w:rPr>
            </w:pPr>
            <w:r>
              <w:rPr>
                <w:lang w:val="es-ES"/>
              </w:rPr>
              <w:t>2.1</w:t>
            </w:r>
          </w:p>
        </w:tc>
        <w:tc>
          <w:tcPr>
            <w:tcW w:w="380" w:type="pct"/>
            <w:tcBorders>
              <w:bottom w:val="nil"/>
            </w:tcBorders>
            <w:shd w:val="clear" w:color="auto" w:fill="auto"/>
          </w:tcPr>
          <w:p w14:paraId="5B854BFF" w14:textId="77777777" w:rsidR="00AC206B" w:rsidRDefault="00576A22" w:rsidP="00AC206B">
            <w:pPr>
              <w:pStyle w:val="TableText"/>
            </w:pPr>
            <w:r>
              <w:t>Walker et al. (1991)</w:t>
            </w:r>
          </w:p>
        </w:tc>
      </w:tr>
      <w:tr w:rsidR="006A7BE0" w14:paraId="5B854C04" w14:textId="77777777" w:rsidTr="00F6745B">
        <w:trPr>
          <w:cantSplit/>
          <w:jc w:val="center"/>
        </w:trPr>
        <w:tc>
          <w:tcPr>
            <w:tcW w:w="4170" w:type="pct"/>
            <w:gridSpan w:val="11"/>
            <w:tcBorders>
              <w:top w:val="nil"/>
              <w:bottom w:val="single" w:sz="12" w:space="0" w:color="auto"/>
            </w:tcBorders>
            <w:shd w:val="clear" w:color="auto" w:fill="auto"/>
          </w:tcPr>
          <w:p w14:paraId="5B854C01" w14:textId="77777777" w:rsidR="00AC206B" w:rsidRDefault="00576A22" w:rsidP="00AC206B">
            <w:pPr>
              <w:pStyle w:val="TableText"/>
            </w:pPr>
            <w:r>
              <w:t>–</w:t>
            </w:r>
          </w:p>
        </w:tc>
        <w:tc>
          <w:tcPr>
            <w:tcW w:w="450" w:type="pct"/>
            <w:tcBorders>
              <w:top w:val="nil"/>
              <w:bottom w:val="single" w:sz="12" w:space="0" w:color="auto"/>
            </w:tcBorders>
            <w:shd w:val="clear" w:color="auto" w:fill="auto"/>
          </w:tcPr>
          <w:p w14:paraId="5B854C02" w14:textId="77777777" w:rsidR="00AC206B" w:rsidRDefault="00576A22" w:rsidP="00AC206B">
            <w:pPr>
              <w:pStyle w:val="TableText"/>
              <w:rPr>
                <w:lang w:val="es-ES"/>
              </w:rPr>
            </w:pPr>
            <w:r>
              <w:rPr>
                <w:lang w:val="es-ES"/>
              </w:rPr>
              <w:t xml:space="preserve">1.25 </w:t>
            </w:r>
            <w:r w:rsidRPr="00AC206B">
              <w:rPr>
                <w:rStyle w:val="Strong"/>
                <w:vertAlign w:val="superscript"/>
              </w:rPr>
              <w:t>c, d</w:t>
            </w:r>
          </w:p>
        </w:tc>
        <w:tc>
          <w:tcPr>
            <w:tcW w:w="380" w:type="pct"/>
            <w:tcBorders>
              <w:top w:val="nil"/>
              <w:bottom w:val="single" w:sz="12" w:space="0" w:color="auto"/>
            </w:tcBorders>
            <w:shd w:val="clear" w:color="auto" w:fill="auto"/>
          </w:tcPr>
          <w:p w14:paraId="5B854C03" w14:textId="77777777" w:rsidR="00AC206B" w:rsidRDefault="00576A22" w:rsidP="00AC206B">
            <w:pPr>
              <w:pStyle w:val="TableText"/>
            </w:pPr>
            <w:r>
              <w:t>–</w:t>
            </w:r>
          </w:p>
        </w:tc>
      </w:tr>
    </w:tbl>
    <w:p w14:paraId="5B854C05" w14:textId="77777777" w:rsidR="005716AB" w:rsidRDefault="00576A22" w:rsidP="00AF3032">
      <w:pPr>
        <w:pStyle w:val="FigureTableNoteSource"/>
      </w:pPr>
      <w:r w:rsidRPr="004673BD">
        <w:rPr>
          <w:rStyle w:val="Strong"/>
        </w:rPr>
        <w:t>a</w:t>
      </w:r>
      <w:r>
        <w:t xml:space="preserve"> The measure of toxicity being estimated/determined</w:t>
      </w:r>
      <w:r w:rsidR="00AC206B">
        <w:t>.</w:t>
      </w:r>
      <w:r>
        <w:t xml:space="preserve"> LC</w:t>
      </w:r>
      <w:r w:rsidR="00E73F14">
        <w:t>x</w:t>
      </w:r>
      <w:r>
        <w:t xml:space="preserve">: </w:t>
      </w:r>
      <w:r w:rsidR="00E73F14">
        <w:t>C</w:t>
      </w:r>
      <w:r>
        <w:t xml:space="preserve">oncentration </w:t>
      </w:r>
      <w:r w:rsidR="00E73F14">
        <w:t xml:space="preserve">causing x% lethality to </w:t>
      </w:r>
      <w:r>
        <w:t>a group of organisms</w:t>
      </w:r>
      <w:r w:rsidR="00E73F14">
        <w:t xml:space="preserve"> (where x = 49, 50 or 55%)</w:t>
      </w:r>
      <w:r w:rsidR="00AC206B">
        <w:t>.</w:t>
      </w:r>
      <w:r>
        <w:t xml:space="preserve"> NOEC: No observed effect concentration</w:t>
      </w:r>
      <w:r w:rsidR="00AC206B">
        <w:t>.</w:t>
      </w:r>
      <w:r w:rsidR="00E73F14">
        <w:t xml:space="preserve"> </w:t>
      </w:r>
      <w:r>
        <w:t>LOEC= Lowest observed effect concentration.</w:t>
      </w:r>
    </w:p>
    <w:p w14:paraId="5B854C06" w14:textId="77777777" w:rsidR="005716AB" w:rsidRDefault="00576A22" w:rsidP="00AF3032">
      <w:pPr>
        <w:pStyle w:val="FigureTableNoteSource"/>
      </w:pPr>
      <w:r w:rsidRPr="004673BD">
        <w:rPr>
          <w:rStyle w:val="Strong"/>
        </w:rPr>
        <w:t>b</w:t>
      </w:r>
      <w:r>
        <w:t xml:space="preserve"> </w:t>
      </w:r>
      <w:r w:rsidR="004673BD">
        <w:t xml:space="preserve">The </w:t>
      </w:r>
      <w:r>
        <w:t>lowest value for a species</w:t>
      </w:r>
      <w:r w:rsidR="004673BD">
        <w:t>.</w:t>
      </w:r>
    </w:p>
    <w:p w14:paraId="5B854C07" w14:textId="77777777" w:rsidR="005716AB" w:rsidRDefault="00576A22" w:rsidP="00AF3032">
      <w:pPr>
        <w:pStyle w:val="FigureTableNoteSource"/>
      </w:pPr>
      <w:r w:rsidRPr="004673BD">
        <w:rPr>
          <w:rStyle w:val="Strong"/>
        </w:rPr>
        <w:t>c</w:t>
      </w:r>
      <w:r>
        <w:t xml:space="preserve"> </w:t>
      </w:r>
      <w:r w:rsidR="0020406E">
        <w:t>Value used in the SSD to derive the DGVs.</w:t>
      </w:r>
    </w:p>
    <w:p w14:paraId="5B854C08" w14:textId="77777777" w:rsidR="005716AB" w:rsidRDefault="00576A22" w:rsidP="00AF3032">
      <w:pPr>
        <w:pStyle w:val="FigureTableNoteSource"/>
      </w:pPr>
      <w:r w:rsidRPr="004673BD">
        <w:rPr>
          <w:rStyle w:val="Strong"/>
        </w:rPr>
        <w:t>d</w:t>
      </w:r>
      <w:r>
        <w:t xml:space="preserve"> </w:t>
      </w:r>
      <w:r w:rsidR="0020406E">
        <w:t>The geometric mean of two values</w:t>
      </w:r>
      <w:r w:rsidR="00270B08">
        <w:t xml:space="preserve"> (0.75 and 2.1 ng/L)</w:t>
      </w:r>
      <w:r w:rsidR="00C75133">
        <w:t xml:space="preserve"> for </w:t>
      </w:r>
      <w:r w:rsidR="00C75133" w:rsidRPr="00C75133">
        <w:rPr>
          <w:i/>
          <w:iCs/>
        </w:rPr>
        <w:t>Salvelinus namaycush</w:t>
      </w:r>
      <w:r w:rsidR="004673BD">
        <w:t>.</w:t>
      </w:r>
    </w:p>
    <w:p w14:paraId="5B854C09" w14:textId="77777777" w:rsidR="00606A7B" w:rsidRDefault="00576A22" w:rsidP="00AF3032">
      <w:pPr>
        <w:pStyle w:val="FigureTableNoteSource"/>
        <w:rPr>
          <w:highlight w:val="yellow"/>
        </w:rPr>
      </w:pPr>
      <w:r w:rsidRPr="004673BD">
        <w:rPr>
          <w:rStyle w:val="Strong"/>
        </w:rPr>
        <w:t>e</w:t>
      </w:r>
      <w:r w:rsidR="005716AB">
        <w:t xml:space="preserve"> Deionised water + salts: NaCl (1</w:t>
      </w:r>
      <w:r w:rsidR="00E3659E">
        <w:t xml:space="preserve"> g/L</w:t>
      </w:r>
      <w:r w:rsidR="005716AB">
        <w:t>); KCl (0.3</w:t>
      </w:r>
      <w:r w:rsidR="00E3659E">
        <w:t xml:space="preserve"> g/L</w:t>
      </w:r>
      <w:r w:rsidR="005716AB">
        <w:t>); CaCl</w:t>
      </w:r>
      <w:r w:rsidR="005716AB" w:rsidRPr="00F534A5">
        <w:rPr>
          <w:vertAlign w:val="subscript"/>
        </w:rPr>
        <w:t>2</w:t>
      </w:r>
      <w:r w:rsidR="005716AB">
        <w:t xml:space="preserve"> (0.4</w:t>
      </w:r>
      <w:r w:rsidR="00E3659E">
        <w:t xml:space="preserve"> g/L</w:t>
      </w:r>
      <w:r w:rsidR="005716AB">
        <w:t>); MgCl</w:t>
      </w:r>
      <w:r w:rsidR="005716AB" w:rsidRPr="00F534A5">
        <w:rPr>
          <w:vertAlign w:val="subscript"/>
        </w:rPr>
        <w:t>2</w:t>
      </w:r>
      <w:r w:rsidR="005716AB">
        <w:t xml:space="preserve"> (1.6</w:t>
      </w:r>
      <w:r w:rsidR="00E3659E">
        <w:t xml:space="preserve"> g/L</w:t>
      </w:r>
      <w:r w:rsidR="005716AB">
        <w:t>)</w:t>
      </w:r>
      <w:r w:rsidR="00E3659E">
        <w:t>;</w:t>
      </w:r>
      <w:r w:rsidR="005716AB">
        <w:t xml:space="preserve"> Hardness calculated from Ca (0.144</w:t>
      </w:r>
      <w:r w:rsidR="00E3659E">
        <w:t xml:space="preserve"> g/L</w:t>
      </w:r>
      <w:r w:rsidR="005716AB">
        <w:t xml:space="preserve">) </w:t>
      </w:r>
      <w:r w:rsidR="00F534A5">
        <w:t>and</w:t>
      </w:r>
      <w:r w:rsidR="005716AB">
        <w:t xml:space="preserve"> Mg (0.403</w:t>
      </w:r>
      <w:r w:rsidR="00E3659E">
        <w:t xml:space="preserve"> g/L</w:t>
      </w:r>
      <w:r w:rsidR="005716AB">
        <w:t>)</w:t>
      </w:r>
      <w:r w:rsidR="00E3659E">
        <w:t xml:space="preserve"> concentrations</w:t>
      </w:r>
      <w:r w:rsidR="00F534A5">
        <w:t>.</w:t>
      </w:r>
    </w:p>
    <w:p w14:paraId="5B854C0A" w14:textId="77777777" w:rsidR="005716AB" w:rsidRDefault="005716AB" w:rsidP="00606A7B">
      <w:pPr>
        <w:rPr>
          <w:highlight w:val="yellow"/>
        </w:rPr>
      </w:pPr>
    </w:p>
    <w:p w14:paraId="5B854C0B" w14:textId="77777777" w:rsidR="005716AB" w:rsidRDefault="005716AB" w:rsidP="00606A7B">
      <w:pPr>
        <w:rPr>
          <w:highlight w:val="yellow"/>
        </w:rPr>
      </w:pPr>
    </w:p>
    <w:p w14:paraId="5B854C0C" w14:textId="77777777" w:rsidR="005716AB" w:rsidRPr="00810E9E" w:rsidRDefault="005716AB" w:rsidP="00606A7B">
      <w:pPr>
        <w:rPr>
          <w:highlight w:val="yellow"/>
        </w:rPr>
      </w:pPr>
    </w:p>
    <w:p w14:paraId="5B854C0D" w14:textId="77777777" w:rsidR="00606A7B" w:rsidRPr="00810E9E" w:rsidRDefault="00606A7B" w:rsidP="00606A7B">
      <w:pPr>
        <w:rPr>
          <w:highlight w:val="yellow"/>
        </w:rPr>
      </w:pPr>
    </w:p>
    <w:p w14:paraId="5B854C0E" w14:textId="77777777" w:rsidR="00606A7B" w:rsidRPr="00810E9E" w:rsidRDefault="00606A7B" w:rsidP="00606A7B">
      <w:pPr>
        <w:rPr>
          <w:highlight w:val="yellow"/>
        </w:rPr>
        <w:sectPr w:rsidR="00606A7B" w:rsidRPr="00810E9E" w:rsidSect="003E0D02">
          <w:headerReference w:type="even" r:id="rId30"/>
          <w:headerReference w:type="default" r:id="rId31"/>
          <w:headerReference w:type="first" r:id="rId32"/>
          <w:footerReference w:type="first" r:id="rId33"/>
          <w:pgSz w:w="16838" w:h="11906" w:orient="landscape" w:code="9"/>
          <w:pgMar w:top="1418" w:right="1418" w:bottom="1418" w:left="1418" w:header="567" w:footer="284" w:gutter="0"/>
          <w:cols w:space="708"/>
          <w:docGrid w:linePitch="360"/>
        </w:sectPr>
      </w:pPr>
    </w:p>
    <w:p w14:paraId="5B854C0F" w14:textId="77777777" w:rsidR="00606A7B" w:rsidRPr="00810E9E" w:rsidRDefault="00576A22" w:rsidP="00606A7B">
      <w:pPr>
        <w:pStyle w:val="Heading2"/>
        <w:numPr>
          <w:ilvl w:val="0"/>
          <w:numId w:val="0"/>
        </w:numPr>
        <w:rPr>
          <w:highlight w:val="yellow"/>
        </w:rPr>
      </w:pPr>
      <w:bookmarkStart w:id="54" w:name="_Ref528068950"/>
      <w:bookmarkStart w:id="55" w:name="_Toc4498838"/>
      <w:bookmarkStart w:id="56" w:name="_Ref37255086"/>
      <w:bookmarkStart w:id="57" w:name="_Toc132885726"/>
      <w:r w:rsidRPr="0050252E">
        <w:t>Appendix</w:t>
      </w:r>
      <w:r w:rsidR="007152D6">
        <w:t> </w:t>
      </w:r>
      <w:r w:rsidRPr="0050252E">
        <w:t xml:space="preserve">B: </w:t>
      </w:r>
      <w:bookmarkEnd w:id="54"/>
      <w:bookmarkEnd w:id="55"/>
      <w:r w:rsidR="00C230A1">
        <w:t>Modality assessment for dioxin</w:t>
      </w:r>
      <w:bookmarkEnd w:id="56"/>
      <w:bookmarkEnd w:id="57"/>
    </w:p>
    <w:p w14:paraId="5B854C10" w14:textId="77777777" w:rsidR="00CB2716" w:rsidRPr="00B97DB8" w:rsidRDefault="00576A22" w:rsidP="00CB2716">
      <w:pPr>
        <w:pStyle w:val="CommentText"/>
        <w:rPr>
          <w:sz w:val="22"/>
          <w:szCs w:val="22"/>
        </w:rPr>
      </w:pPr>
      <w:r w:rsidRPr="00B97DB8">
        <w:rPr>
          <w:sz w:val="22"/>
          <w:szCs w:val="22"/>
        </w:rPr>
        <w:t xml:space="preserve">A modality assessment was undertaken for </w:t>
      </w:r>
      <w:r>
        <w:rPr>
          <w:sz w:val="22"/>
          <w:szCs w:val="22"/>
        </w:rPr>
        <w:t>dioxin</w:t>
      </w:r>
      <w:r w:rsidRPr="00B97DB8">
        <w:rPr>
          <w:sz w:val="22"/>
          <w:szCs w:val="22"/>
        </w:rPr>
        <w:t xml:space="preserve"> according to the four questions in Warne</w:t>
      </w:r>
      <w:r w:rsidRPr="00B97DB8">
        <w:rPr>
          <w:i/>
          <w:sz w:val="22"/>
          <w:szCs w:val="22"/>
        </w:rPr>
        <w:t xml:space="preserve"> </w:t>
      </w:r>
      <w:r w:rsidRPr="00EE7855">
        <w:rPr>
          <w:iCs/>
          <w:sz w:val="22"/>
          <w:szCs w:val="22"/>
        </w:rPr>
        <w:t>et al.</w:t>
      </w:r>
      <w:r w:rsidRPr="00B97DB8">
        <w:rPr>
          <w:sz w:val="22"/>
          <w:szCs w:val="22"/>
        </w:rPr>
        <w:t xml:space="preserve"> (2018). These questions and their answers are listed </w:t>
      </w:r>
      <w:r w:rsidR="00EA2FB7">
        <w:rPr>
          <w:sz w:val="22"/>
          <w:szCs w:val="22"/>
        </w:rPr>
        <w:t>as follows</w:t>
      </w:r>
      <w:r>
        <w:rPr>
          <w:sz w:val="22"/>
          <w:szCs w:val="22"/>
        </w:rPr>
        <w:t>.</w:t>
      </w:r>
    </w:p>
    <w:p w14:paraId="5B854C11" w14:textId="77777777" w:rsidR="00CB2716" w:rsidRPr="00B97DB8" w:rsidRDefault="00576A22" w:rsidP="00EA2FB7">
      <w:pPr>
        <w:pStyle w:val="Heading5"/>
      </w:pPr>
      <w:r w:rsidRPr="00B97DB8">
        <w:t xml:space="preserve">Is there a specific mode of action that could result in </w:t>
      </w:r>
      <w:r w:rsidRPr="00B97DB8">
        <w:t>taxa-specific sensitivity?</w:t>
      </w:r>
    </w:p>
    <w:p w14:paraId="5B854C12" w14:textId="77777777" w:rsidR="00CB2716" w:rsidRPr="00D262CF" w:rsidRDefault="00576A22" w:rsidP="007E18E7">
      <w:pPr>
        <w:rPr>
          <w:bCs/>
          <w:szCs w:val="28"/>
          <w:lang w:val="en-GB"/>
        </w:rPr>
      </w:pPr>
      <w:r w:rsidRPr="007E18E7">
        <w:rPr>
          <w:bCs/>
          <w:szCs w:val="28"/>
          <w:lang w:val="en-GB"/>
        </w:rPr>
        <w:t>It is generally accepted that most, if not all, toxic and biological effects of dixon and dioxin-like compounds are mediated through the aryl hydrocarbon receptor (AhR), which is a cytosolic receptor protein present in most verte</w:t>
      </w:r>
      <w:r w:rsidRPr="007E18E7">
        <w:rPr>
          <w:bCs/>
          <w:szCs w:val="28"/>
          <w:lang w:val="en-GB"/>
        </w:rPr>
        <w:t xml:space="preserve">brate tissues (Mandal 2005, van den Berg et al. 2006). </w:t>
      </w:r>
      <w:r>
        <w:rPr>
          <w:bCs/>
          <w:szCs w:val="28"/>
          <w:lang w:val="en-GB"/>
        </w:rPr>
        <w:t xml:space="preserve">Although AhR homologs exist in invertebrates, they </w:t>
      </w:r>
      <w:r w:rsidR="00D262CF">
        <w:rPr>
          <w:bCs/>
          <w:szCs w:val="28"/>
          <w:lang w:val="en-GB"/>
        </w:rPr>
        <w:t>do not bind</w:t>
      </w:r>
      <w:r>
        <w:rPr>
          <w:bCs/>
          <w:szCs w:val="28"/>
          <w:lang w:val="en-GB"/>
        </w:rPr>
        <w:t xml:space="preserve"> with dioxins and dioxin-like compounds, which </w:t>
      </w:r>
      <w:r w:rsidR="00D262CF">
        <w:rPr>
          <w:bCs/>
          <w:szCs w:val="28"/>
          <w:lang w:val="en-GB"/>
        </w:rPr>
        <w:t>is thought</w:t>
      </w:r>
      <w:r>
        <w:rPr>
          <w:bCs/>
          <w:szCs w:val="28"/>
          <w:lang w:val="en-GB"/>
        </w:rPr>
        <w:t xml:space="preserve"> </w:t>
      </w:r>
      <w:r w:rsidR="001F4819">
        <w:rPr>
          <w:bCs/>
          <w:szCs w:val="28"/>
          <w:lang w:val="en-GB"/>
        </w:rPr>
        <w:t xml:space="preserve">to </w:t>
      </w:r>
      <w:r>
        <w:rPr>
          <w:bCs/>
          <w:szCs w:val="28"/>
          <w:lang w:val="en-GB"/>
        </w:rPr>
        <w:t>explain the relative insensiti</w:t>
      </w:r>
      <w:r w:rsidR="004D0A96">
        <w:rPr>
          <w:bCs/>
          <w:szCs w:val="28"/>
          <w:lang w:val="en-GB"/>
        </w:rPr>
        <w:t>v</w:t>
      </w:r>
      <w:r>
        <w:rPr>
          <w:bCs/>
          <w:szCs w:val="28"/>
          <w:lang w:val="en-GB"/>
        </w:rPr>
        <w:t>ity of invertebrates to such compounds (Hahn 20</w:t>
      </w:r>
      <w:r>
        <w:rPr>
          <w:bCs/>
          <w:szCs w:val="28"/>
          <w:lang w:val="en-GB"/>
        </w:rPr>
        <w:t>02</w:t>
      </w:r>
      <w:r w:rsidR="004D0A96">
        <w:rPr>
          <w:bCs/>
          <w:szCs w:val="28"/>
          <w:lang w:val="en-GB"/>
        </w:rPr>
        <w:t>, Hahn et al. 2017</w:t>
      </w:r>
      <w:r>
        <w:rPr>
          <w:bCs/>
          <w:szCs w:val="28"/>
          <w:lang w:val="en-GB"/>
        </w:rPr>
        <w:t>).</w:t>
      </w:r>
      <w:r w:rsidR="00D262CF">
        <w:rPr>
          <w:bCs/>
          <w:szCs w:val="28"/>
          <w:lang w:val="en-GB"/>
        </w:rPr>
        <w:t xml:space="preserve"> Consistent with the known mode of action of dioxins, t</w:t>
      </w:r>
      <w:r w:rsidRPr="007E18E7">
        <w:rPr>
          <w:bCs/>
          <w:szCs w:val="28"/>
        </w:rPr>
        <w:t xml:space="preserve">he large amount of literature on dioxin effects on fish </w:t>
      </w:r>
      <w:r w:rsidR="00D262CF">
        <w:rPr>
          <w:bCs/>
          <w:szCs w:val="28"/>
        </w:rPr>
        <w:t>indicate</w:t>
      </w:r>
      <w:r w:rsidR="00EA2FB7">
        <w:rPr>
          <w:bCs/>
          <w:szCs w:val="28"/>
        </w:rPr>
        <w:t>s</w:t>
      </w:r>
      <w:r w:rsidRPr="007E18E7">
        <w:rPr>
          <w:bCs/>
          <w:szCs w:val="28"/>
        </w:rPr>
        <w:t xml:space="preserve"> that fish appear to be much more sensitive to dioxin than other taxa</w:t>
      </w:r>
      <w:r w:rsidR="00D262CF">
        <w:rPr>
          <w:bCs/>
          <w:szCs w:val="28"/>
        </w:rPr>
        <w:t>.</w:t>
      </w:r>
    </w:p>
    <w:p w14:paraId="5B854C13" w14:textId="77777777" w:rsidR="00CB2716" w:rsidRPr="004409C9" w:rsidRDefault="00576A22" w:rsidP="00EA2FB7">
      <w:pPr>
        <w:pStyle w:val="Heading5"/>
      </w:pPr>
      <w:r w:rsidRPr="004409C9">
        <w:t>Does the dataset suggest bimodality?</w:t>
      </w:r>
    </w:p>
    <w:p w14:paraId="5B854C14" w14:textId="77777777" w:rsidR="00CB2716" w:rsidRPr="00153778" w:rsidRDefault="00576A22" w:rsidP="00EA2FB7">
      <w:r w:rsidRPr="002D6DB4">
        <w:t>The mo</w:t>
      </w:r>
      <w:r w:rsidRPr="002D6DB4">
        <w:t>dality assessment was undertaken on the lowest toxicity value for each species (or the appropriate geo</w:t>
      </w:r>
      <w:r w:rsidRPr="00153778">
        <w:t xml:space="preserve">metric mean of the lowest values) that passed the screening and quality assessment stipulated in Warne et al. </w:t>
      </w:r>
      <w:r>
        <w:t>(</w:t>
      </w:r>
      <w:r w:rsidRPr="00153778">
        <w:t>2018</w:t>
      </w:r>
      <w:r>
        <w:t>)</w:t>
      </w:r>
      <w:r w:rsidRPr="00153778">
        <w:t xml:space="preserve">. </w:t>
      </w:r>
      <w:r w:rsidR="007152D6">
        <w:fldChar w:fldCharType="begin"/>
      </w:r>
      <w:r w:rsidR="007152D6">
        <w:instrText xml:space="preserve"> REF _Ref37255028 \h </w:instrText>
      </w:r>
      <w:r w:rsidR="007152D6">
        <w:fldChar w:fldCharType="separate"/>
      </w:r>
      <w:r w:rsidR="008E67C0">
        <w:t>Table B </w:t>
      </w:r>
      <w:r w:rsidR="008E67C0">
        <w:rPr>
          <w:noProof/>
        </w:rPr>
        <w:t>1</w:t>
      </w:r>
      <w:r w:rsidR="007152D6">
        <w:fldChar w:fldCharType="end"/>
      </w:r>
      <w:r w:rsidR="007152D6">
        <w:t xml:space="preserve"> </w:t>
      </w:r>
      <w:r w:rsidRPr="00153778">
        <w:t xml:space="preserve">summarises the data considered for the </w:t>
      </w:r>
      <w:r w:rsidR="003375F1">
        <w:t>modality assessment</w:t>
      </w:r>
      <w:r w:rsidRPr="00153778">
        <w:t xml:space="preserve">. </w:t>
      </w:r>
    </w:p>
    <w:p w14:paraId="5B854C15" w14:textId="77777777" w:rsidR="00CB2716" w:rsidRPr="00153778" w:rsidRDefault="00576A22" w:rsidP="00CB2716">
      <w:r w:rsidRPr="00153778">
        <w:t>The data were subject to visualisation, calculation of the bimodality coefficient (BC), and consi</w:t>
      </w:r>
      <w:r w:rsidRPr="00153778">
        <w:t>deration of the range in the effect concentrations. These factors are recommended lines of evidence in evaluating whether bi</w:t>
      </w:r>
      <w:r w:rsidR="00EA2FB7">
        <w:t>modality</w:t>
      </w:r>
      <w:r w:rsidRPr="00153778">
        <w:t xml:space="preserve"> or multimodality of the dataset is apparent. This is discussed </w:t>
      </w:r>
      <w:r w:rsidR="00EA2FB7">
        <w:t>as follows.</w:t>
      </w:r>
      <w:r w:rsidRPr="00153778">
        <w:t xml:space="preserve"> </w:t>
      </w:r>
    </w:p>
    <w:p w14:paraId="5B854C16" w14:textId="77777777" w:rsidR="00CB2716" w:rsidRPr="003173CD" w:rsidRDefault="00576A22" w:rsidP="00EA2FB7">
      <w:pPr>
        <w:pStyle w:val="ListBullet"/>
      </w:pPr>
      <w:r w:rsidRPr="003173CD">
        <w:t xml:space="preserve">The </w:t>
      </w:r>
      <w:r>
        <w:t xml:space="preserve">natural </w:t>
      </w:r>
      <w:r w:rsidRPr="003173CD">
        <w:t>log</w:t>
      </w:r>
      <w:r>
        <w:t xml:space="preserve"> (ln)</w:t>
      </w:r>
      <w:r w:rsidRPr="003173CD">
        <w:t xml:space="preserve"> transformed histogram </w:t>
      </w:r>
      <w:r>
        <w:t>sugg</w:t>
      </w:r>
      <w:r>
        <w:t>ests bimodality</w:t>
      </w:r>
      <w:r w:rsidRPr="003173CD">
        <w:t xml:space="preserve"> (</w:t>
      </w:r>
      <w:r w:rsidR="00F9574C">
        <w:fldChar w:fldCharType="begin"/>
      </w:r>
      <w:r w:rsidR="00F9574C">
        <w:instrText xml:space="preserve"> REF _Ref37254640 \h </w:instrText>
      </w:r>
      <w:r w:rsidR="00F9574C">
        <w:fldChar w:fldCharType="separate"/>
      </w:r>
      <w:r w:rsidR="008E67C0">
        <w:t>Figure B </w:t>
      </w:r>
      <w:r w:rsidR="008E67C0">
        <w:rPr>
          <w:noProof/>
        </w:rPr>
        <w:t>1</w:t>
      </w:r>
      <w:r w:rsidR="00F9574C">
        <w:fldChar w:fldCharType="end"/>
      </w:r>
      <w:r w:rsidRPr="003173CD">
        <w:t>)</w:t>
      </w:r>
      <w:r w:rsidR="00EA2FB7">
        <w:t>.</w:t>
      </w:r>
    </w:p>
    <w:p w14:paraId="5B854C17" w14:textId="77777777" w:rsidR="00CB2716" w:rsidRPr="003173CD" w:rsidRDefault="00576A22" w:rsidP="00EA2FB7">
      <w:pPr>
        <w:pStyle w:val="ListBullet"/>
      </w:pPr>
      <w:r>
        <w:t>Data that span large ranges (&gt;</w:t>
      </w:r>
      <w:r w:rsidRPr="003173CD">
        <w:t>4 orders of magnitude) indicate potential for underlying bi</w:t>
      </w:r>
      <w:r>
        <w:t>modality or multimodality (Warne et al.</w:t>
      </w:r>
      <w:r w:rsidRPr="003173CD">
        <w:t xml:space="preserve"> 2018); th</w:t>
      </w:r>
      <w:r w:rsidRPr="003173CD">
        <w:t xml:space="preserve">e </w:t>
      </w:r>
      <w:r>
        <w:t>dioxin</w:t>
      </w:r>
      <w:r w:rsidRPr="003173CD">
        <w:t xml:space="preserve"> data span </w:t>
      </w:r>
      <w:r>
        <w:t>5</w:t>
      </w:r>
      <w:r w:rsidRPr="003173CD">
        <w:t xml:space="preserve"> orders of magnitude.</w:t>
      </w:r>
      <w:r>
        <w:t xml:space="preserve"> The fish data range from 0.024 ng/L to 2.5 ng/L (3 orders of magnitude range) and the data for other species range from 40 ng/L to 200 ng/L (2 orders of magnitude range).</w:t>
      </w:r>
    </w:p>
    <w:p w14:paraId="5B854C18" w14:textId="77777777" w:rsidR="00CB2716" w:rsidRDefault="00576A22" w:rsidP="00EA2FB7">
      <w:pPr>
        <w:pStyle w:val="ListBullet"/>
      </w:pPr>
      <w:r w:rsidRPr="003173CD">
        <w:t>When the BC is greater than 0.555 it indica</w:t>
      </w:r>
      <w:r w:rsidRPr="003173CD">
        <w:t>tes that the data</w:t>
      </w:r>
      <w:r>
        <w:t>set</w:t>
      </w:r>
      <w:r w:rsidRPr="003173CD">
        <w:t xml:space="preserve"> does not follow a typical normal distribution and may be bimodal. The </w:t>
      </w:r>
      <w:r w:rsidR="00EA2FB7">
        <w:t>BC</w:t>
      </w:r>
      <w:r w:rsidRPr="003173CD">
        <w:t xml:space="preserve"> for the </w:t>
      </w:r>
      <w:r>
        <w:t>ln</w:t>
      </w:r>
      <w:r w:rsidRPr="003173CD">
        <w:t xml:space="preserve"> transformed data </w:t>
      </w:r>
      <w:r>
        <w:t>wa</w:t>
      </w:r>
      <w:r w:rsidRPr="003173CD">
        <w:t>s 0.</w:t>
      </w:r>
      <w:r>
        <w:t>35</w:t>
      </w:r>
      <w:r w:rsidRPr="003173CD">
        <w:t>, which is less than the 0.555 cutoff stipulated in Warne et al. (2018)</w:t>
      </w:r>
      <w:r w:rsidR="00EA2FB7">
        <w:t>;</w:t>
      </w:r>
      <w:r w:rsidRPr="003173CD">
        <w:t xml:space="preserve"> therefore</w:t>
      </w:r>
      <w:r w:rsidR="007D121F">
        <w:t>,</w:t>
      </w:r>
      <w:r w:rsidRPr="003173CD">
        <w:t xml:space="preserve"> </w:t>
      </w:r>
      <w:r w:rsidR="00EA2FB7">
        <w:t xml:space="preserve">it </w:t>
      </w:r>
      <w:r>
        <w:t>suggest</w:t>
      </w:r>
      <w:r w:rsidR="007D121F">
        <w:t>s</w:t>
      </w:r>
      <w:r w:rsidRPr="003173CD">
        <w:t xml:space="preserve"> that the data</w:t>
      </w:r>
      <w:r>
        <w:t>set</w:t>
      </w:r>
      <w:r w:rsidRPr="003173CD">
        <w:t xml:space="preserve"> </w:t>
      </w:r>
      <w:r w:rsidR="007D121F">
        <w:t>may not be</w:t>
      </w:r>
      <w:r w:rsidRPr="003173CD">
        <w:t xml:space="preserve"> bimodal.</w:t>
      </w:r>
      <w:r>
        <w:t xml:space="preserve"> </w:t>
      </w:r>
    </w:p>
    <w:p w14:paraId="5B854C19" w14:textId="77777777" w:rsidR="00CB2716" w:rsidRPr="000343E0" w:rsidRDefault="00576A22" w:rsidP="00CB2716">
      <w:pPr>
        <w:pStyle w:val="yiv9643776165msonormal"/>
        <w:rPr>
          <w:rFonts w:asciiTheme="minorHAnsi" w:hAnsiTheme="minorHAnsi"/>
          <w:sz w:val="22"/>
          <w:szCs w:val="22"/>
        </w:rPr>
      </w:pPr>
      <w:r>
        <w:rPr>
          <w:rFonts w:asciiTheme="minorHAnsi" w:hAnsiTheme="minorHAnsi"/>
          <w:sz w:val="22"/>
          <w:szCs w:val="22"/>
        </w:rPr>
        <w:t>When considered together, the above l</w:t>
      </w:r>
      <w:r w:rsidRPr="000343E0">
        <w:rPr>
          <w:rFonts w:asciiTheme="minorHAnsi" w:hAnsiTheme="minorHAnsi"/>
          <w:sz w:val="22"/>
          <w:szCs w:val="22"/>
        </w:rPr>
        <w:t xml:space="preserve">ines of evidence </w:t>
      </w:r>
      <w:r>
        <w:rPr>
          <w:rFonts w:asciiTheme="minorHAnsi" w:hAnsiTheme="minorHAnsi"/>
          <w:sz w:val="22"/>
          <w:szCs w:val="22"/>
        </w:rPr>
        <w:t>are equivocal in indicating bimodality</w:t>
      </w:r>
      <w:r w:rsidRPr="000343E0">
        <w:rPr>
          <w:rFonts w:asciiTheme="minorHAnsi" w:hAnsiTheme="minorHAnsi"/>
          <w:sz w:val="22"/>
          <w:szCs w:val="22"/>
        </w:rPr>
        <w:t xml:space="preserve">, </w:t>
      </w:r>
      <w:r>
        <w:rPr>
          <w:rFonts w:asciiTheme="minorHAnsi" w:hAnsiTheme="minorHAnsi"/>
          <w:sz w:val="22"/>
          <w:szCs w:val="22"/>
        </w:rPr>
        <w:t>However, two of the three lines of evidence suggest bimodality and the only contradictory line of evidence, the BC, is not a definitive test of bimodal</w:t>
      </w:r>
      <w:r>
        <w:rPr>
          <w:rFonts w:asciiTheme="minorHAnsi" w:hAnsiTheme="minorHAnsi"/>
          <w:sz w:val="22"/>
          <w:szCs w:val="22"/>
        </w:rPr>
        <w:t>ity.</w:t>
      </w:r>
      <w:r w:rsidRPr="000343E0">
        <w:rPr>
          <w:rFonts w:asciiTheme="minorHAnsi" w:hAnsiTheme="minorHAnsi"/>
          <w:sz w:val="22"/>
          <w:szCs w:val="22"/>
        </w:rPr>
        <w:t xml:space="preserve">  </w:t>
      </w:r>
    </w:p>
    <w:p w14:paraId="5B854C1A" w14:textId="77777777" w:rsidR="00CB2716" w:rsidRPr="00EA2FB7" w:rsidRDefault="00576A22" w:rsidP="007152D6">
      <w:pPr>
        <w:pStyle w:val="Caption"/>
      </w:pPr>
      <w:bookmarkStart w:id="58" w:name="_Ref37255028"/>
      <w:bookmarkStart w:id="59" w:name="_Toc47526132"/>
      <w:r>
        <w:t>Table B </w:t>
      </w:r>
      <w:r w:rsidR="00390AEE">
        <w:rPr>
          <w:noProof/>
        </w:rPr>
        <w:fldChar w:fldCharType="begin"/>
      </w:r>
      <w:r w:rsidR="00390AEE">
        <w:rPr>
          <w:noProof/>
        </w:rPr>
        <w:instrText xml:space="preserve"> SEQ Table_B \* ARABIC </w:instrText>
      </w:r>
      <w:r w:rsidR="00390AEE">
        <w:rPr>
          <w:noProof/>
        </w:rPr>
        <w:fldChar w:fldCharType="separate"/>
      </w:r>
      <w:r w:rsidR="008E67C0">
        <w:rPr>
          <w:noProof/>
        </w:rPr>
        <w:t>1</w:t>
      </w:r>
      <w:r w:rsidR="00390AEE">
        <w:rPr>
          <w:noProof/>
        </w:rPr>
        <w:fldChar w:fldCharType="end"/>
      </w:r>
      <w:bookmarkEnd w:id="58"/>
      <w:r>
        <w:t xml:space="preserve"> </w:t>
      </w:r>
      <w:r w:rsidRPr="00EA2FB7">
        <w:t>Lowest toxicity value</w:t>
      </w:r>
      <w:r w:rsidR="001B1BBE">
        <w:t>,</w:t>
      </w:r>
      <w:r w:rsidRPr="00EA2FB7">
        <w:t xml:space="preserve"> each species that passed the screening and quality assessment stipulated in Warne et al. </w:t>
      </w:r>
      <w:r w:rsidR="00EA2FB7">
        <w:t>(</w:t>
      </w:r>
      <w:r w:rsidRPr="00EA2FB7">
        <w:t>2018</w:t>
      </w:r>
      <w:r w:rsidR="00EA2FB7">
        <w:t>)</w:t>
      </w:r>
      <w:bookmarkEnd w:id="59"/>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Caption w:val="Lowest toxicity value, each species that passed the screening and quality assessment stipulated in Warne et al. (2018)"/>
        <w:tblDescription w:val="Table lists the lowest toxicity concentration (nanograms per litre) of the 12 species that passed the screening and quality assessment in Warne et al. (2018). Table also provides the following information: toxicity value, taxonomic group and toxicity measure."/>
      </w:tblPr>
      <w:tblGrid>
        <w:gridCol w:w="1352"/>
        <w:gridCol w:w="1386"/>
        <w:gridCol w:w="2215"/>
        <w:gridCol w:w="1799"/>
        <w:gridCol w:w="2318"/>
      </w:tblGrid>
      <w:tr w:rsidR="006A7BE0" w14:paraId="5B854C20" w14:textId="77777777" w:rsidTr="001B1BBE">
        <w:trPr>
          <w:cantSplit/>
          <w:trHeight w:val="300"/>
          <w:tblHeader/>
        </w:trPr>
        <w:tc>
          <w:tcPr>
            <w:tcW w:w="745" w:type="pct"/>
            <w:tcBorders>
              <w:top w:val="single" w:sz="12" w:space="0" w:color="auto"/>
              <w:bottom w:val="single" w:sz="12" w:space="0" w:color="auto"/>
            </w:tcBorders>
            <w:shd w:val="clear" w:color="auto" w:fill="auto"/>
            <w:noWrap/>
            <w:tcMar>
              <w:top w:w="15" w:type="dxa"/>
              <w:left w:w="108" w:type="dxa"/>
              <w:bottom w:w="15" w:type="dxa"/>
              <w:right w:w="108" w:type="dxa"/>
            </w:tcMar>
            <w:hideMark/>
          </w:tcPr>
          <w:p w14:paraId="5B854C1B" w14:textId="77777777" w:rsidR="00CB2716" w:rsidRDefault="00576A22" w:rsidP="001B1BBE">
            <w:pPr>
              <w:pStyle w:val="TableHeading"/>
              <w:keepLines/>
              <w:rPr>
                <w:lang w:eastAsia="en-AU"/>
              </w:rPr>
            </w:pPr>
            <w:r>
              <w:rPr>
                <w:lang w:eastAsia="en-AU"/>
              </w:rPr>
              <w:t>Conc</w:t>
            </w:r>
            <w:r w:rsidR="001B1BBE">
              <w:rPr>
                <w:lang w:eastAsia="en-AU"/>
              </w:rPr>
              <w:t>entration</w:t>
            </w:r>
            <w:r>
              <w:rPr>
                <w:lang w:eastAsia="en-AU"/>
              </w:rPr>
              <w:t xml:space="preserve"> (ng/L)</w:t>
            </w:r>
          </w:p>
        </w:tc>
        <w:tc>
          <w:tcPr>
            <w:tcW w:w="764" w:type="pct"/>
            <w:tcBorders>
              <w:top w:val="single" w:sz="12" w:space="0" w:color="auto"/>
              <w:bottom w:val="single" w:sz="12" w:space="0" w:color="auto"/>
            </w:tcBorders>
            <w:shd w:val="clear" w:color="auto" w:fill="auto"/>
            <w:noWrap/>
            <w:tcMar>
              <w:top w:w="15" w:type="dxa"/>
              <w:left w:w="108" w:type="dxa"/>
              <w:bottom w:w="15" w:type="dxa"/>
              <w:right w:w="108" w:type="dxa"/>
            </w:tcMar>
            <w:hideMark/>
          </w:tcPr>
          <w:p w14:paraId="5B854C1C" w14:textId="77777777" w:rsidR="00CB2716" w:rsidRDefault="00576A22" w:rsidP="001B1BBE">
            <w:pPr>
              <w:pStyle w:val="TableHeading"/>
              <w:keepLines/>
              <w:rPr>
                <w:lang w:eastAsia="en-AU"/>
              </w:rPr>
            </w:pPr>
            <w:r>
              <w:rPr>
                <w:lang w:eastAsia="en-AU"/>
              </w:rPr>
              <w:t xml:space="preserve">Toxicity </w:t>
            </w:r>
            <w:r w:rsidR="001B1BBE">
              <w:rPr>
                <w:lang w:eastAsia="en-AU"/>
              </w:rPr>
              <w:t>value</w:t>
            </w:r>
          </w:p>
        </w:tc>
        <w:tc>
          <w:tcPr>
            <w:tcW w:w="1221" w:type="pct"/>
            <w:tcBorders>
              <w:top w:val="single" w:sz="12" w:space="0" w:color="auto"/>
              <w:bottom w:val="single" w:sz="12" w:space="0" w:color="auto"/>
            </w:tcBorders>
            <w:shd w:val="clear" w:color="auto" w:fill="auto"/>
            <w:noWrap/>
            <w:tcMar>
              <w:top w:w="15" w:type="dxa"/>
              <w:left w:w="108" w:type="dxa"/>
              <w:bottom w:w="15" w:type="dxa"/>
              <w:right w:w="108" w:type="dxa"/>
            </w:tcMar>
            <w:hideMark/>
          </w:tcPr>
          <w:p w14:paraId="5B854C1D" w14:textId="77777777" w:rsidR="00CB2716" w:rsidRDefault="00576A22" w:rsidP="001B1BBE">
            <w:pPr>
              <w:pStyle w:val="TableHeading"/>
              <w:keepLines/>
              <w:rPr>
                <w:lang w:eastAsia="en-AU"/>
              </w:rPr>
            </w:pPr>
            <w:r>
              <w:rPr>
                <w:lang w:eastAsia="en-AU"/>
              </w:rPr>
              <w:t>Species</w:t>
            </w:r>
          </w:p>
        </w:tc>
        <w:tc>
          <w:tcPr>
            <w:tcW w:w="992" w:type="pct"/>
            <w:tcBorders>
              <w:top w:val="single" w:sz="12" w:space="0" w:color="auto"/>
              <w:bottom w:val="single" w:sz="12" w:space="0" w:color="auto"/>
            </w:tcBorders>
            <w:shd w:val="clear" w:color="auto" w:fill="auto"/>
            <w:noWrap/>
            <w:tcMar>
              <w:top w:w="15" w:type="dxa"/>
              <w:left w:w="108" w:type="dxa"/>
              <w:bottom w:w="15" w:type="dxa"/>
              <w:right w:w="108" w:type="dxa"/>
            </w:tcMar>
            <w:hideMark/>
          </w:tcPr>
          <w:p w14:paraId="5B854C1E" w14:textId="77777777" w:rsidR="00CB2716" w:rsidRDefault="00576A22" w:rsidP="001B1BBE">
            <w:pPr>
              <w:pStyle w:val="TableHeading"/>
              <w:keepLines/>
              <w:rPr>
                <w:lang w:eastAsia="en-AU"/>
              </w:rPr>
            </w:pPr>
            <w:r>
              <w:rPr>
                <w:lang w:eastAsia="en-AU"/>
              </w:rPr>
              <w:t>Taxonomic group</w:t>
            </w:r>
          </w:p>
        </w:tc>
        <w:tc>
          <w:tcPr>
            <w:tcW w:w="1278" w:type="pct"/>
            <w:tcBorders>
              <w:top w:val="single" w:sz="12" w:space="0" w:color="auto"/>
              <w:bottom w:val="single" w:sz="12" w:space="0" w:color="auto"/>
            </w:tcBorders>
            <w:shd w:val="clear" w:color="auto" w:fill="auto"/>
            <w:noWrap/>
            <w:tcMar>
              <w:top w:w="15" w:type="dxa"/>
              <w:left w:w="108" w:type="dxa"/>
              <w:bottom w:w="15" w:type="dxa"/>
              <w:right w:w="108" w:type="dxa"/>
            </w:tcMar>
            <w:hideMark/>
          </w:tcPr>
          <w:p w14:paraId="5B854C1F" w14:textId="77777777" w:rsidR="00CB2716" w:rsidRDefault="00576A22" w:rsidP="001B1BBE">
            <w:pPr>
              <w:pStyle w:val="TableHeading"/>
              <w:keepLines/>
              <w:rPr>
                <w:lang w:eastAsia="en-AU"/>
              </w:rPr>
            </w:pPr>
            <w:r>
              <w:rPr>
                <w:lang w:eastAsia="en-AU"/>
              </w:rPr>
              <w:t>Toxicity measure</w:t>
            </w:r>
          </w:p>
        </w:tc>
      </w:tr>
      <w:tr w:rsidR="006A7BE0" w14:paraId="5B854C26" w14:textId="77777777" w:rsidTr="001B1BBE">
        <w:trPr>
          <w:cantSplit/>
          <w:trHeight w:val="300"/>
        </w:trPr>
        <w:tc>
          <w:tcPr>
            <w:tcW w:w="745" w:type="pct"/>
            <w:tcBorders>
              <w:top w:val="single" w:sz="12" w:space="0" w:color="auto"/>
            </w:tcBorders>
            <w:noWrap/>
            <w:tcMar>
              <w:top w:w="15" w:type="dxa"/>
              <w:left w:w="108" w:type="dxa"/>
              <w:bottom w:w="15" w:type="dxa"/>
              <w:right w:w="108" w:type="dxa"/>
            </w:tcMar>
            <w:hideMark/>
          </w:tcPr>
          <w:p w14:paraId="5B854C21" w14:textId="77777777" w:rsidR="00CB2716" w:rsidRPr="00EA2FB7" w:rsidRDefault="00576A22" w:rsidP="001B1BBE">
            <w:pPr>
              <w:pStyle w:val="TableText"/>
              <w:keepNext/>
              <w:keepLines/>
            </w:pPr>
            <w:r w:rsidRPr="00EA2FB7">
              <w:t>0.015</w:t>
            </w:r>
          </w:p>
        </w:tc>
        <w:tc>
          <w:tcPr>
            <w:tcW w:w="764" w:type="pct"/>
            <w:tcBorders>
              <w:top w:val="single" w:sz="12" w:space="0" w:color="auto"/>
            </w:tcBorders>
            <w:noWrap/>
            <w:tcMar>
              <w:top w:w="15" w:type="dxa"/>
              <w:left w:w="108" w:type="dxa"/>
              <w:bottom w:w="15" w:type="dxa"/>
              <w:right w:w="108" w:type="dxa"/>
            </w:tcMar>
            <w:hideMark/>
          </w:tcPr>
          <w:p w14:paraId="5B854C22" w14:textId="77777777" w:rsidR="00CB2716" w:rsidRPr="00EA2FB7" w:rsidRDefault="00576A22" w:rsidP="001B1BBE">
            <w:pPr>
              <w:pStyle w:val="TableText"/>
              <w:keepNext/>
              <w:keepLines/>
            </w:pPr>
            <w:r w:rsidRPr="00EA2FB7">
              <w:t>LOEC</w:t>
            </w:r>
          </w:p>
        </w:tc>
        <w:tc>
          <w:tcPr>
            <w:tcW w:w="1221" w:type="pct"/>
            <w:tcBorders>
              <w:top w:val="single" w:sz="12" w:space="0" w:color="auto"/>
            </w:tcBorders>
            <w:noWrap/>
            <w:tcMar>
              <w:top w:w="15" w:type="dxa"/>
              <w:left w:w="108" w:type="dxa"/>
              <w:bottom w:w="15" w:type="dxa"/>
              <w:right w:w="108" w:type="dxa"/>
            </w:tcMar>
            <w:hideMark/>
          </w:tcPr>
          <w:p w14:paraId="5B854C23" w14:textId="77777777" w:rsidR="00CB2716" w:rsidRPr="001B1BBE" w:rsidRDefault="00576A22" w:rsidP="001B1BBE">
            <w:pPr>
              <w:pStyle w:val="TableText"/>
              <w:keepNext/>
              <w:keepLines/>
              <w:rPr>
                <w:rStyle w:val="Emphasis"/>
              </w:rPr>
            </w:pPr>
            <w:r w:rsidRPr="001B1BBE">
              <w:rPr>
                <w:rStyle w:val="Emphasis"/>
              </w:rPr>
              <w:t>Oncorhynchus mykiss</w:t>
            </w:r>
          </w:p>
        </w:tc>
        <w:tc>
          <w:tcPr>
            <w:tcW w:w="992" w:type="pct"/>
            <w:tcBorders>
              <w:top w:val="single" w:sz="12" w:space="0" w:color="auto"/>
            </w:tcBorders>
            <w:noWrap/>
            <w:tcMar>
              <w:top w:w="15" w:type="dxa"/>
              <w:left w:w="108" w:type="dxa"/>
              <w:bottom w:w="15" w:type="dxa"/>
              <w:right w:w="108" w:type="dxa"/>
            </w:tcMar>
            <w:hideMark/>
          </w:tcPr>
          <w:p w14:paraId="5B854C24" w14:textId="77777777" w:rsidR="00CB2716" w:rsidRPr="00EA2FB7" w:rsidRDefault="00576A22" w:rsidP="001B1BBE">
            <w:pPr>
              <w:pStyle w:val="TableText"/>
              <w:keepNext/>
              <w:keepLines/>
            </w:pPr>
            <w:r w:rsidRPr="00EA2FB7">
              <w:t>Fish</w:t>
            </w:r>
          </w:p>
        </w:tc>
        <w:tc>
          <w:tcPr>
            <w:tcW w:w="1278" w:type="pct"/>
            <w:tcBorders>
              <w:top w:val="single" w:sz="12" w:space="0" w:color="auto"/>
            </w:tcBorders>
            <w:noWrap/>
            <w:tcMar>
              <w:top w:w="15" w:type="dxa"/>
              <w:left w:w="108" w:type="dxa"/>
              <w:bottom w:w="15" w:type="dxa"/>
              <w:right w:w="108" w:type="dxa"/>
            </w:tcMar>
            <w:hideMark/>
          </w:tcPr>
          <w:p w14:paraId="5B854C25" w14:textId="77777777" w:rsidR="00CB2716" w:rsidRPr="00EA2FB7" w:rsidRDefault="00576A22" w:rsidP="001B1BBE">
            <w:pPr>
              <w:pStyle w:val="TableText"/>
              <w:keepNext/>
              <w:keepLines/>
            </w:pPr>
            <w:r w:rsidRPr="00EA2FB7">
              <w:t>Chronic LOEC</w:t>
            </w:r>
          </w:p>
        </w:tc>
      </w:tr>
      <w:tr w:rsidR="006A7BE0" w14:paraId="5B854C2C" w14:textId="77777777" w:rsidTr="001B1BBE">
        <w:trPr>
          <w:cantSplit/>
          <w:trHeight w:val="300"/>
        </w:trPr>
        <w:tc>
          <w:tcPr>
            <w:tcW w:w="745" w:type="pct"/>
            <w:noWrap/>
            <w:tcMar>
              <w:top w:w="15" w:type="dxa"/>
              <w:left w:w="108" w:type="dxa"/>
              <w:bottom w:w="15" w:type="dxa"/>
              <w:right w:w="108" w:type="dxa"/>
            </w:tcMar>
            <w:hideMark/>
          </w:tcPr>
          <w:p w14:paraId="5B854C27" w14:textId="77777777" w:rsidR="00CB2716" w:rsidRPr="00EA2FB7" w:rsidRDefault="00576A22" w:rsidP="001B1BBE">
            <w:pPr>
              <w:pStyle w:val="TableText"/>
              <w:keepNext/>
              <w:keepLines/>
            </w:pPr>
            <w:r w:rsidRPr="00EA2FB7">
              <w:t>0.024</w:t>
            </w:r>
          </w:p>
        </w:tc>
        <w:tc>
          <w:tcPr>
            <w:tcW w:w="764" w:type="pct"/>
            <w:noWrap/>
            <w:tcMar>
              <w:top w:w="15" w:type="dxa"/>
              <w:left w:w="108" w:type="dxa"/>
              <w:bottom w:w="15" w:type="dxa"/>
              <w:right w:w="108" w:type="dxa"/>
            </w:tcMar>
            <w:hideMark/>
          </w:tcPr>
          <w:p w14:paraId="5B854C28" w14:textId="77777777" w:rsidR="00CB2716" w:rsidRPr="00EA2FB7" w:rsidRDefault="00576A22" w:rsidP="001B1BBE">
            <w:pPr>
              <w:pStyle w:val="TableText"/>
              <w:keepNext/>
              <w:keepLines/>
            </w:pPr>
            <w:r w:rsidRPr="00EA2FB7">
              <w:t>LOEC</w:t>
            </w:r>
          </w:p>
        </w:tc>
        <w:tc>
          <w:tcPr>
            <w:tcW w:w="1221" w:type="pct"/>
            <w:noWrap/>
            <w:tcMar>
              <w:top w:w="15" w:type="dxa"/>
              <w:left w:w="108" w:type="dxa"/>
              <w:bottom w:w="15" w:type="dxa"/>
              <w:right w:w="108" w:type="dxa"/>
            </w:tcMar>
            <w:hideMark/>
          </w:tcPr>
          <w:p w14:paraId="5B854C29" w14:textId="77777777" w:rsidR="00CB2716" w:rsidRPr="001B1BBE" w:rsidRDefault="00576A22" w:rsidP="001B1BBE">
            <w:pPr>
              <w:pStyle w:val="TableText"/>
              <w:keepNext/>
              <w:keepLines/>
              <w:rPr>
                <w:rStyle w:val="Emphasis"/>
              </w:rPr>
            </w:pPr>
            <w:r w:rsidRPr="001B1BBE">
              <w:rPr>
                <w:rStyle w:val="Emphasis"/>
              </w:rPr>
              <w:t>Cyprinus carpio</w:t>
            </w:r>
          </w:p>
        </w:tc>
        <w:tc>
          <w:tcPr>
            <w:tcW w:w="992" w:type="pct"/>
            <w:noWrap/>
            <w:tcMar>
              <w:top w:w="15" w:type="dxa"/>
              <w:left w:w="108" w:type="dxa"/>
              <w:bottom w:w="15" w:type="dxa"/>
              <w:right w:w="108" w:type="dxa"/>
            </w:tcMar>
            <w:hideMark/>
          </w:tcPr>
          <w:p w14:paraId="5B854C2A" w14:textId="77777777" w:rsidR="00CB2716" w:rsidRPr="00EA2FB7" w:rsidRDefault="00576A22" w:rsidP="001B1BBE">
            <w:pPr>
              <w:pStyle w:val="TableText"/>
              <w:keepNext/>
              <w:keepLines/>
            </w:pPr>
            <w:r w:rsidRPr="00EA2FB7">
              <w:t>Fish</w:t>
            </w:r>
          </w:p>
        </w:tc>
        <w:tc>
          <w:tcPr>
            <w:tcW w:w="1278" w:type="pct"/>
            <w:noWrap/>
            <w:tcMar>
              <w:top w:w="15" w:type="dxa"/>
              <w:left w:w="108" w:type="dxa"/>
              <w:bottom w:w="15" w:type="dxa"/>
              <w:right w:w="108" w:type="dxa"/>
            </w:tcMar>
            <w:hideMark/>
          </w:tcPr>
          <w:p w14:paraId="5B854C2B" w14:textId="77777777" w:rsidR="00CB2716" w:rsidRPr="00EA2FB7" w:rsidRDefault="00576A22" w:rsidP="001B1BBE">
            <w:pPr>
              <w:pStyle w:val="TableText"/>
              <w:keepNext/>
              <w:keepLines/>
            </w:pPr>
            <w:r w:rsidRPr="00EA2FB7">
              <w:t>Chronic LOEC</w:t>
            </w:r>
          </w:p>
        </w:tc>
      </w:tr>
      <w:tr w:rsidR="006A7BE0" w14:paraId="5B854C32" w14:textId="77777777" w:rsidTr="001B1BBE">
        <w:trPr>
          <w:cantSplit/>
          <w:trHeight w:val="300"/>
        </w:trPr>
        <w:tc>
          <w:tcPr>
            <w:tcW w:w="745" w:type="pct"/>
            <w:noWrap/>
            <w:tcMar>
              <w:top w:w="15" w:type="dxa"/>
              <w:left w:w="108" w:type="dxa"/>
              <w:bottom w:w="15" w:type="dxa"/>
              <w:right w:w="108" w:type="dxa"/>
            </w:tcMar>
            <w:hideMark/>
          </w:tcPr>
          <w:p w14:paraId="5B854C2D" w14:textId="77777777" w:rsidR="00CB2716" w:rsidRPr="00EA2FB7" w:rsidRDefault="00576A22" w:rsidP="001B1BBE">
            <w:pPr>
              <w:pStyle w:val="TableText"/>
            </w:pPr>
            <w:r w:rsidRPr="00EA2FB7">
              <w:t>0.1</w:t>
            </w:r>
          </w:p>
        </w:tc>
        <w:tc>
          <w:tcPr>
            <w:tcW w:w="764" w:type="pct"/>
            <w:noWrap/>
            <w:tcMar>
              <w:top w:w="15" w:type="dxa"/>
              <w:left w:w="108" w:type="dxa"/>
              <w:bottom w:w="15" w:type="dxa"/>
              <w:right w:w="108" w:type="dxa"/>
            </w:tcMar>
            <w:hideMark/>
          </w:tcPr>
          <w:p w14:paraId="5B854C2E" w14:textId="77777777" w:rsidR="00CB2716" w:rsidRPr="00EA2FB7" w:rsidRDefault="00576A22" w:rsidP="001B1BBE">
            <w:pPr>
              <w:pStyle w:val="TableText"/>
            </w:pPr>
            <w:r w:rsidRPr="00EA2FB7">
              <w:t>LC49</w:t>
            </w:r>
          </w:p>
        </w:tc>
        <w:tc>
          <w:tcPr>
            <w:tcW w:w="1221" w:type="pct"/>
            <w:noWrap/>
            <w:tcMar>
              <w:top w:w="15" w:type="dxa"/>
              <w:left w:w="108" w:type="dxa"/>
              <w:bottom w:w="15" w:type="dxa"/>
              <w:right w:w="108" w:type="dxa"/>
            </w:tcMar>
            <w:hideMark/>
          </w:tcPr>
          <w:p w14:paraId="5B854C2F" w14:textId="77777777" w:rsidR="00CB2716" w:rsidRPr="001B1BBE" w:rsidRDefault="00576A22" w:rsidP="001B1BBE">
            <w:pPr>
              <w:pStyle w:val="TableText"/>
              <w:rPr>
                <w:rStyle w:val="Emphasis"/>
              </w:rPr>
            </w:pPr>
            <w:r w:rsidRPr="001B1BBE">
              <w:rPr>
                <w:rStyle w:val="Emphasis"/>
              </w:rPr>
              <w:t>Esox lucius</w:t>
            </w:r>
          </w:p>
        </w:tc>
        <w:tc>
          <w:tcPr>
            <w:tcW w:w="992" w:type="pct"/>
            <w:noWrap/>
            <w:tcMar>
              <w:top w:w="15" w:type="dxa"/>
              <w:left w:w="108" w:type="dxa"/>
              <w:bottom w:w="15" w:type="dxa"/>
              <w:right w:w="108" w:type="dxa"/>
            </w:tcMar>
            <w:hideMark/>
          </w:tcPr>
          <w:p w14:paraId="5B854C30" w14:textId="77777777" w:rsidR="00CB2716" w:rsidRPr="00EA2FB7" w:rsidRDefault="00576A22" w:rsidP="001B1BBE">
            <w:pPr>
              <w:pStyle w:val="TableText"/>
            </w:pPr>
            <w:r w:rsidRPr="00EA2FB7">
              <w:t>Fish</w:t>
            </w:r>
          </w:p>
        </w:tc>
        <w:tc>
          <w:tcPr>
            <w:tcW w:w="1278" w:type="pct"/>
            <w:noWrap/>
            <w:tcMar>
              <w:top w:w="15" w:type="dxa"/>
              <w:left w:w="108" w:type="dxa"/>
              <w:bottom w:w="15" w:type="dxa"/>
              <w:right w:w="108" w:type="dxa"/>
            </w:tcMar>
            <w:hideMark/>
          </w:tcPr>
          <w:p w14:paraId="5B854C31" w14:textId="77777777" w:rsidR="00CB2716" w:rsidRPr="00EA2FB7" w:rsidRDefault="00576A22" w:rsidP="001B1BBE">
            <w:pPr>
              <w:pStyle w:val="TableText"/>
            </w:pPr>
            <w:r w:rsidRPr="00EA2FB7">
              <w:t>Acute to est</w:t>
            </w:r>
            <w:r w:rsidR="001B1BBE">
              <w:t>imated c</w:t>
            </w:r>
            <w:r w:rsidRPr="00EA2FB7">
              <w:t>hronic</w:t>
            </w:r>
          </w:p>
        </w:tc>
      </w:tr>
      <w:tr w:rsidR="006A7BE0" w14:paraId="5B854C38" w14:textId="77777777" w:rsidTr="001B1BBE">
        <w:trPr>
          <w:cantSplit/>
          <w:trHeight w:val="300"/>
        </w:trPr>
        <w:tc>
          <w:tcPr>
            <w:tcW w:w="745" w:type="pct"/>
            <w:noWrap/>
            <w:tcMar>
              <w:top w:w="15" w:type="dxa"/>
              <w:left w:w="108" w:type="dxa"/>
              <w:bottom w:w="15" w:type="dxa"/>
              <w:right w:w="108" w:type="dxa"/>
            </w:tcMar>
            <w:hideMark/>
          </w:tcPr>
          <w:p w14:paraId="5B854C33" w14:textId="77777777" w:rsidR="00CB2716" w:rsidRPr="00EA2FB7" w:rsidRDefault="00576A22" w:rsidP="001B1BBE">
            <w:pPr>
              <w:pStyle w:val="TableText"/>
            </w:pPr>
            <w:r w:rsidRPr="00EA2FB7">
              <w:t>0.56</w:t>
            </w:r>
          </w:p>
        </w:tc>
        <w:tc>
          <w:tcPr>
            <w:tcW w:w="764" w:type="pct"/>
            <w:noWrap/>
            <w:tcMar>
              <w:top w:w="15" w:type="dxa"/>
              <w:left w:w="108" w:type="dxa"/>
              <w:bottom w:w="15" w:type="dxa"/>
              <w:right w:w="108" w:type="dxa"/>
            </w:tcMar>
            <w:hideMark/>
          </w:tcPr>
          <w:p w14:paraId="5B854C34" w14:textId="77777777" w:rsidR="00CB2716" w:rsidRPr="00EA2FB7" w:rsidRDefault="00576A22" w:rsidP="001B1BBE">
            <w:pPr>
              <w:pStyle w:val="TableText"/>
            </w:pPr>
            <w:r w:rsidRPr="00EA2FB7">
              <w:t>NOEC</w:t>
            </w:r>
          </w:p>
        </w:tc>
        <w:tc>
          <w:tcPr>
            <w:tcW w:w="1221" w:type="pct"/>
            <w:noWrap/>
            <w:tcMar>
              <w:top w:w="15" w:type="dxa"/>
              <w:left w:w="108" w:type="dxa"/>
              <w:bottom w:w="15" w:type="dxa"/>
              <w:right w:w="108" w:type="dxa"/>
            </w:tcMar>
            <w:hideMark/>
          </w:tcPr>
          <w:p w14:paraId="5B854C35" w14:textId="77777777" w:rsidR="00CB2716" w:rsidRPr="001B1BBE" w:rsidRDefault="00576A22" w:rsidP="001B1BBE">
            <w:pPr>
              <w:pStyle w:val="TableText"/>
              <w:rPr>
                <w:rStyle w:val="Emphasis"/>
              </w:rPr>
            </w:pPr>
            <w:r w:rsidRPr="001B1BBE">
              <w:rPr>
                <w:rStyle w:val="Emphasis"/>
              </w:rPr>
              <w:t>Oncorhynchus kisutch</w:t>
            </w:r>
          </w:p>
        </w:tc>
        <w:tc>
          <w:tcPr>
            <w:tcW w:w="992" w:type="pct"/>
            <w:noWrap/>
            <w:tcMar>
              <w:top w:w="15" w:type="dxa"/>
              <w:left w:w="108" w:type="dxa"/>
              <w:bottom w:w="15" w:type="dxa"/>
              <w:right w:w="108" w:type="dxa"/>
            </w:tcMar>
            <w:hideMark/>
          </w:tcPr>
          <w:p w14:paraId="5B854C36" w14:textId="77777777" w:rsidR="00CB2716" w:rsidRPr="00EA2FB7" w:rsidRDefault="00576A22" w:rsidP="001B1BBE">
            <w:pPr>
              <w:pStyle w:val="TableText"/>
            </w:pPr>
            <w:r w:rsidRPr="00EA2FB7">
              <w:t>Fish</w:t>
            </w:r>
          </w:p>
        </w:tc>
        <w:tc>
          <w:tcPr>
            <w:tcW w:w="1278" w:type="pct"/>
            <w:noWrap/>
            <w:tcMar>
              <w:top w:w="15" w:type="dxa"/>
              <w:left w:w="108" w:type="dxa"/>
              <w:bottom w:w="15" w:type="dxa"/>
              <w:right w:w="108" w:type="dxa"/>
            </w:tcMar>
            <w:hideMark/>
          </w:tcPr>
          <w:p w14:paraId="5B854C37" w14:textId="77777777" w:rsidR="00CB2716" w:rsidRPr="00EA2FB7" w:rsidRDefault="00576A22" w:rsidP="001B1BBE">
            <w:pPr>
              <w:pStyle w:val="TableText"/>
            </w:pPr>
            <w:r w:rsidRPr="00EA2FB7">
              <w:t>Acute to est</w:t>
            </w:r>
            <w:r w:rsidR="001B1BBE">
              <w:t>imated c</w:t>
            </w:r>
            <w:r w:rsidRPr="00EA2FB7">
              <w:t>hronic</w:t>
            </w:r>
          </w:p>
        </w:tc>
      </w:tr>
      <w:tr w:rsidR="006A7BE0" w14:paraId="5B854C3E" w14:textId="77777777" w:rsidTr="001B1BBE">
        <w:trPr>
          <w:cantSplit/>
          <w:trHeight w:val="300"/>
        </w:trPr>
        <w:tc>
          <w:tcPr>
            <w:tcW w:w="745" w:type="pct"/>
            <w:noWrap/>
            <w:tcMar>
              <w:top w:w="15" w:type="dxa"/>
              <w:left w:w="108" w:type="dxa"/>
              <w:bottom w:w="15" w:type="dxa"/>
              <w:right w:w="108" w:type="dxa"/>
            </w:tcMar>
            <w:hideMark/>
          </w:tcPr>
          <w:p w14:paraId="5B854C39" w14:textId="77777777" w:rsidR="00CB2716" w:rsidRPr="00EA2FB7" w:rsidRDefault="00576A22" w:rsidP="001B1BBE">
            <w:pPr>
              <w:pStyle w:val="TableText"/>
            </w:pPr>
            <w:r w:rsidRPr="00EA2FB7">
              <w:t>0.59</w:t>
            </w:r>
          </w:p>
        </w:tc>
        <w:tc>
          <w:tcPr>
            <w:tcW w:w="764" w:type="pct"/>
            <w:noWrap/>
            <w:tcMar>
              <w:top w:w="15" w:type="dxa"/>
              <w:left w:w="108" w:type="dxa"/>
              <w:bottom w:w="15" w:type="dxa"/>
              <w:right w:w="108" w:type="dxa"/>
            </w:tcMar>
            <w:hideMark/>
          </w:tcPr>
          <w:p w14:paraId="5B854C3A" w14:textId="77777777" w:rsidR="00CB2716" w:rsidRPr="00EA2FB7" w:rsidRDefault="00576A22" w:rsidP="001B1BBE">
            <w:pPr>
              <w:pStyle w:val="TableText"/>
            </w:pPr>
            <w:r w:rsidRPr="00EA2FB7">
              <w:t>NOEC</w:t>
            </w:r>
          </w:p>
        </w:tc>
        <w:tc>
          <w:tcPr>
            <w:tcW w:w="1221" w:type="pct"/>
            <w:noWrap/>
            <w:tcMar>
              <w:top w:w="15" w:type="dxa"/>
              <w:left w:w="108" w:type="dxa"/>
              <w:bottom w:w="15" w:type="dxa"/>
              <w:right w:w="108" w:type="dxa"/>
            </w:tcMar>
            <w:hideMark/>
          </w:tcPr>
          <w:p w14:paraId="5B854C3B" w14:textId="77777777" w:rsidR="00CB2716" w:rsidRPr="001B1BBE" w:rsidRDefault="00576A22" w:rsidP="001B1BBE">
            <w:pPr>
              <w:pStyle w:val="TableText"/>
              <w:rPr>
                <w:rStyle w:val="Emphasis"/>
              </w:rPr>
            </w:pPr>
            <w:r w:rsidRPr="001B1BBE">
              <w:rPr>
                <w:rStyle w:val="Emphasis"/>
              </w:rPr>
              <w:t>Pimephales promelas</w:t>
            </w:r>
          </w:p>
        </w:tc>
        <w:tc>
          <w:tcPr>
            <w:tcW w:w="992" w:type="pct"/>
            <w:noWrap/>
            <w:tcMar>
              <w:top w:w="15" w:type="dxa"/>
              <w:left w:w="108" w:type="dxa"/>
              <w:bottom w:w="15" w:type="dxa"/>
              <w:right w:w="108" w:type="dxa"/>
            </w:tcMar>
            <w:hideMark/>
          </w:tcPr>
          <w:p w14:paraId="5B854C3C" w14:textId="77777777" w:rsidR="00CB2716" w:rsidRPr="00EA2FB7" w:rsidRDefault="00576A22" w:rsidP="001B1BBE">
            <w:pPr>
              <w:pStyle w:val="TableText"/>
            </w:pPr>
            <w:r w:rsidRPr="00EA2FB7">
              <w:t>Fish</w:t>
            </w:r>
          </w:p>
        </w:tc>
        <w:tc>
          <w:tcPr>
            <w:tcW w:w="1278" w:type="pct"/>
            <w:noWrap/>
            <w:tcMar>
              <w:top w:w="15" w:type="dxa"/>
              <w:left w:w="108" w:type="dxa"/>
              <w:bottom w:w="15" w:type="dxa"/>
              <w:right w:w="108" w:type="dxa"/>
            </w:tcMar>
            <w:hideMark/>
          </w:tcPr>
          <w:p w14:paraId="5B854C3D" w14:textId="77777777" w:rsidR="00CB2716" w:rsidRPr="00EA2FB7" w:rsidRDefault="00576A22" w:rsidP="001B1BBE">
            <w:pPr>
              <w:pStyle w:val="TableText"/>
            </w:pPr>
            <w:r w:rsidRPr="00EA2FB7">
              <w:t>Chronic NOEC</w:t>
            </w:r>
          </w:p>
        </w:tc>
      </w:tr>
      <w:tr w:rsidR="006A7BE0" w14:paraId="5B854C44" w14:textId="77777777" w:rsidTr="001B1BBE">
        <w:trPr>
          <w:cantSplit/>
          <w:trHeight w:val="300"/>
        </w:trPr>
        <w:tc>
          <w:tcPr>
            <w:tcW w:w="745" w:type="pct"/>
            <w:noWrap/>
            <w:tcMar>
              <w:top w:w="15" w:type="dxa"/>
              <w:left w:w="108" w:type="dxa"/>
              <w:bottom w:w="15" w:type="dxa"/>
              <w:right w:w="108" w:type="dxa"/>
            </w:tcMar>
            <w:hideMark/>
          </w:tcPr>
          <w:p w14:paraId="5B854C3F" w14:textId="77777777" w:rsidR="00CB2716" w:rsidRPr="00EA2FB7" w:rsidRDefault="00576A22" w:rsidP="001B1BBE">
            <w:pPr>
              <w:pStyle w:val="TableText"/>
            </w:pPr>
            <w:r w:rsidRPr="00EA2FB7">
              <w:t>0.9</w:t>
            </w:r>
          </w:p>
        </w:tc>
        <w:tc>
          <w:tcPr>
            <w:tcW w:w="764" w:type="pct"/>
            <w:noWrap/>
            <w:tcMar>
              <w:top w:w="15" w:type="dxa"/>
              <w:left w:w="108" w:type="dxa"/>
              <w:bottom w:w="15" w:type="dxa"/>
              <w:right w:w="108" w:type="dxa"/>
            </w:tcMar>
            <w:hideMark/>
          </w:tcPr>
          <w:p w14:paraId="5B854C40" w14:textId="77777777" w:rsidR="00CB2716" w:rsidRPr="00EA2FB7" w:rsidRDefault="00576A22" w:rsidP="001B1BBE">
            <w:pPr>
              <w:pStyle w:val="TableText"/>
            </w:pPr>
            <w:r w:rsidRPr="00EA2FB7">
              <w:t>LC50</w:t>
            </w:r>
          </w:p>
        </w:tc>
        <w:tc>
          <w:tcPr>
            <w:tcW w:w="1221" w:type="pct"/>
            <w:noWrap/>
            <w:tcMar>
              <w:top w:w="15" w:type="dxa"/>
              <w:left w:w="108" w:type="dxa"/>
              <w:bottom w:w="15" w:type="dxa"/>
              <w:right w:w="108" w:type="dxa"/>
            </w:tcMar>
            <w:hideMark/>
          </w:tcPr>
          <w:p w14:paraId="5B854C41" w14:textId="77777777" w:rsidR="00CB2716" w:rsidRPr="001B1BBE" w:rsidRDefault="00576A22" w:rsidP="001B1BBE">
            <w:pPr>
              <w:pStyle w:val="TableText"/>
              <w:rPr>
                <w:rStyle w:val="Emphasis"/>
              </w:rPr>
            </w:pPr>
            <w:r w:rsidRPr="001B1BBE">
              <w:rPr>
                <w:rStyle w:val="Emphasis"/>
              </w:rPr>
              <w:t>Salvelinus fontinalis</w:t>
            </w:r>
          </w:p>
        </w:tc>
        <w:tc>
          <w:tcPr>
            <w:tcW w:w="992" w:type="pct"/>
            <w:noWrap/>
            <w:tcMar>
              <w:top w:w="15" w:type="dxa"/>
              <w:left w:w="108" w:type="dxa"/>
              <w:bottom w:w="15" w:type="dxa"/>
              <w:right w:w="108" w:type="dxa"/>
            </w:tcMar>
            <w:hideMark/>
          </w:tcPr>
          <w:p w14:paraId="5B854C42" w14:textId="77777777" w:rsidR="00CB2716" w:rsidRPr="00EA2FB7" w:rsidRDefault="00576A22" w:rsidP="001B1BBE">
            <w:pPr>
              <w:pStyle w:val="TableText"/>
            </w:pPr>
            <w:r w:rsidRPr="00EA2FB7">
              <w:t>Fish</w:t>
            </w:r>
          </w:p>
        </w:tc>
        <w:tc>
          <w:tcPr>
            <w:tcW w:w="1278" w:type="pct"/>
            <w:noWrap/>
            <w:tcMar>
              <w:top w:w="15" w:type="dxa"/>
              <w:left w:w="108" w:type="dxa"/>
              <w:bottom w:w="15" w:type="dxa"/>
              <w:right w:w="108" w:type="dxa"/>
            </w:tcMar>
            <w:hideMark/>
          </w:tcPr>
          <w:p w14:paraId="5B854C43" w14:textId="77777777" w:rsidR="00CB2716" w:rsidRPr="00EA2FB7" w:rsidRDefault="00576A22" w:rsidP="001B1BBE">
            <w:pPr>
              <w:pStyle w:val="TableText"/>
            </w:pPr>
            <w:r w:rsidRPr="00EA2FB7">
              <w:t>Acute to est</w:t>
            </w:r>
            <w:r>
              <w:t>imated c</w:t>
            </w:r>
            <w:r w:rsidRPr="00EA2FB7">
              <w:t>hronic</w:t>
            </w:r>
          </w:p>
        </w:tc>
      </w:tr>
      <w:tr w:rsidR="006A7BE0" w14:paraId="5B854C4A" w14:textId="77777777" w:rsidTr="001B1BBE">
        <w:trPr>
          <w:cantSplit/>
          <w:trHeight w:val="300"/>
        </w:trPr>
        <w:tc>
          <w:tcPr>
            <w:tcW w:w="745" w:type="pct"/>
            <w:noWrap/>
            <w:tcMar>
              <w:top w:w="15" w:type="dxa"/>
              <w:left w:w="108" w:type="dxa"/>
              <w:bottom w:w="15" w:type="dxa"/>
              <w:right w:w="108" w:type="dxa"/>
            </w:tcMar>
            <w:hideMark/>
          </w:tcPr>
          <w:p w14:paraId="5B854C45" w14:textId="77777777" w:rsidR="00CB2716" w:rsidRPr="00EA2FB7" w:rsidRDefault="00576A22" w:rsidP="001B1BBE">
            <w:pPr>
              <w:pStyle w:val="TableText"/>
            </w:pPr>
            <w:r w:rsidRPr="00EA2FB7">
              <w:t>1.25</w:t>
            </w:r>
          </w:p>
        </w:tc>
        <w:tc>
          <w:tcPr>
            <w:tcW w:w="764" w:type="pct"/>
            <w:noWrap/>
            <w:tcMar>
              <w:top w:w="15" w:type="dxa"/>
              <w:left w:w="108" w:type="dxa"/>
              <w:bottom w:w="15" w:type="dxa"/>
              <w:right w:w="108" w:type="dxa"/>
            </w:tcMar>
            <w:hideMark/>
          </w:tcPr>
          <w:p w14:paraId="5B854C46" w14:textId="77777777" w:rsidR="00CB2716" w:rsidRPr="00EA2FB7" w:rsidRDefault="00576A22" w:rsidP="001B1BBE">
            <w:pPr>
              <w:pStyle w:val="TableText"/>
            </w:pPr>
            <w:r w:rsidRPr="00EA2FB7">
              <w:t>LC50</w:t>
            </w:r>
          </w:p>
        </w:tc>
        <w:tc>
          <w:tcPr>
            <w:tcW w:w="1221" w:type="pct"/>
            <w:noWrap/>
            <w:tcMar>
              <w:top w:w="15" w:type="dxa"/>
              <w:left w:w="108" w:type="dxa"/>
              <w:bottom w:w="15" w:type="dxa"/>
              <w:right w:w="108" w:type="dxa"/>
            </w:tcMar>
            <w:hideMark/>
          </w:tcPr>
          <w:p w14:paraId="5B854C47" w14:textId="77777777" w:rsidR="00CB2716" w:rsidRPr="001B1BBE" w:rsidRDefault="00576A22" w:rsidP="001B1BBE">
            <w:pPr>
              <w:pStyle w:val="TableText"/>
              <w:rPr>
                <w:rStyle w:val="Emphasis"/>
              </w:rPr>
            </w:pPr>
            <w:r w:rsidRPr="001B1BBE">
              <w:rPr>
                <w:rStyle w:val="Emphasis"/>
              </w:rPr>
              <w:t>Salvelinus namaycush</w:t>
            </w:r>
          </w:p>
        </w:tc>
        <w:tc>
          <w:tcPr>
            <w:tcW w:w="992" w:type="pct"/>
            <w:noWrap/>
            <w:tcMar>
              <w:top w:w="15" w:type="dxa"/>
              <w:left w:w="108" w:type="dxa"/>
              <w:bottom w:w="15" w:type="dxa"/>
              <w:right w:w="108" w:type="dxa"/>
            </w:tcMar>
            <w:hideMark/>
          </w:tcPr>
          <w:p w14:paraId="5B854C48" w14:textId="77777777" w:rsidR="00CB2716" w:rsidRPr="00EA2FB7" w:rsidRDefault="00576A22" w:rsidP="001B1BBE">
            <w:pPr>
              <w:pStyle w:val="TableText"/>
            </w:pPr>
            <w:r w:rsidRPr="00EA2FB7">
              <w:t>Fish</w:t>
            </w:r>
          </w:p>
        </w:tc>
        <w:tc>
          <w:tcPr>
            <w:tcW w:w="1278" w:type="pct"/>
            <w:noWrap/>
            <w:tcMar>
              <w:top w:w="15" w:type="dxa"/>
              <w:left w:w="108" w:type="dxa"/>
              <w:bottom w:w="15" w:type="dxa"/>
              <w:right w:w="108" w:type="dxa"/>
            </w:tcMar>
            <w:hideMark/>
          </w:tcPr>
          <w:p w14:paraId="5B854C49" w14:textId="77777777" w:rsidR="00CB2716" w:rsidRPr="00EA2FB7" w:rsidRDefault="00576A22" w:rsidP="001B1BBE">
            <w:pPr>
              <w:pStyle w:val="TableText"/>
            </w:pPr>
            <w:r w:rsidRPr="00EA2FB7">
              <w:t>Acute to est</w:t>
            </w:r>
            <w:r>
              <w:t>imated c</w:t>
            </w:r>
            <w:r w:rsidRPr="00EA2FB7">
              <w:t>hronic</w:t>
            </w:r>
          </w:p>
        </w:tc>
      </w:tr>
      <w:tr w:rsidR="006A7BE0" w14:paraId="5B854C50" w14:textId="77777777" w:rsidTr="001B1BBE">
        <w:trPr>
          <w:cantSplit/>
          <w:trHeight w:val="300"/>
        </w:trPr>
        <w:tc>
          <w:tcPr>
            <w:tcW w:w="745" w:type="pct"/>
            <w:noWrap/>
            <w:tcMar>
              <w:top w:w="15" w:type="dxa"/>
              <w:left w:w="108" w:type="dxa"/>
              <w:bottom w:w="15" w:type="dxa"/>
              <w:right w:w="108" w:type="dxa"/>
            </w:tcMar>
            <w:hideMark/>
          </w:tcPr>
          <w:p w14:paraId="5B854C4B" w14:textId="77777777" w:rsidR="00CB2716" w:rsidRPr="00EA2FB7" w:rsidRDefault="00576A22" w:rsidP="001B1BBE">
            <w:pPr>
              <w:pStyle w:val="TableText"/>
            </w:pPr>
            <w:r w:rsidRPr="00EA2FB7">
              <w:t>2.5</w:t>
            </w:r>
          </w:p>
        </w:tc>
        <w:tc>
          <w:tcPr>
            <w:tcW w:w="764" w:type="pct"/>
            <w:noWrap/>
            <w:tcMar>
              <w:top w:w="15" w:type="dxa"/>
              <w:left w:w="108" w:type="dxa"/>
              <w:bottom w:w="15" w:type="dxa"/>
              <w:right w:w="108" w:type="dxa"/>
            </w:tcMar>
            <w:hideMark/>
          </w:tcPr>
          <w:p w14:paraId="5B854C4C" w14:textId="77777777" w:rsidR="00CB2716" w:rsidRPr="00EA2FB7" w:rsidRDefault="00576A22" w:rsidP="001B1BBE">
            <w:pPr>
              <w:pStyle w:val="TableText"/>
            </w:pPr>
            <w:r w:rsidRPr="00EA2FB7">
              <w:t>NOEC</w:t>
            </w:r>
          </w:p>
        </w:tc>
        <w:tc>
          <w:tcPr>
            <w:tcW w:w="1221" w:type="pct"/>
            <w:noWrap/>
            <w:tcMar>
              <w:top w:w="15" w:type="dxa"/>
              <w:left w:w="108" w:type="dxa"/>
              <w:bottom w:w="15" w:type="dxa"/>
              <w:right w:w="108" w:type="dxa"/>
            </w:tcMar>
            <w:hideMark/>
          </w:tcPr>
          <w:p w14:paraId="5B854C4D" w14:textId="77777777" w:rsidR="00CB2716" w:rsidRPr="001B1BBE" w:rsidRDefault="00576A22" w:rsidP="001B1BBE">
            <w:pPr>
              <w:pStyle w:val="TableText"/>
              <w:rPr>
                <w:rStyle w:val="Emphasis"/>
              </w:rPr>
            </w:pPr>
            <w:r w:rsidRPr="001B1BBE">
              <w:rPr>
                <w:rStyle w:val="Emphasis"/>
              </w:rPr>
              <w:t>Oryzias latipes</w:t>
            </w:r>
          </w:p>
        </w:tc>
        <w:tc>
          <w:tcPr>
            <w:tcW w:w="992" w:type="pct"/>
            <w:noWrap/>
            <w:tcMar>
              <w:top w:w="15" w:type="dxa"/>
              <w:left w:w="108" w:type="dxa"/>
              <w:bottom w:w="15" w:type="dxa"/>
              <w:right w:w="108" w:type="dxa"/>
            </w:tcMar>
            <w:hideMark/>
          </w:tcPr>
          <w:p w14:paraId="5B854C4E" w14:textId="77777777" w:rsidR="00CB2716" w:rsidRPr="00EA2FB7" w:rsidRDefault="00576A22" w:rsidP="001B1BBE">
            <w:pPr>
              <w:pStyle w:val="TableText"/>
            </w:pPr>
            <w:r w:rsidRPr="00EA2FB7">
              <w:t>Fish</w:t>
            </w:r>
          </w:p>
        </w:tc>
        <w:tc>
          <w:tcPr>
            <w:tcW w:w="1278" w:type="pct"/>
            <w:noWrap/>
            <w:tcMar>
              <w:top w:w="15" w:type="dxa"/>
              <w:left w:w="108" w:type="dxa"/>
              <w:bottom w:w="15" w:type="dxa"/>
              <w:right w:w="108" w:type="dxa"/>
            </w:tcMar>
            <w:hideMark/>
          </w:tcPr>
          <w:p w14:paraId="5B854C4F" w14:textId="77777777" w:rsidR="00CB2716" w:rsidRPr="00EA2FB7" w:rsidRDefault="00576A22" w:rsidP="001B1BBE">
            <w:pPr>
              <w:pStyle w:val="TableText"/>
            </w:pPr>
            <w:r w:rsidRPr="00EA2FB7">
              <w:t>Chronic NOEC</w:t>
            </w:r>
          </w:p>
        </w:tc>
      </w:tr>
      <w:tr w:rsidR="006A7BE0" w14:paraId="5B854C56" w14:textId="77777777" w:rsidTr="001B1BBE">
        <w:trPr>
          <w:cantSplit/>
          <w:trHeight w:val="300"/>
        </w:trPr>
        <w:tc>
          <w:tcPr>
            <w:tcW w:w="745" w:type="pct"/>
            <w:noWrap/>
            <w:tcMar>
              <w:top w:w="15" w:type="dxa"/>
              <w:left w:w="108" w:type="dxa"/>
              <w:bottom w:w="15" w:type="dxa"/>
              <w:right w:w="108" w:type="dxa"/>
            </w:tcMar>
            <w:hideMark/>
          </w:tcPr>
          <w:p w14:paraId="5B854C51" w14:textId="77777777" w:rsidR="00CB2716" w:rsidRPr="00EA2FB7" w:rsidRDefault="00576A22" w:rsidP="001B1BBE">
            <w:pPr>
              <w:pStyle w:val="TableText"/>
            </w:pPr>
            <w:r w:rsidRPr="00EA2FB7">
              <w:t>40</w:t>
            </w:r>
          </w:p>
        </w:tc>
        <w:tc>
          <w:tcPr>
            <w:tcW w:w="764" w:type="pct"/>
            <w:noWrap/>
            <w:tcMar>
              <w:top w:w="15" w:type="dxa"/>
              <w:left w:w="108" w:type="dxa"/>
              <w:bottom w:w="15" w:type="dxa"/>
              <w:right w:w="108" w:type="dxa"/>
            </w:tcMar>
            <w:hideMark/>
          </w:tcPr>
          <w:p w14:paraId="5B854C52" w14:textId="77777777" w:rsidR="00CB2716" w:rsidRPr="00EA2FB7" w:rsidRDefault="00576A22" w:rsidP="001B1BBE">
            <w:pPr>
              <w:pStyle w:val="TableText"/>
            </w:pPr>
            <w:r w:rsidRPr="00EA2FB7">
              <w:t>LOEC</w:t>
            </w:r>
          </w:p>
        </w:tc>
        <w:tc>
          <w:tcPr>
            <w:tcW w:w="1221" w:type="pct"/>
            <w:noWrap/>
            <w:tcMar>
              <w:top w:w="15" w:type="dxa"/>
              <w:left w:w="108" w:type="dxa"/>
              <w:bottom w:w="15" w:type="dxa"/>
              <w:right w:w="108" w:type="dxa"/>
            </w:tcMar>
            <w:hideMark/>
          </w:tcPr>
          <w:p w14:paraId="5B854C53" w14:textId="77777777" w:rsidR="00CB2716" w:rsidRPr="001B1BBE" w:rsidRDefault="00576A22" w:rsidP="001B1BBE">
            <w:pPr>
              <w:pStyle w:val="TableText"/>
              <w:rPr>
                <w:rStyle w:val="Emphasis"/>
              </w:rPr>
            </w:pPr>
            <w:r w:rsidRPr="001B1BBE">
              <w:rPr>
                <w:rStyle w:val="Emphasis"/>
              </w:rPr>
              <w:t>Xenopus laevis</w:t>
            </w:r>
          </w:p>
        </w:tc>
        <w:tc>
          <w:tcPr>
            <w:tcW w:w="992" w:type="pct"/>
            <w:noWrap/>
            <w:tcMar>
              <w:top w:w="15" w:type="dxa"/>
              <w:left w:w="108" w:type="dxa"/>
              <w:bottom w:w="15" w:type="dxa"/>
              <w:right w:w="108" w:type="dxa"/>
            </w:tcMar>
            <w:hideMark/>
          </w:tcPr>
          <w:p w14:paraId="5B854C54" w14:textId="77777777" w:rsidR="00CB2716" w:rsidRPr="00EA2FB7" w:rsidRDefault="00576A22" w:rsidP="001B1BBE">
            <w:pPr>
              <w:pStyle w:val="TableText"/>
            </w:pPr>
            <w:r w:rsidRPr="00EA2FB7">
              <w:t>Amphibian</w:t>
            </w:r>
          </w:p>
        </w:tc>
        <w:tc>
          <w:tcPr>
            <w:tcW w:w="1278" w:type="pct"/>
            <w:noWrap/>
            <w:tcMar>
              <w:top w:w="15" w:type="dxa"/>
              <w:left w:w="108" w:type="dxa"/>
              <w:bottom w:w="15" w:type="dxa"/>
              <w:right w:w="108" w:type="dxa"/>
            </w:tcMar>
            <w:hideMark/>
          </w:tcPr>
          <w:p w14:paraId="5B854C55" w14:textId="77777777" w:rsidR="00CB2716" w:rsidRPr="00EA2FB7" w:rsidRDefault="00576A22" w:rsidP="001B1BBE">
            <w:pPr>
              <w:pStyle w:val="TableText"/>
            </w:pPr>
            <w:r w:rsidRPr="00EA2FB7">
              <w:t>Chronic LOEC</w:t>
            </w:r>
          </w:p>
        </w:tc>
      </w:tr>
      <w:tr w:rsidR="006A7BE0" w14:paraId="5B854C5C" w14:textId="77777777" w:rsidTr="001B1BBE">
        <w:trPr>
          <w:cantSplit/>
          <w:trHeight w:val="300"/>
        </w:trPr>
        <w:tc>
          <w:tcPr>
            <w:tcW w:w="745" w:type="pct"/>
            <w:noWrap/>
            <w:tcMar>
              <w:top w:w="15" w:type="dxa"/>
              <w:left w:w="108" w:type="dxa"/>
              <w:bottom w:w="15" w:type="dxa"/>
              <w:right w:w="108" w:type="dxa"/>
            </w:tcMar>
            <w:hideMark/>
          </w:tcPr>
          <w:p w14:paraId="5B854C57" w14:textId="77777777" w:rsidR="00CB2716" w:rsidRPr="00EA2FB7" w:rsidRDefault="00576A22" w:rsidP="001B1BBE">
            <w:pPr>
              <w:pStyle w:val="TableText"/>
            </w:pPr>
            <w:r w:rsidRPr="00EA2FB7">
              <w:t>80</w:t>
            </w:r>
          </w:p>
        </w:tc>
        <w:tc>
          <w:tcPr>
            <w:tcW w:w="764" w:type="pct"/>
            <w:noWrap/>
            <w:tcMar>
              <w:top w:w="15" w:type="dxa"/>
              <w:left w:w="108" w:type="dxa"/>
              <w:bottom w:w="15" w:type="dxa"/>
              <w:right w:w="108" w:type="dxa"/>
            </w:tcMar>
            <w:hideMark/>
          </w:tcPr>
          <w:p w14:paraId="5B854C58" w14:textId="77777777" w:rsidR="00CB2716" w:rsidRPr="00EA2FB7" w:rsidRDefault="00576A22" w:rsidP="001B1BBE">
            <w:pPr>
              <w:pStyle w:val="TableText"/>
            </w:pPr>
            <w:r w:rsidRPr="00EA2FB7">
              <w:t>LOEC</w:t>
            </w:r>
          </w:p>
        </w:tc>
        <w:tc>
          <w:tcPr>
            <w:tcW w:w="1221" w:type="pct"/>
            <w:noWrap/>
            <w:tcMar>
              <w:top w:w="15" w:type="dxa"/>
              <w:left w:w="108" w:type="dxa"/>
              <w:bottom w:w="15" w:type="dxa"/>
              <w:right w:w="108" w:type="dxa"/>
            </w:tcMar>
            <w:hideMark/>
          </w:tcPr>
          <w:p w14:paraId="5B854C59" w14:textId="77777777" w:rsidR="00CB2716" w:rsidRPr="00EA2FB7" w:rsidRDefault="00576A22" w:rsidP="001B1BBE">
            <w:pPr>
              <w:pStyle w:val="TableText"/>
            </w:pPr>
            <w:r w:rsidRPr="001B1BBE">
              <w:rPr>
                <w:rStyle w:val="Emphasis"/>
              </w:rPr>
              <w:t>Paranais</w:t>
            </w:r>
            <w:r w:rsidRPr="00EA2FB7">
              <w:t xml:space="preserve"> sp</w:t>
            </w:r>
            <w:r w:rsidR="001B1BBE">
              <w:t>.</w:t>
            </w:r>
          </w:p>
        </w:tc>
        <w:tc>
          <w:tcPr>
            <w:tcW w:w="992" w:type="pct"/>
            <w:noWrap/>
            <w:tcMar>
              <w:top w:w="15" w:type="dxa"/>
              <w:left w:w="108" w:type="dxa"/>
              <w:bottom w:w="15" w:type="dxa"/>
              <w:right w:w="108" w:type="dxa"/>
            </w:tcMar>
            <w:hideMark/>
          </w:tcPr>
          <w:p w14:paraId="5B854C5A" w14:textId="77777777" w:rsidR="00CB2716" w:rsidRPr="00EA2FB7" w:rsidRDefault="00576A22" w:rsidP="001B1BBE">
            <w:pPr>
              <w:pStyle w:val="TableText"/>
            </w:pPr>
            <w:r w:rsidRPr="00EA2FB7">
              <w:t>Annelid</w:t>
            </w:r>
          </w:p>
        </w:tc>
        <w:tc>
          <w:tcPr>
            <w:tcW w:w="1278" w:type="pct"/>
            <w:noWrap/>
            <w:tcMar>
              <w:top w:w="15" w:type="dxa"/>
              <w:left w:w="108" w:type="dxa"/>
              <w:bottom w:w="15" w:type="dxa"/>
              <w:right w:w="108" w:type="dxa"/>
            </w:tcMar>
            <w:hideMark/>
          </w:tcPr>
          <w:p w14:paraId="5B854C5B" w14:textId="77777777" w:rsidR="00CB2716" w:rsidRPr="00EA2FB7" w:rsidRDefault="00576A22" w:rsidP="001B1BBE">
            <w:pPr>
              <w:pStyle w:val="TableText"/>
            </w:pPr>
            <w:r w:rsidRPr="00EA2FB7">
              <w:t>Chronic LOEC</w:t>
            </w:r>
          </w:p>
        </w:tc>
      </w:tr>
      <w:tr w:rsidR="006A7BE0" w14:paraId="5B854C62" w14:textId="77777777" w:rsidTr="001B1BBE">
        <w:trPr>
          <w:cantSplit/>
          <w:trHeight w:val="300"/>
        </w:trPr>
        <w:tc>
          <w:tcPr>
            <w:tcW w:w="745" w:type="pct"/>
            <w:tcBorders>
              <w:bottom w:val="single" w:sz="4" w:space="0" w:color="auto"/>
            </w:tcBorders>
            <w:noWrap/>
            <w:tcMar>
              <w:top w:w="15" w:type="dxa"/>
              <w:left w:w="108" w:type="dxa"/>
              <w:bottom w:w="15" w:type="dxa"/>
              <w:right w:w="108" w:type="dxa"/>
            </w:tcMar>
            <w:hideMark/>
          </w:tcPr>
          <w:p w14:paraId="5B854C5D" w14:textId="77777777" w:rsidR="00CB2716" w:rsidRPr="00EA2FB7" w:rsidRDefault="00576A22" w:rsidP="001B1BBE">
            <w:pPr>
              <w:pStyle w:val="TableText"/>
            </w:pPr>
            <w:r w:rsidRPr="00EA2FB7">
              <w:t>80</w:t>
            </w:r>
          </w:p>
        </w:tc>
        <w:tc>
          <w:tcPr>
            <w:tcW w:w="764" w:type="pct"/>
            <w:tcBorders>
              <w:bottom w:val="single" w:sz="4" w:space="0" w:color="auto"/>
            </w:tcBorders>
            <w:noWrap/>
            <w:tcMar>
              <w:top w:w="15" w:type="dxa"/>
              <w:left w:w="108" w:type="dxa"/>
              <w:bottom w:w="15" w:type="dxa"/>
              <w:right w:w="108" w:type="dxa"/>
            </w:tcMar>
            <w:hideMark/>
          </w:tcPr>
          <w:p w14:paraId="5B854C5E" w14:textId="77777777" w:rsidR="00CB2716" w:rsidRPr="00EA2FB7" w:rsidRDefault="00576A22" w:rsidP="001B1BBE">
            <w:pPr>
              <w:pStyle w:val="TableText"/>
            </w:pPr>
            <w:r w:rsidRPr="00EA2FB7">
              <w:t>LOEC</w:t>
            </w:r>
          </w:p>
        </w:tc>
        <w:tc>
          <w:tcPr>
            <w:tcW w:w="1221" w:type="pct"/>
            <w:tcBorders>
              <w:bottom w:val="single" w:sz="4" w:space="0" w:color="auto"/>
            </w:tcBorders>
            <w:noWrap/>
            <w:tcMar>
              <w:top w:w="15" w:type="dxa"/>
              <w:left w:w="108" w:type="dxa"/>
              <w:bottom w:w="15" w:type="dxa"/>
              <w:right w:w="108" w:type="dxa"/>
            </w:tcMar>
            <w:hideMark/>
          </w:tcPr>
          <w:p w14:paraId="5B854C5F" w14:textId="77777777" w:rsidR="00CB2716" w:rsidRPr="00EA2FB7" w:rsidRDefault="00576A22" w:rsidP="001B1BBE">
            <w:pPr>
              <w:pStyle w:val="TableText"/>
            </w:pPr>
            <w:r w:rsidRPr="001B1BBE">
              <w:rPr>
                <w:rStyle w:val="Emphasis"/>
              </w:rPr>
              <w:t>Physa</w:t>
            </w:r>
            <w:r w:rsidRPr="00EA2FB7">
              <w:t xml:space="preserve"> sp.</w:t>
            </w:r>
          </w:p>
        </w:tc>
        <w:tc>
          <w:tcPr>
            <w:tcW w:w="992" w:type="pct"/>
            <w:tcBorders>
              <w:bottom w:val="single" w:sz="4" w:space="0" w:color="auto"/>
            </w:tcBorders>
            <w:noWrap/>
            <w:tcMar>
              <w:top w:w="15" w:type="dxa"/>
              <w:left w:w="108" w:type="dxa"/>
              <w:bottom w:w="15" w:type="dxa"/>
              <w:right w:w="108" w:type="dxa"/>
            </w:tcMar>
            <w:hideMark/>
          </w:tcPr>
          <w:p w14:paraId="5B854C60" w14:textId="77777777" w:rsidR="00CB2716" w:rsidRPr="00EA2FB7" w:rsidRDefault="00576A22" w:rsidP="001B1BBE">
            <w:pPr>
              <w:pStyle w:val="TableText"/>
            </w:pPr>
            <w:r w:rsidRPr="00EA2FB7">
              <w:t>Mollusc</w:t>
            </w:r>
          </w:p>
        </w:tc>
        <w:tc>
          <w:tcPr>
            <w:tcW w:w="1278" w:type="pct"/>
            <w:tcBorders>
              <w:bottom w:val="single" w:sz="4" w:space="0" w:color="auto"/>
            </w:tcBorders>
            <w:noWrap/>
            <w:tcMar>
              <w:top w:w="15" w:type="dxa"/>
              <w:left w:w="108" w:type="dxa"/>
              <w:bottom w:w="15" w:type="dxa"/>
              <w:right w:w="108" w:type="dxa"/>
            </w:tcMar>
            <w:hideMark/>
          </w:tcPr>
          <w:p w14:paraId="5B854C61" w14:textId="77777777" w:rsidR="00CB2716" w:rsidRPr="00EA2FB7" w:rsidRDefault="00576A22" w:rsidP="001B1BBE">
            <w:pPr>
              <w:pStyle w:val="TableText"/>
            </w:pPr>
            <w:r w:rsidRPr="00EA2FB7">
              <w:t>Chronic LOEC</w:t>
            </w:r>
          </w:p>
        </w:tc>
      </w:tr>
      <w:tr w:rsidR="006A7BE0" w14:paraId="5B854C68" w14:textId="77777777" w:rsidTr="001B1BBE">
        <w:trPr>
          <w:cantSplit/>
          <w:trHeight w:val="300"/>
        </w:trPr>
        <w:tc>
          <w:tcPr>
            <w:tcW w:w="745" w:type="pct"/>
            <w:tcBorders>
              <w:bottom w:val="single" w:sz="12" w:space="0" w:color="auto"/>
            </w:tcBorders>
            <w:noWrap/>
            <w:tcMar>
              <w:top w:w="15" w:type="dxa"/>
              <w:left w:w="108" w:type="dxa"/>
              <w:bottom w:w="15" w:type="dxa"/>
              <w:right w:w="108" w:type="dxa"/>
            </w:tcMar>
            <w:hideMark/>
          </w:tcPr>
          <w:p w14:paraId="5B854C63" w14:textId="77777777" w:rsidR="00CB2716" w:rsidRPr="00EA2FB7" w:rsidRDefault="00576A22" w:rsidP="001B1BBE">
            <w:pPr>
              <w:pStyle w:val="TableText"/>
            </w:pPr>
            <w:r w:rsidRPr="00EA2FB7">
              <w:t>200</w:t>
            </w:r>
          </w:p>
        </w:tc>
        <w:tc>
          <w:tcPr>
            <w:tcW w:w="764" w:type="pct"/>
            <w:tcBorders>
              <w:bottom w:val="single" w:sz="12" w:space="0" w:color="auto"/>
            </w:tcBorders>
            <w:noWrap/>
            <w:tcMar>
              <w:top w:w="15" w:type="dxa"/>
              <w:left w:w="108" w:type="dxa"/>
              <w:bottom w:w="15" w:type="dxa"/>
              <w:right w:w="108" w:type="dxa"/>
            </w:tcMar>
            <w:hideMark/>
          </w:tcPr>
          <w:p w14:paraId="5B854C64" w14:textId="77777777" w:rsidR="00CB2716" w:rsidRPr="00EA2FB7" w:rsidRDefault="00576A22" w:rsidP="001B1BBE">
            <w:pPr>
              <w:pStyle w:val="TableText"/>
            </w:pPr>
            <w:r w:rsidRPr="00EA2FB7">
              <w:t>NOEC</w:t>
            </w:r>
          </w:p>
        </w:tc>
        <w:tc>
          <w:tcPr>
            <w:tcW w:w="1221" w:type="pct"/>
            <w:tcBorders>
              <w:bottom w:val="single" w:sz="12" w:space="0" w:color="auto"/>
            </w:tcBorders>
            <w:noWrap/>
            <w:tcMar>
              <w:top w:w="15" w:type="dxa"/>
              <w:left w:w="108" w:type="dxa"/>
              <w:bottom w:w="15" w:type="dxa"/>
              <w:right w:w="108" w:type="dxa"/>
            </w:tcMar>
            <w:hideMark/>
          </w:tcPr>
          <w:p w14:paraId="5B854C65" w14:textId="77777777" w:rsidR="00CB2716" w:rsidRPr="001B1BBE" w:rsidRDefault="00576A22" w:rsidP="001B1BBE">
            <w:pPr>
              <w:pStyle w:val="TableText"/>
              <w:rPr>
                <w:rStyle w:val="Emphasis"/>
              </w:rPr>
            </w:pPr>
            <w:r w:rsidRPr="001B1BBE">
              <w:rPr>
                <w:rStyle w:val="Emphasis"/>
              </w:rPr>
              <w:t>Aedes aegypti</w:t>
            </w:r>
          </w:p>
        </w:tc>
        <w:tc>
          <w:tcPr>
            <w:tcW w:w="992" w:type="pct"/>
            <w:tcBorders>
              <w:bottom w:val="single" w:sz="12" w:space="0" w:color="auto"/>
            </w:tcBorders>
            <w:noWrap/>
            <w:tcMar>
              <w:top w:w="15" w:type="dxa"/>
              <w:left w:w="108" w:type="dxa"/>
              <w:bottom w:w="15" w:type="dxa"/>
              <w:right w:w="108" w:type="dxa"/>
            </w:tcMar>
            <w:hideMark/>
          </w:tcPr>
          <w:p w14:paraId="5B854C66" w14:textId="77777777" w:rsidR="00CB2716" w:rsidRPr="00EA2FB7" w:rsidRDefault="00576A22" w:rsidP="001B1BBE">
            <w:pPr>
              <w:pStyle w:val="TableText"/>
            </w:pPr>
            <w:r w:rsidRPr="00EA2FB7">
              <w:t>Insect</w:t>
            </w:r>
          </w:p>
        </w:tc>
        <w:tc>
          <w:tcPr>
            <w:tcW w:w="1278" w:type="pct"/>
            <w:tcBorders>
              <w:bottom w:val="single" w:sz="12" w:space="0" w:color="auto"/>
            </w:tcBorders>
            <w:noWrap/>
            <w:tcMar>
              <w:top w:w="15" w:type="dxa"/>
              <w:left w:w="108" w:type="dxa"/>
              <w:bottom w:w="15" w:type="dxa"/>
              <w:right w:w="108" w:type="dxa"/>
            </w:tcMar>
            <w:hideMark/>
          </w:tcPr>
          <w:p w14:paraId="5B854C67" w14:textId="77777777" w:rsidR="00CB2716" w:rsidRPr="00EA2FB7" w:rsidRDefault="00576A22" w:rsidP="001B1BBE">
            <w:pPr>
              <w:pStyle w:val="TableText"/>
            </w:pPr>
            <w:r w:rsidRPr="00EA2FB7">
              <w:t>Chronic NOEC</w:t>
            </w:r>
          </w:p>
        </w:tc>
      </w:tr>
    </w:tbl>
    <w:p w14:paraId="5B854C69" w14:textId="77777777" w:rsidR="00CB2716" w:rsidRDefault="00CB2716" w:rsidP="00CB2716">
      <w:pPr>
        <w:rPr>
          <w:highlight w:val="yellow"/>
        </w:rPr>
      </w:pPr>
    </w:p>
    <w:p w14:paraId="5B854C6A" w14:textId="77777777" w:rsidR="00CB2716" w:rsidRDefault="00576A22" w:rsidP="00CB2716">
      <w:pPr>
        <w:rPr>
          <w:b/>
        </w:rPr>
      </w:pPr>
      <w:r>
        <w:rPr>
          <w:noProof/>
          <w:lang w:eastAsia="en-AU"/>
        </w:rPr>
        <w:drawing>
          <wp:inline distT="0" distB="0" distL="0" distR="0" wp14:anchorId="5B854CE3" wp14:editId="5B854CE4">
            <wp:extent cx="4988964" cy="3262579"/>
            <wp:effectExtent l="0" t="0" r="2540" b="0"/>
            <wp:docPr id="6" name="Picture 6" descr="Graph plots natural log transformed 2,3,7,8-TCDD concentrations (x axis) against frequency (y axis)." title="Histogram, ln transformed toxicity data, 2,3,7,8-TC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155367" name=""/>
                    <pic:cNvPicPr/>
                  </pic:nvPicPr>
                  <pic:blipFill>
                    <a:blip r:embed="rId34"/>
                    <a:srcRect l="2988" b="3041"/>
                    <a:stretch>
                      <a:fillRect/>
                    </a:stretch>
                  </pic:blipFill>
                  <pic:spPr bwMode="auto">
                    <a:xfrm>
                      <a:off x="0" y="0"/>
                      <a:ext cx="4989854" cy="3263161"/>
                    </a:xfrm>
                    <a:prstGeom prst="rect">
                      <a:avLst/>
                    </a:prstGeom>
                    <a:ln>
                      <a:noFill/>
                    </a:ln>
                    <a:extLst>
                      <a:ext uri="{53640926-AAD7-44D8-BBD7-CCE9431645EC}">
                        <a14:shadowObscured xmlns:a14="http://schemas.microsoft.com/office/drawing/2010/main"/>
                      </a:ext>
                    </a:extLst>
                  </pic:spPr>
                </pic:pic>
              </a:graphicData>
            </a:graphic>
          </wp:inline>
        </w:drawing>
      </w:r>
    </w:p>
    <w:p w14:paraId="5B854C6B" w14:textId="77777777" w:rsidR="00CB2716" w:rsidRPr="00AE30EE" w:rsidRDefault="00576A22" w:rsidP="00F9574C">
      <w:pPr>
        <w:pStyle w:val="Caption"/>
        <w:rPr>
          <w:highlight w:val="yellow"/>
        </w:rPr>
      </w:pPr>
      <w:bookmarkStart w:id="60" w:name="_Ref37254640"/>
      <w:bookmarkStart w:id="61" w:name="_Toc47526138"/>
      <w:r>
        <w:t>Figure B </w:t>
      </w:r>
      <w:r w:rsidR="00390AEE">
        <w:rPr>
          <w:noProof/>
        </w:rPr>
        <w:fldChar w:fldCharType="begin"/>
      </w:r>
      <w:r w:rsidR="00390AEE">
        <w:rPr>
          <w:noProof/>
        </w:rPr>
        <w:instrText xml:space="preserve"> SEQ Figure_B \* ARABIC </w:instrText>
      </w:r>
      <w:r w:rsidR="00390AEE">
        <w:rPr>
          <w:noProof/>
        </w:rPr>
        <w:fldChar w:fldCharType="separate"/>
      </w:r>
      <w:r w:rsidR="008E67C0">
        <w:rPr>
          <w:noProof/>
        </w:rPr>
        <w:t>1</w:t>
      </w:r>
      <w:r w:rsidR="00390AEE">
        <w:rPr>
          <w:noProof/>
        </w:rPr>
        <w:fldChar w:fldCharType="end"/>
      </w:r>
      <w:bookmarkEnd w:id="60"/>
      <w:r>
        <w:t xml:space="preserve"> </w:t>
      </w:r>
      <w:r w:rsidRPr="004409C9">
        <w:t>Histogram</w:t>
      </w:r>
      <w:r w:rsidR="001B1BBE">
        <w:t>,</w:t>
      </w:r>
      <w:r w:rsidRPr="004409C9">
        <w:t xml:space="preserve"> </w:t>
      </w:r>
      <w:r>
        <w:t>ln</w:t>
      </w:r>
      <w:r w:rsidRPr="004409C9">
        <w:t xml:space="preserve"> transformed </w:t>
      </w:r>
      <w:r>
        <w:t xml:space="preserve">toxicity </w:t>
      </w:r>
      <w:r w:rsidRPr="004409C9">
        <w:t>data</w:t>
      </w:r>
      <w:r w:rsidR="001B1BBE">
        <w:t>,</w:t>
      </w:r>
      <w:r>
        <w:t xml:space="preserve"> 2,3,7,8-TCDD</w:t>
      </w:r>
      <w:bookmarkEnd w:id="61"/>
    </w:p>
    <w:p w14:paraId="5B854C6C" w14:textId="77777777" w:rsidR="00CB2716" w:rsidRPr="004409C9" w:rsidRDefault="00576A22" w:rsidP="00EA2FB7">
      <w:pPr>
        <w:pStyle w:val="Heading5"/>
      </w:pPr>
      <w:r w:rsidRPr="004409C9">
        <w:t xml:space="preserve">Do data show taxa-specific sensitivity (i.e. through </w:t>
      </w:r>
      <w:r w:rsidRPr="004409C9">
        <w:t>distinct groupings of different taxa types)?</w:t>
      </w:r>
    </w:p>
    <w:p w14:paraId="5B854C6D" w14:textId="77777777" w:rsidR="00CB2716" w:rsidRDefault="00576A22" w:rsidP="00CB2716">
      <w:r w:rsidRPr="004409C9">
        <w:t xml:space="preserve">It is anticipated that </w:t>
      </w:r>
      <w:r>
        <w:t>dioxin</w:t>
      </w:r>
      <w:r w:rsidRPr="004409C9">
        <w:t xml:space="preserve"> will show taxa</w:t>
      </w:r>
      <w:r>
        <w:t>-</w:t>
      </w:r>
      <w:r w:rsidRPr="004409C9">
        <w:t>specific sensitivity given its mode of action. Taxa</w:t>
      </w:r>
      <w:r w:rsidR="001B1BBE">
        <w:t>-</w:t>
      </w:r>
      <w:r w:rsidRPr="004409C9">
        <w:t xml:space="preserve">specific sensitivity is considered likely to account for the bimodality </w:t>
      </w:r>
      <w:r>
        <w:t>suggested</w:t>
      </w:r>
      <w:r w:rsidRPr="004409C9">
        <w:t xml:space="preserve"> in the data. </w:t>
      </w:r>
      <w:r>
        <w:t>A box plot</w:t>
      </w:r>
      <w:r w:rsidRPr="004409C9">
        <w:t xml:space="preserve"> of the data </w:t>
      </w:r>
      <w:r>
        <w:t xml:space="preserve">for </w:t>
      </w:r>
      <w:r w:rsidR="00F54389">
        <w:t xml:space="preserve">the eight </w:t>
      </w:r>
      <w:r>
        <w:t>fish</w:t>
      </w:r>
      <w:r w:rsidR="00F54389">
        <w:t>, the single amphibian</w:t>
      </w:r>
      <w:r>
        <w:t xml:space="preserve"> and</w:t>
      </w:r>
      <w:r w:rsidR="001B1BBE">
        <w:t xml:space="preserve"> the</w:t>
      </w:r>
      <w:r>
        <w:t xml:space="preserve"> </w:t>
      </w:r>
      <w:r w:rsidR="00F54389">
        <w:t xml:space="preserve">three </w:t>
      </w:r>
      <w:r w:rsidR="00435DA2">
        <w:t>i</w:t>
      </w:r>
      <w:r>
        <w:t>nvertebrate</w:t>
      </w:r>
      <w:r w:rsidR="00F54389">
        <w:t xml:space="preserve"> species </w:t>
      </w:r>
      <w:r>
        <w:t xml:space="preserve">showed </w:t>
      </w:r>
      <w:r w:rsidR="003375F1">
        <w:t xml:space="preserve">large differences </w:t>
      </w:r>
      <w:r>
        <w:t>in toxicity values</w:t>
      </w:r>
      <w:r w:rsidR="003375F1">
        <w:t>, with no overlap,</w:t>
      </w:r>
      <w:r>
        <w:t xml:space="preserve"> </w:t>
      </w:r>
      <w:r w:rsidR="00F54389">
        <w:t xml:space="preserve">between these groups, with the fish clearly the most sensitive group </w:t>
      </w:r>
      <w:r>
        <w:t>(</w:t>
      </w:r>
      <w:r w:rsidR="00F9574C">
        <w:fldChar w:fldCharType="begin"/>
      </w:r>
      <w:r w:rsidR="00F9574C">
        <w:instrText xml:space="preserve"> REF _Ref37254671 \h </w:instrText>
      </w:r>
      <w:r w:rsidR="00F9574C">
        <w:fldChar w:fldCharType="separate"/>
      </w:r>
      <w:r w:rsidR="008E67C0">
        <w:t>Figure B </w:t>
      </w:r>
      <w:r w:rsidR="008E67C0">
        <w:rPr>
          <w:noProof/>
        </w:rPr>
        <w:t>2</w:t>
      </w:r>
      <w:r w:rsidR="00F9574C">
        <w:fldChar w:fldCharType="end"/>
      </w:r>
      <w:r>
        <w:t xml:space="preserve">). </w:t>
      </w:r>
    </w:p>
    <w:p w14:paraId="5B854C6E" w14:textId="77777777" w:rsidR="00F54389" w:rsidRDefault="00576A22" w:rsidP="00CB2716">
      <w:r>
        <w:rPr>
          <w:noProof/>
          <w:lang w:eastAsia="en-AU"/>
        </w:rPr>
        <w:drawing>
          <wp:inline distT="0" distB="0" distL="0" distR="0" wp14:anchorId="5B854CE5" wp14:editId="5B854CE6">
            <wp:extent cx="5127955" cy="3311484"/>
            <wp:effectExtent l="0" t="0" r="0" b="3810"/>
            <wp:docPr id="8" name="Picture 8" descr="Graph is a box plot of taxonomic grouping (fish, amphibian, invertebrate) (x axis) and natural log transformed 2,3,7,8-TCDD concentrations (y axix)." title="Histogram, ln transformed toxicity data, 2,3,7,8-TC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580272" name=""/>
                    <pic:cNvPicPr/>
                  </pic:nvPicPr>
                  <pic:blipFill>
                    <a:blip r:embed="rId35"/>
                    <a:srcRect l="708" t="-1" r="-1" b="1522"/>
                    <a:stretch>
                      <a:fillRect/>
                    </a:stretch>
                  </pic:blipFill>
                  <pic:spPr bwMode="auto">
                    <a:xfrm>
                      <a:off x="0" y="0"/>
                      <a:ext cx="5132293" cy="3314285"/>
                    </a:xfrm>
                    <a:prstGeom prst="rect">
                      <a:avLst/>
                    </a:prstGeom>
                    <a:ln>
                      <a:noFill/>
                    </a:ln>
                    <a:extLst>
                      <a:ext uri="{53640926-AAD7-44D8-BBD7-CCE9431645EC}">
                        <a14:shadowObscured xmlns:a14="http://schemas.microsoft.com/office/drawing/2010/main"/>
                      </a:ext>
                    </a:extLst>
                  </pic:spPr>
                </pic:pic>
              </a:graphicData>
            </a:graphic>
          </wp:inline>
        </w:drawing>
      </w:r>
    </w:p>
    <w:p w14:paraId="5B854C6F" w14:textId="77777777" w:rsidR="00F54389" w:rsidRDefault="00576A22" w:rsidP="00F9574C">
      <w:pPr>
        <w:pStyle w:val="Caption"/>
      </w:pPr>
      <w:bookmarkStart w:id="62" w:name="_Ref37254671"/>
      <w:bookmarkStart w:id="63" w:name="_Toc47526139"/>
      <w:r>
        <w:t>Figure B </w:t>
      </w:r>
      <w:r w:rsidR="00390AEE">
        <w:rPr>
          <w:noProof/>
        </w:rPr>
        <w:fldChar w:fldCharType="begin"/>
      </w:r>
      <w:r w:rsidR="00390AEE">
        <w:rPr>
          <w:noProof/>
        </w:rPr>
        <w:instrText xml:space="preserve"> SEQ Figure_B \* ARABIC </w:instrText>
      </w:r>
      <w:r w:rsidR="00390AEE">
        <w:rPr>
          <w:noProof/>
        </w:rPr>
        <w:fldChar w:fldCharType="separate"/>
      </w:r>
      <w:r w:rsidR="008E67C0">
        <w:rPr>
          <w:noProof/>
        </w:rPr>
        <w:t>2</w:t>
      </w:r>
      <w:r w:rsidR="00390AEE">
        <w:rPr>
          <w:noProof/>
        </w:rPr>
        <w:fldChar w:fldCharType="end"/>
      </w:r>
      <w:bookmarkEnd w:id="62"/>
      <w:r>
        <w:t xml:space="preserve"> </w:t>
      </w:r>
      <w:r w:rsidRPr="004409C9">
        <w:t>Histogram</w:t>
      </w:r>
      <w:r w:rsidR="001B1BBE">
        <w:t>,</w:t>
      </w:r>
      <w:r w:rsidRPr="004409C9">
        <w:t xml:space="preserve"> </w:t>
      </w:r>
      <w:r>
        <w:t>ln</w:t>
      </w:r>
      <w:r w:rsidRPr="004409C9">
        <w:t xml:space="preserve"> transformed </w:t>
      </w:r>
      <w:r>
        <w:t xml:space="preserve">toxicity </w:t>
      </w:r>
      <w:r w:rsidRPr="004409C9">
        <w:t>data</w:t>
      </w:r>
      <w:r w:rsidR="001B1BBE">
        <w:t>,</w:t>
      </w:r>
      <w:r>
        <w:t xml:space="preserve"> 2,3,</w:t>
      </w:r>
      <w:r>
        <w:t>7,8-TCDD</w:t>
      </w:r>
      <w:bookmarkEnd w:id="63"/>
    </w:p>
    <w:p w14:paraId="5B854C70" w14:textId="77777777" w:rsidR="00CB2716" w:rsidRPr="003D5189" w:rsidRDefault="00576A22" w:rsidP="00EA2FB7">
      <w:pPr>
        <w:pStyle w:val="Heading5"/>
      </w:pPr>
      <w:r w:rsidRPr="003D5189">
        <w:t>Is it likely that indications of bi</w:t>
      </w:r>
      <w:r w:rsidR="001B1BBE">
        <w:t>modality</w:t>
      </w:r>
      <w:r w:rsidRPr="003D5189">
        <w:t xml:space="preserve"> or multimodality or distinct clustering of taxa groups are not due to artefacts of data selection, small sample size, test procedures, or other reasons unrelated to a specific mode of action?</w:t>
      </w:r>
    </w:p>
    <w:p w14:paraId="5B854C71" w14:textId="77777777" w:rsidR="00CB2716" w:rsidRPr="002D6DB4" w:rsidRDefault="00576A22" w:rsidP="00CB2716">
      <w:r>
        <w:t>Notwithstan</w:t>
      </w:r>
      <w:r>
        <w:t>di</w:t>
      </w:r>
      <w:r w:rsidR="00710CF9">
        <w:t>n</w:t>
      </w:r>
      <w:r>
        <w:t>g the relatively small sample size for non-fish species, r</w:t>
      </w:r>
      <w:r w:rsidRPr="002D6DB4">
        <w:t>eview of the data and taxonomic groups used in preparation of the DGV</w:t>
      </w:r>
      <w:r w:rsidR="00493921">
        <w:t>s</w:t>
      </w:r>
      <w:r w:rsidRPr="002D6DB4">
        <w:t xml:space="preserve"> support</w:t>
      </w:r>
      <w:r w:rsidR="00493921">
        <w:t>s</w:t>
      </w:r>
      <w:r w:rsidRPr="002D6DB4">
        <w:t xml:space="preserve"> the conclusion that it is unlikely that the modality of the dataset is an artefact of data selection, small sample size, test procedures, or other reasons unrelated to a specific mode of action. Th</w:t>
      </w:r>
      <w:r w:rsidR="00315B30">
        <w:t>us, th</w:t>
      </w:r>
      <w:r w:rsidRPr="00153778">
        <w:t>e weight of evidence support</w:t>
      </w:r>
      <w:r w:rsidR="00710CF9">
        <w:t>ed</w:t>
      </w:r>
      <w:r w:rsidRPr="00153778">
        <w:t xml:space="preserve"> use of </w:t>
      </w:r>
      <w:r w:rsidR="00710CF9">
        <w:t xml:space="preserve">the data for </w:t>
      </w:r>
      <w:r>
        <w:t>o</w:t>
      </w:r>
      <w:r>
        <w:t xml:space="preserve">nly the fish </w:t>
      </w:r>
      <w:r w:rsidRPr="00153778">
        <w:t xml:space="preserve">species </w:t>
      </w:r>
      <w:r>
        <w:t>in deriving the DGVs</w:t>
      </w:r>
      <w:r w:rsidRPr="002D6DB4">
        <w:t>.</w:t>
      </w:r>
    </w:p>
    <w:p w14:paraId="5B854C72" w14:textId="77777777" w:rsidR="00EC5FA8" w:rsidRDefault="00EC5FA8" w:rsidP="00606A7B">
      <w:pPr>
        <w:pStyle w:val="FigureTableNoteSource"/>
        <w:rPr>
          <w:lang w:eastAsia="ja-JP"/>
        </w:rPr>
      </w:pPr>
    </w:p>
    <w:p w14:paraId="5B854C73" w14:textId="77777777" w:rsidR="00606A7B" w:rsidRDefault="00576A22" w:rsidP="00606A7B">
      <w:pPr>
        <w:pStyle w:val="FigureTableNoteSource"/>
        <w:rPr>
          <w:lang w:eastAsia="ja-JP"/>
        </w:rPr>
      </w:pPr>
      <w:r>
        <w:rPr>
          <w:lang w:eastAsia="ja-JP"/>
        </w:rPr>
        <w:br w:type="page"/>
      </w:r>
    </w:p>
    <w:p w14:paraId="5B854C74" w14:textId="77777777" w:rsidR="00606A7B" w:rsidRPr="00C50270" w:rsidRDefault="00576A22" w:rsidP="00606A7B">
      <w:pPr>
        <w:pStyle w:val="Heading2"/>
        <w:numPr>
          <w:ilvl w:val="0"/>
          <w:numId w:val="0"/>
        </w:numPr>
        <w:ind w:left="680" w:hanging="680"/>
      </w:pPr>
      <w:bookmarkStart w:id="64" w:name="_Toc4498839"/>
      <w:bookmarkStart w:id="65" w:name="_Toc132885727"/>
      <w:r w:rsidRPr="00C50270">
        <w:t>References</w:t>
      </w:r>
      <w:bookmarkEnd w:id="64"/>
      <w:bookmarkEnd w:id="65"/>
    </w:p>
    <w:p w14:paraId="5B854C75" w14:textId="77777777" w:rsidR="00E26B96" w:rsidRDefault="00576A22" w:rsidP="005716AB">
      <w:r>
        <w:t>Adams, WJ, de Graeve, GM, Sabourin, TD, Cooney, JD &amp; Mosher, GM 1986. Toxicity and bioconcentration of 2,3,7,8-TCDD to fathead minnows (</w:t>
      </w:r>
      <w:r w:rsidRPr="00C07BEA">
        <w:rPr>
          <w:rStyle w:val="Emphasis"/>
        </w:rPr>
        <w:t>Pimephales promelas</w:t>
      </w:r>
      <w:r>
        <w:t xml:space="preserve">). </w:t>
      </w:r>
      <w:r w:rsidRPr="00C07BEA">
        <w:rPr>
          <w:rStyle w:val="Emphasis"/>
        </w:rPr>
        <w:t>Chemosphere</w:t>
      </w:r>
      <w:r>
        <w:t>, 15, 1503–1511.</w:t>
      </w:r>
    </w:p>
    <w:p w14:paraId="5B854C76" w14:textId="77777777" w:rsidR="00E26B96" w:rsidRDefault="00576A22" w:rsidP="005716AB">
      <w:r>
        <w:t>Ahokas, J, Holdway, D, Brennan, S, Goudey, R &amp; Bibrowska, H 1994. MFO activity in carp (</w:t>
      </w:r>
      <w:r w:rsidRPr="00E26A22">
        <w:rPr>
          <w:rStyle w:val="Emphasis"/>
        </w:rPr>
        <w:t>Cyprinus carpio</w:t>
      </w:r>
      <w:r>
        <w:t xml:space="preserve">) exposed to treated pulp and paper mill effluent in Lake Coleman, Victoria, Australia, in relation to AOX, EOX, and muscle PCDD/PCDF. </w:t>
      </w:r>
      <w:r w:rsidRPr="00E26A22">
        <w:rPr>
          <w:rStyle w:val="Emphasis"/>
        </w:rPr>
        <w:t>Environmental Toxi</w:t>
      </w:r>
      <w:r w:rsidRPr="00E26A22">
        <w:rPr>
          <w:rStyle w:val="Emphasis"/>
        </w:rPr>
        <w:t>cology and Chemistry</w:t>
      </w:r>
      <w:r>
        <w:t>, 13, 41–50.</w:t>
      </w:r>
    </w:p>
    <w:p w14:paraId="5B854C77" w14:textId="77777777" w:rsidR="00E26B96" w:rsidRDefault="00576A22" w:rsidP="005716AB">
      <w:r>
        <w:t xml:space="preserve">Anselmo, HMR, Koerting, L, Devito, S, van den Berg, JHJ, Dubbeldam, M, Kwadijk, C &amp; Murk, AJ 2011. Early life developmental effects of marine persistent organic pollutants on the sea urchin </w:t>
      </w:r>
      <w:r w:rsidRPr="008B66E0">
        <w:rPr>
          <w:rStyle w:val="Emphasis"/>
        </w:rPr>
        <w:t>Psammechinus miliaris</w:t>
      </w:r>
      <w:r>
        <w:t xml:space="preserve">. </w:t>
      </w:r>
      <w:r w:rsidRPr="008B66E0">
        <w:rPr>
          <w:rStyle w:val="Emphasis"/>
        </w:rPr>
        <w:t>Ecotoxicol</w:t>
      </w:r>
      <w:r w:rsidRPr="008B66E0">
        <w:rPr>
          <w:rStyle w:val="Emphasis"/>
        </w:rPr>
        <w:t>ogy and Environmental Safety</w:t>
      </w:r>
      <w:r>
        <w:t>, 74, 2182–2192.</w:t>
      </w:r>
    </w:p>
    <w:p w14:paraId="5B854C78" w14:textId="77777777" w:rsidR="00E26B96" w:rsidRDefault="00576A22" w:rsidP="005716AB">
      <w:r>
        <w:t xml:space="preserve">Antkiewicz, DS, Burns, CG, Carney, SA, Peterson, RE &amp; Heideman, W 2005. Heart malformation is an early response to TCDD in embryonic zebrafish. </w:t>
      </w:r>
      <w:r w:rsidRPr="00D96B22">
        <w:rPr>
          <w:rStyle w:val="Emphasis"/>
        </w:rPr>
        <w:t>Toxicological Sciences</w:t>
      </w:r>
      <w:r>
        <w:t>, 84, 368–377.</w:t>
      </w:r>
    </w:p>
    <w:p w14:paraId="5B854C79" w14:textId="77777777" w:rsidR="00E26B96" w:rsidRDefault="00576A22" w:rsidP="00606A7B">
      <w:pPr>
        <w:rPr>
          <w:highlight w:val="yellow"/>
        </w:rPr>
      </w:pPr>
      <w:r w:rsidRPr="00E02F1A">
        <w:t xml:space="preserve">ANZG 2018. Australian and New </w:t>
      </w:r>
      <w:r w:rsidRPr="00E02F1A">
        <w:t>Zealand Guidelines for Fresh and Marine Water Quality. Australian</w:t>
      </w:r>
      <w:r>
        <w:t xml:space="preserve"> </w:t>
      </w:r>
      <w:r w:rsidRPr="00E02F1A">
        <w:t xml:space="preserve">and New Zealand Governments and Australian state and territory governments, Canberra, ACT, Australia. Viewed </w:t>
      </w:r>
      <w:r>
        <w:t>13/09/2019</w:t>
      </w:r>
      <w:r w:rsidRPr="00E02F1A">
        <w:t xml:space="preserve">, </w:t>
      </w:r>
      <w:r w:rsidRPr="00950A15">
        <w:t>https://www.waterquality.gov.au/anz-guidelines</w:t>
      </w:r>
      <w:r w:rsidRPr="00E02F1A">
        <w:t>.</w:t>
      </w:r>
    </w:p>
    <w:p w14:paraId="5B854C7A" w14:textId="77777777" w:rsidR="00E26B96" w:rsidRDefault="00576A22" w:rsidP="005716AB">
      <w:r>
        <w:t>Arnoldsson, K, Haldén</w:t>
      </w:r>
      <w:r>
        <w:t>, AN, Norrgren, L &amp; Haglund, P 2012. Retention and maternal transfer of environmentally relevant polybrominated dibenzo-</w:t>
      </w:r>
      <w:r w:rsidRPr="004E5449">
        <w:rPr>
          <w:rStyle w:val="Emphasis"/>
        </w:rPr>
        <w:t>p</w:t>
      </w:r>
      <w:r>
        <w:t>-dioxins and dibenzofurans, and polychlorinated biphenyls in zebrafish (</w:t>
      </w:r>
      <w:r w:rsidRPr="004E5449">
        <w:rPr>
          <w:rStyle w:val="Emphasis"/>
        </w:rPr>
        <w:t>Danio rerio</w:t>
      </w:r>
      <w:r>
        <w:t xml:space="preserve">) after dietary exposure. </w:t>
      </w:r>
      <w:r w:rsidRPr="004E5449">
        <w:rPr>
          <w:rStyle w:val="Emphasis"/>
        </w:rPr>
        <w:t>Environmental Toxicology a</w:t>
      </w:r>
      <w:r w:rsidRPr="004E5449">
        <w:rPr>
          <w:rStyle w:val="Emphasis"/>
        </w:rPr>
        <w:t>nd Chemistry</w:t>
      </w:r>
      <w:r>
        <w:t>, 31, 804–812.</w:t>
      </w:r>
    </w:p>
    <w:p w14:paraId="5B854C7B" w14:textId="77777777" w:rsidR="00E26B96" w:rsidRDefault="00576A22" w:rsidP="005716AB">
      <w:r>
        <w:t xml:space="preserve">Barber, TR, Chappie, DJ, Duda, DJ, Fuchsman, PC &amp; Finley, BL 1998. Using a spiked sediment to establish a no-effect concentration for dioxin exposure to the amphipod </w:t>
      </w:r>
      <w:r w:rsidRPr="004E5449">
        <w:rPr>
          <w:rStyle w:val="Emphasis"/>
        </w:rPr>
        <w:t>Ampelisca abdita</w:t>
      </w:r>
      <w:r>
        <w:t xml:space="preserve">. </w:t>
      </w:r>
      <w:r w:rsidRPr="004E5449">
        <w:rPr>
          <w:rStyle w:val="Emphasis"/>
        </w:rPr>
        <w:t xml:space="preserve">Environmental Toxicology and </w:t>
      </w:r>
      <w:r w:rsidRPr="004E5449">
        <w:rPr>
          <w:rStyle w:val="Emphasis"/>
        </w:rPr>
        <w:t>Chemistry</w:t>
      </w:r>
      <w:r>
        <w:t>, 17, 420–424.</w:t>
      </w:r>
    </w:p>
    <w:p w14:paraId="5B854C7C" w14:textId="77777777" w:rsidR="00E26B96" w:rsidRDefault="00576A22" w:rsidP="005716AB">
      <w:r>
        <w:t>Bello, SM, Heideman, W &amp; Peterson, RE 2004. 2,3,7,8-Tetrachlorodibenzo-</w:t>
      </w:r>
      <w:r w:rsidRPr="006E7E5D">
        <w:rPr>
          <w:rStyle w:val="Emphasis"/>
        </w:rPr>
        <w:t>p</w:t>
      </w:r>
      <w:r>
        <w:t xml:space="preserve">-dioxin inhibits regression of the common cardinal vein in developing zebrafish. </w:t>
      </w:r>
      <w:r w:rsidRPr="006E7E5D">
        <w:rPr>
          <w:rStyle w:val="Emphasis"/>
        </w:rPr>
        <w:t>Toxicological Sciences</w:t>
      </w:r>
      <w:r>
        <w:t>, 78, 258–266.</w:t>
      </w:r>
    </w:p>
    <w:p w14:paraId="5B854C7D" w14:textId="77777777" w:rsidR="00E26B96" w:rsidRDefault="00576A22" w:rsidP="005716AB">
      <w:r>
        <w:t>Berntssen, MHG, Giskegjerde, TA, Rosenlund</w:t>
      </w:r>
      <w:r>
        <w:t>, G, Tortensen, BE &amp; Lundebye, A-K 2007. Predicting World Health Organization toxic equivalency factor dioxin and dioxin-like polychlorinated biphenyl levels in farmed Atlantic salmon (</w:t>
      </w:r>
      <w:r w:rsidRPr="00057DEA">
        <w:rPr>
          <w:rStyle w:val="Emphasis"/>
        </w:rPr>
        <w:t>Salmo salar</w:t>
      </w:r>
      <w:r>
        <w:t xml:space="preserve">) based on known levels in feed. </w:t>
      </w:r>
      <w:r w:rsidRPr="00057DEA">
        <w:rPr>
          <w:rStyle w:val="Emphasis"/>
        </w:rPr>
        <w:t>Environmental Toxicology an</w:t>
      </w:r>
      <w:r w:rsidRPr="00057DEA">
        <w:rPr>
          <w:rStyle w:val="Emphasis"/>
        </w:rPr>
        <w:t>d Chemistry</w:t>
      </w:r>
      <w:r>
        <w:t xml:space="preserve">, 26, 13–23. </w:t>
      </w:r>
    </w:p>
    <w:p w14:paraId="5B854C7E" w14:textId="77777777" w:rsidR="00E26B96" w:rsidRDefault="00576A22" w:rsidP="005716AB">
      <w:r>
        <w:t xml:space="preserve">Bhavsar, SP, Hayton, A &amp; Jackson, DA 2008. Uncertainty analysis of dioxin-like polychlorinated biphenyls-related toxic equivalents in fish. </w:t>
      </w:r>
      <w:r w:rsidRPr="00A46FD5">
        <w:rPr>
          <w:rStyle w:val="Emphasis"/>
        </w:rPr>
        <w:t>Environmental Toxicology and Chemistry</w:t>
      </w:r>
      <w:r>
        <w:t>, 27, 997–1005.</w:t>
      </w:r>
    </w:p>
    <w:p w14:paraId="5B854C7F" w14:textId="77777777" w:rsidR="00E26B96" w:rsidRDefault="00576A22" w:rsidP="005716AB">
      <w:r>
        <w:t xml:space="preserve">Birch, GF, Harrington, C, Symons, RK </w:t>
      </w:r>
      <w:r>
        <w:t>&amp; Hunt, JW 2007. The source and distribution of polychlorinated dibenzo-</w:t>
      </w:r>
      <w:r w:rsidRPr="00FA09D5">
        <w:rPr>
          <w:rStyle w:val="Emphasis"/>
        </w:rPr>
        <w:t>p</w:t>
      </w:r>
      <w:r>
        <w:t xml:space="preserve">-dioxin and polychlorinated dibenzofurans in sediments of Port Jackson, Australia. </w:t>
      </w:r>
      <w:r w:rsidRPr="00FA09D5">
        <w:rPr>
          <w:rStyle w:val="Emphasis"/>
        </w:rPr>
        <w:t>Marine Pollution Bulletin</w:t>
      </w:r>
      <w:r>
        <w:t>, 54, 295–308.</w:t>
      </w:r>
    </w:p>
    <w:p w14:paraId="5B854C80" w14:textId="77777777" w:rsidR="00E26B96" w:rsidRDefault="00576A22" w:rsidP="005716AB">
      <w:r>
        <w:t>Bol, J, van den Berg, M &amp; Seinen, W 1989. Interactive effect</w:t>
      </w:r>
      <w:r>
        <w:t xml:space="preserve">s of PCDD’s, PCDF’s and PCB’s as assessed by the E.L.S. – bioassay. </w:t>
      </w:r>
      <w:r w:rsidRPr="003E0906">
        <w:rPr>
          <w:rStyle w:val="Emphasis"/>
        </w:rPr>
        <w:t>Chemosphere</w:t>
      </w:r>
      <w:r>
        <w:t>, 19, 899–906.</w:t>
      </w:r>
    </w:p>
    <w:p w14:paraId="5B854C81" w14:textId="77777777" w:rsidR="00E26B96" w:rsidRDefault="00576A22" w:rsidP="005716AB">
      <w:r>
        <w:t>Branson, DR, Takahashi, IT, Parker, WM &amp; Blau, GE 1985. Bioconcentration kinetics of 2,3,7,8-tetrachlorodibenzo-</w:t>
      </w:r>
      <w:r w:rsidRPr="00C07BEA">
        <w:rPr>
          <w:rStyle w:val="Emphasis"/>
        </w:rPr>
        <w:t>p</w:t>
      </w:r>
      <w:r>
        <w:t xml:space="preserve">-dioxin in rainbow trout. </w:t>
      </w:r>
      <w:r w:rsidRPr="00C07BEA">
        <w:rPr>
          <w:rStyle w:val="Emphasis"/>
        </w:rPr>
        <w:t>Environmental Toxicolog</w:t>
      </w:r>
      <w:r w:rsidRPr="00C07BEA">
        <w:rPr>
          <w:rStyle w:val="Emphasis"/>
        </w:rPr>
        <w:t>y and Chemistry</w:t>
      </w:r>
      <w:r>
        <w:t xml:space="preserve">, 4, 779–788. </w:t>
      </w:r>
    </w:p>
    <w:p w14:paraId="5B854C82" w14:textId="77777777" w:rsidR="00E26B96" w:rsidRDefault="00576A22" w:rsidP="005716AB">
      <w:r>
        <w:t>Cantrell, SM, Joy-Schlezinger, J, Stegeman, JJ, Tillitt, DE &amp; Hannink, M 1998. Correlation of 2,3,7,8-tetrachlorodibenzo-</w:t>
      </w:r>
      <w:r w:rsidRPr="00D96B22">
        <w:rPr>
          <w:rStyle w:val="Emphasis"/>
        </w:rPr>
        <w:t>p</w:t>
      </w:r>
      <w:r>
        <w:t xml:space="preserve">-dioxin-induced apoptotic cell death in the embryonic vasculature with embryotoxicity. </w:t>
      </w:r>
      <w:r w:rsidRPr="00D96B22">
        <w:rPr>
          <w:rStyle w:val="Emphasis"/>
        </w:rPr>
        <w:t>Toxicology and Ap</w:t>
      </w:r>
      <w:r w:rsidRPr="00D96B22">
        <w:rPr>
          <w:rStyle w:val="Emphasis"/>
        </w:rPr>
        <w:t>plied Pharmacology</w:t>
      </w:r>
      <w:r>
        <w:t>, 148, 24–34.</w:t>
      </w:r>
    </w:p>
    <w:p w14:paraId="5B854C83" w14:textId="77777777" w:rsidR="00E26B96" w:rsidRDefault="00576A22" w:rsidP="005716AB">
      <w:r>
        <w:t xml:space="preserve">Carney, SA, Chen, J, Burns, CG, Xiong, KM, Peterson, RE &amp; Heideman, W 2006. Aryl hydrocarbon receptor activation produces heart-specific transcriptional and toxic responses in developing zebrafish. </w:t>
      </w:r>
      <w:r w:rsidRPr="006E7E5D">
        <w:rPr>
          <w:rStyle w:val="Emphasis"/>
        </w:rPr>
        <w:t>Molecular Pharmacology</w:t>
      </w:r>
      <w:r>
        <w:t>, 70</w:t>
      </w:r>
      <w:r>
        <w:t xml:space="preserve">, 549–561. </w:t>
      </w:r>
    </w:p>
    <w:p w14:paraId="5B854C84" w14:textId="77777777" w:rsidR="00E26B96" w:rsidRDefault="00576A22" w:rsidP="005716AB">
      <w:r>
        <w:t>CCME 2001a. Canadian tissue residue guidelines for the protection of wildlife consumers of aquatic biota: Polychlorinated dibenzo-</w:t>
      </w:r>
      <w:r w:rsidRPr="002E6418">
        <w:rPr>
          <w:rStyle w:val="Emphasis"/>
        </w:rPr>
        <w:t>p</w:t>
      </w:r>
      <w:r>
        <w:t xml:space="preserve">-dioxins and polychlorinated dibenzofurans (PCDD/Fs). In: CCME 1999. </w:t>
      </w:r>
      <w:r w:rsidRPr="00C76F3C">
        <w:t>Canadian environmental quality guidelines</w:t>
      </w:r>
      <w:r>
        <w:t>. C</w:t>
      </w:r>
      <w:r>
        <w:t>anadian Council of Ministers of the Environment, Winnipeg, Canada.</w:t>
      </w:r>
    </w:p>
    <w:p w14:paraId="5B854C85" w14:textId="77777777" w:rsidR="00E26B96" w:rsidRDefault="00576A22" w:rsidP="005716AB">
      <w:r>
        <w:t xml:space="preserve">CCME 2001b. Canadian sediment quality guidelines for the protection of aquatic life: Polychlorinated dibenzo-p-dioxins and polychlorinated dibenzofurans (PCDD/Fs). In: CCME 1999. </w:t>
      </w:r>
      <w:r w:rsidRPr="00C76F3C">
        <w:t>Canadian e</w:t>
      </w:r>
      <w:r w:rsidRPr="00C76F3C">
        <w:t>nvironmental quality guidelines.</w:t>
      </w:r>
      <w:r>
        <w:t xml:space="preserve"> Canadian Council of Ministers of the Environment, Winnipeg, Canada.</w:t>
      </w:r>
    </w:p>
    <w:p w14:paraId="5B854C86" w14:textId="77777777" w:rsidR="00E26B96" w:rsidRDefault="00576A22" w:rsidP="005716AB">
      <w:r>
        <w:t>CCREM 1987. Canadian water quality guidelines. Canadian Council of Resource and Environment Ministers, Ontario.</w:t>
      </w:r>
    </w:p>
    <w:p w14:paraId="5B854C87" w14:textId="77777777" w:rsidR="00E26B96" w:rsidRDefault="00576A22" w:rsidP="005716AB">
      <w:r>
        <w:t>Cook, PM, Kuehl, DW, Walker, MK &amp; Peterson,</w:t>
      </w:r>
      <w:r>
        <w:t xml:space="preserve"> RE 1991. Bioaccumulation and toxicity of TCDD and related compounds in aquatic ecosystems. In: Gallo, MA, Scheuplein, RJ, van der Heijden, CA (eds.). Biological Basis for Risk Assessment of Dioxins and Related Compounds. Banbury Report 35. Cold Spring Har</w:t>
      </w:r>
      <w:r>
        <w:t>bor Laboratory Press, Cold Spring Harbor, NY,</w:t>
      </w:r>
      <w:r w:rsidRPr="00207522">
        <w:t xml:space="preserve"> </w:t>
      </w:r>
      <w:r>
        <w:t>143–167.</w:t>
      </w:r>
    </w:p>
    <w:p w14:paraId="5B854C88" w14:textId="77777777" w:rsidR="00E26B96" w:rsidRDefault="00576A22" w:rsidP="005716AB">
      <w:r>
        <w:t xml:space="preserve">Cook, PM, Robbins, JA, Endicott, DD, Lodge, KB, Guiney, PD, Walker, MK, Zabel, EW &amp; Peterson, RE 2003. Effects of aryl hydrocarbon receptor-mediated early life stage toxicity on lake trout populations </w:t>
      </w:r>
      <w:r>
        <w:t xml:space="preserve">in Lake Ontario during the 20th Century. </w:t>
      </w:r>
      <w:r w:rsidRPr="00E26A22">
        <w:rPr>
          <w:rStyle w:val="Emphasis"/>
        </w:rPr>
        <w:t>Environmental Science and Technology</w:t>
      </w:r>
      <w:r>
        <w:t>, 37, 3864–3877.</w:t>
      </w:r>
    </w:p>
    <w:p w14:paraId="5B854C89" w14:textId="77777777" w:rsidR="00E26B96" w:rsidRDefault="00576A22" w:rsidP="005716AB">
      <w:r>
        <w:t>Cooper, KR &amp; Wintermeyer, M 2009. A critical review: 2,3,7,8-tetrachlorodibenzo-</w:t>
      </w:r>
      <w:r w:rsidRPr="008B66E0">
        <w:rPr>
          <w:rStyle w:val="Emphasis"/>
        </w:rPr>
        <w:t>p</w:t>
      </w:r>
      <w:r>
        <w:t xml:space="preserve">-dioxin (2,3,7,8-TCDD) effects on gonad development in bivalve molluscs. </w:t>
      </w:r>
      <w:r w:rsidRPr="008B66E0">
        <w:rPr>
          <w:rStyle w:val="Emphasis"/>
        </w:rPr>
        <w:t xml:space="preserve">Journal </w:t>
      </w:r>
      <w:r w:rsidRPr="008B66E0">
        <w:rPr>
          <w:rStyle w:val="Emphasis"/>
        </w:rPr>
        <w:t>of Environmental Science and Health</w:t>
      </w:r>
      <w:r>
        <w:t>, Part C, 27, 226–245.</w:t>
      </w:r>
    </w:p>
    <w:p w14:paraId="5B854C8A" w14:textId="77777777" w:rsidR="00E26B96" w:rsidRDefault="00576A22" w:rsidP="005716AB">
      <w:r>
        <w:t>Dong, W, Teraoka, H, Yamazaki, K, Tsukiyama, S, Imani, S, Imagawa, T, Stegeman, JJ, Peterson, RE &amp; Hiraga, T 2002. 2,3,7,8-Tetrachlorodibenzo-</w:t>
      </w:r>
      <w:r w:rsidRPr="0052187E">
        <w:rPr>
          <w:rStyle w:val="Emphasis"/>
        </w:rPr>
        <w:t>p</w:t>
      </w:r>
      <w:r>
        <w:t xml:space="preserve">-dioxin toxicity in the zebrafish embryo: Local circulation failure in the dorsal midbrain is associated with increased apoptosis. </w:t>
      </w:r>
      <w:r w:rsidRPr="0052187E">
        <w:rPr>
          <w:rStyle w:val="Emphasis"/>
        </w:rPr>
        <w:t>Toxicological Sciences</w:t>
      </w:r>
      <w:r>
        <w:t>, 69, 191–201.</w:t>
      </w:r>
    </w:p>
    <w:p w14:paraId="5B854C8B" w14:textId="77777777" w:rsidR="00E26B96" w:rsidRDefault="00576A22" w:rsidP="005716AB">
      <w:r>
        <w:t xml:space="preserve">Elonen, GE, Spehar, RL, Holcombe, GW, Johnson, RD, Fernandez, JD, Erickson, RJ, Tietge, </w:t>
      </w:r>
      <w:r>
        <w:t>JE &amp; Cook, PM 1998. Comparative toxicity of 2,3,7,8- tetrachlorodibenzo-</w:t>
      </w:r>
      <w:r w:rsidRPr="002E6418">
        <w:rPr>
          <w:rStyle w:val="Emphasis"/>
        </w:rPr>
        <w:t>p</w:t>
      </w:r>
      <w:r>
        <w:t xml:space="preserve">-dioxin to seven freshwater fish species during early life stage development. </w:t>
      </w:r>
      <w:r w:rsidRPr="002E6418">
        <w:rPr>
          <w:rStyle w:val="Emphasis"/>
        </w:rPr>
        <w:t>Environmental Toxicology and Chemistry</w:t>
      </w:r>
      <w:r>
        <w:t>, 17, 472–483.</w:t>
      </w:r>
    </w:p>
    <w:p w14:paraId="5B854C8C" w14:textId="77777777" w:rsidR="00E26B96" w:rsidRDefault="00576A22" w:rsidP="005716AB">
      <w:r>
        <w:t>Fletcher, CL &amp; McKay, WA 1993. Polychlorinated diben</w:t>
      </w:r>
      <w:r>
        <w:t>zo-</w:t>
      </w:r>
      <w:r w:rsidRPr="00C76F3C">
        <w:rPr>
          <w:rStyle w:val="Emphasis"/>
        </w:rPr>
        <w:t>p</w:t>
      </w:r>
      <w:r>
        <w:t xml:space="preserve">-dioxins (PCDDs) and dibenzofurans (PCDFs) in the aquatic environment: A literature review. </w:t>
      </w:r>
      <w:r w:rsidRPr="00C76F3C">
        <w:rPr>
          <w:rStyle w:val="Emphasis"/>
        </w:rPr>
        <w:t>Chemosphere</w:t>
      </w:r>
      <w:r>
        <w:t>, 26, 1041–1069.</w:t>
      </w:r>
    </w:p>
    <w:p w14:paraId="5B854C8D" w14:textId="77777777" w:rsidR="00E26B96" w:rsidRDefault="00576A22" w:rsidP="005716AB">
      <w:r>
        <w:t xml:space="preserve">Gatehouse, R 2004. Ecological Risk Assessment of Dioxins in Australia, National Dioxins Program Technical Report No. 11. Australian </w:t>
      </w:r>
      <w:r>
        <w:t>Government Department of the Environment and Heritage, Canberra.</w:t>
      </w:r>
    </w:p>
    <w:p w14:paraId="5B854C8E" w14:textId="77777777" w:rsidR="00E26B96" w:rsidRDefault="00576A22" w:rsidP="005716AB">
      <w:r>
        <w:t xml:space="preserve">Giesy, JP, Jones, PD, Kannan, K, Newstead, JL, Tillitt, DE &amp; Williams, LL 2002. Effects of chronic dietary exposure to environmentally relevant concentrations of </w:t>
      </w:r>
      <w:r>
        <w:t>2,3,7,8-tetrachlorodibenzo-</w:t>
      </w:r>
      <w:r w:rsidRPr="004E5449">
        <w:rPr>
          <w:rStyle w:val="Emphasis"/>
        </w:rPr>
        <w:t>p</w:t>
      </w:r>
      <w:r>
        <w:t>-dioxin on survival, growth, reproduction and biochemical responses of female rainbow trout (</w:t>
      </w:r>
      <w:r w:rsidRPr="004E5449">
        <w:rPr>
          <w:rStyle w:val="Emphasis"/>
        </w:rPr>
        <w:t>Oncorhynchus mykiss</w:t>
      </w:r>
      <w:r>
        <w:t xml:space="preserve">). </w:t>
      </w:r>
      <w:r w:rsidRPr="004E5449">
        <w:rPr>
          <w:rStyle w:val="Emphasis"/>
        </w:rPr>
        <w:t>Aquatic Toxicology</w:t>
      </w:r>
      <w:r>
        <w:t>, 59, 35–53.</w:t>
      </w:r>
    </w:p>
    <w:p w14:paraId="5B854C8F" w14:textId="77777777" w:rsidR="00E26B96" w:rsidRDefault="00576A22" w:rsidP="005716AB">
      <w:r>
        <w:t>Grimwood, MJ &amp; Dobbs, TJ 1995. A review of the aquatic ecotoxicology of polychlori</w:t>
      </w:r>
      <w:r>
        <w:t>nated dibenzo-</w:t>
      </w:r>
      <w:r w:rsidRPr="002E6418">
        <w:rPr>
          <w:rStyle w:val="Emphasis"/>
        </w:rPr>
        <w:t>p</w:t>
      </w:r>
      <w:r>
        <w:t xml:space="preserve">-dioxins and dibenzofurans. </w:t>
      </w:r>
      <w:r w:rsidRPr="002E6418">
        <w:rPr>
          <w:rStyle w:val="Emphasis"/>
        </w:rPr>
        <w:t>Environmental Toxicology and Water Quality</w:t>
      </w:r>
      <w:r>
        <w:t>, 10, 67–75.</w:t>
      </w:r>
    </w:p>
    <w:p w14:paraId="5B854C90" w14:textId="77777777" w:rsidR="00E26B96" w:rsidRDefault="00576A22" w:rsidP="007E18E7">
      <w:pPr>
        <w:rPr>
          <w:lang w:val="en-GB"/>
        </w:rPr>
      </w:pPr>
      <w:r>
        <w:t xml:space="preserve">Hahn, ME 2002. </w:t>
      </w:r>
      <w:r w:rsidRPr="007E18E7">
        <w:rPr>
          <w:lang w:val="en-GB"/>
        </w:rPr>
        <w:t>Aryl hydrocarbon receptors:</w:t>
      </w:r>
      <w:r>
        <w:rPr>
          <w:lang w:val="en-GB"/>
        </w:rPr>
        <w:t xml:space="preserve"> D</w:t>
      </w:r>
      <w:r w:rsidRPr="007E18E7">
        <w:rPr>
          <w:lang w:val="en-GB"/>
        </w:rPr>
        <w:t>iversity and evolution</w:t>
      </w:r>
      <w:r>
        <w:rPr>
          <w:lang w:val="en-GB"/>
        </w:rPr>
        <w:t xml:space="preserve">. </w:t>
      </w:r>
      <w:r w:rsidRPr="003F1ED6">
        <w:rPr>
          <w:rStyle w:val="Emphasis"/>
        </w:rPr>
        <w:t>Chemico-Biological Interactions</w:t>
      </w:r>
      <w:r>
        <w:rPr>
          <w:lang w:val="en-GB"/>
        </w:rPr>
        <w:t>, 141, 131–160.</w:t>
      </w:r>
    </w:p>
    <w:p w14:paraId="5B854C91" w14:textId="77777777" w:rsidR="00E26B96" w:rsidRPr="004D0A96" w:rsidRDefault="00576A22" w:rsidP="004D0A96">
      <w:pPr>
        <w:rPr>
          <w:lang w:val="en-GB"/>
        </w:rPr>
      </w:pPr>
      <w:r>
        <w:rPr>
          <w:lang w:val="en-GB"/>
        </w:rPr>
        <w:t xml:space="preserve">Hahn, ME, Karchner, SI &amp; Merson RR 2017. </w:t>
      </w:r>
      <w:r w:rsidRPr="004D0A96">
        <w:rPr>
          <w:lang w:val="en-GB"/>
        </w:rPr>
        <w:t>Di</w:t>
      </w:r>
      <w:r w:rsidRPr="004D0A96">
        <w:rPr>
          <w:lang w:val="en-GB"/>
        </w:rPr>
        <w:t xml:space="preserve">versity as </w:t>
      </w:r>
      <w:r>
        <w:rPr>
          <w:lang w:val="en-GB"/>
        </w:rPr>
        <w:t>o</w:t>
      </w:r>
      <w:r w:rsidRPr="004D0A96">
        <w:rPr>
          <w:lang w:val="en-GB"/>
        </w:rPr>
        <w:t xml:space="preserve">pportunity: </w:t>
      </w:r>
      <w:r>
        <w:rPr>
          <w:lang w:val="en-GB"/>
        </w:rPr>
        <w:t>I</w:t>
      </w:r>
      <w:r w:rsidRPr="004D0A96">
        <w:rPr>
          <w:lang w:val="en-GB"/>
        </w:rPr>
        <w:t xml:space="preserve">nsights from 600 </w:t>
      </w:r>
      <w:r>
        <w:rPr>
          <w:lang w:val="en-GB"/>
        </w:rPr>
        <w:t>m</w:t>
      </w:r>
      <w:r w:rsidRPr="004D0A96">
        <w:rPr>
          <w:lang w:val="en-GB"/>
        </w:rPr>
        <w:t xml:space="preserve">illion </w:t>
      </w:r>
      <w:r>
        <w:rPr>
          <w:lang w:val="en-GB"/>
        </w:rPr>
        <w:t>y</w:t>
      </w:r>
      <w:r w:rsidRPr="004D0A96">
        <w:rPr>
          <w:lang w:val="en-GB"/>
        </w:rPr>
        <w:t xml:space="preserve">ears of AHR </w:t>
      </w:r>
      <w:r>
        <w:rPr>
          <w:lang w:val="en-GB"/>
        </w:rPr>
        <w:t>e</w:t>
      </w:r>
      <w:r w:rsidRPr="004D0A96">
        <w:rPr>
          <w:lang w:val="en-GB"/>
        </w:rPr>
        <w:t>volution</w:t>
      </w:r>
      <w:r>
        <w:rPr>
          <w:lang w:val="en-GB"/>
        </w:rPr>
        <w:t xml:space="preserve">. </w:t>
      </w:r>
      <w:r w:rsidRPr="003F1ED6">
        <w:rPr>
          <w:rStyle w:val="Emphasis"/>
        </w:rPr>
        <w:t>Current Opinions in Toxicology</w:t>
      </w:r>
      <w:r>
        <w:rPr>
          <w:lang w:val="en-GB"/>
        </w:rPr>
        <w:t>, 2, 57–71.</w:t>
      </w:r>
    </w:p>
    <w:p w14:paraId="5B854C92" w14:textId="77777777" w:rsidR="00E26B96" w:rsidRDefault="00576A22" w:rsidP="005716AB">
      <w:r>
        <w:t>Heiden, TK, Hutz, RJ &amp; Carvan, MJ 2005. Accumulation, tissue distribution, and maternal transfer of dietary 2,3,7,8,-tetrachlorodibenzo-</w:t>
      </w:r>
      <w:r w:rsidRPr="004E5449">
        <w:rPr>
          <w:rStyle w:val="Emphasis"/>
        </w:rPr>
        <w:t>p</w:t>
      </w:r>
      <w:r>
        <w:t>-di</w:t>
      </w:r>
      <w:r>
        <w:t xml:space="preserve">oxin: impacts on reproductive success of zebrafish. </w:t>
      </w:r>
      <w:r w:rsidRPr="004E5449">
        <w:rPr>
          <w:rStyle w:val="Emphasis"/>
        </w:rPr>
        <w:t>Toxicological Sciences</w:t>
      </w:r>
      <w:r>
        <w:t>, 87, 497–507.</w:t>
      </w:r>
    </w:p>
    <w:p w14:paraId="5B854C93" w14:textId="77777777" w:rsidR="00E26B96" w:rsidRDefault="00576A22" w:rsidP="00223711">
      <w:r>
        <w:t xml:space="preserve">Helder, TH &amp; Seinen, W 1985. Standardization and application of an E.L.S.-bioassay for PCDDs and PCDFs. </w:t>
      </w:r>
      <w:r w:rsidRPr="0052187E">
        <w:rPr>
          <w:rStyle w:val="Emphasis"/>
        </w:rPr>
        <w:t>Chemosphere</w:t>
      </w:r>
      <w:r>
        <w:t>, 14, 183–193.</w:t>
      </w:r>
    </w:p>
    <w:p w14:paraId="5B854C94" w14:textId="77777777" w:rsidR="00E26B96" w:rsidRDefault="00576A22" w:rsidP="005716AB">
      <w:r>
        <w:t>Helder, TH 1980. Effects of 2,3,7,8-t</w:t>
      </w:r>
      <w:r>
        <w:t>etrachlorodibenzo-</w:t>
      </w:r>
      <w:r w:rsidRPr="00A46FD5">
        <w:rPr>
          <w:rStyle w:val="Emphasis"/>
        </w:rPr>
        <w:t>p</w:t>
      </w:r>
      <w:r>
        <w:t>-dioxin (TCDD) on early life stages of the pike (</w:t>
      </w:r>
      <w:r w:rsidRPr="00A46FD5">
        <w:rPr>
          <w:rStyle w:val="Emphasis"/>
        </w:rPr>
        <w:t>Esox lucius L.</w:t>
      </w:r>
      <w:r>
        <w:t xml:space="preserve">). </w:t>
      </w:r>
      <w:r w:rsidRPr="00A46FD5">
        <w:rPr>
          <w:rStyle w:val="Emphasis"/>
        </w:rPr>
        <w:t>The Science of the Total Environment</w:t>
      </w:r>
      <w:r>
        <w:t>, 14, 255–264.</w:t>
      </w:r>
    </w:p>
    <w:p w14:paraId="5B854C95" w14:textId="77777777" w:rsidR="00E26B96" w:rsidRDefault="00576A22" w:rsidP="005716AB">
      <w:r>
        <w:t>Helder, TH 1981. Effects of 2,3,7,8-tetrachlorodibenzo-</w:t>
      </w:r>
      <w:r w:rsidRPr="00C07BEA">
        <w:rPr>
          <w:rStyle w:val="Emphasis"/>
        </w:rPr>
        <w:t>p</w:t>
      </w:r>
      <w:r>
        <w:t>-dioxin (TCDD) on early life stages of rainbow trout (</w:t>
      </w:r>
      <w:r w:rsidRPr="00C07BEA">
        <w:rPr>
          <w:rStyle w:val="Emphasis"/>
        </w:rPr>
        <w:t xml:space="preserve">Salmo </w:t>
      </w:r>
      <w:r w:rsidRPr="00C07BEA">
        <w:rPr>
          <w:rStyle w:val="Emphasis"/>
        </w:rPr>
        <w:t>gairdneri Richardson</w:t>
      </w:r>
      <w:r>
        <w:t xml:space="preserve">). </w:t>
      </w:r>
      <w:r w:rsidRPr="00C07BEA">
        <w:rPr>
          <w:rStyle w:val="Emphasis"/>
        </w:rPr>
        <w:t>Toxicology</w:t>
      </w:r>
      <w:r>
        <w:t>, 19, 101–112.</w:t>
      </w:r>
    </w:p>
    <w:p w14:paraId="5B854C96" w14:textId="77777777" w:rsidR="00E26B96" w:rsidRDefault="00576A22" w:rsidP="005716AB">
      <w:r>
        <w:t>Henry, TR, Spitzbergen, JM, Hornung, MW, Abnet, CC &amp; Peterson, RE 1997. Early life stage toxicity of 2,3,7,8- tetrachlorodibenzo-</w:t>
      </w:r>
      <w:r w:rsidRPr="004B0B5D">
        <w:rPr>
          <w:rStyle w:val="Emphasis"/>
        </w:rPr>
        <w:t>p</w:t>
      </w:r>
      <w:r>
        <w:t>-dioxin in zebrafish (</w:t>
      </w:r>
      <w:r w:rsidRPr="004B0B5D">
        <w:rPr>
          <w:rStyle w:val="Emphasis"/>
        </w:rPr>
        <w:t>Danio rerio</w:t>
      </w:r>
      <w:r>
        <w:t xml:space="preserve">). </w:t>
      </w:r>
      <w:r w:rsidRPr="004B0B5D">
        <w:rPr>
          <w:rStyle w:val="Emphasis"/>
        </w:rPr>
        <w:t>Toxicology and Applied Pharmacology</w:t>
      </w:r>
      <w:r>
        <w:t xml:space="preserve">, 142, </w:t>
      </w:r>
      <w:r>
        <w:t>56–68.</w:t>
      </w:r>
    </w:p>
    <w:p w14:paraId="5B854C97" w14:textId="77777777" w:rsidR="00E26B96" w:rsidRDefault="00576A22" w:rsidP="005716AB">
      <w:r>
        <w:t xml:space="preserve">Hill, AJ, Teraoka, H, Heideman, W &amp; Peterson, RE 2005. Zebrafish as a model vertebrate for investigating chemical toxicity. </w:t>
      </w:r>
      <w:r w:rsidRPr="00A46FD5">
        <w:rPr>
          <w:rStyle w:val="Emphasis"/>
        </w:rPr>
        <w:t>Toxicological Sciences</w:t>
      </w:r>
      <w:r>
        <w:t>, 86, 6–19.</w:t>
      </w:r>
    </w:p>
    <w:p w14:paraId="5B854C98" w14:textId="77777777" w:rsidR="00E26B96" w:rsidRDefault="00576A22" w:rsidP="005716AB">
      <w:r>
        <w:t>Hornung, MW, Zabel, EW &amp; Peterson, RE 1996. Toxic equivalency factors of polybrominated dib</w:t>
      </w:r>
      <w:r>
        <w:t>enzo-</w:t>
      </w:r>
      <w:r w:rsidRPr="00A46FD5">
        <w:rPr>
          <w:rStyle w:val="Emphasis"/>
        </w:rPr>
        <w:t>p</w:t>
      </w:r>
      <w:r>
        <w:t xml:space="preserve">-dioxin, dibenzofuran, biphenyl, and polyhalogenated diphenyl ether. </w:t>
      </w:r>
      <w:r w:rsidRPr="00A46FD5">
        <w:rPr>
          <w:rStyle w:val="Emphasis"/>
        </w:rPr>
        <w:t>Toxicology and Applied Pharmacology</w:t>
      </w:r>
      <w:r>
        <w:t>, 140, 227–234.</w:t>
      </w:r>
    </w:p>
    <w:p w14:paraId="5B854C99" w14:textId="77777777" w:rsidR="00E26B96" w:rsidRDefault="00576A22" w:rsidP="005716AB">
      <w:r>
        <w:t>Isensee, AR &amp; Jones, GE 1978. Distribution of 2,3,7,8-tetrachlorodibenzo-</w:t>
      </w:r>
      <w:r w:rsidRPr="008B66E0">
        <w:rPr>
          <w:rStyle w:val="Emphasis"/>
        </w:rPr>
        <w:t>p</w:t>
      </w:r>
      <w:r>
        <w:t xml:space="preserve">-dioxin (TCDD) in aquatic model ecosystem. </w:t>
      </w:r>
      <w:r w:rsidRPr="008B66E0">
        <w:rPr>
          <w:rStyle w:val="Emphasis"/>
        </w:rPr>
        <w:t>Environmental</w:t>
      </w:r>
      <w:r w:rsidRPr="008B66E0">
        <w:rPr>
          <w:rStyle w:val="Emphasis"/>
        </w:rPr>
        <w:t xml:space="preserve"> Science and Technology</w:t>
      </w:r>
      <w:r>
        <w:t>, 9, 668–672.</w:t>
      </w:r>
    </w:p>
    <w:p w14:paraId="5B854C9A" w14:textId="77777777" w:rsidR="00E26B96" w:rsidRDefault="00576A22" w:rsidP="005716AB">
      <w:r>
        <w:t xml:space="preserve">Isensee, AR 1978. Bioaccumulation of 2,3,7,8-tetrachlorodibenzo-para-dioxin. </w:t>
      </w:r>
      <w:r w:rsidRPr="008B66E0">
        <w:rPr>
          <w:rStyle w:val="Emphasis"/>
        </w:rPr>
        <w:t>Ecological Bulletin (Stockholm)</w:t>
      </w:r>
      <w:r>
        <w:t>, 27, 255–262.</w:t>
      </w:r>
    </w:p>
    <w:p w14:paraId="5B854C9B" w14:textId="77777777" w:rsidR="00E26B96" w:rsidRDefault="00576A22" w:rsidP="005716AB">
      <w:r>
        <w:t>Jarvinen, AW &amp; Ankley, GT 1999. Linkage of effects to tissue residues: Development of a comprehe</w:t>
      </w:r>
      <w:r>
        <w:t>nsive database for aquatic organisms exposed to inorganic and organic chemicals. SETAC Technical Publication Series, SETAC Press, Pensacola, FL.</w:t>
      </w:r>
    </w:p>
    <w:p w14:paraId="5B854C9C" w14:textId="77777777" w:rsidR="00E26B96" w:rsidRDefault="00576A22" w:rsidP="005716AB">
      <w:r>
        <w:t>Johnson, RD, Tietge, JE, Jensen, KM, Fernandez, JD, Linnum, AL, Lothenbach, DB, Holcombe, GW, Cook, PM, Christ,</w:t>
      </w:r>
      <w:r>
        <w:t xml:space="preserve"> SA, Lattier, DL &amp; Gordon, DA 1998. Toxicity of 2,3,7,8- tetrachlorodibenzo-</w:t>
      </w:r>
      <w:r w:rsidRPr="004E5449">
        <w:rPr>
          <w:rStyle w:val="Emphasis"/>
        </w:rPr>
        <w:t>p</w:t>
      </w:r>
      <w:r>
        <w:t>-dioxin to early life stage brook trout (</w:t>
      </w:r>
      <w:r w:rsidRPr="004E5449">
        <w:rPr>
          <w:rStyle w:val="Emphasis"/>
        </w:rPr>
        <w:t>Salvelinus fontinalis</w:t>
      </w:r>
      <w:r>
        <w:t xml:space="preserve">) following parental dietary exposure. </w:t>
      </w:r>
      <w:r w:rsidRPr="004E5449">
        <w:rPr>
          <w:rStyle w:val="Emphasis"/>
        </w:rPr>
        <w:t>Environmental Toxicology and Chemistry</w:t>
      </w:r>
      <w:r>
        <w:t>, 17, 2408–2421.</w:t>
      </w:r>
    </w:p>
    <w:p w14:paraId="5B854C9D" w14:textId="77777777" w:rsidR="00E26B96" w:rsidRDefault="00576A22" w:rsidP="005716AB">
      <w:r>
        <w:t>Jönsson, ME, Jenny, MJ,</w:t>
      </w:r>
      <w:r>
        <w:t xml:space="preserve"> Woodin, BR, Hahn, ME &amp; Stegeman, JJ 2007. Role of AHR2 in the expression of novel cytochrome P450 1 family genes, cell cycle genes, and morphological defects in developing zebra fish exposed to 3,3’,4,4’,5-pentachlorobiphenyl or 2,3,7,8-tetrachlorodibenzo</w:t>
      </w:r>
      <w:r>
        <w:t>-</w:t>
      </w:r>
      <w:r w:rsidRPr="006E7E5D">
        <w:rPr>
          <w:rStyle w:val="Emphasis"/>
        </w:rPr>
        <w:t>p</w:t>
      </w:r>
      <w:r>
        <w:t xml:space="preserve">-dioxin. </w:t>
      </w:r>
      <w:r w:rsidRPr="006E7E5D">
        <w:rPr>
          <w:rStyle w:val="Emphasis"/>
        </w:rPr>
        <w:t>Toxicological Sciences</w:t>
      </w:r>
      <w:r>
        <w:t>, 100, 180–193.</w:t>
      </w:r>
    </w:p>
    <w:p w14:paraId="5B854C9E" w14:textId="77777777" w:rsidR="00E26B96" w:rsidRDefault="00576A22" w:rsidP="005716AB">
      <w:r>
        <w:t>Jung, KE &amp; Walker, MK 1997. Effects of 2,3,7,8-tetrachlorodibenzo-</w:t>
      </w:r>
      <w:r w:rsidRPr="004B0B5D">
        <w:rPr>
          <w:rStyle w:val="Emphasis"/>
        </w:rPr>
        <w:t>p</w:t>
      </w:r>
      <w:r>
        <w:t xml:space="preserve">-dioxin (TCDD) on development of anuran amphibians. </w:t>
      </w:r>
      <w:r w:rsidRPr="004B0B5D">
        <w:rPr>
          <w:rStyle w:val="Emphasis"/>
        </w:rPr>
        <w:t>Environmental Toxicology and Chemistry</w:t>
      </w:r>
      <w:r>
        <w:t xml:space="preserve">, 16, 230–240. </w:t>
      </w:r>
    </w:p>
    <w:p w14:paraId="5B854C9F" w14:textId="77777777" w:rsidR="00E26B96" w:rsidRPr="00A20E85" w:rsidRDefault="00576A22" w:rsidP="00942FF9">
      <w:r w:rsidRPr="004809C6">
        <w:t>Kanan</w:t>
      </w:r>
      <w:r>
        <w:t>, S</w:t>
      </w:r>
      <w:r w:rsidRPr="004809C6">
        <w:t xml:space="preserve"> &amp; Samara</w:t>
      </w:r>
      <w:r>
        <w:t>, F</w:t>
      </w:r>
      <w:r w:rsidRPr="004809C6">
        <w:t xml:space="preserve"> 2018. Dioxins</w:t>
      </w:r>
      <w:r w:rsidRPr="004809C6">
        <w:t xml:space="preserve"> and furans: A review from chemical and environmental perspectives. </w:t>
      </w:r>
      <w:r w:rsidRPr="0017517E">
        <w:rPr>
          <w:rStyle w:val="Emphasis"/>
        </w:rPr>
        <w:t>Trends in Environmental Analytical Chemistry</w:t>
      </w:r>
      <w:r>
        <w:t>,</w:t>
      </w:r>
      <w:r w:rsidRPr="0017517E">
        <w:t xml:space="preserve"> 17, 1–13.</w:t>
      </w:r>
    </w:p>
    <w:p w14:paraId="5B854CA0" w14:textId="77777777" w:rsidR="00E26B96" w:rsidRDefault="00576A22" w:rsidP="005716AB">
      <w:r>
        <w:t>Kim, Y &amp; Cooper, KR 1999. Toxicity of 2,3,7,8-tetrachlorodibenzo-</w:t>
      </w:r>
      <w:r w:rsidRPr="00057DEA">
        <w:rPr>
          <w:rStyle w:val="Emphasis"/>
        </w:rPr>
        <w:t>p</w:t>
      </w:r>
      <w:r>
        <w:t xml:space="preserve">-dioxin (TCDD) and polychlorinated biphenyls (PCBs) in the </w:t>
      </w:r>
      <w:r>
        <w:t>embryos and newly hatched larvae of the Japanese medaka (</w:t>
      </w:r>
      <w:r w:rsidRPr="00057DEA">
        <w:rPr>
          <w:rStyle w:val="Emphasis"/>
        </w:rPr>
        <w:t>Oryzias latipes</w:t>
      </w:r>
      <w:r>
        <w:t xml:space="preserve">). </w:t>
      </w:r>
      <w:r w:rsidRPr="00057DEA">
        <w:rPr>
          <w:rStyle w:val="Emphasis"/>
        </w:rPr>
        <w:t>Chemosphere</w:t>
      </w:r>
      <w:r>
        <w:t>, 39, 527–538.</w:t>
      </w:r>
    </w:p>
    <w:p w14:paraId="5B854CA1" w14:textId="77777777" w:rsidR="00E26B96" w:rsidRDefault="00576A22" w:rsidP="005716AB">
      <w:r>
        <w:t>Loonen, H, van de Guchte, C, Parsons, JR, de Voogt, P &amp; Govers, HAJ 1996. Ecological hazard assessment of dioxins: hazards to organisms at different levels</w:t>
      </w:r>
      <w:r>
        <w:t xml:space="preserve"> of aquatic food webs (fish-eating birds and mammals, fish and invertebrates). </w:t>
      </w:r>
      <w:r w:rsidRPr="00A46FD5">
        <w:rPr>
          <w:rStyle w:val="Emphasis"/>
        </w:rPr>
        <w:t>Science of the Total Environment</w:t>
      </w:r>
      <w:r>
        <w:t>, 182, 93–103.</w:t>
      </w:r>
    </w:p>
    <w:p w14:paraId="5B854CA2" w14:textId="77777777" w:rsidR="00E26B96" w:rsidRPr="007E18E7" w:rsidRDefault="00576A22" w:rsidP="007E18E7">
      <w:pPr>
        <w:rPr>
          <w:lang w:val="en-GB"/>
        </w:rPr>
      </w:pPr>
      <w:r>
        <w:t xml:space="preserve">Mandal, PK 2005. </w:t>
      </w:r>
      <w:r w:rsidRPr="007E18E7">
        <w:rPr>
          <w:lang w:val="en-GB"/>
        </w:rPr>
        <w:t xml:space="preserve">Dioxin: </w:t>
      </w:r>
      <w:r>
        <w:rPr>
          <w:lang w:val="en-GB"/>
        </w:rPr>
        <w:t>A</w:t>
      </w:r>
      <w:r w:rsidRPr="007E18E7">
        <w:rPr>
          <w:lang w:val="en-GB"/>
        </w:rPr>
        <w:t xml:space="preserve"> review of its environmental effects and its aryl hydrocarbon</w:t>
      </w:r>
      <w:r>
        <w:rPr>
          <w:lang w:val="en-GB"/>
        </w:rPr>
        <w:t xml:space="preserve"> </w:t>
      </w:r>
      <w:r w:rsidRPr="007E18E7">
        <w:rPr>
          <w:lang w:val="en-GB"/>
        </w:rPr>
        <w:t>receptor biology</w:t>
      </w:r>
      <w:r>
        <w:rPr>
          <w:lang w:val="en-GB"/>
        </w:rPr>
        <w:t xml:space="preserve">. </w:t>
      </w:r>
      <w:r w:rsidRPr="00AC206B">
        <w:rPr>
          <w:rStyle w:val="Emphasis"/>
        </w:rPr>
        <w:t>Journal of Comparative P</w:t>
      </w:r>
      <w:r w:rsidRPr="00AC206B">
        <w:rPr>
          <w:rStyle w:val="Emphasis"/>
        </w:rPr>
        <w:t>hysiology B</w:t>
      </w:r>
      <w:r>
        <w:rPr>
          <w:lang w:val="en-GB"/>
        </w:rPr>
        <w:t>, 175, 221–230.</w:t>
      </w:r>
    </w:p>
    <w:p w14:paraId="5B854CA3" w14:textId="77777777" w:rsidR="00E26B96" w:rsidRDefault="00576A22" w:rsidP="005716AB">
      <w:r>
        <w:t xml:space="preserve">Manning, T, Roach, A &amp; Ferrell, D 2007. Dioxins in fish and other seafood from Sydney Harbour, Australia. </w:t>
      </w:r>
      <w:r w:rsidRPr="004B0B5D">
        <w:rPr>
          <w:rStyle w:val="Emphasis"/>
        </w:rPr>
        <w:t>Organohalogen Compounds</w:t>
      </w:r>
      <w:r>
        <w:t>, 69, 343–346.</w:t>
      </w:r>
    </w:p>
    <w:p w14:paraId="5B854CA4" w14:textId="77777777" w:rsidR="00E26B96" w:rsidRDefault="00576A22" w:rsidP="005716AB">
      <w:r>
        <w:t>McKinney, JD, Fawkes, J, Jordan, S, Chae, K, Oatley, S, Coleman, RE &amp; Brinert, W 1985</w:t>
      </w:r>
      <w:r>
        <w:t>. 2,3,7,8-Tetrachlorodibenzo-</w:t>
      </w:r>
      <w:r w:rsidRPr="005B5F51">
        <w:rPr>
          <w:rStyle w:val="Emphasis"/>
        </w:rPr>
        <w:t>p</w:t>
      </w:r>
      <w:r>
        <w:t xml:space="preserve">-dioxin (TCDD) as a potent and persistent thyroxine agonist: A mechanistic model for toxicity based on molecular reactivity. </w:t>
      </w:r>
      <w:r w:rsidRPr="005B5F51">
        <w:rPr>
          <w:rStyle w:val="Emphasis"/>
        </w:rPr>
        <w:t>Environmental Health Perspectives</w:t>
      </w:r>
      <w:r>
        <w:t>, 61, 41–53.</w:t>
      </w:r>
    </w:p>
    <w:p w14:paraId="5B854CA5" w14:textId="77777777" w:rsidR="00E26B96" w:rsidRDefault="00576A22" w:rsidP="005716AB">
      <w:r>
        <w:t xml:space="preserve">Mehrle, PM, Buckler, DR, Little, EE, Smith, LM, Petty, </w:t>
      </w:r>
      <w:r>
        <w:t xml:space="preserve">JD, Peterman, PH, Stalling, DL, de Graeve, GM, Coyle, JJ &amp; Adams, WJ 1988. Toxicity and bioconcentration of 2,3,7,8-tetrachlorodibenzodioxin and 2,3,7,8-tetrachlorodibenzofuran in rainbow trout. </w:t>
      </w:r>
      <w:r w:rsidRPr="002E6418">
        <w:rPr>
          <w:rStyle w:val="Emphasis"/>
        </w:rPr>
        <w:t>Environmental Toxicology and Chemistry</w:t>
      </w:r>
      <w:r>
        <w:t>, 7, 47–62.</w:t>
      </w:r>
    </w:p>
    <w:p w14:paraId="5B854CA6" w14:textId="77777777" w:rsidR="00E26B96" w:rsidRDefault="00576A22" w:rsidP="005716AB">
      <w:r>
        <w:t>Miller, RA,</w:t>
      </w:r>
      <w:r>
        <w:t xml:space="preserve"> Norris, LA &amp; Hawkes, CL 1973. Toxicity of 2,3,7,8-tetrachlorodibenzo-</w:t>
      </w:r>
      <w:r w:rsidRPr="00A46FD5">
        <w:rPr>
          <w:rStyle w:val="Emphasis"/>
        </w:rPr>
        <w:t>p</w:t>
      </w:r>
      <w:r>
        <w:t xml:space="preserve">-dioxin (TCDD) in aquatic organisms. </w:t>
      </w:r>
      <w:r w:rsidRPr="00A46FD5">
        <w:rPr>
          <w:rStyle w:val="Emphasis"/>
        </w:rPr>
        <w:t>Environmental Health Perspectives</w:t>
      </w:r>
      <w:r>
        <w:t>, 5, 177–186.</w:t>
      </w:r>
    </w:p>
    <w:p w14:paraId="5B854CA7" w14:textId="77777777" w:rsidR="00E26B96" w:rsidRDefault="00576A22" w:rsidP="005716AB">
      <w:r>
        <w:t>Miller, RA, Norris, LA &amp; Loper, BA 1979. The response of coho salmon and guppies to 2,3,7,8-tetrachlo</w:t>
      </w:r>
      <w:r>
        <w:t>rodibenzo-</w:t>
      </w:r>
      <w:r w:rsidRPr="00C07BEA">
        <w:rPr>
          <w:rStyle w:val="Emphasis"/>
        </w:rPr>
        <w:t>p</w:t>
      </w:r>
      <w:r>
        <w:t xml:space="preserve">-dioxin (TCDD) in water. </w:t>
      </w:r>
      <w:r w:rsidRPr="00C07BEA">
        <w:rPr>
          <w:rStyle w:val="Emphasis"/>
        </w:rPr>
        <w:t>Transactions of the American Fisheries Society</w:t>
      </w:r>
      <w:r>
        <w:t>, 108, 401–407.</w:t>
      </w:r>
    </w:p>
    <w:p w14:paraId="5B854CA8" w14:textId="77777777" w:rsidR="00E26B96" w:rsidRDefault="00576A22" w:rsidP="005716AB">
      <w:r>
        <w:t xml:space="preserve">Müller, J, Muller, R, Goudkamp, K, Shaw, M, Mortimer, M, Haynes, D, Paxman, C, Hyne, R, McTaggart, A, Burniston, D, Symons, R &amp; Moore, M 2004. Dioxins in </w:t>
      </w:r>
      <w:r>
        <w:t>Aquatic Environments in Australia, National Dioxins Program Technical Report No. 6. Australian Government Department of the Environment and Heritage, Canberra.</w:t>
      </w:r>
    </w:p>
    <w:p w14:paraId="5B854CA9" w14:textId="77777777" w:rsidR="00E26B96" w:rsidRDefault="00576A22" w:rsidP="005716AB">
      <w:r>
        <w:t xml:space="preserve">Newstead, JL, Giesy, JP, Ankley, GT, Tillitt, DE, Crawford, RA, Gooch, JW, Jones, PD &amp; Denison, </w:t>
      </w:r>
      <w:r>
        <w:t xml:space="preserve">MS 1995. Development of toxic equivalency factors for PCB congeners and the assessment of TCDD and PCB mixtures in rainbow trout. </w:t>
      </w:r>
      <w:r w:rsidRPr="00057DEA">
        <w:rPr>
          <w:rStyle w:val="Emphasis"/>
        </w:rPr>
        <w:t>Environmental Toxicology and Chemistry</w:t>
      </w:r>
      <w:r>
        <w:t>, 5, 861–871.</w:t>
      </w:r>
    </w:p>
    <w:p w14:paraId="5B854CAA" w14:textId="77777777" w:rsidR="00E26B96" w:rsidRDefault="00576A22" w:rsidP="005716AB">
      <w:r>
        <w:t>Nichols, JW, Jensen, KM, Tietge, JE &amp; Johnson, RD 1998. Physiologically ba</w:t>
      </w:r>
      <w:r>
        <w:t>sed toxicokinetic model for maternal transfer of 2,3,7,8-tetrachlorodibenzo-</w:t>
      </w:r>
      <w:r w:rsidRPr="004E5449">
        <w:rPr>
          <w:rStyle w:val="Emphasis"/>
        </w:rPr>
        <w:t>p</w:t>
      </w:r>
      <w:r>
        <w:t>-dioxin in brook trout (</w:t>
      </w:r>
      <w:r w:rsidRPr="004E5449">
        <w:rPr>
          <w:rStyle w:val="Emphasis"/>
        </w:rPr>
        <w:t>Salvelinus</w:t>
      </w:r>
      <w:r>
        <w:t xml:space="preserve"> </w:t>
      </w:r>
      <w:r w:rsidRPr="004E5449">
        <w:rPr>
          <w:rStyle w:val="Emphasis"/>
        </w:rPr>
        <w:t>fontinalis</w:t>
      </w:r>
      <w:r>
        <w:t xml:space="preserve">). </w:t>
      </w:r>
      <w:r w:rsidRPr="004E5449">
        <w:rPr>
          <w:rStyle w:val="Emphasis"/>
        </w:rPr>
        <w:t>Environmental Toxicology and Chemistry</w:t>
      </w:r>
      <w:r>
        <w:t xml:space="preserve">, 17, 2422–2438. </w:t>
      </w:r>
    </w:p>
    <w:p w14:paraId="5B854CAB" w14:textId="77777777" w:rsidR="00E26B96" w:rsidRDefault="00576A22" w:rsidP="005716AB">
      <w:r>
        <w:t>Niimi, AJ 1996. Review article: Evaluation of PCBs and PCDD/Fs retention by</w:t>
      </w:r>
      <w:r>
        <w:t xml:space="preserve"> aquatic organisms. </w:t>
      </w:r>
      <w:r w:rsidRPr="004B0B5D">
        <w:rPr>
          <w:rStyle w:val="Emphasis"/>
        </w:rPr>
        <w:t>The Science of the Total Environment</w:t>
      </w:r>
      <w:r>
        <w:t>, 192, 123–150.</w:t>
      </w:r>
    </w:p>
    <w:p w14:paraId="5B854CAC" w14:textId="77777777" w:rsidR="00E26B96" w:rsidRDefault="00576A22" w:rsidP="005716AB">
      <w:r>
        <w:t>Norris, LA &amp; Miller, RA 1974. The toxicity of 2,3,7,8-tetrachlorodibenzo-</w:t>
      </w:r>
      <w:r w:rsidRPr="00C07BEA">
        <w:rPr>
          <w:rStyle w:val="Emphasis"/>
        </w:rPr>
        <w:t>p</w:t>
      </w:r>
      <w:r>
        <w:t>-dioxin (TCDD) in guppies (</w:t>
      </w:r>
      <w:r w:rsidRPr="00C07BEA">
        <w:rPr>
          <w:rStyle w:val="Emphasis"/>
        </w:rPr>
        <w:t>Poecilia reticulatus Peters</w:t>
      </w:r>
      <w:r>
        <w:t xml:space="preserve">). </w:t>
      </w:r>
      <w:r w:rsidRPr="00C07BEA">
        <w:rPr>
          <w:rStyle w:val="Emphasis"/>
        </w:rPr>
        <w:t>Bulletin of Environmental Contamination and Toxicolog</w:t>
      </w:r>
      <w:r w:rsidRPr="00C07BEA">
        <w:rPr>
          <w:rStyle w:val="Emphasis"/>
        </w:rPr>
        <w:t>y</w:t>
      </w:r>
      <w:r>
        <w:t>, 12, 76–80.</w:t>
      </w:r>
    </w:p>
    <w:p w14:paraId="5B854CAD" w14:textId="77777777" w:rsidR="00E26B96" w:rsidRDefault="00576A22" w:rsidP="005716AB">
      <w:r>
        <w:t>Olivieri, CE &amp; Cooper, KR 1997. Toxicity of 2,3,7,8-tetrachlorodibenzo-</w:t>
      </w:r>
      <w:r w:rsidRPr="00C07BEA">
        <w:rPr>
          <w:rStyle w:val="Emphasis"/>
        </w:rPr>
        <w:t>p</w:t>
      </w:r>
      <w:r>
        <w:t>-dioxin (TCDD) in embryos and larvae of the fathead minnow (</w:t>
      </w:r>
      <w:r w:rsidRPr="00C07BEA">
        <w:rPr>
          <w:rStyle w:val="Emphasis"/>
        </w:rPr>
        <w:t>Pimephales promelas</w:t>
      </w:r>
      <w:r>
        <w:t xml:space="preserve">). </w:t>
      </w:r>
      <w:r w:rsidRPr="00C07BEA">
        <w:rPr>
          <w:rStyle w:val="Emphasis"/>
        </w:rPr>
        <w:t>Chemosphere</w:t>
      </w:r>
      <w:r>
        <w:t>, 34, 1139–1150.</w:t>
      </w:r>
    </w:p>
    <w:p w14:paraId="5B854CAE" w14:textId="77777777" w:rsidR="00E26B96" w:rsidRDefault="00576A22" w:rsidP="005716AB">
      <w:r>
        <w:t xml:space="preserve">Parhizgari, Z &amp; Li, J 2014. A physiologically-based pharmacokinetic model for disposition of 2,3,7,8-TCDD in fathead minnow and medaka. </w:t>
      </w:r>
      <w:r w:rsidRPr="00C07BEA">
        <w:rPr>
          <w:rStyle w:val="Emphasis"/>
        </w:rPr>
        <w:t>Environmental Toxicology and Chemistry</w:t>
      </w:r>
      <w:r>
        <w:t>, 33, 1064–1071.</w:t>
      </w:r>
    </w:p>
    <w:p w14:paraId="5B854CAF" w14:textId="77777777" w:rsidR="00E26B96" w:rsidRDefault="00576A22" w:rsidP="005716AB">
      <w:r>
        <w:t>Parrott, JE, Hodson, PV, Servos, MR, Huestis, SL &amp; Dixon, DG 1995</w:t>
      </w:r>
      <w:r>
        <w:t>. Relative potency of polychlorinated dibenzo-</w:t>
      </w:r>
      <w:r w:rsidRPr="00057DEA">
        <w:rPr>
          <w:rStyle w:val="Emphasis"/>
        </w:rPr>
        <w:t>p</w:t>
      </w:r>
      <w:r>
        <w:t xml:space="preserve">-dioxins and dibenzofurans for inducing mixed-function oxygenase activity in rainbow trout. </w:t>
      </w:r>
      <w:r w:rsidRPr="00057DEA">
        <w:rPr>
          <w:rStyle w:val="Emphasis"/>
        </w:rPr>
        <w:t>Environmental Toxicology and Chemistry</w:t>
      </w:r>
      <w:r>
        <w:t>, 14, 1041–1050.</w:t>
      </w:r>
    </w:p>
    <w:p w14:paraId="5B854CB0" w14:textId="77777777" w:rsidR="00E26B96" w:rsidRDefault="00576A22" w:rsidP="005716AB">
      <w:r>
        <w:t>Prasch, AL, Teraoka, H, Carney, SA, Dong, W, Hiraga, T, Stegem</w:t>
      </w:r>
      <w:r>
        <w:t>an, JJ, Heideman, W &amp; Peterson, RE 2003. Aryl hydrocarbon receptor 2 mediates 2,3,7,8-tetrachlorodibenzo-</w:t>
      </w:r>
      <w:r w:rsidRPr="006E7E5D">
        <w:rPr>
          <w:rStyle w:val="Emphasis"/>
        </w:rPr>
        <w:t>p</w:t>
      </w:r>
      <w:r>
        <w:t xml:space="preserve">-dioxin developmental toxicity in zebrafish. </w:t>
      </w:r>
      <w:r w:rsidRPr="006E7E5D">
        <w:rPr>
          <w:rStyle w:val="Emphasis"/>
        </w:rPr>
        <w:t>Toxicological Sciences</w:t>
      </w:r>
      <w:r>
        <w:t>, 76, 138–150.</w:t>
      </w:r>
    </w:p>
    <w:p w14:paraId="5B854CB1" w14:textId="77777777" w:rsidR="00E26B96" w:rsidRDefault="00576A22" w:rsidP="005716AB">
      <w:r>
        <w:t>Prince, R &amp; Cooper, KR 1995. Comparisons of the effects of 2,3,7,8-t</w:t>
      </w:r>
      <w:r>
        <w:t>etrachlorodibenzo-</w:t>
      </w:r>
      <w:r w:rsidRPr="003028E2">
        <w:rPr>
          <w:rStyle w:val="Emphasis"/>
        </w:rPr>
        <w:t>p</w:t>
      </w:r>
      <w:r>
        <w:t xml:space="preserve">-dioxin on chemically impacted and nonimpacted subpopulations of </w:t>
      </w:r>
      <w:r w:rsidRPr="003028E2">
        <w:rPr>
          <w:rStyle w:val="Emphasis"/>
        </w:rPr>
        <w:t>Fundulus heteroclitus</w:t>
      </w:r>
      <w:r>
        <w:t xml:space="preserve">: 1. TCDD toxicity. </w:t>
      </w:r>
      <w:r w:rsidRPr="003028E2">
        <w:rPr>
          <w:rStyle w:val="Emphasis"/>
        </w:rPr>
        <w:t>Environmental Toxicology and Chemistry</w:t>
      </w:r>
      <w:r>
        <w:t>, 14, 579–587.</w:t>
      </w:r>
    </w:p>
    <w:p w14:paraId="5B854CB2" w14:textId="77777777" w:rsidR="00E26B96" w:rsidRDefault="00576A22" w:rsidP="005716AB">
      <w:r>
        <w:t>Rice, CP, O’Keefe, PW &amp; Kubiak, TJ 2003. Sources, pathways and effects of PCBs</w:t>
      </w:r>
      <w:r>
        <w:t xml:space="preserve">, dioxins, and dibenzofurans. In: Hoffman, DJ, Rattner, BA, Burton, GA Jr &amp; Cairns, J Jr (eds.). Handbook of Ecotoxicology, 2nd Edition, Lewis Publishers, Boca Raton. </w:t>
      </w:r>
    </w:p>
    <w:p w14:paraId="5B854CB3" w14:textId="77777777" w:rsidR="00E26B96" w:rsidRDefault="00576A22" w:rsidP="005716AB">
      <w:r>
        <w:t xml:space="preserve">Roach, A, Ferrell, D &amp; Manning, T 2007. The interaction between life history and dioxin </w:t>
      </w:r>
      <w:r>
        <w:t xml:space="preserve">levels in fish from Sydney Harbour, Australia. </w:t>
      </w:r>
      <w:r w:rsidRPr="003028E2">
        <w:rPr>
          <w:rStyle w:val="Emphasis"/>
        </w:rPr>
        <w:t>Organohalogen Compounds</w:t>
      </w:r>
      <w:r>
        <w:t>, 69, 1560–1565.</w:t>
      </w:r>
    </w:p>
    <w:p w14:paraId="5B854CB4" w14:textId="77777777" w:rsidR="00E26B96" w:rsidRDefault="00576A22" w:rsidP="005716AB">
      <w:r>
        <w:t>Roach, A, Symons, R &amp; Stevenson, G 2009. Contrasting patterns of spatial autocorrelation of PCDD/Fs, dioxin-like PCBS and PBDES in sediments in Sydney Harbour, Australia</w:t>
      </w:r>
      <w:r>
        <w:t xml:space="preserve">. </w:t>
      </w:r>
      <w:r w:rsidRPr="00FA09D5">
        <w:rPr>
          <w:rStyle w:val="Emphasis"/>
        </w:rPr>
        <w:t>Organohalogen Compounds</w:t>
      </w:r>
      <w:r>
        <w:t xml:space="preserve">, 71, 366–371. </w:t>
      </w:r>
    </w:p>
    <w:p w14:paraId="5B854CB5" w14:textId="77777777" w:rsidR="00E26B96" w:rsidRDefault="00576A22" w:rsidP="005716AB">
      <w:r>
        <w:t xml:space="preserve">Safe, SH 1998. Hazard and risk assessment of chemical mixtures using the toxic equivalency factor approach. </w:t>
      </w:r>
      <w:r w:rsidRPr="00A46FD5">
        <w:rPr>
          <w:rStyle w:val="Emphasis"/>
        </w:rPr>
        <w:t>Environmental Health Perspectives</w:t>
      </w:r>
      <w:r>
        <w:t>, 106, Suppl 4, 1051–1058.</w:t>
      </w:r>
    </w:p>
    <w:p w14:paraId="5B854CB6" w14:textId="77777777" w:rsidR="00E26B96" w:rsidRDefault="00576A22" w:rsidP="005716AB">
      <w:r>
        <w:t>Segstro, MD, Muir, DCG, Servos, MR &amp; Webster, G</w:t>
      </w:r>
      <w:r>
        <w:t>RB 1995. Long-term fate and bioavailability of sediment-associated polychlorinated dibenzo-</w:t>
      </w:r>
      <w:r w:rsidRPr="00A46FD5">
        <w:rPr>
          <w:rStyle w:val="Emphasis"/>
        </w:rPr>
        <w:t>p</w:t>
      </w:r>
      <w:r>
        <w:t xml:space="preserve">-dioxins in aquatic mesocosms. </w:t>
      </w:r>
      <w:r w:rsidRPr="00A46FD5">
        <w:rPr>
          <w:rStyle w:val="Emphasis"/>
        </w:rPr>
        <w:t>Environmental Toxicology and Chemistry</w:t>
      </w:r>
      <w:r>
        <w:t>, 14, 1799–1807.</w:t>
      </w:r>
    </w:p>
    <w:p w14:paraId="5B854CB7" w14:textId="77777777" w:rsidR="00E26B96" w:rsidRDefault="00576A22" w:rsidP="005716AB">
      <w:r>
        <w:t>Sezmis, AL, Birch, G &amp; Covaci, A 2014. Relationships between dibenzo-</w:t>
      </w:r>
      <w:r w:rsidRPr="00E26A22">
        <w:rPr>
          <w:rStyle w:val="Emphasis"/>
        </w:rPr>
        <w:t>p</w:t>
      </w:r>
      <w:r>
        <w:t>-dioxins</w:t>
      </w:r>
      <w:r>
        <w:t xml:space="preserve"> (PCDDs), dibenzofurans (PCDFs) and dioxin-like biphenyls (dl-PCBs) congener concentrations in aquatic organisms from Sydney Estuary, Australia and physiology, spatial, seasonality, trophodynamic and life history traits. </w:t>
      </w:r>
      <w:r w:rsidRPr="00E26A22">
        <w:rPr>
          <w:rStyle w:val="Emphasis"/>
        </w:rPr>
        <w:t>Science of the Total Environment</w:t>
      </w:r>
      <w:r>
        <w:t>, 4</w:t>
      </w:r>
      <w:r>
        <w:t>90, 50–58.</w:t>
      </w:r>
    </w:p>
    <w:p w14:paraId="5B854CB8" w14:textId="77777777" w:rsidR="00E26B96" w:rsidRDefault="00576A22" w:rsidP="005716AB">
      <w:r>
        <w:t>Sijm, DTHM &amp; Opperhuizen, A 1996. Dioxins: An environmental risk to fish? In: Beyer, WN, Heinz, GH &amp; Redmon-Norwood, AW (eds.). Environmental contaminants in wildlife: Interpreting tissue concentrations. SETAC Special Publication Series. CRC Pre</w:t>
      </w:r>
      <w:r>
        <w:t>ss, Lewis Publishers, Boca Raton, FL, USA, 500–573.</w:t>
      </w:r>
    </w:p>
    <w:p w14:paraId="5B854CB9" w14:textId="77777777" w:rsidR="00E26B96" w:rsidRDefault="00576A22" w:rsidP="005716AB">
      <w:r>
        <w:t xml:space="preserve">Spitzbergen, JM, Walker, MK, Olson, JR &amp; Peterson, RE 1991. Pathological alterations in the early life stages of lake trout, </w:t>
      </w:r>
      <w:r w:rsidRPr="00C07BEA">
        <w:rPr>
          <w:rStyle w:val="Emphasis"/>
        </w:rPr>
        <w:t>Salvelinus namaycush</w:t>
      </w:r>
      <w:r>
        <w:t>, exposed to 2,3,7,8-tetrachlorodibenzo-</w:t>
      </w:r>
      <w:r w:rsidRPr="00C07BEA">
        <w:rPr>
          <w:rStyle w:val="Emphasis"/>
        </w:rPr>
        <w:t>p</w:t>
      </w:r>
      <w:r>
        <w:t>-dioxin as fertili</w:t>
      </w:r>
      <w:r>
        <w:t xml:space="preserve">zed eggs. </w:t>
      </w:r>
      <w:r w:rsidRPr="00C07BEA">
        <w:rPr>
          <w:rStyle w:val="Emphasis"/>
        </w:rPr>
        <w:t>Aquatic Toxicology</w:t>
      </w:r>
      <w:r>
        <w:t>, 19, 41–72.</w:t>
      </w:r>
    </w:p>
    <w:p w14:paraId="5B854CBA" w14:textId="77777777" w:rsidR="00E26B96" w:rsidRDefault="00576A22" w:rsidP="005716AB">
      <w:r>
        <w:t>Tanguay, RL, Andreason, EA, Walker, MK &amp; Peterson, RE 2003. Dioxin toxicity and aryl hydrocarbon receptor signaling in fish. In: Schecter, A &amp; Gasiewicz, TA (eds.). Dioxin and Health, 2nd Edition. John Wiley and Son</w:t>
      </w:r>
      <w:r>
        <w:t>s Inc, NY, USA, 603–628.</w:t>
      </w:r>
    </w:p>
    <w:p w14:paraId="5B854CBB" w14:textId="77777777" w:rsidR="00E26B96" w:rsidRDefault="00576A22" w:rsidP="005716AB">
      <w:r>
        <w:t>Teraoka, H, Dong, W, Tsujimoto, Y, Iwasa, H, Endoh, D, Ueno, N, Stegeman, JJ, Peterson, RE &amp; Hiraga, T 2003. Induction of cytochrome P450 1A is required for circulation failure and edema by 2,3,7,8-tetrachlorodibenzo-</w:t>
      </w:r>
      <w:r w:rsidRPr="00D96B22">
        <w:rPr>
          <w:rStyle w:val="Emphasis"/>
        </w:rPr>
        <w:t>p</w:t>
      </w:r>
      <w:r>
        <w:t>-dioxin in ze</w:t>
      </w:r>
      <w:r>
        <w:t xml:space="preserve">brafish. </w:t>
      </w:r>
      <w:r w:rsidRPr="00D96B22">
        <w:rPr>
          <w:rStyle w:val="Emphasis"/>
        </w:rPr>
        <w:t>Biochemical and Biophysical Research Communications</w:t>
      </w:r>
      <w:r>
        <w:t>, 304, 223–228.</w:t>
      </w:r>
    </w:p>
    <w:p w14:paraId="5B854CBC" w14:textId="77777777" w:rsidR="00E26B96" w:rsidRDefault="00576A22" w:rsidP="005716AB">
      <w:r>
        <w:t>Teraoka, H, Kubota, A, Dong, W, Kawai, Y, Yamazaki, K, Mori, C, Harada, Y, Peterson, RE &amp; Hiraga, T 2009. Role of the cyclooxygenase 2-thromboxane pathway in 2,3,7,8-tetrachlorodib</w:t>
      </w:r>
      <w:r>
        <w:t>enzo-</w:t>
      </w:r>
      <w:r w:rsidRPr="004E5449">
        <w:rPr>
          <w:rStyle w:val="Emphasis"/>
        </w:rPr>
        <w:t>p</w:t>
      </w:r>
      <w:r>
        <w:t xml:space="preserve">-dioxin-induced decrease in mesencephalic vein blood flow in the zebrafish embryo. </w:t>
      </w:r>
      <w:r w:rsidRPr="004E5449">
        <w:rPr>
          <w:rStyle w:val="Emphasis"/>
        </w:rPr>
        <w:t>Toxicology and Applied Pharmacology</w:t>
      </w:r>
      <w:r>
        <w:t>, 234, 33–40.</w:t>
      </w:r>
    </w:p>
    <w:p w14:paraId="5B854CBD" w14:textId="77777777" w:rsidR="00E26B96" w:rsidRDefault="00576A22" w:rsidP="005716AB">
      <w:r>
        <w:t xml:space="preserve">Teraoka, H, Wu Dong, W, Ogawa, S, Tsukiyama, S, Okuhara, Y, Niiyama, M, Ueno, N, Peterson, RE &amp; Hiraga, T 2002. </w:t>
      </w:r>
      <w:r>
        <w:t>2,3,7,8-Tetrachlorodibenzo-</w:t>
      </w:r>
      <w:r w:rsidRPr="004E5449">
        <w:rPr>
          <w:rStyle w:val="Emphasis"/>
        </w:rPr>
        <w:t>p</w:t>
      </w:r>
      <w:r>
        <w:t xml:space="preserve">-dioxin toxicity in the zebrafish embryo: Altered regional blood flow and impaired lower jaw development. </w:t>
      </w:r>
      <w:r w:rsidRPr="004E5449">
        <w:rPr>
          <w:rStyle w:val="Emphasis"/>
        </w:rPr>
        <w:t>Toxicological Sciences</w:t>
      </w:r>
      <w:r>
        <w:t>, 65, 192–199.</w:t>
      </w:r>
    </w:p>
    <w:p w14:paraId="5B854CBE" w14:textId="77777777" w:rsidR="00E26B96" w:rsidRDefault="00576A22" w:rsidP="005716AB">
      <w:r>
        <w:t>Tietge, JE, Johnson, RD, Jensen, KM, Cook, PM, Elonen, GE, Fernandez, JD, Holcombe, G</w:t>
      </w:r>
      <w:r>
        <w:t>W, Lothenbach, DB &amp; Nichols, JW 1998. Reproductive toxicity and disposition of 2,3,7,8- tetrachlorodibenzo-</w:t>
      </w:r>
      <w:r w:rsidRPr="004E5449">
        <w:rPr>
          <w:rStyle w:val="Emphasis"/>
        </w:rPr>
        <w:t>p</w:t>
      </w:r>
      <w:r>
        <w:t>-dioxin in adult brook trout (</w:t>
      </w:r>
      <w:r w:rsidRPr="004E5449">
        <w:rPr>
          <w:rStyle w:val="Emphasis"/>
        </w:rPr>
        <w:t>Salvelinus fontinalis</w:t>
      </w:r>
      <w:r>
        <w:t xml:space="preserve">) following a dietary exposure. </w:t>
      </w:r>
      <w:r w:rsidRPr="004E5449">
        <w:rPr>
          <w:rStyle w:val="Emphasis"/>
        </w:rPr>
        <w:t>Environmental Toxicology and Chemistry</w:t>
      </w:r>
      <w:r>
        <w:t>, 17, 2395–2407.</w:t>
      </w:r>
    </w:p>
    <w:p w14:paraId="5B854CBF" w14:textId="77777777" w:rsidR="00E26B96" w:rsidRDefault="00576A22" w:rsidP="005716AB">
      <w:r>
        <w:t>Toomey, BH</w:t>
      </w:r>
      <w:r>
        <w:t>, Bello, S, Hahn, ME, Cantrell, S, Wright, P, Tillitt, DE &amp; Di Giulio, RT 2001. 2,3,7,8-Tetrachlorodibenzo-</w:t>
      </w:r>
      <w:r w:rsidRPr="004E5449">
        <w:rPr>
          <w:rStyle w:val="Emphasis"/>
        </w:rPr>
        <w:t>p</w:t>
      </w:r>
      <w:r>
        <w:t xml:space="preserve">-dioxin induces apoptotic cell death and cytochrome P4501A expression in developing </w:t>
      </w:r>
      <w:r w:rsidRPr="004E5449">
        <w:rPr>
          <w:rStyle w:val="Emphasis"/>
        </w:rPr>
        <w:t>Fundulus heteroclitus</w:t>
      </w:r>
      <w:r>
        <w:t xml:space="preserve"> embryos. </w:t>
      </w:r>
      <w:r w:rsidRPr="004E5449">
        <w:rPr>
          <w:rStyle w:val="Emphasis"/>
        </w:rPr>
        <w:t>Aquatic Toxicology</w:t>
      </w:r>
      <w:r>
        <w:t>, 53, 127–138.</w:t>
      </w:r>
    </w:p>
    <w:p w14:paraId="5B854CC0" w14:textId="77777777" w:rsidR="00E26B96" w:rsidRDefault="00576A22" w:rsidP="005716AB">
      <w:r>
        <w:t>USEPA 1984. Ambient water quality criteria for 2,3,7,8-tetrachlorodibenzo-</w:t>
      </w:r>
      <w:r w:rsidRPr="00C76F3C">
        <w:rPr>
          <w:rStyle w:val="Emphasis"/>
        </w:rPr>
        <w:t>p</w:t>
      </w:r>
      <w:r>
        <w:t>-dioxin. Report EPA 440/5-84-007. United States Environmental Protection Agency, Office of Water Regulations and Standards, Washington DC, USA.</w:t>
      </w:r>
    </w:p>
    <w:p w14:paraId="5B854CC1" w14:textId="77777777" w:rsidR="00E26B96" w:rsidRDefault="00576A22" w:rsidP="005716AB">
      <w:r>
        <w:t>USEPA 1993. Interim report on data an</w:t>
      </w:r>
      <w:r>
        <w:t>d methods for assessment of 2,3,7,8-tetrachlorodibenzo-</w:t>
      </w:r>
      <w:r w:rsidRPr="00C76F3C">
        <w:rPr>
          <w:rStyle w:val="Emphasis"/>
        </w:rPr>
        <w:t>p</w:t>
      </w:r>
      <w:r>
        <w:t>-dioxin risk to aquatic life and associated wildlife. Report EPA/600/R- 93/055. United States Environmental Protection Agency, Washington DC.</w:t>
      </w:r>
    </w:p>
    <w:p w14:paraId="5B854CC2" w14:textId="77777777" w:rsidR="00E26B96" w:rsidRDefault="00576A22" w:rsidP="005716AB">
      <w:r>
        <w:t>USEPA 2002. National recommended water quality criteria: 2</w:t>
      </w:r>
      <w:r>
        <w:t>002. Report EPA-822-R-02-047. United States Environmental Protection Agency, Office of Water Regulations and Standards, Washington DC, USA.</w:t>
      </w:r>
    </w:p>
    <w:p w14:paraId="5B854CC3" w14:textId="77777777" w:rsidR="00E26B96" w:rsidRDefault="00576A22" w:rsidP="005716AB">
      <w:r>
        <w:t>USEPA 2008. Framework for the application of the toxicity equivalence methodology for polychlorinated dioxins, furan</w:t>
      </w:r>
      <w:r>
        <w:t>s, and biphenyls in ecological risk assessment. Report EPA/100/R-08/004. United States Environmental Protection Agency, Office of the Science Advisor, Washington, DC.</w:t>
      </w:r>
    </w:p>
    <w:p w14:paraId="5B854CC4" w14:textId="77777777" w:rsidR="00E26B96" w:rsidRDefault="00576A22" w:rsidP="005716AB">
      <w:r>
        <w:t>Van den Berg, M, Birnbaum, L, Bosveld, ATC, Brunstrom, B, Cook, P, Feely, M, Giesy, JP, H</w:t>
      </w:r>
      <w:r>
        <w:t>anberg, A, Hasegawa, R, Kennedy, SW, Kubiak, T, Larsen, JC, van Leeuwen, FXR, Djien Liem, AK, Nolt, C, Peterson, RE, Poellinger, L, Safe, S, Schrenk, D, Tillitt, D, Tysklind, M, Younes, M, Waern, F &amp; Zacharewski, T 1998. Toxic equivalency factors (TEFs) fo</w:t>
      </w:r>
      <w:r>
        <w:t xml:space="preserve">r PCBs, PCDDs, PCDFs for humans and wildlife. </w:t>
      </w:r>
      <w:r w:rsidRPr="004B0B5D">
        <w:rPr>
          <w:rStyle w:val="Emphasis"/>
        </w:rPr>
        <w:t>Environmental Health Perspectives</w:t>
      </w:r>
      <w:r>
        <w:t>, 106, 775–792.</w:t>
      </w:r>
    </w:p>
    <w:p w14:paraId="5B854CC5" w14:textId="77777777" w:rsidR="00E26B96" w:rsidRDefault="00576A22" w:rsidP="005716AB">
      <w:r>
        <w:t>Van den Berg, M, Birnbaum, LS, Denison, M, de Vito, M, Farland, W, Feely, M, Fiedler, H, Hakansson, H, Hanberg, A, Haws, L, Rose, M, Safe, S, Schrenk, D, Tohyama, C, Tritscher, A, Tuomisto, J, Tysklind, M, Walker, N &amp; Peterson, RE 2006. The 2005 World Heal</w:t>
      </w:r>
      <w:r>
        <w:t xml:space="preserve">th Organization Reevaluation of human and mammalian toxic equivalency factors for dioxins and dioxin-like compounds. </w:t>
      </w:r>
      <w:r w:rsidRPr="004B0B5D">
        <w:rPr>
          <w:rStyle w:val="Emphasis"/>
        </w:rPr>
        <w:t>Toxicological Sciences</w:t>
      </w:r>
      <w:r>
        <w:t>, 93, 223–241.</w:t>
      </w:r>
    </w:p>
    <w:p w14:paraId="5B854CC6" w14:textId="77777777" w:rsidR="00E26B96" w:rsidRDefault="00576A22" w:rsidP="005716AB">
      <w:r>
        <w:t>Walker, MK &amp; Peterson, RE 1991. Potencies of polychlorinated dibenzo-</w:t>
      </w:r>
      <w:r w:rsidRPr="00057DEA">
        <w:rPr>
          <w:rStyle w:val="Emphasis"/>
        </w:rPr>
        <w:t>p</w:t>
      </w:r>
      <w:r>
        <w:t>-dioxin, dibenzofuran, and biphe</w:t>
      </w:r>
      <w:r>
        <w:t>nyl congeners, relative to 2,3,7,8-tetrachlorodibenzo-</w:t>
      </w:r>
      <w:r w:rsidRPr="00057DEA">
        <w:rPr>
          <w:rStyle w:val="Emphasis"/>
        </w:rPr>
        <w:t>p</w:t>
      </w:r>
      <w:r>
        <w:t>-dioxin for producing early life stage mortality in rainbow trout (</w:t>
      </w:r>
      <w:r w:rsidRPr="00057DEA">
        <w:rPr>
          <w:rStyle w:val="Emphasis"/>
        </w:rPr>
        <w:t>Oncorhynchus mykiss</w:t>
      </w:r>
      <w:r>
        <w:t xml:space="preserve">). </w:t>
      </w:r>
      <w:r w:rsidRPr="00057DEA">
        <w:rPr>
          <w:rStyle w:val="Emphasis"/>
        </w:rPr>
        <w:t>Aquatic Toxicology</w:t>
      </w:r>
      <w:r>
        <w:t>, 21, 219–238.</w:t>
      </w:r>
    </w:p>
    <w:p w14:paraId="5B854CC7" w14:textId="77777777" w:rsidR="00E26B96" w:rsidRDefault="00576A22" w:rsidP="005716AB">
      <w:r>
        <w:t>Walker, MK &amp; Peterson, RE 1994. Toxicity of 2,3,7,8-tetrachlorodibenzo-</w:t>
      </w:r>
      <w:r w:rsidRPr="004B0B5D">
        <w:rPr>
          <w:rStyle w:val="Emphasis"/>
        </w:rPr>
        <w:t>p</w:t>
      </w:r>
      <w:r>
        <w:t>-dioxin</w:t>
      </w:r>
      <w:r>
        <w:t xml:space="preserve"> (TCDD) to brook trout (</w:t>
      </w:r>
      <w:r w:rsidRPr="004B0B5D">
        <w:rPr>
          <w:rStyle w:val="Emphasis"/>
        </w:rPr>
        <w:t>Salvelinus fontinalis</w:t>
      </w:r>
      <w:r>
        <w:t xml:space="preserve">) during early development. </w:t>
      </w:r>
      <w:r w:rsidRPr="004B0B5D">
        <w:rPr>
          <w:rStyle w:val="Emphasis"/>
        </w:rPr>
        <w:t>Environmental Toxicology and Chemistry</w:t>
      </w:r>
      <w:r>
        <w:t>, 13, 817–820.</w:t>
      </w:r>
    </w:p>
    <w:p w14:paraId="5B854CC8" w14:textId="77777777" w:rsidR="00E26B96" w:rsidRDefault="00576A22" w:rsidP="005716AB">
      <w:r>
        <w:t>Walker, MK, Cook, PM, Butterworth, BC, Zabel, EW &amp; Peterson, RE 1996. Potency of a complex mixture of polychlorinated dibenzo-</w:t>
      </w:r>
      <w:r w:rsidRPr="00057DEA">
        <w:rPr>
          <w:rStyle w:val="Emphasis"/>
        </w:rPr>
        <w:t>p</w:t>
      </w:r>
      <w:r>
        <w:t>-di</w:t>
      </w:r>
      <w:r>
        <w:t>oxin, dibenzofuran, and biphenyl congeners compared to 2,3,7,8-tetrachlorodibenzo-</w:t>
      </w:r>
      <w:r w:rsidRPr="00057DEA">
        <w:rPr>
          <w:rStyle w:val="Emphasis"/>
        </w:rPr>
        <w:t>p</w:t>
      </w:r>
      <w:r>
        <w:t xml:space="preserve">-dioxin in causing fish early life stage mortality. </w:t>
      </w:r>
      <w:r w:rsidRPr="00057DEA">
        <w:rPr>
          <w:rStyle w:val="Emphasis"/>
        </w:rPr>
        <w:t>Fundamental and Applied Toxicology</w:t>
      </w:r>
      <w:r>
        <w:t>, 30, 178–186.</w:t>
      </w:r>
    </w:p>
    <w:p w14:paraId="5B854CC9" w14:textId="77777777" w:rsidR="00E26B96" w:rsidRDefault="00576A22" w:rsidP="005716AB">
      <w:r>
        <w:t>Walker, MK, Hufnagle, LC, Clayton, MK &amp; Peterson, RE 1992. An egg inject</w:t>
      </w:r>
      <w:r>
        <w:t>ion method for assessing early life stage mortality of polychlorinated dibenzo-</w:t>
      </w:r>
      <w:r w:rsidRPr="0052187E">
        <w:rPr>
          <w:rStyle w:val="Emphasis"/>
        </w:rPr>
        <w:t>p</w:t>
      </w:r>
      <w:r>
        <w:t>-dioxin, dibenzofuran, and biphenyls in rainbow trout (</w:t>
      </w:r>
      <w:r w:rsidRPr="0052187E">
        <w:rPr>
          <w:rStyle w:val="Emphasis"/>
        </w:rPr>
        <w:t>Oncorhynchus mykiss</w:t>
      </w:r>
      <w:r>
        <w:t xml:space="preserve">). </w:t>
      </w:r>
      <w:r w:rsidRPr="0052187E">
        <w:rPr>
          <w:rStyle w:val="Emphasis"/>
        </w:rPr>
        <w:t>Aquatic Toxicology</w:t>
      </w:r>
      <w:r>
        <w:t>, 22, 15–38.</w:t>
      </w:r>
    </w:p>
    <w:p w14:paraId="5B854CCA" w14:textId="77777777" w:rsidR="00E26B96" w:rsidRDefault="00576A22" w:rsidP="005716AB">
      <w:r>
        <w:t>Walker, MK, Spitzbergen, JM, Olson, JR &amp; Peterson, RE 1991. 2,3,7,8-</w:t>
      </w:r>
      <w:r>
        <w:t>Tetrachlorodibenzo-</w:t>
      </w:r>
      <w:r w:rsidRPr="006E7E5D">
        <w:rPr>
          <w:rStyle w:val="Emphasis"/>
        </w:rPr>
        <w:t>p</w:t>
      </w:r>
      <w:r>
        <w:t>-dioxin (TCDD) toxicity during early life stage development of lake trout (</w:t>
      </w:r>
      <w:r w:rsidRPr="006E7E5D">
        <w:rPr>
          <w:rStyle w:val="Emphasis"/>
        </w:rPr>
        <w:t>Salvelinus namaycush</w:t>
      </w:r>
      <w:r>
        <w:t xml:space="preserve">). </w:t>
      </w:r>
      <w:r w:rsidRPr="006E7E5D">
        <w:rPr>
          <w:rStyle w:val="Emphasis"/>
        </w:rPr>
        <w:t>Canadian Journal of Fisheries and Aquatic Sciences</w:t>
      </w:r>
      <w:r>
        <w:t>, 48, 875–883.</w:t>
      </w:r>
    </w:p>
    <w:p w14:paraId="5B854CCB" w14:textId="77777777" w:rsidR="00E26B96" w:rsidRDefault="00576A22" w:rsidP="005716AB">
      <w:r>
        <w:t xml:space="preserve">Wannemacher, R, Rebstock, A, Kulzer, E, Schrenk, D &amp; Bock, KW 1992. </w:t>
      </w:r>
      <w:r>
        <w:t>Effects of 2,3,7,8-tetrachlorodibenzo-</w:t>
      </w:r>
      <w:r w:rsidRPr="004E5449">
        <w:rPr>
          <w:rStyle w:val="Emphasis"/>
        </w:rPr>
        <w:t>p</w:t>
      </w:r>
      <w:r>
        <w:t>-dioxin on reproduction and oogenesis in zebrafish (</w:t>
      </w:r>
      <w:r w:rsidRPr="004E5449">
        <w:rPr>
          <w:rStyle w:val="Emphasis"/>
        </w:rPr>
        <w:t>Brachydanio rerio</w:t>
      </w:r>
      <w:r>
        <w:t xml:space="preserve">). </w:t>
      </w:r>
      <w:r w:rsidRPr="004E5449">
        <w:rPr>
          <w:rStyle w:val="Emphasis"/>
        </w:rPr>
        <w:t>Chemosphere</w:t>
      </w:r>
      <w:r>
        <w:t xml:space="preserve">, 24, 1361–1368. </w:t>
      </w:r>
    </w:p>
    <w:p w14:paraId="5B854CCC" w14:textId="77777777" w:rsidR="00E26B96" w:rsidRDefault="00576A22" w:rsidP="005716AB">
      <w:r>
        <w:t>Warne MStJ, Batley GE, van Dam RA, Chapman JC, Fox DR, Hickey CW &amp; Stauber JL 2018. Revised Method for Deriving Aust</w:t>
      </w:r>
      <w:r>
        <w:t>ralian and New Zealand Water Quality Guideline Values for Toxicants – update of 2015 version. Prepared for the revision of the Australian and New Zealand Guidelines for Fresh and Marine Water Quality. Australian and New Zealand Governments and Australian s</w:t>
      </w:r>
      <w:r>
        <w:t>tate and territory governments, Canberra, 48 pp.</w:t>
      </w:r>
    </w:p>
    <w:p w14:paraId="5B854CCD" w14:textId="77777777" w:rsidR="00E26B96" w:rsidRDefault="00576A22" w:rsidP="005716AB">
      <w:r>
        <w:t>Wenning, RJ, Martello, L &amp; Prusak-Daniel, A 2011. Dioxins, PCBs, and PBDEs in aquatic organisms. In Beyer, WN &amp; Meador, JP (eds.). Environmental Contaminants in Biota: Interpreting tissue concentrations. CRC</w:t>
      </w:r>
      <w:r>
        <w:t xml:space="preserve"> Press, Boca-Raton, FL, USA, 103–169.</w:t>
      </w:r>
    </w:p>
    <w:p w14:paraId="5B854CCE" w14:textId="77777777" w:rsidR="00E26B96" w:rsidRDefault="00576A22" w:rsidP="005716AB">
      <w:r>
        <w:t>West, CW, Ankley, GT, Nichols, JW, Elonen, GE &amp; Nessa, DE 1997. Toxicity and bioaccumulation of 2,3,7,8-tetrachlorodibenzo-</w:t>
      </w:r>
      <w:r w:rsidRPr="004E5449">
        <w:rPr>
          <w:rStyle w:val="Emphasis"/>
        </w:rPr>
        <w:t>p</w:t>
      </w:r>
      <w:r>
        <w:t xml:space="preserve">-dioxin in long term tests with the freshwater benthic invertebrates </w:t>
      </w:r>
      <w:r w:rsidRPr="004E5449">
        <w:rPr>
          <w:rStyle w:val="Emphasis"/>
        </w:rPr>
        <w:t>Chironomus tentans</w:t>
      </w:r>
      <w:r>
        <w:t xml:space="preserve"> and </w:t>
      </w:r>
      <w:r w:rsidRPr="004E5449">
        <w:rPr>
          <w:rStyle w:val="Emphasis"/>
        </w:rPr>
        <w:t>Lu</w:t>
      </w:r>
      <w:r w:rsidRPr="004E5449">
        <w:rPr>
          <w:rStyle w:val="Emphasis"/>
        </w:rPr>
        <w:t>mbriculus variegatus</w:t>
      </w:r>
      <w:r>
        <w:t xml:space="preserve">. </w:t>
      </w:r>
      <w:r w:rsidRPr="004E5449">
        <w:rPr>
          <w:rStyle w:val="Emphasis"/>
        </w:rPr>
        <w:t>Environmental Toxicology and Chemistry</w:t>
      </w:r>
      <w:r>
        <w:t>, 16, 1287–1294.</w:t>
      </w:r>
    </w:p>
    <w:p w14:paraId="5B854CCF" w14:textId="77777777" w:rsidR="00E26B96" w:rsidRDefault="00576A22" w:rsidP="005716AB">
      <w:r>
        <w:t>Wintermeyer, ML &amp; Cooper, KR 2007. The development of an aquatic bivalve model: Evaluating the toxic effects on gametogenesis following 2,3,7,8-tetrachlorodibenzo-</w:t>
      </w:r>
      <w:r w:rsidRPr="008B66E0">
        <w:rPr>
          <w:rStyle w:val="Emphasis"/>
        </w:rPr>
        <w:t>p</w:t>
      </w:r>
      <w:r>
        <w:t>-dioxin (2,3,7,</w:t>
      </w:r>
      <w:r>
        <w:t>8-TCDD) exposure in the eastern oyster (</w:t>
      </w:r>
      <w:r w:rsidRPr="008B66E0">
        <w:rPr>
          <w:rStyle w:val="Emphasis"/>
        </w:rPr>
        <w:t>Crassostrea virginica</w:t>
      </w:r>
      <w:r>
        <w:t xml:space="preserve">). </w:t>
      </w:r>
      <w:r w:rsidRPr="008B66E0">
        <w:rPr>
          <w:rStyle w:val="Emphasis"/>
        </w:rPr>
        <w:t>Aquatic Toxicology</w:t>
      </w:r>
      <w:r>
        <w:t xml:space="preserve">, 81, 10–26. </w:t>
      </w:r>
    </w:p>
    <w:p w14:paraId="5B854CD0" w14:textId="77777777" w:rsidR="00E26B96" w:rsidRDefault="00576A22" w:rsidP="005716AB">
      <w:r>
        <w:t>Wisk, JD &amp; Cooper, KR 1990. The stage specific toxicity of 2,3,7,8-tetrachlorodibenzo-</w:t>
      </w:r>
      <w:r w:rsidRPr="00A46FD5">
        <w:rPr>
          <w:rStyle w:val="Emphasis"/>
        </w:rPr>
        <w:t>p</w:t>
      </w:r>
      <w:r>
        <w:t>-dioxin in embryos of the Japanese medaka (</w:t>
      </w:r>
      <w:r w:rsidRPr="00A46FD5">
        <w:rPr>
          <w:rStyle w:val="Emphasis"/>
        </w:rPr>
        <w:t>Oryzias latipes</w:t>
      </w:r>
      <w:r>
        <w:t xml:space="preserve">). </w:t>
      </w:r>
      <w:r w:rsidRPr="00A46FD5">
        <w:rPr>
          <w:rStyle w:val="Emphasis"/>
        </w:rPr>
        <w:t>Environmenta</w:t>
      </w:r>
      <w:r w:rsidRPr="00A46FD5">
        <w:rPr>
          <w:rStyle w:val="Emphasis"/>
        </w:rPr>
        <w:t>l Toxicology and Chemistry</w:t>
      </w:r>
      <w:r>
        <w:t>, 9, 1159–1169.</w:t>
      </w:r>
    </w:p>
    <w:p w14:paraId="5B854CD1" w14:textId="77777777" w:rsidR="00E26B96" w:rsidRDefault="00576A22" w:rsidP="005716AB">
      <w:r>
        <w:t>Yamauchi, M, Kim, E-Y, Iwata, H, Shima, Y &amp; Tanabe, S 2006. Toxic effects of 2,3,7,8-tetrachlorodibenzo-</w:t>
      </w:r>
      <w:r w:rsidRPr="008B66E0">
        <w:rPr>
          <w:rStyle w:val="Emphasis"/>
        </w:rPr>
        <w:t>p</w:t>
      </w:r>
      <w:r>
        <w:t>-dioxin (TCDD) in developing red seabream (</w:t>
      </w:r>
      <w:r w:rsidRPr="008B66E0">
        <w:rPr>
          <w:rStyle w:val="Emphasis"/>
        </w:rPr>
        <w:t>Pagrus major</w:t>
      </w:r>
      <w:r>
        <w:t xml:space="preserve">) embryo: An association of morphological deformities </w:t>
      </w:r>
      <w:r>
        <w:t xml:space="preserve">with AHR1, AHR2 and CYP1A expressions. </w:t>
      </w:r>
      <w:r w:rsidRPr="008B66E0">
        <w:rPr>
          <w:rStyle w:val="Emphasis"/>
        </w:rPr>
        <w:t>Aquatic Toxicology</w:t>
      </w:r>
      <w:r>
        <w:t>, 80, 166–179.</w:t>
      </w:r>
    </w:p>
    <w:p w14:paraId="5B854CD2" w14:textId="77777777" w:rsidR="00E26B96" w:rsidRDefault="00576A22" w:rsidP="005716AB">
      <w:r>
        <w:t>Yockim, RS, Isensee, AR &amp; Jones, GE 1978. Distribution and toxicity of TCDD and 2,4,5-T in an aquatic model ecosystem. Che</w:t>
      </w:r>
      <w:r w:rsidRPr="008B66E0">
        <w:rPr>
          <w:rStyle w:val="Emphasis"/>
        </w:rPr>
        <w:t>mistry, Physics, Biology and Toxicology as Focused on Environm</w:t>
      </w:r>
      <w:r w:rsidRPr="008B66E0">
        <w:rPr>
          <w:rStyle w:val="Emphasis"/>
        </w:rPr>
        <w:t>ental Problems</w:t>
      </w:r>
      <w:r>
        <w:t>, 7, 215–220.</w:t>
      </w:r>
    </w:p>
    <w:p w14:paraId="5B854CD3" w14:textId="77777777" w:rsidR="00E26B96" w:rsidRDefault="00576A22" w:rsidP="005716AB">
      <w:r>
        <w:t>Zabel, EW, Cook, PM &amp; Peterson, RE 1995. Toxic equivalency factors of polychlorinated dibenzo-</w:t>
      </w:r>
      <w:r w:rsidRPr="00057DEA">
        <w:rPr>
          <w:rStyle w:val="Emphasis"/>
        </w:rPr>
        <w:t>p</w:t>
      </w:r>
      <w:r>
        <w:t>-dioxin, dibenzofuran and biphenyl congeners based on early life stage mortality in rainbow trout (</w:t>
      </w:r>
      <w:r w:rsidRPr="00057DEA">
        <w:rPr>
          <w:rStyle w:val="Emphasis"/>
        </w:rPr>
        <w:t>Oncorhynchus mykiss</w:t>
      </w:r>
      <w:r>
        <w:t xml:space="preserve">). </w:t>
      </w:r>
      <w:r w:rsidRPr="00057DEA">
        <w:rPr>
          <w:rStyle w:val="Emphasis"/>
        </w:rPr>
        <w:t>Aquatic Toxi</w:t>
      </w:r>
      <w:r w:rsidRPr="00057DEA">
        <w:rPr>
          <w:rStyle w:val="Emphasis"/>
        </w:rPr>
        <w:t>cology</w:t>
      </w:r>
      <w:r>
        <w:t>, 31, 315–328.</w:t>
      </w:r>
    </w:p>
    <w:p w14:paraId="5B854CD4" w14:textId="77777777" w:rsidR="001343F8" w:rsidRDefault="001343F8" w:rsidP="00606A7B">
      <w:pPr>
        <w:rPr>
          <w:highlight w:val="yellow"/>
        </w:rPr>
      </w:pPr>
    </w:p>
    <w:sectPr w:rsidR="001343F8" w:rsidSect="00912C55">
      <w:headerReference w:type="even" r:id="rId36"/>
      <w:headerReference w:type="default" r:id="rId37"/>
      <w:headerReference w:type="first" r:id="rId38"/>
      <w:pgSz w:w="11906" w:h="16838" w:code="9"/>
      <w:pgMar w:top="1418" w:right="1418"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54CF6" w14:textId="77777777" w:rsidR="00000000" w:rsidRDefault="00576A22">
      <w:pPr>
        <w:spacing w:after="0" w:line="240" w:lineRule="auto"/>
      </w:pPr>
      <w:r>
        <w:separator/>
      </w:r>
    </w:p>
  </w:endnote>
  <w:endnote w:type="continuationSeparator" w:id="0">
    <w:p w14:paraId="5B854CF8" w14:textId="77777777" w:rsidR="00000000" w:rsidRDefault="00576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829252"/>
      <w:docPartObj>
        <w:docPartGallery w:val="Page Numbers (Bottom of Page)"/>
        <w:docPartUnique/>
      </w:docPartObj>
    </w:sdtPr>
    <w:sdtEndPr>
      <w:rPr>
        <w:noProof/>
      </w:rPr>
    </w:sdtEndPr>
    <w:sdtContent>
      <w:p w14:paraId="5B854CE8" w14:textId="77777777" w:rsidR="009B26DB" w:rsidRDefault="00576A22" w:rsidP="00DC6E39">
        <w:pPr>
          <w:pStyle w:val="Footer"/>
          <w:ind w:right="-144"/>
        </w:pPr>
        <w:r>
          <w:t xml:space="preserve">Australian and New </w:t>
        </w:r>
        <w:r>
          <w:t>Zealand Guidelines for Fresh and Marine Water Quality</w:t>
        </w:r>
        <w:r>
          <w:tab/>
        </w:r>
        <w:r>
          <w:tab/>
        </w:r>
        <w:r>
          <w:tab/>
        </w:r>
        <w:r>
          <w:tab/>
        </w:r>
        <w:r>
          <w:fldChar w:fldCharType="begin"/>
        </w:r>
        <w:r>
          <w:instrText xml:space="preserve"> PAGE   \* MERGEFORMAT </w:instrText>
        </w:r>
        <w:r>
          <w:fldChar w:fldCharType="separate"/>
        </w:r>
        <w:r>
          <w:rPr>
            <w:noProof/>
          </w:rPr>
          <w:t>31</w:t>
        </w:r>
        <w:r>
          <w:rPr>
            <w:noProof/>
          </w:rPr>
          <w:fldChar w:fldCharType="end"/>
        </w:r>
      </w:p>
    </w:sdtContent>
  </w:sdt>
  <w:p w14:paraId="5B854CE9" w14:textId="77777777" w:rsidR="009B26DB" w:rsidRDefault="009B2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4CEE" w14:textId="77777777" w:rsidR="009B26DB" w:rsidRDefault="00576A22">
    <w:pPr>
      <w:pStyle w:val="Footer"/>
      <w:tabs>
        <w:tab w:val="clear" w:pos="4536"/>
        <w:tab w:val="left" w:pos="8647"/>
        <w:tab w:val="left" w:pos="14034"/>
      </w:tabs>
      <w:spacing w:before="120"/>
      <w:jc w:val="left"/>
    </w:pPr>
    <w:r>
      <w:t>Australian and New Zealand Guidelines for Fresh and Marine Water Quality</w:t>
    </w:r>
    <w:r>
      <w:tab/>
    </w:r>
    <w:r>
      <w:fldChar w:fldCharType="begin"/>
    </w:r>
    <w:r>
      <w:instrText xml:space="preserve"> PAGE   \* MERGEFORMAT </w:instrText>
    </w:r>
    <w:r>
      <w:fldChar w:fldCharType="separate"/>
    </w:r>
    <w:r>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54CF2" w14:textId="77777777" w:rsidR="00000000" w:rsidRDefault="00576A22">
      <w:pPr>
        <w:spacing w:after="0" w:line="240" w:lineRule="auto"/>
      </w:pPr>
      <w:r>
        <w:separator/>
      </w:r>
    </w:p>
  </w:footnote>
  <w:footnote w:type="continuationSeparator" w:id="0">
    <w:p w14:paraId="5B854CF4" w14:textId="77777777" w:rsidR="00000000" w:rsidRDefault="00576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4CE7" w14:textId="77777777" w:rsidR="009B26DB" w:rsidRPr="001303C0" w:rsidRDefault="00576A22" w:rsidP="001303C0">
    <w:pPr>
      <w:pStyle w:val="Header"/>
    </w:pPr>
    <w:r>
      <w:t>Toxicant default guideline values for aquatic ecosystem protection</w:t>
    </w:r>
    <w:r w:rsidRPr="00CE67B7">
      <w:t>: Dioxin</w:t>
    </w:r>
    <w:r>
      <w:t>s</w:t>
    </w:r>
    <w:r w:rsidRPr="00CE67B7">
      <w:t xml:space="preserve"> in freshwater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4CEA" w14:textId="77777777" w:rsidR="009B26DB" w:rsidRPr="001303C0" w:rsidRDefault="00576A22" w:rsidP="001303C0">
    <w:pPr>
      <w:pStyle w:val="Header"/>
    </w:pPr>
    <w:r>
      <w:rPr>
        <w:noProof/>
        <w:lang w:eastAsia="en-AU"/>
      </w:rPr>
      <w:drawing>
        <wp:anchor distT="0" distB="0" distL="114300" distR="114300" simplePos="0" relativeHeight="251658240" behindDoc="1" locked="0" layoutInCell="1" allowOverlap="1" wp14:anchorId="5B854CF2" wp14:editId="5B854CF3">
          <wp:simplePos x="0" y="0"/>
          <wp:positionH relativeFrom="page">
            <wp:posOffset>-1546</wp:posOffset>
          </wp:positionH>
          <wp:positionV relativeFrom="page">
            <wp:align>top</wp:align>
          </wp:positionV>
          <wp:extent cx="7556400" cy="10688400"/>
          <wp:effectExtent l="0" t="0" r="6985" b="0"/>
          <wp:wrapNone/>
          <wp:docPr id="2" name="Picture 2"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792181"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8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4CEB" w14:textId="77777777" w:rsidR="009B26DB" w:rsidRDefault="009B26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4CEC" w14:textId="77777777" w:rsidR="009B26DB" w:rsidRPr="000756BD" w:rsidRDefault="00576A22" w:rsidP="000756BD">
    <w:pPr>
      <w:pStyle w:val="Header"/>
    </w:pPr>
    <w:r>
      <w:t>Toxicant default guideline values for aquatic ecosystem protection</w:t>
    </w:r>
    <w:r w:rsidRPr="00AF3032">
      <w:t>: Dioxin</w:t>
    </w:r>
    <w:r>
      <w:t>s</w:t>
    </w:r>
    <w:r w:rsidRPr="00AF3032">
      <w:t xml:space="preserve"> in freshwater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4CED" w14:textId="77777777" w:rsidR="009B26DB" w:rsidRPr="000756BD" w:rsidRDefault="00576A22" w:rsidP="000756BD">
    <w:pPr>
      <w:pStyle w:val="Header"/>
    </w:pPr>
    <w:r>
      <w:t xml:space="preserve">Toxicant default guideline values for aquatic ecosystem protection: </w:t>
    </w:r>
    <w:r>
      <w:rPr>
        <w:highlight w:val="yellow"/>
      </w:rPr>
      <w:t>Total i</w:t>
    </w:r>
    <w:r w:rsidRPr="00E00D37">
      <w:rPr>
        <w:highlight w:val="yellow"/>
      </w:rPr>
      <w:t>ron in fresh water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4CEF" w14:textId="77777777" w:rsidR="009B26DB" w:rsidRDefault="009B26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4CF0" w14:textId="77777777" w:rsidR="009B26DB" w:rsidRPr="000756BD" w:rsidRDefault="00576A22" w:rsidP="000756BD">
    <w:pPr>
      <w:pStyle w:val="Header"/>
    </w:pPr>
    <w:r>
      <w:t xml:space="preserve">Toxicant default guideline values for aquatic ecosystem </w:t>
    </w:r>
    <w:r w:rsidRPr="00A106BD">
      <w:t>protection: Dioxin</w:t>
    </w:r>
    <w:r>
      <w:t>s</w:t>
    </w:r>
    <w:r w:rsidRPr="00A106BD">
      <w:t xml:space="preserve"> in freshwater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4CF1" w14:textId="77777777" w:rsidR="009B26DB" w:rsidRDefault="00576A22" w:rsidP="00F36B1C">
    <w:pPr>
      <w:pStyle w:val="Header"/>
    </w:pPr>
    <w:r>
      <w:rPr>
        <w:noProof/>
        <w:lang w:eastAsia="en-AU"/>
      </w:rPr>
      <mc:AlternateContent>
        <mc:Choice Requires="wps">
          <w:drawing>
            <wp:anchor distT="0" distB="0" distL="114300" distR="114300" simplePos="0" relativeHeight="251659264" behindDoc="1" locked="0" layoutInCell="0" allowOverlap="1" wp14:anchorId="5B854CF4" wp14:editId="5B854CF5">
              <wp:simplePos x="0" y="0"/>
              <wp:positionH relativeFrom="margin">
                <wp:align>center</wp:align>
              </wp:positionH>
              <wp:positionV relativeFrom="margin">
                <wp:align>center</wp:align>
              </wp:positionV>
              <wp:extent cx="5683885" cy="2435860"/>
              <wp:effectExtent l="0" t="0" r="0" b="0"/>
              <wp:wrapNone/>
              <wp:docPr id="5" name="WordArt 2"/>
              <wp:cNvGraphicFramePr/>
              <a:graphic xmlns:a="http://schemas.openxmlformats.org/drawingml/2006/main">
                <a:graphicData uri="http://schemas.microsoft.com/office/word/2010/wordprocessingShape">
                  <wps:wsp>
                    <wps:cNvSpPr txBox="1"/>
                    <wps:spPr bwMode="auto">
                      <a:xfrm rot="18900000">
                        <a:off x="0" y="0"/>
                        <a:ext cx="5683885" cy="2435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854CF6" w14:textId="77777777" w:rsidR="009B26DB" w:rsidRDefault="00576A22" w:rsidP="00CC73B2">
                          <w:pPr>
                            <w:jc w:val="center"/>
                            <w:rPr>
                              <w:sz w:val="24"/>
                              <w:szCs w:val="24"/>
                            </w:rPr>
                          </w:pPr>
                          <w:r>
                            <w:rPr>
                              <w:rFonts w:ascii="Calibri" w:hAnsi="Calibri" w:cs="Calibri"/>
                              <w:color w:val="A6A6A6" w:themeColor="background1" w:themeShade="A6"/>
                              <w:sz w:val="16"/>
                              <w:szCs w:val="16"/>
                              <w:lang w:val="en-GB"/>
                              <w14:textFill>
                                <w14:solidFill>
                                  <w14:schemeClr w14:val="bg1">
                                    <w14:alpha w14:val="50000"/>
                                    <w14:lumMod w14:val="65000"/>
                                  </w14:schemeClr>
                                </w14:solidFill>
                              </w14:textFill>
                            </w:rPr>
                            <w:t>SAMPLE</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2049" type="#_x0000_t202" style="width:447.55pt;height:191.8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6192" o:allowincell="f" filled="f" stroked="f">
              <v:stroke joinstyle="round"/>
              <v:textbox>
                <w:txbxContent>
                  <w:p w:rsidR="009B26DB" w:rsidP="00CC73B2" w14:paraId="569F1DF8" w14:textId="77777777">
                    <w:pPr>
                      <w:jc w:val="center"/>
                      <w:rPr>
                        <w:sz w:val="24"/>
                        <w:szCs w:val="24"/>
                      </w:rPr>
                    </w:pPr>
                    <w:r>
                      <w:rPr>
                        <w:rFonts w:ascii="Calibri" w:hAnsi="Calibri" w:cs="Calibri"/>
                        <w:color w:val="A6A6A6" w:themeColor="background1" w:themeShade="A6"/>
                        <w:sz w:val="16"/>
                        <w:szCs w:val="16"/>
                        <w:lang w:val="en-GB"/>
                        <w14:textFill>
                          <w14:solidFill>
                            <w14:schemeClr w14:val="bg1">
                              <w14:alpha w14:val="50000"/>
                              <w14:lumMod w14:val="65000"/>
                            </w14:schemeClr>
                          </w14:solidFill>
                        </w14:textFill>
                      </w:rPr>
                      <w:t>SAMPLE</w:t>
                    </w:r>
                  </w:p>
                </w:txbxContent>
              </v:textbox>
              <w10:wrap anchorx="margin" anchory="margin"/>
            </v:shape>
          </w:pict>
        </mc:Fallback>
      </mc:AlternateContent>
    </w:r>
    <w:r>
      <w:t xml:space="preserve">Toxicant default guideline values for aquatic ecosystem protection: </w:t>
    </w:r>
    <w:r w:rsidRPr="00E00D37">
      <w:rPr>
        <w:highlight w:val="yellow"/>
      </w:rPr>
      <w:t>Total iron in fresh 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2" w15:restartNumberingAfterBreak="0">
    <w:nsid w:val="17FA091E"/>
    <w:multiLevelType w:val="multilevel"/>
    <w:tmpl w:val="757ED760"/>
    <w:numStyleLink w:val="Style1"/>
  </w:abstractNum>
  <w:abstractNum w:abstractNumId="3" w15:restartNumberingAfterBreak="0">
    <w:nsid w:val="196B606F"/>
    <w:multiLevelType w:val="hybridMultilevel"/>
    <w:tmpl w:val="E0560262"/>
    <w:lvl w:ilvl="0" w:tplc="843EC3AA">
      <w:start w:val="1"/>
      <w:numFmt w:val="bullet"/>
      <w:pStyle w:val="TableBullet"/>
      <w:lvlText w:val=""/>
      <w:lvlJc w:val="left"/>
      <w:pPr>
        <w:ind w:left="720" w:hanging="360"/>
      </w:pPr>
      <w:rPr>
        <w:rFonts w:ascii="Symbol" w:hAnsi="Symbol" w:hint="default"/>
      </w:rPr>
    </w:lvl>
    <w:lvl w:ilvl="1" w:tplc="E5C6794C" w:tentative="1">
      <w:start w:val="1"/>
      <w:numFmt w:val="bullet"/>
      <w:lvlText w:val="o"/>
      <w:lvlJc w:val="left"/>
      <w:pPr>
        <w:ind w:left="1440" w:hanging="360"/>
      </w:pPr>
      <w:rPr>
        <w:rFonts w:ascii="Courier New" w:hAnsi="Courier New" w:cs="Courier New" w:hint="default"/>
      </w:rPr>
    </w:lvl>
    <w:lvl w:ilvl="2" w:tplc="BA746B7A" w:tentative="1">
      <w:start w:val="1"/>
      <w:numFmt w:val="bullet"/>
      <w:lvlText w:val=""/>
      <w:lvlJc w:val="left"/>
      <w:pPr>
        <w:ind w:left="2160" w:hanging="360"/>
      </w:pPr>
      <w:rPr>
        <w:rFonts w:ascii="Wingdings" w:hAnsi="Wingdings" w:hint="default"/>
      </w:rPr>
    </w:lvl>
    <w:lvl w:ilvl="3" w:tplc="C0F61B68" w:tentative="1">
      <w:start w:val="1"/>
      <w:numFmt w:val="bullet"/>
      <w:lvlText w:val=""/>
      <w:lvlJc w:val="left"/>
      <w:pPr>
        <w:ind w:left="2880" w:hanging="360"/>
      </w:pPr>
      <w:rPr>
        <w:rFonts w:ascii="Symbol" w:hAnsi="Symbol" w:hint="default"/>
      </w:rPr>
    </w:lvl>
    <w:lvl w:ilvl="4" w:tplc="DB2E22C2" w:tentative="1">
      <w:start w:val="1"/>
      <w:numFmt w:val="bullet"/>
      <w:lvlText w:val="o"/>
      <w:lvlJc w:val="left"/>
      <w:pPr>
        <w:ind w:left="3600" w:hanging="360"/>
      </w:pPr>
      <w:rPr>
        <w:rFonts w:ascii="Courier New" w:hAnsi="Courier New" w:cs="Courier New" w:hint="default"/>
      </w:rPr>
    </w:lvl>
    <w:lvl w:ilvl="5" w:tplc="C526B85C" w:tentative="1">
      <w:start w:val="1"/>
      <w:numFmt w:val="bullet"/>
      <w:lvlText w:val=""/>
      <w:lvlJc w:val="left"/>
      <w:pPr>
        <w:ind w:left="4320" w:hanging="360"/>
      </w:pPr>
      <w:rPr>
        <w:rFonts w:ascii="Wingdings" w:hAnsi="Wingdings" w:hint="default"/>
      </w:rPr>
    </w:lvl>
    <w:lvl w:ilvl="6" w:tplc="56929608" w:tentative="1">
      <w:start w:val="1"/>
      <w:numFmt w:val="bullet"/>
      <w:lvlText w:val=""/>
      <w:lvlJc w:val="left"/>
      <w:pPr>
        <w:ind w:left="5040" w:hanging="360"/>
      </w:pPr>
      <w:rPr>
        <w:rFonts w:ascii="Symbol" w:hAnsi="Symbol" w:hint="default"/>
      </w:rPr>
    </w:lvl>
    <w:lvl w:ilvl="7" w:tplc="21DEA1AE" w:tentative="1">
      <w:start w:val="1"/>
      <w:numFmt w:val="bullet"/>
      <w:lvlText w:val="o"/>
      <w:lvlJc w:val="left"/>
      <w:pPr>
        <w:ind w:left="5760" w:hanging="360"/>
      </w:pPr>
      <w:rPr>
        <w:rFonts w:ascii="Courier New" w:hAnsi="Courier New" w:cs="Courier New" w:hint="default"/>
      </w:rPr>
    </w:lvl>
    <w:lvl w:ilvl="8" w:tplc="3AFC4112" w:tentative="1">
      <w:start w:val="1"/>
      <w:numFmt w:val="bullet"/>
      <w:lvlText w:val=""/>
      <w:lvlJc w:val="left"/>
      <w:pPr>
        <w:ind w:left="6480" w:hanging="360"/>
      </w:pPr>
      <w:rPr>
        <w:rFonts w:ascii="Wingdings" w:hAnsi="Wingdings" w:hint="default"/>
      </w:rPr>
    </w:lvl>
  </w:abstractNum>
  <w:abstractNum w:abstractNumId="4" w15:restartNumberingAfterBreak="0">
    <w:nsid w:val="2453399E"/>
    <w:multiLevelType w:val="multilevel"/>
    <w:tmpl w:val="88964F4C"/>
    <w:numStyleLink w:val="heading"/>
  </w:abstractNum>
  <w:abstractNum w:abstractNumId="5"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6" w15:restartNumberingAfterBreak="0">
    <w:nsid w:val="29FA1896"/>
    <w:multiLevelType w:val="hybridMultilevel"/>
    <w:tmpl w:val="AAD08D5E"/>
    <w:lvl w:ilvl="0" w:tplc="0B8C7A7E">
      <w:start w:val="4"/>
      <w:numFmt w:val="bullet"/>
      <w:lvlText w:val="-"/>
      <w:lvlJc w:val="left"/>
      <w:pPr>
        <w:ind w:left="720" w:hanging="360"/>
      </w:pPr>
      <w:rPr>
        <w:rFonts w:ascii="Calibri" w:eastAsiaTheme="minorHAnsi" w:hAnsi="Calibri" w:cstheme="minorBidi" w:hint="default"/>
      </w:rPr>
    </w:lvl>
    <w:lvl w:ilvl="1" w:tplc="CC14AA3A" w:tentative="1">
      <w:start w:val="1"/>
      <w:numFmt w:val="bullet"/>
      <w:lvlText w:val="o"/>
      <w:lvlJc w:val="left"/>
      <w:pPr>
        <w:ind w:left="1440" w:hanging="360"/>
      </w:pPr>
      <w:rPr>
        <w:rFonts w:ascii="Courier New" w:hAnsi="Courier New" w:cs="Courier New" w:hint="default"/>
      </w:rPr>
    </w:lvl>
    <w:lvl w:ilvl="2" w:tplc="075CB2AA" w:tentative="1">
      <w:start w:val="1"/>
      <w:numFmt w:val="bullet"/>
      <w:lvlText w:val=""/>
      <w:lvlJc w:val="left"/>
      <w:pPr>
        <w:ind w:left="2160" w:hanging="360"/>
      </w:pPr>
      <w:rPr>
        <w:rFonts w:ascii="Wingdings" w:hAnsi="Wingdings" w:hint="default"/>
      </w:rPr>
    </w:lvl>
    <w:lvl w:ilvl="3" w:tplc="B89E33BA" w:tentative="1">
      <w:start w:val="1"/>
      <w:numFmt w:val="bullet"/>
      <w:lvlText w:val=""/>
      <w:lvlJc w:val="left"/>
      <w:pPr>
        <w:ind w:left="2880" w:hanging="360"/>
      </w:pPr>
      <w:rPr>
        <w:rFonts w:ascii="Symbol" w:hAnsi="Symbol" w:hint="default"/>
      </w:rPr>
    </w:lvl>
    <w:lvl w:ilvl="4" w:tplc="F7A87C0A" w:tentative="1">
      <w:start w:val="1"/>
      <w:numFmt w:val="bullet"/>
      <w:lvlText w:val="o"/>
      <w:lvlJc w:val="left"/>
      <w:pPr>
        <w:ind w:left="3600" w:hanging="360"/>
      </w:pPr>
      <w:rPr>
        <w:rFonts w:ascii="Courier New" w:hAnsi="Courier New" w:cs="Courier New" w:hint="default"/>
      </w:rPr>
    </w:lvl>
    <w:lvl w:ilvl="5" w:tplc="1C8EEB60" w:tentative="1">
      <w:start w:val="1"/>
      <w:numFmt w:val="bullet"/>
      <w:lvlText w:val=""/>
      <w:lvlJc w:val="left"/>
      <w:pPr>
        <w:ind w:left="4320" w:hanging="360"/>
      </w:pPr>
      <w:rPr>
        <w:rFonts w:ascii="Wingdings" w:hAnsi="Wingdings" w:hint="default"/>
      </w:rPr>
    </w:lvl>
    <w:lvl w:ilvl="6" w:tplc="79961144" w:tentative="1">
      <w:start w:val="1"/>
      <w:numFmt w:val="bullet"/>
      <w:lvlText w:val=""/>
      <w:lvlJc w:val="left"/>
      <w:pPr>
        <w:ind w:left="5040" w:hanging="360"/>
      </w:pPr>
      <w:rPr>
        <w:rFonts w:ascii="Symbol" w:hAnsi="Symbol" w:hint="default"/>
      </w:rPr>
    </w:lvl>
    <w:lvl w:ilvl="7" w:tplc="DB0AD21C" w:tentative="1">
      <w:start w:val="1"/>
      <w:numFmt w:val="bullet"/>
      <w:lvlText w:val="o"/>
      <w:lvlJc w:val="left"/>
      <w:pPr>
        <w:ind w:left="5760" w:hanging="360"/>
      </w:pPr>
      <w:rPr>
        <w:rFonts w:ascii="Courier New" w:hAnsi="Courier New" w:cs="Courier New" w:hint="default"/>
      </w:rPr>
    </w:lvl>
    <w:lvl w:ilvl="8" w:tplc="F9C821D2" w:tentative="1">
      <w:start w:val="1"/>
      <w:numFmt w:val="bullet"/>
      <w:lvlText w:val=""/>
      <w:lvlJc w:val="left"/>
      <w:pPr>
        <w:ind w:left="6480" w:hanging="360"/>
      </w:pPr>
      <w:rPr>
        <w:rFonts w:ascii="Wingdings" w:hAnsi="Wingdings" w:hint="default"/>
      </w:rPr>
    </w:lvl>
  </w:abstractNum>
  <w:abstractNum w:abstractNumId="7" w15:restartNumberingAfterBreak="0">
    <w:nsid w:val="2D595B46"/>
    <w:multiLevelType w:val="multilevel"/>
    <w:tmpl w:val="C32AB9AA"/>
    <w:numStyleLink w:val="ListNumber1"/>
  </w:abstractNum>
  <w:abstractNum w:abstractNumId="8"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9" w15:restartNumberingAfterBreak="0">
    <w:nsid w:val="36D54222"/>
    <w:multiLevelType w:val="multilevel"/>
    <w:tmpl w:val="757ED760"/>
    <w:numStyleLink w:val="Style1"/>
  </w:abstractNum>
  <w:abstractNum w:abstractNumId="10" w15:restartNumberingAfterBreak="0">
    <w:nsid w:val="394A15FE"/>
    <w:multiLevelType w:val="multilevel"/>
    <w:tmpl w:val="F162D24E"/>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2" w15:restartNumberingAfterBreak="0">
    <w:nsid w:val="40F232B4"/>
    <w:multiLevelType w:val="hybridMultilevel"/>
    <w:tmpl w:val="B14A01E6"/>
    <w:lvl w:ilvl="0" w:tplc="50D8F936">
      <w:start w:val="1"/>
      <w:numFmt w:val="bullet"/>
      <w:lvlText w:val=""/>
      <w:lvlJc w:val="left"/>
      <w:pPr>
        <w:ind w:left="720" w:hanging="360"/>
      </w:pPr>
      <w:rPr>
        <w:rFonts w:ascii="Symbol" w:hAnsi="Symbol" w:hint="default"/>
      </w:rPr>
    </w:lvl>
    <w:lvl w:ilvl="1" w:tplc="55DC64E8">
      <w:start w:val="1"/>
      <w:numFmt w:val="bullet"/>
      <w:lvlText w:val="o"/>
      <w:lvlJc w:val="left"/>
      <w:pPr>
        <w:ind w:left="1440" w:hanging="360"/>
      </w:pPr>
      <w:rPr>
        <w:rFonts w:ascii="Courier New" w:hAnsi="Courier New" w:cs="Courier New" w:hint="default"/>
      </w:rPr>
    </w:lvl>
    <w:lvl w:ilvl="2" w:tplc="A7607D14" w:tentative="1">
      <w:start w:val="1"/>
      <w:numFmt w:val="bullet"/>
      <w:lvlText w:val=""/>
      <w:lvlJc w:val="left"/>
      <w:pPr>
        <w:ind w:left="2160" w:hanging="360"/>
      </w:pPr>
      <w:rPr>
        <w:rFonts w:ascii="Wingdings" w:hAnsi="Wingdings" w:hint="default"/>
      </w:rPr>
    </w:lvl>
    <w:lvl w:ilvl="3" w:tplc="F5DECFBA" w:tentative="1">
      <w:start w:val="1"/>
      <w:numFmt w:val="bullet"/>
      <w:lvlText w:val=""/>
      <w:lvlJc w:val="left"/>
      <w:pPr>
        <w:ind w:left="2880" w:hanging="360"/>
      </w:pPr>
      <w:rPr>
        <w:rFonts w:ascii="Symbol" w:hAnsi="Symbol" w:hint="default"/>
      </w:rPr>
    </w:lvl>
    <w:lvl w:ilvl="4" w:tplc="91A4B00E" w:tentative="1">
      <w:start w:val="1"/>
      <w:numFmt w:val="bullet"/>
      <w:lvlText w:val="o"/>
      <w:lvlJc w:val="left"/>
      <w:pPr>
        <w:ind w:left="3600" w:hanging="360"/>
      </w:pPr>
      <w:rPr>
        <w:rFonts w:ascii="Courier New" w:hAnsi="Courier New" w:cs="Courier New" w:hint="default"/>
      </w:rPr>
    </w:lvl>
    <w:lvl w:ilvl="5" w:tplc="B43E294A" w:tentative="1">
      <w:start w:val="1"/>
      <w:numFmt w:val="bullet"/>
      <w:lvlText w:val=""/>
      <w:lvlJc w:val="left"/>
      <w:pPr>
        <w:ind w:left="4320" w:hanging="360"/>
      </w:pPr>
      <w:rPr>
        <w:rFonts w:ascii="Wingdings" w:hAnsi="Wingdings" w:hint="default"/>
      </w:rPr>
    </w:lvl>
    <w:lvl w:ilvl="6" w:tplc="43A8F8D6" w:tentative="1">
      <w:start w:val="1"/>
      <w:numFmt w:val="bullet"/>
      <w:lvlText w:val=""/>
      <w:lvlJc w:val="left"/>
      <w:pPr>
        <w:ind w:left="5040" w:hanging="360"/>
      </w:pPr>
      <w:rPr>
        <w:rFonts w:ascii="Symbol" w:hAnsi="Symbol" w:hint="default"/>
      </w:rPr>
    </w:lvl>
    <w:lvl w:ilvl="7" w:tplc="D2FA5B60" w:tentative="1">
      <w:start w:val="1"/>
      <w:numFmt w:val="bullet"/>
      <w:lvlText w:val="o"/>
      <w:lvlJc w:val="left"/>
      <w:pPr>
        <w:ind w:left="5760" w:hanging="360"/>
      </w:pPr>
      <w:rPr>
        <w:rFonts w:ascii="Courier New" w:hAnsi="Courier New" w:cs="Courier New" w:hint="default"/>
      </w:rPr>
    </w:lvl>
    <w:lvl w:ilvl="8" w:tplc="D6CCF658" w:tentative="1">
      <w:start w:val="1"/>
      <w:numFmt w:val="bullet"/>
      <w:lvlText w:val=""/>
      <w:lvlJc w:val="left"/>
      <w:pPr>
        <w:ind w:left="6480" w:hanging="360"/>
      </w:pPr>
      <w:rPr>
        <w:rFonts w:ascii="Wingdings" w:hAnsi="Wingdings" w:hint="default"/>
      </w:rPr>
    </w:lvl>
  </w:abstractNum>
  <w:abstractNum w:abstractNumId="13" w15:restartNumberingAfterBreak="0">
    <w:nsid w:val="48DE2E4A"/>
    <w:multiLevelType w:val="hybridMultilevel"/>
    <w:tmpl w:val="B7086130"/>
    <w:lvl w:ilvl="0" w:tplc="25904968">
      <w:start w:val="1"/>
      <w:numFmt w:val="bullet"/>
      <w:pStyle w:val="BoxTextBullet"/>
      <w:lvlText w:val=""/>
      <w:lvlJc w:val="left"/>
      <w:pPr>
        <w:ind w:left="720" w:hanging="360"/>
      </w:pPr>
      <w:rPr>
        <w:rFonts w:ascii="Symbol" w:hAnsi="Symbol" w:hint="default"/>
      </w:rPr>
    </w:lvl>
    <w:lvl w:ilvl="1" w:tplc="96C0B5F4" w:tentative="1">
      <w:start w:val="1"/>
      <w:numFmt w:val="bullet"/>
      <w:lvlText w:val="o"/>
      <w:lvlJc w:val="left"/>
      <w:pPr>
        <w:ind w:left="1440" w:hanging="360"/>
      </w:pPr>
      <w:rPr>
        <w:rFonts w:ascii="Courier New" w:hAnsi="Courier New" w:cs="Courier New" w:hint="default"/>
      </w:rPr>
    </w:lvl>
    <w:lvl w:ilvl="2" w:tplc="EC365806" w:tentative="1">
      <w:start w:val="1"/>
      <w:numFmt w:val="bullet"/>
      <w:lvlText w:val=""/>
      <w:lvlJc w:val="left"/>
      <w:pPr>
        <w:ind w:left="2160" w:hanging="360"/>
      </w:pPr>
      <w:rPr>
        <w:rFonts w:ascii="Wingdings" w:hAnsi="Wingdings" w:hint="default"/>
      </w:rPr>
    </w:lvl>
    <w:lvl w:ilvl="3" w:tplc="5B5C50BC" w:tentative="1">
      <w:start w:val="1"/>
      <w:numFmt w:val="bullet"/>
      <w:lvlText w:val=""/>
      <w:lvlJc w:val="left"/>
      <w:pPr>
        <w:ind w:left="2880" w:hanging="360"/>
      </w:pPr>
      <w:rPr>
        <w:rFonts w:ascii="Symbol" w:hAnsi="Symbol" w:hint="default"/>
      </w:rPr>
    </w:lvl>
    <w:lvl w:ilvl="4" w:tplc="C07C0B56" w:tentative="1">
      <w:start w:val="1"/>
      <w:numFmt w:val="bullet"/>
      <w:lvlText w:val="o"/>
      <w:lvlJc w:val="left"/>
      <w:pPr>
        <w:ind w:left="3600" w:hanging="360"/>
      </w:pPr>
      <w:rPr>
        <w:rFonts w:ascii="Courier New" w:hAnsi="Courier New" w:cs="Courier New" w:hint="default"/>
      </w:rPr>
    </w:lvl>
    <w:lvl w:ilvl="5" w:tplc="2450743A" w:tentative="1">
      <w:start w:val="1"/>
      <w:numFmt w:val="bullet"/>
      <w:lvlText w:val=""/>
      <w:lvlJc w:val="left"/>
      <w:pPr>
        <w:ind w:left="4320" w:hanging="360"/>
      </w:pPr>
      <w:rPr>
        <w:rFonts w:ascii="Wingdings" w:hAnsi="Wingdings" w:hint="default"/>
      </w:rPr>
    </w:lvl>
    <w:lvl w:ilvl="6" w:tplc="4E3E0B68" w:tentative="1">
      <w:start w:val="1"/>
      <w:numFmt w:val="bullet"/>
      <w:lvlText w:val=""/>
      <w:lvlJc w:val="left"/>
      <w:pPr>
        <w:ind w:left="5040" w:hanging="360"/>
      </w:pPr>
      <w:rPr>
        <w:rFonts w:ascii="Symbol" w:hAnsi="Symbol" w:hint="default"/>
      </w:rPr>
    </w:lvl>
    <w:lvl w:ilvl="7" w:tplc="18086832" w:tentative="1">
      <w:start w:val="1"/>
      <w:numFmt w:val="bullet"/>
      <w:lvlText w:val="o"/>
      <w:lvlJc w:val="left"/>
      <w:pPr>
        <w:ind w:left="5760" w:hanging="360"/>
      </w:pPr>
      <w:rPr>
        <w:rFonts w:ascii="Courier New" w:hAnsi="Courier New" w:cs="Courier New" w:hint="default"/>
      </w:rPr>
    </w:lvl>
    <w:lvl w:ilvl="8" w:tplc="BA38A540" w:tentative="1">
      <w:start w:val="1"/>
      <w:numFmt w:val="bullet"/>
      <w:lvlText w:val=""/>
      <w:lvlJc w:val="left"/>
      <w:pPr>
        <w:ind w:left="6480" w:hanging="360"/>
      </w:pPr>
      <w:rPr>
        <w:rFonts w:ascii="Wingdings" w:hAnsi="Wingdings" w:hint="default"/>
      </w:rPr>
    </w:lvl>
  </w:abstractNum>
  <w:abstractNum w:abstractNumId="14"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5" w15:restartNumberingAfterBreak="0">
    <w:nsid w:val="5242721B"/>
    <w:multiLevelType w:val="hybridMultilevel"/>
    <w:tmpl w:val="74B8554C"/>
    <w:lvl w:ilvl="0" w:tplc="380A4E3A">
      <w:numFmt w:val="bullet"/>
      <w:lvlText w:val="-"/>
      <w:lvlJc w:val="left"/>
      <w:pPr>
        <w:ind w:left="720" w:hanging="360"/>
      </w:pPr>
      <w:rPr>
        <w:rFonts w:ascii="Calibri" w:eastAsiaTheme="minorHAnsi" w:hAnsi="Calibri" w:cs="Calibri" w:hint="default"/>
      </w:rPr>
    </w:lvl>
    <w:lvl w:ilvl="1" w:tplc="56B25642" w:tentative="1">
      <w:start w:val="1"/>
      <w:numFmt w:val="bullet"/>
      <w:lvlText w:val="o"/>
      <w:lvlJc w:val="left"/>
      <w:pPr>
        <w:ind w:left="1440" w:hanging="360"/>
      </w:pPr>
      <w:rPr>
        <w:rFonts w:ascii="Courier New" w:hAnsi="Courier New" w:cs="Courier New" w:hint="default"/>
      </w:rPr>
    </w:lvl>
    <w:lvl w:ilvl="2" w:tplc="A18C266A" w:tentative="1">
      <w:start w:val="1"/>
      <w:numFmt w:val="bullet"/>
      <w:lvlText w:val=""/>
      <w:lvlJc w:val="left"/>
      <w:pPr>
        <w:ind w:left="2160" w:hanging="360"/>
      </w:pPr>
      <w:rPr>
        <w:rFonts w:ascii="Wingdings" w:hAnsi="Wingdings" w:hint="default"/>
      </w:rPr>
    </w:lvl>
    <w:lvl w:ilvl="3" w:tplc="218C38CC" w:tentative="1">
      <w:start w:val="1"/>
      <w:numFmt w:val="bullet"/>
      <w:lvlText w:val=""/>
      <w:lvlJc w:val="left"/>
      <w:pPr>
        <w:ind w:left="2880" w:hanging="360"/>
      </w:pPr>
      <w:rPr>
        <w:rFonts w:ascii="Symbol" w:hAnsi="Symbol" w:hint="default"/>
      </w:rPr>
    </w:lvl>
    <w:lvl w:ilvl="4" w:tplc="39F03508" w:tentative="1">
      <w:start w:val="1"/>
      <w:numFmt w:val="bullet"/>
      <w:lvlText w:val="o"/>
      <w:lvlJc w:val="left"/>
      <w:pPr>
        <w:ind w:left="3600" w:hanging="360"/>
      </w:pPr>
      <w:rPr>
        <w:rFonts w:ascii="Courier New" w:hAnsi="Courier New" w:cs="Courier New" w:hint="default"/>
      </w:rPr>
    </w:lvl>
    <w:lvl w:ilvl="5" w:tplc="DDB4D348" w:tentative="1">
      <w:start w:val="1"/>
      <w:numFmt w:val="bullet"/>
      <w:lvlText w:val=""/>
      <w:lvlJc w:val="left"/>
      <w:pPr>
        <w:ind w:left="4320" w:hanging="360"/>
      </w:pPr>
      <w:rPr>
        <w:rFonts w:ascii="Wingdings" w:hAnsi="Wingdings" w:hint="default"/>
      </w:rPr>
    </w:lvl>
    <w:lvl w:ilvl="6" w:tplc="F69C6AA4" w:tentative="1">
      <w:start w:val="1"/>
      <w:numFmt w:val="bullet"/>
      <w:lvlText w:val=""/>
      <w:lvlJc w:val="left"/>
      <w:pPr>
        <w:ind w:left="5040" w:hanging="360"/>
      </w:pPr>
      <w:rPr>
        <w:rFonts w:ascii="Symbol" w:hAnsi="Symbol" w:hint="default"/>
      </w:rPr>
    </w:lvl>
    <w:lvl w:ilvl="7" w:tplc="9A74F3B8" w:tentative="1">
      <w:start w:val="1"/>
      <w:numFmt w:val="bullet"/>
      <w:lvlText w:val="o"/>
      <w:lvlJc w:val="left"/>
      <w:pPr>
        <w:ind w:left="5760" w:hanging="360"/>
      </w:pPr>
      <w:rPr>
        <w:rFonts w:ascii="Courier New" w:hAnsi="Courier New" w:cs="Courier New" w:hint="default"/>
      </w:rPr>
    </w:lvl>
    <w:lvl w:ilvl="8" w:tplc="8542D93C" w:tentative="1">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75091EC2"/>
    <w:multiLevelType w:val="hybridMultilevel"/>
    <w:tmpl w:val="60DE9FF8"/>
    <w:lvl w:ilvl="0" w:tplc="5B4016C2">
      <w:numFmt w:val="bullet"/>
      <w:lvlText w:val="-"/>
      <w:lvlJc w:val="left"/>
      <w:pPr>
        <w:ind w:left="720" w:hanging="360"/>
      </w:pPr>
      <w:rPr>
        <w:rFonts w:ascii="Calibri" w:eastAsiaTheme="minorHAnsi" w:hAnsi="Calibri" w:cstheme="minorBidi" w:hint="default"/>
      </w:rPr>
    </w:lvl>
    <w:lvl w:ilvl="1" w:tplc="770C6266" w:tentative="1">
      <w:start w:val="1"/>
      <w:numFmt w:val="bullet"/>
      <w:lvlText w:val="o"/>
      <w:lvlJc w:val="left"/>
      <w:pPr>
        <w:ind w:left="1440" w:hanging="360"/>
      </w:pPr>
      <w:rPr>
        <w:rFonts w:ascii="Courier New" w:hAnsi="Courier New" w:cs="Courier New" w:hint="default"/>
      </w:rPr>
    </w:lvl>
    <w:lvl w:ilvl="2" w:tplc="58FAEB98" w:tentative="1">
      <w:start w:val="1"/>
      <w:numFmt w:val="bullet"/>
      <w:lvlText w:val=""/>
      <w:lvlJc w:val="left"/>
      <w:pPr>
        <w:ind w:left="2160" w:hanging="360"/>
      </w:pPr>
      <w:rPr>
        <w:rFonts w:ascii="Wingdings" w:hAnsi="Wingdings" w:hint="default"/>
      </w:rPr>
    </w:lvl>
    <w:lvl w:ilvl="3" w:tplc="BB9E2812" w:tentative="1">
      <w:start w:val="1"/>
      <w:numFmt w:val="bullet"/>
      <w:lvlText w:val=""/>
      <w:lvlJc w:val="left"/>
      <w:pPr>
        <w:ind w:left="2880" w:hanging="360"/>
      </w:pPr>
      <w:rPr>
        <w:rFonts w:ascii="Symbol" w:hAnsi="Symbol" w:hint="default"/>
      </w:rPr>
    </w:lvl>
    <w:lvl w:ilvl="4" w:tplc="A066FC1C" w:tentative="1">
      <w:start w:val="1"/>
      <w:numFmt w:val="bullet"/>
      <w:lvlText w:val="o"/>
      <w:lvlJc w:val="left"/>
      <w:pPr>
        <w:ind w:left="3600" w:hanging="360"/>
      </w:pPr>
      <w:rPr>
        <w:rFonts w:ascii="Courier New" w:hAnsi="Courier New" w:cs="Courier New" w:hint="default"/>
      </w:rPr>
    </w:lvl>
    <w:lvl w:ilvl="5" w:tplc="71E27908" w:tentative="1">
      <w:start w:val="1"/>
      <w:numFmt w:val="bullet"/>
      <w:lvlText w:val=""/>
      <w:lvlJc w:val="left"/>
      <w:pPr>
        <w:ind w:left="4320" w:hanging="360"/>
      </w:pPr>
      <w:rPr>
        <w:rFonts w:ascii="Wingdings" w:hAnsi="Wingdings" w:hint="default"/>
      </w:rPr>
    </w:lvl>
    <w:lvl w:ilvl="6" w:tplc="A79A5A26" w:tentative="1">
      <w:start w:val="1"/>
      <w:numFmt w:val="bullet"/>
      <w:lvlText w:val=""/>
      <w:lvlJc w:val="left"/>
      <w:pPr>
        <w:ind w:left="5040" w:hanging="360"/>
      </w:pPr>
      <w:rPr>
        <w:rFonts w:ascii="Symbol" w:hAnsi="Symbol" w:hint="default"/>
      </w:rPr>
    </w:lvl>
    <w:lvl w:ilvl="7" w:tplc="ED569C42" w:tentative="1">
      <w:start w:val="1"/>
      <w:numFmt w:val="bullet"/>
      <w:lvlText w:val="o"/>
      <w:lvlJc w:val="left"/>
      <w:pPr>
        <w:ind w:left="5760" w:hanging="360"/>
      </w:pPr>
      <w:rPr>
        <w:rFonts w:ascii="Courier New" w:hAnsi="Courier New" w:cs="Courier New" w:hint="default"/>
      </w:rPr>
    </w:lvl>
    <w:lvl w:ilvl="8" w:tplc="FBDE2350" w:tentative="1">
      <w:start w:val="1"/>
      <w:numFmt w:val="bullet"/>
      <w:lvlText w:val=""/>
      <w:lvlJc w:val="left"/>
      <w:pPr>
        <w:ind w:left="6480" w:hanging="360"/>
      </w:pPr>
      <w:rPr>
        <w:rFonts w:ascii="Wingdings" w:hAnsi="Wingdings" w:hint="default"/>
      </w:rPr>
    </w:lvl>
  </w:abstractNum>
  <w:abstractNum w:abstractNumId="18" w15:restartNumberingAfterBreak="0">
    <w:nsid w:val="7636387C"/>
    <w:multiLevelType w:val="multilevel"/>
    <w:tmpl w:val="6346ED0E"/>
    <w:numStyleLink w:val="listbullets"/>
  </w:abstractNum>
  <w:abstractNum w:abstractNumId="19" w15:restartNumberingAfterBreak="0">
    <w:nsid w:val="77204A9E"/>
    <w:multiLevelType w:val="hybridMultilevel"/>
    <w:tmpl w:val="5F98E056"/>
    <w:lvl w:ilvl="0" w:tplc="480C6A44">
      <w:start w:val="1"/>
      <w:numFmt w:val="decimal"/>
      <w:lvlText w:val="%1)"/>
      <w:lvlJc w:val="left"/>
      <w:pPr>
        <w:ind w:left="720" w:hanging="360"/>
      </w:pPr>
      <w:rPr>
        <w:rFonts w:hint="default"/>
      </w:rPr>
    </w:lvl>
    <w:lvl w:ilvl="1" w:tplc="0FB60E96" w:tentative="1">
      <w:start w:val="1"/>
      <w:numFmt w:val="lowerLetter"/>
      <w:lvlText w:val="%2."/>
      <w:lvlJc w:val="left"/>
      <w:pPr>
        <w:ind w:left="1440" w:hanging="360"/>
      </w:pPr>
    </w:lvl>
    <w:lvl w:ilvl="2" w:tplc="E92606D4" w:tentative="1">
      <w:start w:val="1"/>
      <w:numFmt w:val="lowerRoman"/>
      <w:lvlText w:val="%3."/>
      <w:lvlJc w:val="right"/>
      <w:pPr>
        <w:ind w:left="2160" w:hanging="180"/>
      </w:pPr>
    </w:lvl>
    <w:lvl w:ilvl="3" w:tplc="52C26C32" w:tentative="1">
      <w:start w:val="1"/>
      <w:numFmt w:val="decimal"/>
      <w:lvlText w:val="%4."/>
      <w:lvlJc w:val="left"/>
      <w:pPr>
        <w:ind w:left="2880" w:hanging="360"/>
      </w:pPr>
    </w:lvl>
    <w:lvl w:ilvl="4" w:tplc="19D455F8" w:tentative="1">
      <w:start w:val="1"/>
      <w:numFmt w:val="lowerLetter"/>
      <w:lvlText w:val="%5."/>
      <w:lvlJc w:val="left"/>
      <w:pPr>
        <w:ind w:left="3600" w:hanging="360"/>
      </w:pPr>
    </w:lvl>
    <w:lvl w:ilvl="5" w:tplc="8DA2E75E" w:tentative="1">
      <w:start w:val="1"/>
      <w:numFmt w:val="lowerRoman"/>
      <w:lvlText w:val="%6."/>
      <w:lvlJc w:val="right"/>
      <w:pPr>
        <w:ind w:left="4320" w:hanging="180"/>
      </w:pPr>
    </w:lvl>
    <w:lvl w:ilvl="6" w:tplc="9FD06EB6" w:tentative="1">
      <w:start w:val="1"/>
      <w:numFmt w:val="decimal"/>
      <w:lvlText w:val="%7."/>
      <w:lvlJc w:val="left"/>
      <w:pPr>
        <w:ind w:left="5040" w:hanging="360"/>
      </w:pPr>
    </w:lvl>
    <w:lvl w:ilvl="7" w:tplc="BD18D37A" w:tentative="1">
      <w:start w:val="1"/>
      <w:numFmt w:val="lowerLetter"/>
      <w:lvlText w:val="%8."/>
      <w:lvlJc w:val="left"/>
      <w:pPr>
        <w:ind w:left="5760" w:hanging="360"/>
      </w:pPr>
    </w:lvl>
    <w:lvl w:ilvl="8" w:tplc="977CD988" w:tentative="1">
      <w:start w:val="1"/>
      <w:numFmt w:val="lowerRoman"/>
      <w:lvlText w:val="%9."/>
      <w:lvlJc w:val="right"/>
      <w:pPr>
        <w:ind w:left="6480" w:hanging="180"/>
      </w:pPr>
    </w:lvl>
  </w:abstractNum>
  <w:abstractNum w:abstractNumId="20" w15:restartNumberingAfterBreak="0">
    <w:nsid w:val="7EEB45BD"/>
    <w:multiLevelType w:val="hybridMultilevel"/>
    <w:tmpl w:val="27F40F42"/>
    <w:lvl w:ilvl="0" w:tplc="60D662FC">
      <w:start w:val="1"/>
      <w:numFmt w:val="bullet"/>
      <w:lvlText w:val=""/>
      <w:lvlJc w:val="left"/>
      <w:pPr>
        <w:ind w:left="720" w:hanging="360"/>
      </w:pPr>
      <w:rPr>
        <w:rFonts w:ascii="Symbol" w:hAnsi="Symbol" w:hint="default"/>
      </w:rPr>
    </w:lvl>
    <w:lvl w:ilvl="1" w:tplc="EA649B5E" w:tentative="1">
      <w:start w:val="1"/>
      <w:numFmt w:val="bullet"/>
      <w:lvlText w:val="o"/>
      <w:lvlJc w:val="left"/>
      <w:pPr>
        <w:ind w:left="1440" w:hanging="360"/>
      </w:pPr>
      <w:rPr>
        <w:rFonts w:ascii="Courier New" w:hAnsi="Courier New" w:cs="Courier New" w:hint="default"/>
      </w:rPr>
    </w:lvl>
    <w:lvl w:ilvl="2" w:tplc="D0A83BD0" w:tentative="1">
      <w:start w:val="1"/>
      <w:numFmt w:val="bullet"/>
      <w:lvlText w:val=""/>
      <w:lvlJc w:val="left"/>
      <w:pPr>
        <w:ind w:left="2160" w:hanging="360"/>
      </w:pPr>
      <w:rPr>
        <w:rFonts w:ascii="Wingdings" w:hAnsi="Wingdings" w:hint="default"/>
      </w:rPr>
    </w:lvl>
    <w:lvl w:ilvl="3" w:tplc="0FDE1E34" w:tentative="1">
      <w:start w:val="1"/>
      <w:numFmt w:val="bullet"/>
      <w:lvlText w:val=""/>
      <w:lvlJc w:val="left"/>
      <w:pPr>
        <w:ind w:left="2880" w:hanging="360"/>
      </w:pPr>
      <w:rPr>
        <w:rFonts w:ascii="Symbol" w:hAnsi="Symbol" w:hint="default"/>
      </w:rPr>
    </w:lvl>
    <w:lvl w:ilvl="4" w:tplc="1E482916" w:tentative="1">
      <w:start w:val="1"/>
      <w:numFmt w:val="bullet"/>
      <w:lvlText w:val="o"/>
      <w:lvlJc w:val="left"/>
      <w:pPr>
        <w:ind w:left="3600" w:hanging="360"/>
      </w:pPr>
      <w:rPr>
        <w:rFonts w:ascii="Courier New" w:hAnsi="Courier New" w:cs="Courier New" w:hint="default"/>
      </w:rPr>
    </w:lvl>
    <w:lvl w:ilvl="5" w:tplc="8CBA6300" w:tentative="1">
      <w:start w:val="1"/>
      <w:numFmt w:val="bullet"/>
      <w:lvlText w:val=""/>
      <w:lvlJc w:val="left"/>
      <w:pPr>
        <w:ind w:left="4320" w:hanging="360"/>
      </w:pPr>
      <w:rPr>
        <w:rFonts w:ascii="Wingdings" w:hAnsi="Wingdings" w:hint="default"/>
      </w:rPr>
    </w:lvl>
    <w:lvl w:ilvl="6" w:tplc="7584E45E" w:tentative="1">
      <w:start w:val="1"/>
      <w:numFmt w:val="bullet"/>
      <w:lvlText w:val=""/>
      <w:lvlJc w:val="left"/>
      <w:pPr>
        <w:ind w:left="5040" w:hanging="360"/>
      </w:pPr>
      <w:rPr>
        <w:rFonts w:ascii="Symbol" w:hAnsi="Symbol" w:hint="default"/>
      </w:rPr>
    </w:lvl>
    <w:lvl w:ilvl="7" w:tplc="ACE0992C" w:tentative="1">
      <w:start w:val="1"/>
      <w:numFmt w:val="bullet"/>
      <w:lvlText w:val="o"/>
      <w:lvlJc w:val="left"/>
      <w:pPr>
        <w:ind w:left="5760" w:hanging="360"/>
      </w:pPr>
      <w:rPr>
        <w:rFonts w:ascii="Courier New" w:hAnsi="Courier New" w:cs="Courier New" w:hint="default"/>
      </w:rPr>
    </w:lvl>
    <w:lvl w:ilvl="8" w:tplc="C47C4A44" w:tentative="1">
      <w:start w:val="1"/>
      <w:numFmt w:val="bullet"/>
      <w:lvlText w:val=""/>
      <w:lvlJc w:val="left"/>
      <w:pPr>
        <w:ind w:left="6480" w:hanging="360"/>
      </w:pPr>
      <w:rPr>
        <w:rFonts w:ascii="Wingdings" w:hAnsi="Wingdings" w:hint="default"/>
      </w:rPr>
    </w:lvl>
  </w:abstractNum>
  <w:num w:numId="1" w16cid:durableId="186607483">
    <w:abstractNumId w:val="13"/>
  </w:num>
  <w:num w:numId="2" w16cid:durableId="269625324">
    <w:abstractNumId w:val="3"/>
  </w:num>
  <w:num w:numId="3" w16cid:durableId="2131316346">
    <w:abstractNumId w:val="16"/>
  </w:num>
  <w:num w:numId="4" w16cid:durableId="412364316">
    <w:abstractNumId w:val="5"/>
  </w:num>
  <w:num w:numId="5" w16cid:durableId="1833913100">
    <w:abstractNumId w:val="8"/>
  </w:num>
  <w:num w:numId="6" w16cid:durableId="1292709996">
    <w:abstractNumId w:val="14"/>
  </w:num>
  <w:num w:numId="7" w16cid:durableId="176773893">
    <w:abstractNumId w:val="18"/>
  </w:num>
  <w:num w:numId="8" w16cid:durableId="1396970357">
    <w:abstractNumId w:val="11"/>
  </w:num>
  <w:num w:numId="9" w16cid:durableId="946808517">
    <w:abstractNumId w:val="7"/>
  </w:num>
  <w:num w:numId="10" w16cid:durableId="1164274630">
    <w:abstractNumId w:val="0"/>
  </w:num>
  <w:num w:numId="11" w16cid:durableId="1635286167">
    <w:abstractNumId w:val="4"/>
  </w:num>
  <w:num w:numId="12" w16cid:durableId="78064920">
    <w:abstractNumId w:val="10"/>
  </w:num>
  <w:num w:numId="13" w16cid:durableId="417292020">
    <w:abstractNumId w:val="1"/>
  </w:num>
  <w:num w:numId="14" w16cid:durableId="813181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3097816">
    <w:abstractNumId w:val="9"/>
  </w:num>
  <w:num w:numId="16" w16cid:durableId="1537154752">
    <w:abstractNumId w:val="2"/>
  </w:num>
  <w:num w:numId="17" w16cid:durableId="2120876892">
    <w:abstractNumId w:val="2"/>
    <w:lvlOverride w:ilvl="0">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rPr>
      </w:lvl>
    </w:lvlOverride>
    <w:lvlOverride w:ilvl="1">
      <w:lvl w:ilvl="1">
        <w:start w:val="1"/>
        <w:numFmt w:val="decimal"/>
        <w:pStyle w:val="Heading3"/>
        <w:lvlText w:val="%1.%2"/>
        <w:lvlJc w:val="left"/>
        <w:pPr>
          <w:ind w:left="680" w:hanging="680"/>
        </w:pPr>
        <w:rPr>
          <w:rFonts w:hint="default"/>
        </w:rPr>
      </w:lvl>
    </w:lvlOverride>
    <w:lvlOverride w:ilvl="2">
      <w:lvl w:ilvl="2">
        <w:start w:val="1"/>
        <w:numFmt w:val="decimal"/>
        <w:pStyle w:val="Heading4"/>
        <w:lvlText w:val="%1.%2.%3"/>
        <w:lvlJc w:val="left"/>
        <w:pPr>
          <w:ind w:left="680" w:hanging="680"/>
        </w:pPr>
        <w:rPr>
          <w:rFonts w:hint="default"/>
        </w:rPr>
      </w:lvl>
    </w:lvlOverride>
    <w:lvlOverride w:ilvl="3">
      <w:lvl w:ilvl="3">
        <w:start w:val="1"/>
        <w:numFmt w:val="decimal"/>
        <w:lvlText w:val="%4."/>
        <w:lvlJc w:val="left"/>
        <w:pPr>
          <w:ind w:left="680" w:hanging="680"/>
        </w:pPr>
        <w:rPr>
          <w:rFonts w:hint="default"/>
        </w:rPr>
      </w:lvl>
    </w:lvlOverride>
    <w:lvlOverride w:ilvl="4">
      <w:lvl w:ilvl="4">
        <w:start w:val="1"/>
        <w:numFmt w:val="lowerLetter"/>
        <w:lvlText w:val="%5."/>
        <w:lvlJc w:val="left"/>
        <w:pPr>
          <w:ind w:left="680" w:hanging="680"/>
        </w:pPr>
        <w:rPr>
          <w:rFonts w:hint="default"/>
        </w:rPr>
      </w:lvl>
    </w:lvlOverride>
    <w:lvlOverride w:ilvl="5">
      <w:lvl w:ilvl="5">
        <w:start w:val="1"/>
        <w:numFmt w:val="lowerRoman"/>
        <w:lvlText w:val="%6."/>
        <w:lvlJc w:val="right"/>
        <w:pPr>
          <w:ind w:left="680" w:hanging="680"/>
        </w:pPr>
        <w:rPr>
          <w:rFonts w:hint="default"/>
        </w:rPr>
      </w:lvl>
    </w:lvlOverride>
    <w:lvlOverride w:ilvl="6">
      <w:lvl w:ilvl="6">
        <w:start w:val="1"/>
        <w:numFmt w:val="decimal"/>
        <w:lvlText w:val="%7."/>
        <w:lvlJc w:val="left"/>
        <w:pPr>
          <w:ind w:left="680" w:hanging="680"/>
        </w:pPr>
        <w:rPr>
          <w:rFonts w:hint="default"/>
        </w:rPr>
      </w:lvl>
    </w:lvlOverride>
    <w:lvlOverride w:ilvl="7">
      <w:lvl w:ilvl="7">
        <w:start w:val="1"/>
        <w:numFmt w:val="lowerLetter"/>
        <w:lvlText w:val="%8."/>
        <w:lvlJc w:val="left"/>
        <w:pPr>
          <w:ind w:left="680" w:hanging="680"/>
        </w:pPr>
        <w:rPr>
          <w:rFonts w:hint="default"/>
        </w:rPr>
      </w:lvl>
    </w:lvlOverride>
    <w:lvlOverride w:ilvl="8">
      <w:lvl w:ilvl="8">
        <w:start w:val="1"/>
        <w:numFmt w:val="lowerRoman"/>
        <w:lvlText w:val="%9."/>
        <w:lvlJc w:val="right"/>
        <w:pPr>
          <w:ind w:left="680" w:hanging="680"/>
        </w:pPr>
        <w:rPr>
          <w:rFonts w:hint="default"/>
        </w:rPr>
      </w:lvl>
    </w:lvlOverride>
  </w:num>
  <w:num w:numId="18" w16cid:durableId="1004167381">
    <w:abstractNumId w:val="12"/>
  </w:num>
  <w:num w:numId="19" w16cid:durableId="1266501142">
    <w:abstractNumId w:val="2"/>
  </w:num>
  <w:num w:numId="20" w16cid:durableId="735669063">
    <w:abstractNumId w:val="2"/>
  </w:num>
  <w:num w:numId="21" w16cid:durableId="122307779">
    <w:abstractNumId w:val="2"/>
  </w:num>
  <w:num w:numId="22" w16cid:durableId="854349172">
    <w:abstractNumId w:val="6"/>
  </w:num>
  <w:num w:numId="23" w16cid:durableId="6518368">
    <w:abstractNumId w:val="17"/>
  </w:num>
  <w:num w:numId="24" w16cid:durableId="140467423">
    <w:abstractNumId w:val="19"/>
  </w:num>
  <w:num w:numId="25" w16cid:durableId="292294004">
    <w:abstractNumId w:val="20"/>
  </w:num>
  <w:num w:numId="26" w16cid:durableId="1954748893">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stylePaneSortMethod w:val="0000"/>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1C"/>
    <w:rsid w:val="00004225"/>
    <w:rsid w:val="0000516C"/>
    <w:rsid w:val="00010F48"/>
    <w:rsid w:val="00017770"/>
    <w:rsid w:val="000219EA"/>
    <w:rsid w:val="00031A03"/>
    <w:rsid w:val="000343E0"/>
    <w:rsid w:val="000408F1"/>
    <w:rsid w:val="000411B0"/>
    <w:rsid w:val="000422E0"/>
    <w:rsid w:val="000446ED"/>
    <w:rsid w:val="000531F9"/>
    <w:rsid w:val="00057040"/>
    <w:rsid w:val="00057DEA"/>
    <w:rsid w:val="00061882"/>
    <w:rsid w:val="00062058"/>
    <w:rsid w:val="0006310D"/>
    <w:rsid w:val="00067FB3"/>
    <w:rsid w:val="000749E7"/>
    <w:rsid w:val="000756BD"/>
    <w:rsid w:val="0007663D"/>
    <w:rsid w:val="000771F9"/>
    <w:rsid w:val="00077F89"/>
    <w:rsid w:val="0008224C"/>
    <w:rsid w:val="00085C4B"/>
    <w:rsid w:val="00087D0E"/>
    <w:rsid w:val="00090AC7"/>
    <w:rsid w:val="000931E1"/>
    <w:rsid w:val="0009338F"/>
    <w:rsid w:val="000A68FE"/>
    <w:rsid w:val="000B0AE0"/>
    <w:rsid w:val="000B2511"/>
    <w:rsid w:val="000B5A37"/>
    <w:rsid w:val="000C32B1"/>
    <w:rsid w:val="000C4DFA"/>
    <w:rsid w:val="000C583A"/>
    <w:rsid w:val="000C7C2A"/>
    <w:rsid w:val="000D01FB"/>
    <w:rsid w:val="000D6472"/>
    <w:rsid w:val="000D6D92"/>
    <w:rsid w:val="000E1DC6"/>
    <w:rsid w:val="000E29FA"/>
    <w:rsid w:val="000E40C1"/>
    <w:rsid w:val="000E6B2F"/>
    <w:rsid w:val="000F28D1"/>
    <w:rsid w:val="000F47BA"/>
    <w:rsid w:val="00105FB1"/>
    <w:rsid w:val="00106865"/>
    <w:rsid w:val="001139D9"/>
    <w:rsid w:val="00116728"/>
    <w:rsid w:val="00123260"/>
    <w:rsid w:val="00124B75"/>
    <w:rsid w:val="0012725B"/>
    <w:rsid w:val="00127EEB"/>
    <w:rsid w:val="001303C0"/>
    <w:rsid w:val="001343F8"/>
    <w:rsid w:val="001360DC"/>
    <w:rsid w:val="00136860"/>
    <w:rsid w:val="001370BE"/>
    <w:rsid w:val="0014644A"/>
    <w:rsid w:val="00153778"/>
    <w:rsid w:val="00156B8C"/>
    <w:rsid w:val="00165210"/>
    <w:rsid w:val="00166EE4"/>
    <w:rsid w:val="0016777B"/>
    <w:rsid w:val="001746AD"/>
    <w:rsid w:val="0017517E"/>
    <w:rsid w:val="001844F2"/>
    <w:rsid w:val="00184A2E"/>
    <w:rsid w:val="00190155"/>
    <w:rsid w:val="001952A2"/>
    <w:rsid w:val="001B1019"/>
    <w:rsid w:val="001B1BBE"/>
    <w:rsid w:val="001B1DB2"/>
    <w:rsid w:val="001B3D7B"/>
    <w:rsid w:val="001C0D1C"/>
    <w:rsid w:val="001C2B81"/>
    <w:rsid w:val="001C5AE5"/>
    <w:rsid w:val="001D01F2"/>
    <w:rsid w:val="001D34B1"/>
    <w:rsid w:val="001D4250"/>
    <w:rsid w:val="001E255F"/>
    <w:rsid w:val="001E3CDA"/>
    <w:rsid w:val="001F35AA"/>
    <w:rsid w:val="001F4378"/>
    <w:rsid w:val="001F4819"/>
    <w:rsid w:val="001F4AE6"/>
    <w:rsid w:val="00203E52"/>
    <w:rsid w:val="0020406E"/>
    <w:rsid w:val="002051F3"/>
    <w:rsid w:val="00207522"/>
    <w:rsid w:val="00217216"/>
    <w:rsid w:val="002211D5"/>
    <w:rsid w:val="00223711"/>
    <w:rsid w:val="00225D79"/>
    <w:rsid w:val="00225F3D"/>
    <w:rsid w:val="00231CBF"/>
    <w:rsid w:val="0024074B"/>
    <w:rsid w:val="00246F0E"/>
    <w:rsid w:val="002506F1"/>
    <w:rsid w:val="002524FD"/>
    <w:rsid w:val="00253B50"/>
    <w:rsid w:val="00253CC2"/>
    <w:rsid w:val="002561C8"/>
    <w:rsid w:val="0025627C"/>
    <w:rsid w:val="00256BB6"/>
    <w:rsid w:val="002600C1"/>
    <w:rsid w:val="00261260"/>
    <w:rsid w:val="00265B5D"/>
    <w:rsid w:val="00266B70"/>
    <w:rsid w:val="00270770"/>
    <w:rsid w:val="00270B08"/>
    <w:rsid w:val="00272FB1"/>
    <w:rsid w:val="00283A7C"/>
    <w:rsid w:val="00287843"/>
    <w:rsid w:val="00287AAC"/>
    <w:rsid w:val="00290F42"/>
    <w:rsid w:val="00295D89"/>
    <w:rsid w:val="002A13B6"/>
    <w:rsid w:val="002A22F1"/>
    <w:rsid w:val="002A554D"/>
    <w:rsid w:val="002A695A"/>
    <w:rsid w:val="002B5287"/>
    <w:rsid w:val="002B588F"/>
    <w:rsid w:val="002C6EB6"/>
    <w:rsid w:val="002C790B"/>
    <w:rsid w:val="002C7A93"/>
    <w:rsid w:val="002C7B58"/>
    <w:rsid w:val="002D3377"/>
    <w:rsid w:val="002D3AB7"/>
    <w:rsid w:val="002D5F01"/>
    <w:rsid w:val="002D6DB4"/>
    <w:rsid w:val="002E1E73"/>
    <w:rsid w:val="002E459A"/>
    <w:rsid w:val="002E6418"/>
    <w:rsid w:val="002F0A4C"/>
    <w:rsid w:val="002F6BF7"/>
    <w:rsid w:val="002F7FBB"/>
    <w:rsid w:val="003005CD"/>
    <w:rsid w:val="003028E2"/>
    <w:rsid w:val="00303B66"/>
    <w:rsid w:val="003057F4"/>
    <w:rsid w:val="0030670A"/>
    <w:rsid w:val="003117D0"/>
    <w:rsid w:val="0031419C"/>
    <w:rsid w:val="00315B30"/>
    <w:rsid w:val="003173CD"/>
    <w:rsid w:val="003203BC"/>
    <w:rsid w:val="00320C9B"/>
    <w:rsid w:val="00325B3C"/>
    <w:rsid w:val="0033133A"/>
    <w:rsid w:val="00331C6D"/>
    <w:rsid w:val="00335A3B"/>
    <w:rsid w:val="003375F1"/>
    <w:rsid w:val="00341054"/>
    <w:rsid w:val="003413B2"/>
    <w:rsid w:val="00343147"/>
    <w:rsid w:val="00354DC8"/>
    <w:rsid w:val="00363C9F"/>
    <w:rsid w:val="00365232"/>
    <w:rsid w:val="00365605"/>
    <w:rsid w:val="00376545"/>
    <w:rsid w:val="00376AAE"/>
    <w:rsid w:val="00380069"/>
    <w:rsid w:val="00380269"/>
    <w:rsid w:val="00380638"/>
    <w:rsid w:val="003876F4"/>
    <w:rsid w:val="00390AEE"/>
    <w:rsid w:val="00391C23"/>
    <w:rsid w:val="003A2F4C"/>
    <w:rsid w:val="003A488A"/>
    <w:rsid w:val="003B2CF4"/>
    <w:rsid w:val="003C4D43"/>
    <w:rsid w:val="003D1A08"/>
    <w:rsid w:val="003D4A96"/>
    <w:rsid w:val="003D5189"/>
    <w:rsid w:val="003E057A"/>
    <w:rsid w:val="003E0906"/>
    <w:rsid w:val="003E0D02"/>
    <w:rsid w:val="003E14FA"/>
    <w:rsid w:val="003E15D9"/>
    <w:rsid w:val="003E2570"/>
    <w:rsid w:val="003E2CD1"/>
    <w:rsid w:val="003E3F6A"/>
    <w:rsid w:val="003F1ED6"/>
    <w:rsid w:val="003F2249"/>
    <w:rsid w:val="003F378A"/>
    <w:rsid w:val="003F6453"/>
    <w:rsid w:val="003F650B"/>
    <w:rsid w:val="0040101B"/>
    <w:rsid w:val="00401C43"/>
    <w:rsid w:val="00405CAD"/>
    <w:rsid w:val="00406FCA"/>
    <w:rsid w:val="00412924"/>
    <w:rsid w:val="0041563A"/>
    <w:rsid w:val="00417100"/>
    <w:rsid w:val="00422133"/>
    <w:rsid w:val="0042633C"/>
    <w:rsid w:val="00433ED6"/>
    <w:rsid w:val="00435DA2"/>
    <w:rsid w:val="004409C9"/>
    <w:rsid w:val="00447754"/>
    <w:rsid w:val="004649A9"/>
    <w:rsid w:val="004673BD"/>
    <w:rsid w:val="00473281"/>
    <w:rsid w:val="00473762"/>
    <w:rsid w:val="00477F52"/>
    <w:rsid w:val="004809C6"/>
    <w:rsid w:val="00482CD2"/>
    <w:rsid w:val="00482CDF"/>
    <w:rsid w:val="00484C14"/>
    <w:rsid w:val="0048533B"/>
    <w:rsid w:val="00485E91"/>
    <w:rsid w:val="004879DF"/>
    <w:rsid w:val="00493921"/>
    <w:rsid w:val="0049421C"/>
    <w:rsid w:val="004A0B6A"/>
    <w:rsid w:val="004A3032"/>
    <w:rsid w:val="004A5DAD"/>
    <w:rsid w:val="004A782A"/>
    <w:rsid w:val="004B0B5D"/>
    <w:rsid w:val="004B2957"/>
    <w:rsid w:val="004B5B9C"/>
    <w:rsid w:val="004C05DD"/>
    <w:rsid w:val="004C1BBA"/>
    <w:rsid w:val="004C2DE2"/>
    <w:rsid w:val="004C6B16"/>
    <w:rsid w:val="004C7232"/>
    <w:rsid w:val="004D0A96"/>
    <w:rsid w:val="004D52CE"/>
    <w:rsid w:val="004E5449"/>
    <w:rsid w:val="004F2B5F"/>
    <w:rsid w:val="004F6114"/>
    <w:rsid w:val="00501AA9"/>
    <w:rsid w:val="00502405"/>
    <w:rsid w:val="0050252E"/>
    <w:rsid w:val="00505ED1"/>
    <w:rsid w:val="00513554"/>
    <w:rsid w:val="00516A4E"/>
    <w:rsid w:val="00517D00"/>
    <w:rsid w:val="0052187E"/>
    <w:rsid w:val="00521AC4"/>
    <w:rsid w:val="005221CF"/>
    <w:rsid w:val="00522EF7"/>
    <w:rsid w:val="00524D65"/>
    <w:rsid w:val="00524E5A"/>
    <w:rsid w:val="00533939"/>
    <w:rsid w:val="005347DF"/>
    <w:rsid w:val="00541C23"/>
    <w:rsid w:val="00543A92"/>
    <w:rsid w:val="00544DAD"/>
    <w:rsid w:val="00547C40"/>
    <w:rsid w:val="00557258"/>
    <w:rsid w:val="00564705"/>
    <w:rsid w:val="005716AB"/>
    <w:rsid w:val="005755B2"/>
    <w:rsid w:val="00576A22"/>
    <w:rsid w:val="00580378"/>
    <w:rsid w:val="00581B40"/>
    <w:rsid w:val="00582E0F"/>
    <w:rsid w:val="00583EBC"/>
    <w:rsid w:val="0058555C"/>
    <w:rsid w:val="00585FD8"/>
    <w:rsid w:val="00586F8B"/>
    <w:rsid w:val="00594B10"/>
    <w:rsid w:val="005A2E0C"/>
    <w:rsid w:val="005A324F"/>
    <w:rsid w:val="005A49C1"/>
    <w:rsid w:val="005A6B1E"/>
    <w:rsid w:val="005A6F91"/>
    <w:rsid w:val="005A709F"/>
    <w:rsid w:val="005B5736"/>
    <w:rsid w:val="005B5F51"/>
    <w:rsid w:val="005C78F8"/>
    <w:rsid w:val="005D1CA5"/>
    <w:rsid w:val="005D37F2"/>
    <w:rsid w:val="005D5582"/>
    <w:rsid w:val="005E7764"/>
    <w:rsid w:val="00605BC2"/>
    <w:rsid w:val="00605CBC"/>
    <w:rsid w:val="00606A7B"/>
    <w:rsid w:val="00612599"/>
    <w:rsid w:val="00620280"/>
    <w:rsid w:val="006225AA"/>
    <w:rsid w:val="00624AC4"/>
    <w:rsid w:val="00635D12"/>
    <w:rsid w:val="0064021D"/>
    <w:rsid w:val="0064344A"/>
    <w:rsid w:val="006454EB"/>
    <w:rsid w:val="00645EA6"/>
    <w:rsid w:val="006462F2"/>
    <w:rsid w:val="00650F9A"/>
    <w:rsid w:val="00651C6A"/>
    <w:rsid w:val="00660D9B"/>
    <w:rsid w:val="00667BFF"/>
    <w:rsid w:val="00670F87"/>
    <w:rsid w:val="00672130"/>
    <w:rsid w:val="006776A0"/>
    <w:rsid w:val="006834DD"/>
    <w:rsid w:val="006852E1"/>
    <w:rsid w:val="006909B0"/>
    <w:rsid w:val="00696256"/>
    <w:rsid w:val="006A1182"/>
    <w:rsid w:val="006A6E76"/>
    <w:rsid w:val="006A7BE0"/>
    <w:rsid w:val="006B52F7"/>
    <w:rsid w:val="006B59E5"/>
    <w:rsid w:val="006C5125"/>
    <w:rsid w:val="006C56AF"/>
    <w:rsid w:val="006D00DB"/>
    <w:rsid w:val="006D5145"/>
    <w:rsid w:val="006E56B2"/>
    <w:rsid w:val="006E7E5D"/>
    <w:rsid w:val="006F0E17"/>
    <w:rsid w:val="006F3CD1"/>
    <w:rsid w:val="00704054"/>
    <w:rsid w:val="00710CF9"/>
    <w:rsid w:val="0071288B"/>
    <w:rsid w:val="007152D6"/>
    <w:rsid w:val="007246F2"/>
    <w:rsid w:val="0072516C"/>
    <w:rsid w:val="00725BAE"/>
    <w:rsid w:val="00732729"/>
    <w:rsid w:val="007336AC"/>
    <w:rsid w:val="00734FB1"/>
    <w:rsid w:val="0073509D"/>
    <w:rsid w:val="00740427"/>
    <w:rsid w:val="00740624"/>
    <w:rsid w:val="0074426B"/>
    <w:rsid w:val="00751811"/>
    <w:rsid w:val="00751A9C"/>
    <w:rsid w:val="00753771"/>
    <w:rsid w:val="00755C25"/>
    <w:rsid w:val="0075614F"/>
    <w:rsid w:val="00757587"/>
    <w:rsid w:val="00762B63"/>
    <w:rsid w:val="00765B1D"/>
    <w:rsid w:val="007670CA"/>
    <w:rsid w:val="00774BB8"/>
    <w:rsid w:val="0077627C"/>
    <w:rsid w:val="00793B15"/>
    <w:rsid w:val="007B3193"/>
    <w:rsid w:val="007B615F"/>
    <w:rsid w:val="007B72BB"/>
    <w:rsid w:val="007C0818"/>
    <w:rsid w:val="007C2698"/>
    <w:rsid w:val="007C39E9"/>
    <w:rsid w:val="007C3BD5"/>
    <w:rsid w:val="007C5BD0"/>
    <w:rsid w:val="007D121F"/>
    <w:rsid w:val="007D64D1"/>
    <w:rsid w:val="007D66A6"/>
    <w:rsid w:val="007D6FB5"/>
    <w:rsid w:val="007E18E7"/>
    <w:rsid w:val="007F1627"/>
    <w:rsid w:val="007F1AC7"/>
    <w:rsid w:val="007F36C3"/>
    <w:rsid w:val="00801F0E"/>
    <w:rsid w:val="00806CA0"/>
    <w:rsid w:val="00810E9E"/>
    <w:rsid w:val="00811C3B"/>
    <w:rsid w:val="008131A9"/>
    <w:rsid w:val="008155E1"/>
    <w:rsid w:val="0081608B"/>
    <w:rsid w:val="00816365"/>
    <w:rsid w:val="00816516"/>
    <w:rsid w:val="00817669"/>
    <w:rsid w:val="00820949"/>
    <w:rsid w:val="008242CD"/>
    <w:rsid w:val="00824850"/>
    <w:rsid w:val="00826520"/>
    <w:rsid w:val="0082716C"/>
    <w:rsid w:val="008338E2"/>
    <w:rsid w:val="00836CFC"/>
    <w:rsid w:val="0084206A"/>
    <w:rsid w:val="0085089F"/>
    <w:rsid w:val="008552AC"/>
    <w:rsid w:val="008609B4"/>
    <w:rsid w:val="00863B22"/>
    <w:rsid w:val="00864833"/>
    <w:rsid w:val="00864B07"/>
    <w:rsid w:val="008678C6"/>
    <w:rsid w:val="008707E6"/>
    <w:rsid w:val="00871AA9"/>
    <w:rsid w:val="00884BA9"/>
    <w:rsid w:val="00886CE2"/>
    <w:rsid w:val="00891983"/>
    <w:rsid w:val="0089519C"/>
    <w:rsid w:val="00897E72"/>
    <w:rsid w:val="008B04AB"/>
    <w:rsid w:val="008B214C"/>
    <w:rsid w:val="008B3548"/>
    <w:rsid w:val="008B66E0"/>
    <w:rsid w:val="008B76D4"/>
    <w:rsid w:val="008C57F4"/>
    <w:rsid w:val="008C60B7"/>
    <w:rsid w:val="008C761D"/>
    <w:rsid w:val="008D032E"/>
    <w:rsid w:val="008D0CB0"/>
    <w:rsid w:val="008D40D5"/>
    <w:rsid w:val="008E67C0"/>
    <w:rsid w:val="008F1B13"/>
    <w:rsid w:val="0090454F"/>
    <w:rsid w:val="00911E54"/>
    <w:rsid w:val="00912C55"/>
    <w:rsid w:val="0092045A"/>
    <w:rsid w:val="00920637"/>
    <w:rsid w:val="009313E1"/>
    <w:rsid w:val="00935528"/>
    <w:rsid w:val="0093590B"/>
    <w:rsid w:val="00935AEE"/>
    <w:rsid w:val="00937B90"/>
    <w:rsid w:val="00940073"/>
    <w:rsid w:val="00942FF9"/>
    <w:rsid w:val="0094711D"/>
    <w:rsid w:val="009477FA"/>
    <w:rsid w:val="00950A15"/>
    <w:rsid w:val="00957792"/>
    <w:rsid w:val="00961B68"/>
    <w:rsid w:val="00962C90"/>
    <w:rsid w:val="0096723E"/>
    <w:rsid w:val="009678DD"/>
    <w:rsid w:val="00967F9C"/>
    <w:rsid w:val="00970C2F"/>
    <w:rsid w:val="00975852"/>
    <w:rsid w:val="00981370"/>
    <w:rsid w:val="009840B5"/>
    <w:rsid w:val="009848E6"/>
    <w:rsid w:val="00986E88"/>
    <w:rsid w:val="00987B5B"/>
    <w:rsid w:val="0099059F"/>
    <w:rsid w:val="00991D25"/>
    <w:rsid w:val="00992439"/>
    <w:rsid w:val="009A3352"/>
    <w:rsid w:val="009B26DB"/>
    <w:rsid w:val="009B2BC4"/>
    <w:rsid w:val="009B4D38"/>
    <w:rsid w:val="009C16D8"/>
    <w:rsid w:val="009D1D57"/>
    <w:rsid w:val="009D54BA"/>
    <w:rsid w:val="009F07D6"/>
    <w:rsid w:val="009F1CC8"/>
    <w:rsid w:val="009F6148"/>
    <w:rsid w:val="00A03ADA"/>
    <w:rsid w:val="00A04054"/>
    <w:rsid w:val="00A106BD"/>
    <w:rsid w:val="00A20E85"/>
    <w:rsid w:val="00A2183D"/>
    <w:rsid w:val="00A2194C"/>
    <w:rsid w:val="00A25C50"/>
    <w:rsid w:val="00A31048"/>
    <w:rsid w:val="00A34992"/>
    <w:rsid w:val="00A376BA"/>
    <w:rsid w:val="00A468FE"/>
    <w:rsid w:val="00A46FD5"/>
    <w:rsid w:val="00A47617"/>
    <w:rsid w:val="00A479D5"/>
    <w:rsid w:val="00A50A8E"/>
    <w:rsid w:val="00A66EF9"/>
    <w:rsid w:val="00A70AB6"/>
    <w:rsid w:val="00A721A9"/>
    <w:rsid w:val="00A72B34"/>
    <w:rsid w:val="00A77A5C"/>
    <w:rsid w:val="00A86237"/>
    <w:rsid w:val="00A9276E"/>
    <w:rsid w:val="00A93D09"/>
    <w:rsid w:val="00A96CF4"/>
    <w:rsid w:val="00AA01CB"/>
    <w:rsid w:val="00AA0956"/>
    <w:rsid w:val="00AA4DCD"/>
    <w:rsid w:val="00AA55E4"/>
    <w:rsid w:val="00AA7ED3"/>
    <w:rsid w:val="00AB151F"/>
    <w:rsid w:val="00AB7619"/>
    <w:rsid w:val="00AC0BDF"/>
    <w:rsid w:val="00AC206B"/>
    <w:rsid w:val="00AC3A90"/>
    <w:rsid w:val="00AD427C"/>
    <w:rsid w:val="00AE30EE"/>
    <w:rsid w:val="00AE6551"/>
    <w:rsid w:val="00AE7845"/>
    <w:rsid w:val="00AF3032"/>
    <w:rsid w:val="00AF5A73"/>
    <w:rsid w:val="00AF65E4"/>
    <w:rsid w:val="00B00256"/>
    <w:rsid w:val="00B01EAD"/>
    <w:rsid w:val="00B059C6"/>
    <w:rsid w:val="00B1155D"/>
    <w:rsid w:val="00B13972"/>
    <w:rsid w:val="00B151F6"/>
    <w:rsid w:val="00B239AE"/>
    <w:rsid w:val="00B309FD"/>
    <w:rsid w:val="00B3668E"/>
    <w:rsid w:val="00B36972"/>
    <w:rsid w:val="00B56892"/>
    <w:rsid w:val="00B6255B"/>
    <w:rsid w:val="00B66A1D"/>
    <w:rsid w:val="00B7057B"/>
    <w:rsid w:val="00B820DF"/>
    <w:rsid w:val="00B84EFD"/>
    <w:rsid w:val="00B8585B"/>
    <w:rsid w:val="00B87B49"/>
    <w:rsid w:val="00B9780A"/>
    <w:rsid w:val="00B97DB8"/>
    <w:rsid w:val="00BA15BD"/>
    <w:rsid w:val="00BA32B5"/>
    <w:rsid w:val="00BA52AA"/>
    <w:rsid w:val="00BB3B89"/>
    <w:rsid w:val="00BB640D"/>
    <w:rsid w:val="00BB6D35"/>
    <w:rsid w:val="00BC0BA3"/>
    <w:rsid w:val="00BC1136"/>
    <w:rsid w:val="00BC2424"/>
    <w:rsid w:val="00BD1832"/>
    <w:rsid w:val="00BD1A74"/>
    <w:rsid w:val="00BD4B66"/>
    <w:rsid w:val="00BD506E"/>
    <w:rsid w:val="00BE52A7"/>
    <w:rsid w:val="00BE7C10"/>
    <w:rsid w:val="00BF0280"/>
    <w:rsid w:val="00BF0351"/>
    <w:rsid w:val="00BF521A"/>
    <w:rsid w:val="00BF5890"/>
    <w:rsid w:val="00BF6347"/>
    <w:rsid w:val="00BF6D5D"/>
    <w:rsid w:val="00C01C6F"/>
    <w:rsid w:val="00C02365"/>
    <w:rsid w:val="00C05926"/>
    <w:rsid w:val="00C05E0F"/>
    <w:rsid w:val="00C07BEA"/>
    <w:rsid w:val="00C11AF4"/>
    <w:rsid w:val="00C149DB"/>
    <w:rsid w:val="00C15563"/>
    <w:rsid w:val="00C230A1"/>
    <w:rsid w:val="00C23867"/>
    <w:rsid w:val="00C2629F"/>
    <w:rsid w:val="00C3213C"/>
    <w:rsid w:val="00C36092"/>
    <w:rsid w:val="00C41308"/>
    <w:rsid w:val="00C4253A"/>
    <w:rsid w:val="00C4526A"/>
    <w:rsid w:val="00C46CEF"/>
    <w:rsid w:val="00C50270"/>
    <w:rsid w:val="00C546B9"/>
    <w:rsid w:val="00C54740"/>
    <w:rsid w:val="00C6729C"/>
    <w:rsid w:val="00C72BDF"/>
    <w:rsid w:val="00C75133"/>
    <w:rsid w:val="00C76F3C"/>
    <w:rsid w:val="00C80A95"/>
    <w:rsid w:val="00C8514D"/>
    <w:rsid w:val="00C942AA"/>
    <w:rsid w:val="00C97DC0"/>
    <w:rsid w:val="00CA6BDF"/>
    <w:rsid w:val="00CB21A5"/>
    <w:rsid w:val="00CB2716"/>
    <w:rsid w:val="00CC1D8B"/>
    <w:rsid w:val="00CC73B2"/>
    <w:rsid w:val="00CD5AD3"/>
    <w:rsid w:val="00CE173A"/>
    <w:rsid w:val="00CE4225"/>
    <w:rsid w:val="00CE67B7"/>
    <w:rsid w:val="00CE74BD"/>
    <w:rsid w:val="00CE76B8"/>
    <w:rsid w:val="00CF41D5"/>
    <w:rsid w:val="00CF6531"/>
    <w:rsid w:val="00D03ED1"/>
    <w:rsid w:val="00D06ACD"/>
    <w:rsid w:val="00D11183"/>
    <w:rsid w:val="00D13109"/>
    <w:rsid w:val="00D14E1B"/>
    <w:rsid w:val="00D1603C"/>
    <w:rsid w:val="00D16530"/>
    <w:rsid w:val="00D1664A"/>
    <w:rsid w:val="00D262CF"/>
    <w:rsid w:val="00D34E2B"/>
    <w:rsid w:val="00D43838"/>
    <w:rsid w:val="00D44C37"/>
    <w:rsid w:val="00D45486"/>
    <w:rsid w:val="00D46BE7"/>
    <w:rsid w:val="00D47CA4"/>
    <w:rsid w:val="00D47F84"/>
    <w:rsid w:val="00D50822"/>
    <w:rsid w:val="00D51BA5"/>
    <w:rsid w:val="00D573D0"/>
    <w:rsid w:val="00D65959"/>
    <w:rsid w:val="00D668AE"/>
    <w:rsid w:val="00D70273"/>
    <w:rsid w:val="00D77528"/>
    <w:rsid w:val="00D777C4"/>
    <w:rsid w:val="00D800E5"/>
    <w:rsid w:val="00D8239C"/>
    <w:rsid w:val="00D826D3"/>
    <w:rsid w:val="00D9509E"/>
    <w:rsid w:val="00D96B1A"/>
    <w:rsid w:val="00D96B22"/>
    <w:rsid w:val="00D97496"/>
    <w:rsid w:val="00DB267F"/>
    <w:rsid w:val="00DB4D31"/>
    <w:rsid w:val="00DC2CC5"/>
    <w:rsid w:val="00DC4DFC"/>
    <w:rsid w:val="00DC6E39"/>
    <w:rsid w:val="00DC6EBD"/>
    <w:rsid w:val="00DD1E78"/>
    <w:rsid w:val="00DD52FB"/>
    <w:rsid w:val="00DD7301"/>
    <w:rsid w:val="00DF1801"/>
    <w:rsid w:val="00DF33E6"/>
    <w:rsid w:val="00E00D37"/>
    <w:rsid w:val="00E014D0"/>
    <w:rsid w:val="00E0232D"/>
    <w:rsid w:val="00E02F1A"/>
    <w:rsid w:val="00E0494B"/>
    <w:rsid w:val="00E059C2"/>
    <w:rsid w:val="00E11B8C"/>
    <w:rsid w:val="00E120BE"/>
    <w:rsid w:val="00E16F0E"/>
    <w:rsid w:val="00E21AB1"/>
    <w:rsid w:val="00E260E0"/>
    <w:rsid w:val="00E26A22"/>
    <w:rsid w:val="00E26B96"/>
    <w:rsid w:val="00E30397"/>
    <w:rsid w:val="00E34D35"/>
    <w:rsid w:val="00E3659E"/>
    <w:rsid w:val="00E45D5B"/>
    <w:rsid w:val="00E4630E"/>
    <w:rsid w:val="00E46A86"/>
    <w:rsid w:val="00E47D4D"/>
    <w:rsid w:val="00E5198D"/>
    <w:rsid w:val="00E55B1C"/>
    <w:rsid w:val="00E563F8"/>
    <w:rsid w:val="00E61660"/>
    <w:rsid w:val="00E66C55"/>
    <w:rsid w:val="00E67B89"/>
    <w:rsid w:val="00E73F14"/>
    <w:rsid w:val="00E741C1"/>
    <w:rsid w:val="00E768CD"/>
    <w:rsid w:val="00E906B5"/>
    <w:rsid w:val="00E9369E"/>
    <w:rsid w:val="00EA2FB7"/>
    <w:rsid w:val="00EA54FE"/>
    <w:rsid w:val="00EB02B5"/>
    <w:rsid w:val="00EB244D"/>
    <w:rsid w:val="00EB284E"/>
    <w:rsid w:val="00EB48BC"/>
    <w:rsid w:val="00EC5FA8"/>
    <w:rsid w:val="00ED3BAF"/>
    <w:rsid w:val="00ED59F5"/>
    <w:rsid w:val="00ED6A09"/>
    <w:rsid w:val="00EE44D2"/>
    <w:rsid w:val="00EE7040"/>
    <w:rsid w:val="00EE7855"/>
    <w:rsid w:val="00EF3358"/>
    <w:rsid w:val="00F0297E"/>
    <w:rsid w:val="00F02B58"/>
    <w:rsid w:val="00F06339"/>
    <w:rsid w:val="00F077A7"/>
    <w:rsid w:val="00F0786A"/>
    <w:rsid w:val="00F07880"/>
    <w:rsid w:val="00F13093"/>
    <w:rsid w:val="00F14093"/>
    <w:rsid w:val="00F176DE"/>
    <w:rsid w:val="00F178C1"/>
    <w:rsid w:val="00F270E2"/>
    <w:rsid w:val="00F27C85"/>
    <w:rsid w:val="00F315EE"/>
    <w:rsid w:val="00F321D6"/>
    <w:rsid w:val="00F36269"/>
    <w:rsid w:val="00F36B1C"/>
    <w:rsid w:val="00F43123"/>
    <w:rsid w:val="00F53012"/>
    <w:rsid w:val="00F534A5"/>
    <w:rsid w:val="00F536AE"/>
    <w:rsid w:val="00F54389"/>
    <w:rsid w:val="00F57D15"/>
    <w:rsid w:val="00F6745B"/>
    <w:rsid w:val="00F70CF0"/>
    <w:rsid w:val="00F71A60"/>
    <w:rsid w:val="00F8769D"/>
    <w:rsid w:val="00F87CB0"/>
    <w:rsid w:val="00F906FF"/>
    <w:rsid w:val="00F928CC"/>
    <w:rsid w:val="00F9574C"/>
    <w:rsid w:val="00FA052F"/>
    <w:rsid w:val="00FA09D5"/>
    <w:rsid w:val="00FA5297"/>
    <w:rsid w:val="00FA6736"/>
    <w:rsid w:val="00FB3B29"/>
    <w:rsid w:val="00FC1A28"/>
    <w:rsid w:val="00FC1A8D"/>
    <w:rsid w:val="00FC4D81"/>
    <w:rsid w:val="00FD0241"/>
    <w:rsid w:val="00FD3C47"/>
    <w:rsid w:val="00FD3FB5"/>
    <w:rsid w:val="00FD50BF"/>
    <w:rsid w:val="00FE09A6"/>
    <w:rsid w:val="00FE225C"/>
    <w:rsid w:val="00FE4473"/>
    <w:rsid w:val="00FE5434"/>
    <w:rsid w:val="00FF380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4955"/>
  <w15:docId w15:val="{EE7AB6C1-C184-439A-8D7A-554B257B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3"/>
    <w:rsid w:val="00D77528"/>
    <w:pPr>
      <w:keepNext/>
      <w:keepLines/>
      <w:numPr>
        <w:numId w:val="16"/>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4"/>
    <w:qFormat/>
    <w:rsid w:val="00BF0280"/>
    <w:pPr>
      <w:keepNext/>
      <w:keepLines/>
      <w:numPr>
        <w:ilvl w:val="1"/>
        <w:numId w:val="16"/>
      </w:numPr>
      <w:spacing w:before="240" w:after="24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5"/>
    <w:qFormat/>
    <w:pPr>
      <w:keepNext/>
      <w:keepLines/>
      <w:numPr>
        <w:ilvl w:val="2"/>
        <w:numId w:val="16"/>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6"/>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663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sz w:val="20"/>
      <w:szCs w:val="20"/>
    </w:rPr>
  </w:style>
  <w:style w:type="paragraph" w:styleId="Header">
    <w:name w:val="header"/>
    <w:basedOn w:val="Normal"/>
    <w:link w:val="HeaderChar"/>
    <w:uiPriority w:val="26"/>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link w:val="ListParagraphChar"/>
    <w:uiPriority w:val="34"/>
    <w:qFormat/>
    <w:pPr>
      <w:ind w:left="720"/>
    </w:pPr>
  </w:style>
  <w:style w:type="character" w:customStyle="1" w:styleId="Heading2Char">
    <w:name w:val="Heading 2 Char"/>
    <w:basedOn w:val="DefaultParagraphFont"/>
    <w:link w:val="Heading2"/>
    <w:uiPriority w:val="3"/>
    <w:rsid w:val="00D77528"/>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4"/>
    <w:rsid w:val="00BF0280"/>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5"/>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99"/>
    <w:rPr>
      <w:b/>
      <w:bC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23"/>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3"/>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character" w:customStyle="1" w:styleId="UnresolvedMention1">
    <w:name w:val="Unresolved Mention1"/>
    <w:basedOn w:val="DefaultParagraphFont"/>
    <w:uiPriority w:val="99"/>
    <w:semiHidden/>
    <w:unhideWhenUsed/>
    <w:rsid w:val="00920637"/>
    <w:rPr>
      <w:color w:val="605E5C"/>
      <w:shd w:val="clear" w:color="auto" w:fill="E1DFDD"/>
    </w:rPr>
  </w:style>
  <w:style w:type="character" w:customStyle="1" w:styleId="Heading9Char">
    <w:name w:val="Heading 9 Char"/>
    <w:basedOn w:val="DefaultParagraphFont"/>
    <w:link w:val="Heading9"/>
    <w:uiPriority w:val="9"/>
    <w:semiHidden/>
    <w:rsid w:val="0007663D"/>
    <w:rPr>
      <w:rFonts w:asciiTheme="majorHAnsi" w:eastAsiaTheme="majorEastAsia" w:hAnsiTheme="majorHAnsi" w:cstheme="majorBidi"/>
      <w:i/>
      <w:iCs/>
      <w:color w:val="272727" w:themeColor="text1" w:themeTint="D8"/>
      <w:sz w:val="21"/>
      <w:szCs w:val="21"/>
      <w:lang w:eastAsia="en-US"/>
    </w:rPr>
  </w:style>
  <w:style w:type="paragraph" w:customStyle="1" w:styleId="Tabletext0">
    <w:name w:val="Table text"/>
    <w:basedOn w:val="Normal"/>
    <w:rsid w:val="004809C6"/>
    <w:pPr>
      <w:keepNext/>
      <w:spacing w:before="120" w:after="120" w:line="240" w:lineRule="auto"/>
      <w:jc w:val="both"/>
    </w:pPr>
    <w:rPr>
      <w:rFonts w:ascii="Arial" w:eastAsiaTheme="minorEastAsia" w:hAnsi="Arial"/>
      <w:sz w:val="18"/>
      <w:szCs w:val="20"/>
      <w:lang w:val="en-NZ" w:bidi="en-US"/>
    </w:rPr>
  </w:style>
  <w:style w:type="character" w:customStyle="1" w:styleId="ListParagraphChar">
    <w:name w:val="List Paragraph Char"/>
    <w:basedOn w:val="DefaultParagraphFont"/>
    <w:link w:val="ListParagraph"/>
    <w:uiPriority w:val="34"/>
    <w:locked/>
    <w:rsid w:val="00CB2716"/>
    <w:rPr>
      <w:rFonts w:asciiTheme="minorHAnsi" w:eastAsiaTheme="minorHAnsi" w:hAnsiTheme="minorHAnsi" w:cstheme="minorBidi"/>
      <w:sz w:val="22"/>
      <w:szCs w:val="22"/>
      <w:lang w:eastAsia="en-US"/>
    </w:rPr>
  </w:style>
  <w:style w:type="paragraph" w:customStyle="1" w:styleId="yiv9643776165msonormal">
    <w:name w:val="yiv9643776165msonormal"/>
    <w:basedOn w:val="Normal"/>
    <w:rsid w:val="00CB271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D50822"/>
    <w:rPr>
      <w:color w:val="605E5C"/>
      <w:shd w:val="clear" w:color="auto" w:fill="E1DFDD"/>
    </w:rPr>
  </w:style>
  <w:style w:type="character" w:customStyle="1" w:styleId="UnresolvedMention3">
    <w:name w:val="Unresolved Mention3"/>
    <w:basedOn w:val="DefaultParagraphFont"/>
    <w:uiPriority w:val="99"/>
    <w:semiHidden/>
    <w:unhideWhenUsed/>
    <w:rsid w:val="009A3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copyright@dcceew.gov.au" TargetMode="External"/><Relationship Id="rId26" Type="http://schemas.openxmlformats.org/officeDocument/2006/relationships/hyperlink" Target="http://www.waterquality.gov.au/sites/default/files/documents/Dioxins-fresh-DGVs-data-quality-assessment.xlsm" TargetMode="External"/><Relationship Id="rId39" Type="http://schemas.openxmlformats.org/officeDocument/2006/relationships/fontTable" Target="fontTable.xml"/><Relationship Id="rId21" Type="http://schemas.openxmlformats.org/officeDocument/2006/relationships/image" Target="media/image3.jpeg"/><Relationship Id="rId34" Type="http://schemas.openxmlformats.org/officeDocument/2006/relationships/image" Target="media/image9.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image" Target="media/image7.png"/><Relationship Id="rId33" Type="http://schemas.openxmlformats.org/officeDocument/2006/relationships/footer" Target="footer2.xm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waterquality@dcceew.gov.au" TargetMode="External"/><Relationship Id="rId29" Type="http://schemas.openxmlformats.org/officeDocument/2006/relationships/hyperlink" Target="https://www.waterquality.gov.au/anz-guidelines/guideline-values/default/water-quality-toxicants/local-condition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glossaryDocument" Target="glossary/document.xml"/><Relationship Id="rId36" Type="http://schemas.openxmlformats.org/officeDocument/2006/relationships/header" Target="header6.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image" Target="media/image8.emf"/><Relationship Id="rId10" Type="http://schemas.openxmlformats.org/officeDocument/2006/relationships/webSettings" Target="webSettings.xml"/><Relationship Id="rId19" Type="http://schemas.openxmlformats.org/officeDocument/2006/relationships/hyperlink" Target="http://www.waterquality.gov.au/anz-guidelines/guideline-values/default/water-quality-toxicants/toxicants" TargetMode="External"/><Relationship Id="rId31" Type="http://schemas.openxmlformats.org/officeDocument/2006/relationships/header" Target="header4.xml"/><Relationship Id="rId35" Type="http://schemas.openxmlformats.org/officeDocument/2006/relationships/image" Target="media/image10.emf"/><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hyperlink" Target="http://www.waterquality.gov.au/sites/default/files/documents/Dioxins-fresh-DGVs-data%20entry.xlsx" TargetMode="External"/><Relationship Id="rId30"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0CCC024575420DB346A2897E1BFAA1"/>
        <w:category>
          <w:name w:val="General"/>
          <w:gallery w:val="placeholder"/>
        </w:category>
        <w:types>
          <w:type w:val="bbPlcHdr"/>
        </w:types>
        <w:behaviors>
          <w:behavior w:val="content"/>
        </w:behaviors>
        <w:guid w:val="{59AC9F7E-4FA2-490F-98B6-D985F0F8EDE1}"/>
      </w:docPartPr>
      <w:docPartBody>
        <w:p w:rsidR="00B7057B" w:rsidRDefault="00B61F79" w:rsidP="00B7057B">
          <w:pPr>
            <w:pStyle w:val="B20CCC024575420DB346A2897E1BFAA1"/>
          </w:pPr>
          <w:r w:rsidRPr="00BE52A7">
            <w:rPr>
              <w:rStyle w:val="PlaceholderText"/>
            </w:rPr>
            <w:t>Click here to enter text.</w:t>
          </w:r>
        </w:p>
      </w:docPartBody>
    </w:docPart>
    <w:docPart>
      <w:docPartPr>
        <w:name w:val="6F273A4F34B74539A3186BE0804F5F9D"/>
        <w:category>
          <w:name w:val="General"/>
          <w:gallery w:val="placeholder"/>
        </w:category>
        <w:types>
          <w:type w:val="bbPlcHdr"/>
        </w:types>
        <w:behaviors>
          <w:behavior w:val="content"/>
        </w:behaviors>
        <w:guid w:val="{F2BA9B90-0C5B-4073-AE91-F7944A682D9A}"/>
      </w:docPartPr>
      <w:docPartBody>
        <w:p w:rsidR="00651C6A" w:rsidRDefault="00B61F79" w:rsidP="00651C6A">
          <w:pPr>
            <w:pStyle w:val="6F273A4F34B74539A3186BE0804F5F9D"/>
          </w:pPr>
          <w:r w:rsidRPr="00BE52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57B"/>
    <w:rsid w:val="0000012B"/>
    <w:rsid w:val="000246A3"/>
    <w:rsid w:val="000805F4"/>
    <w:rsid w:val="00090ED3"/>
    <w:rsid w:val="000B4DF2"/>
    <w:rsid w:val="000D07AD"/>
    <w:rsid w:val="000E2749"/>
    <w:rsid w:val="00190FCF"/>
    <w:rsid w:val="001A317F"/>
    <w:rsid w:val="001D6539"/>
    <w:rsid w:val="0021670F"/>
    <w:rsid w:val="002E342F"/>
    <w:rsid w:val="002F6CC8"/>
    <w:rsid w:val="003C4725"/>
    <w:rsid w:val="003C719B"/>
    <w:rsid w:val="004C41DA"/>
    <w:rsid w:val="005012F6"/>
    <w:rsid w:val="00551C43"/>
    <w:rsid w:val="00560701"/>
    <w:rsid w:val="005705F0"/>
    <w:rsid w:val="00597E2E"/>
    <w:rsid w:val="005D561E"/>
    <w:rsid w:val="00651C6A"/>
    <w:rsid w:val="00663BA5"/>
    <w:rsid w:val="007050BA"/>
    <w:rsid w:val="00750303"/>
    <w:rsid w:val="00756703"/>
    <w:rsid w:val="00791CF3"/>
    <w:rsid w:val="007E1690"/>
    <w:rsid w:val="009C3519"/>
    <w:rsid w:val="009F41F8"/>
    <w:rsid w:val="00A808C5"/>
    <w:rsid w:val="00AA41E7"/>
    <w:rsid w:val="00AD1CB0"/>
    <w:rsid w:val="00B0115D"/>
    <w:rsid w:val="00B05324"/>
    <w:rsid w:val="00B513CA"/>
    <w:rsid w:val="00B61F79"/>
    <w:rsid w:val="00B7057B"/>
    <w:rsid w:val="00CA66DA"/>
    <w:rsid w:val="00CC11E0"/>
    <w:rsid w:val="00D02116"/>
    <w:rsid w:val="00D13A10"/>
    <w:rsid w:val="00DF329F"/>
    <w:rsid w:val="00F90B73"/>
    <w:rsid w:val="00FE52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1C6A"/>
    <w:rPr>
      <w:color w:val="808080"/>
    </w:rPr>
  </w:style>
  <w:style w:type="paragraph" w:customStyle="1" w:styleId="B20CCC024575420DB346A2897E1BFAA1">
    <w:name w:val="B20CCC024575420DB346A2897E1BFAA1"/>
    <w:rsid w:val="00B7057B"/>
  </w:style>
  <w:style w:type="paragraph" w:customStyle="1" w:styleId="6F273A4F34B74539A3186BE0804F5F9D">
    <w:name w:val="6F273A4F34B74539A3186BE0804F5F9D"/>
    <w:rsid w:val="00651C6A"/>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3" ma:contentTypeDescription="Create a new document." ma:contentTypeScope="" ma:versionID="c5cad13b6666b7852f4eaa8dcc206fb9">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e9b090d71a2e5fb3627b9888c9f68a88"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D323EF-822C-4E4A-9DA5-304476EA7B2B}">
  <ds:schemaRefs>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c25cb30a-de11-40ab-bdcc-f1d56023b01d"/>
    <ds:schemaRef ds:uri="http://schemas.microsoft.com/office/infopath/2007/PartnerControls"/>
    <ds:schemaRef ds:uri="http://schemas.microsoft.com/sharepoint/v4"/>
    <ds:schemaRef ds:uri="http://purl.org/dc/dcmitype/"/>
    <ds:schemaRef ds:uri="http://purl.org/dc/elements/1.1/"/>
  </ds:schemaRefs>
</ds:datastoreItem>
</file>

<file path=customXml/itemProps2.xml><?xml version="1.0" encoding="utf-8"?>
<ds:datastoreItem xmlns:ds="http://schemas.openxmlformats.org/officeDocument/2006/customXml" ds:itemID="{9A9523B6-4D9F-43EF-B9C5-F8DCE4CCC3E6}"/>
</file>

<file path=customXml/itemProps3.xml><?xml version="1.0" encoding="utf-8"?>
<ds:datastoreItem xmlns:ds="http://schemas.openxmlformats.org/officeDocument/2006/customXml" ds:itemID="{AC912245-0DDE-4910-BDEB-1FECEBCD1942}">
  <ds:schemaRefs>
    <ds:schemaRef ds:uri="http://schemas.openxmlformats.org/officeDocument/2006/bibliography"/>
  </ds:schemaRefs>
</ds:datastoreItem>
</file>

<file path=customXml/itemProps4.xml><?xml version="1.0" encoding="utf-8"?>
<ds:datastoreItem xmlns:ds="http://schemas.openxmlformats.org/officeDocument/2006/customXml" ds:itemID="{086CE546-3E0F-4174-A106-4E7F4E698FD2}">
  <ds:schemaRefs>
    <ds:schemaRef ds:uri="http://schemas.microsoft.com/office/2006/metadata/customXsn"/>
  </ds:schemaRefs>
</ds:datastoreItem>
</file>

<file path=customXml/itemProps5.xml><?xml version="1.0" encoding="utf-8"?>
<ds:datastoreItem xmlns:ds="http://schemas.openxmlformats.org/officeDocument/2006/customXml" ds:itemID="{1F1E8574-0996-48F6-8674-AD4F21D8D8B0}">
  <ds:schemaRefs>
    <ds:schemaRef ds:uri="http://schemas.microsoft.com/sharepoint/events"/>
  </ds:schemaRefs>
</ds:datastoreItem>
</file>

<file path=customXml/itemProps6.xml><?xml version="1.0" encoding="utf-8"?>
<ds:datastoreItem xmlns:ds="http://schemas.openxmlformats.org/officeDocument/2006/customXml" ds:itemID="{FDAFF9F2-B553-40B8-AE51-8E46304031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14846</Words>
  <Characters>84628</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Dioxins in freshwater - Technical brief</vt:lpstr>
    </vt:vector>
  </TitlesOfParts>
  <Company/>
  <LinksUpToDate>false</LinksUpToDate>
  <CharactersWithSpaces>99276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Dioxins in freshwater - Technical brief</dc:title>
  <dc:creator>Water Quality Australia</dc:creator>
  <cp:lastModifiedBy>Nguyen, Lien</cp:lastModifiedBy>
  <cp:revision>4</cp:revision>
  <cp:lastPrinted>2023-07-07T05:34:00Z</cp:lastPrinted>
  <dcterms:created xsi:type="dcterms:W3CDTF">2023-07-14T02:03:00Z</dcterms:created>
  <dcterms:modified xsi:type="dcterms:W3CDTF">2023-07-17T03:15:00Z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0x010100E3A4F77836BB3D4E8942C3BA8310D952</vt:lpwstr>
  </property>
</Properties>
</file>