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C0D1C" w:rsidRPr="0025303D" w14:paraId="0A292369" w14:textId="3A235F6F">
      <w:pPr>
        <w:pStyle w:val="Heading1"/>
        <w:rPr>
          <w:highlight w:val="yellow"/>
        </w:rPr>
      </w:pPr>
      <w:bookmarkStart w:id="0" w:name="_Toc88726859"/>
      <w:bookmarkStart w:id="1" w:name="_Toc109894086"/>
      <w:bookmarkStart w:id="2" w:name="_Toc138332248"/>
      <w:r>
        <w:t>Guidance on the use of e</w:t>
      </w:r>
      <w:r w:rsidRPr="0025303D">
        <w:t xml:space="preserve">cosystem </w:t>
      </w:r>
      <w:r w:rsidRPr="0025303D" w:rsidR="00253CDC">
        <w:t>receptor indicators</w:t>
      </w:r>
      <w:r>
        <w:t xml:space="preserve"> for </w:t>
      </w:r>
      <w:r w:rsidR="007D7BDE">
        <w:t xml:space="preserve">the assessment of </w:t>
      </w:r>
      <w:r>
        <w:t>water and sediment quality</w:t>
      </w:r>
      <w:bookmarkEnd w:id="0"/>
      <w:bookmarkEnd w:id="1"/>
      <w:bookmarkEnd w:id="2"/>
    </w:p>
    <w:p w:rsidR="00481C4D" w14:paraId="5F567C16" w14:textId="77777777">
      <w:pPr>
        <w:pStyle w:val="Publicationdate"/>
      </w:pPr>
    </w:p>
    <w:p w:rsidR="001C0D1C" w:rsidRPr="00BA0200" w14:paraId="23EB29DE" w14:textId="7908BAE7">
      <w:pPr>
        <w:pStyle w:val="Publicationdate"/>
      </w:pPr>
      <w:r>
        <w:t>Ju</w:t>
      </w:r>
      <w:r w:rsidR="003240F9">
        <w:t>ly</w:t>
      </w:r>
      <w:r>
        <w:t xml:space="preserve"> </w:t>
      </w:r>
      <w:r w:rsidR="00C42227">
        <w:t>2023</w:t>
      </w:r>
    </w:p>
    <w:p w:rsidR="001C0D1C" w:rsidRPr="0025303D" w14:paraId="0FB1DEA0" w14:textId="77777777">
      <w:pPr>
        <w:spacing w:after="0" w:line="240" w:lineRule="auto"/>
        <w:rPr>
          <w:noProof/>
          <w:highlight w:val="yellow"/>
          <w:lang w:eastAsia="en-AU"/>
        </w:rPr>
      </w:pPr>
      <w:r w:rsidRPr="0025303D">
        <w:rPr>
          <w:highlight w:val="yellow"/>
        </w:rPr>
        <w:br w:type="page"/>
      </w:r>
    </w:p>
    <w:p w:rsidR="001C0D1C" w:rsidRPr="00BA0200" w14:paraId="35B663B6" w14:textId="7F72C700">
      <w:pPr>
        <w:rPr>
          <w:sz w:val="18"/>
          <w:szCs w:val="18"/>
        </w:rPr>
      </w:pPr>
      <w:r w:rsidRPr="00BA0200">
        <w:rPr>
          <w:sz w:val="18"/>
          <w:szCs w:val="18"/>
        </w:rPr>
        <w:t xml:space="preserve">© Commonwealth of Australia </w:t>
      </w:r>
      <w:r w:rsidRPr="00BA0200" w:rsidR="00C42227">
        <w:rPr>
          <w:sz w:val="18"/>
          <w:szCs w:val="18"/>
        </w:rPr>
        <w:t>202</w:t>
      </w:r>
      <w:r w:rsidR="00C42227">
        <w:rPr>
          <w:sz w:val="18"/>
          <w:szCs w:val="18"/>
        </w:rPr>
        <w:t>3</w:t>
      </w:r>
    </w:p>
    <w:p w:rsidR="001C0D1C" w:rsidRPr="00BA0200" w14:paraId="311C10D0" w14:textId="77777777">
      <w:pPr>
        <w:spacing w:after="0"/>
        <w:rPr>
          <w:rFonts w:ascii="Calibri" w:hAnsi="Calibri"/>
          <w:b/>
          <w:sz w:val="18"/>
          <w:szCs w:val="18"/>
        </w:rPr>
      </w:pPr>
      <w:r w:rsidRPr="00BA0200">
        <w:rPr>
          <w:rFonts w:ascii="Calibri" w:hAnsi="Calibri"/>
          <w:b/>
          <w:sz w:val="18"/>
          <w:szCs w:val="18"/>
        </w:rPr>
        <w:t>Ownership of intellectual property rights</w:t>
      </w:r>
    </w:p>
    <w:p w:rsidR="001C0D1C" w:rsidRPr="00BA0200" w14:paraId="1CBDD148" w14:textId="77777777">
      <w:pPr>
        <w:rPr>
          <w:sz w:val="18"/>
          <w:szCs w:val="18"/>
        </w:rPr>
      </w:pPr>
      <w:r w:rsidRPr="00BA0200">
        <w:rPr>
          <w:sz w:val="18"/>
          <w:szCs w:val="18"/>
        </w:rPr>
        <w:t>Unless otherwise noted, copyright (and any other intellectual property rights, if any) in this publication is owned by the Commonwealth of Australia (referred to as the Commonwealth).</w:t>
      </w:r>
    </w:p>
    <w:p w:rsidR="001C0D1C" w:rsidRPr="00BA0200" w14:paraId="39128934" w14:textId="77777777">
      <w:pPr>
        <w:spacing w:after="0"/>
        <w:rPr>
          <w:rFonts w:ascii="Calibri" w:hAnsi="Calibri"/>
          <w:b/>
          <w:sz w:val="18"/>
          <w:szCs w:val="18"/>
        </w:rPr>
      </w:pPr>
      <w:r w:rsidRPr="00BA0200">
        <w:rPr>
          <w:rFonts w:ascii="Calibri" w:hAnsi="Calibri"/>
          <w:b/>
          <w:sz w:val="18"/>
          <w:szCs w:val="18"/>
        </w:rPr>
        <w:t>Creative Commons licence</w:t>
      </w:r>
    </w:p>
    <w:p w:rsidR="001C0D1C" w:rsidRPr="00BA0200" w14:paraId="172665C3" w14:textId="2B0D18B5">
      <w:pPr>
        <w:rPr>
          <w:sz w:val="18"/>
          <w:szCs w:val="18"/>
        </w:rPr>
      </w:pPr>
      <w:r w:rsidRPr="00BA0200">
        <w:rPr>
          <w:sz w:val="18"/>
          <w:szCs w:val="18"/>
        </w:rPr>
        <w:t xml:space="preserve">All material in this publication is licensed under a Creative Commons Attribution </w:t>
      </w:r>
      <w:r w:rsidR="00C42227">
        <w:rPr>
          <w:sz w:val="18"/>
          <w:szCs w:val="18"/>
        </w:rPr>
        <w:t>4</w:t>
      </w:r>
      <w:r w:rsidRPr="00BA0200">
        <w:rPr>
          <w:sz w:val="18"/>
          <w:szCs w:val="18"/>
        </w:rPr>
        <w:t xml:space="preserve">.0 Australia Licence, </w:t>
      </w:r>
      <w:r w:rsidRPr="00BA0200" w:rsidR="00C11AF4">
        <w:rPr>
          <w:sz w:val="18"/>
          <w:szCs w:val="18"/>
        </w:rPr>
        <w:t>except</w:t>
      </w:r>
      <w:r w:rsidRPr="00BA0200">
        <w:rPr>
          <w:sz w:val="18"/>
          <w:szCs w:val="18"/>
        </w:rPr>
        <w:t xml:space="preserve"> for photographic images, logos and the Commonwealth Coat of Arms.</w:t>
      </w:r>
    </w:p>
    <w:p w:rsidR="001C0D1C" w:rsidRPr="00BA0200" w14:paraId="371AA376" w14:textId="77777777">
      <w:pPr>
        <w:rPr>
          <w:sz w:val="18"/>
          <w:szCs w:val="18"/>
        </w:rPr>
      </w:pPr>
      <w:r w:rsidRPr="00BA0200">
        <w:rPr>
          <w:noProof/>
          <w:sz w:val="18"/>
          <w:szCs w:val="18"/>
          <w:lang w:eastAsia="en-AU"/>
        </w:rPr>
        <w:drawing>
          <wp:inline distT="0" distB="0" distL="0" distR="0">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06382" name="Picture 1" descr="by"/>
                    <pic:cNvPicPr>
                      <a:picLocks noChangeAspect="1" noChangeArrowheads="1"/>
                    </pic:cNvPicPr>
                  </pic:nvPicPr>
                  <pic:blipFill>
                    <a:blip xmlns:r="http://schemas.openxmlformats.org/officeDocument/2006/relationships" r:embed="rId10" cstate="print"/>
                    <a:stretch>
                      <a:fillRect/>
                    </a:stretch>
                  </pic:blipFill>
                  <pic:spPr bwMode="auto">
                    <a:xfrm>
                      <a:off x="0" y="0"/>
                      <a:ext cx="723900" cy="255905"/>
                    </a:xfrm>
                    <a:prstGeom prst="rect">
                      <a:avLst/>
                    </a:prstGeom>
                    <a:noFill/>
                    <a:ln w="9525">
                      <a:noFill/>
                      <a:miter lim="800000"/>
                      <a:headEnd/>
                      <a:tailEnd/>
                    </a:ln>
                  </pic:spPr>
                </pic:pic>
              </a:graphicData>
            </a:graphic>
          </wp:inline>
        </w:drawing>
      </w:r>
    </w:p>
    <w:p w:rsidR="001C0D1C" w:rsidRPr="00BA0200" w14:paraId="13FDB37F" w14:textId="1B7DCDA4">
      <w:pPr>
        <w:rPr>
          <w:sz w:val="18"/>
          <w:szCs w:val="18"/>
        </w:rPr>
      </w:pPr>
      <w:r w:rsidRPr="00BA0200">
        <w:rPr>
          <w:sz w:val="18"/>
          <w:szCs w:val="18"/>
        </w:rPr>
        <w:t xml:space="preserve">Creative Commons Attribution </w:t>
      </w:r>
      <w:r w:rsidR="00C42227">
        <w:rPr>
          <w:sz w:val="18"/>
          <w:szCs w:val="18"/>
        </w:rPr>
        <w:t>4</w:t>
      </w:r>
      <w:r w:rsidRPr="00BA0200">
        <w:rPr>
          <w:sz w:val="18"/>
          <w:szCs w:val="18"/>
        </w:rPr>
        <w:t xml:space="preserve">.0 Australia Licence is a standard form licence agreement that allows you to copy, distribute, transmit and adapt this publication provided you attribute the work. See the </w:t>
      </w:r>
      <w:r>
        <w:fldChar w:fldCharType="begin"/>
      </w:r>
      <w:r>
        <w:instrText xml:space="preserve"> HYPERLINK "https://creativecommons.org/licenses/by/4.0/" </w:instrText>
      </w:r>
      <w:r>
        <w:fldChar w:fldCharType="separate"/>
      </w:r>
      <w:r w:rsidR="00C42227">
        <w:rPr>
          <w:rStyle w:val="Hyperlink"/>
          <w:sz w:val="18"/>
          <w:szCs w:val="18"/>
        </w:rPr>
        <w:t>summary of the licence terms</w:t>
      </w:r>
      <w:r>
        <w:fldChar w:fldCharType="end"/>
      </w:r>
      <w:r w:rsidR="00C42227">
        <w:rPr>
          <w:sz w:val="18"/>
          <w:szCs w:val="18"/>
        </w:rPr>
        <w:t xml:space="preserve"> </w:t>
      </w:r>
      <w:r w:rsidRPr="00BA0200">
        <w:rPr>
          <w:sz w:val="18"/>
          <w:szCs w:val="18"/>
        </w:rPr>
        <w:t xml:space="preserve">or the </w:t>
      </w:r>
      <w:r>
        <w:fldChar w:fldCharType="begin"/>
      </w:r>
      <w:r>
        <w:instrText xml:space="preserve"> HYPERLINK "https://creativecommons.org/licenses/by/4.0/legalcode" </w:instrText>
      </w:r>
      <w:r>
        <w:fldChar w:fldCharType="separate"/>
      </w:r>
      <w:r w:rsidR="00C42227">
        <w:rPr>
          <w:rStyle w:val="Hyperlink"/>
          <w:sz w:val="18"/>
          <w:szCs w:val="18"/>
        </w:rPr>
        <w:t>full licence terms</w:t>
      </w:r>
      <w:r>
        <w:fldChar w:fldCharType="end"/>
      </w:r>
      <w:r w:rsidR="00C42227">
        <w:rPr>
          <w:sz w:val="18"/>
          <w:szCs w:val="18"/>
        </w:rPr>
        <w:t>.</w:t>
      </w:r>
    </w:p>
    <w:p w:rsidR="001C0D1C" w:rsidRPr="00BA0200" w14:paraId="06DBC982" w14:textId="723FEA70">
      <w:pPr>
        <w:rPr>
          <w:sz w:val="18"/>
          <w:szCs w:val="18"/>
        </w:rPr>
      </w:pPr>
      <w:r w:rsidRPr="00BA0200">
        <w:rPr>
          <w:sz w:val="18"/>
          <w:szCs w:val="18"/>
        </w:rPr>
        <w:t xml:space="preserve">Inquiries about the licence and any use of this document should be emailed to </w:t>
      </w:r>
      <w:r>
        <w:fldChar w:fldCharType="begin"/>
      </w:r>
      <w:r>
        <w:instrText xml:space="preserve"> HYPERLINK "mailto:copyright@dcceew.gov.au" </w:instrText>
      </w:r>
      <w:r>
        <w:fldChar w:fldCharType="separate"/>
      </w:r>
      <w:r w:rsidRPr="000D1CD4" w:rsidR="00E9148E">
        <w:rPr>
          <w:rStyle w:val="Hyperlink"/>
          <w:sz w:val="18"/>
          <w:szCs w:val="18"/>
        </w:rPr>
        <w:t>copyright@dcceew.gov.au</w:t>
      </w:r>
      <w:r>
        <w:fldChar w:fldCharType="end"/>
      </w:r>
      <w:r w:rsidRPr="00BA0200">
        <w:rPr>
          <w:sz w:val="18"/>
          <w:szCs w:val="18"/>
        </w:rPr>
        <w:t>.</w:t>
      </w:r>
    </w:p>
    <w:p w:rsidR="001C0D1C" w:rsidRPr="00757688" w14:paraId="38CE46CF" w14:textId="77777777">
      <w:pPr>
        <w:spacing w:after="0"/>
        <w:rPr>
          <w:rFonts w:ascii="Calibri" w:hAnsi="Calibri"/>
          <w:b/>
          <w:sz w:val="18"/>
          <w:szCs w:val="18"/>
        </w:rPr>
      </w:pPr>
      <w:r w:rsidRPr="00757688">
        <w:rPr>
          <w:rFonts w:ascii="Calibri" w:hAnsi="Calibri"/>
          <w:b/>
          <w:sz w:val="18"/>
          <w:szCs w:val="18"/>
        </w:rPr>
        <w:t>Cataloguing data</w:t>
      </w:r>
    </w:p>
    <w:p w:rsidR="001C0D1C" w14:paraId="5C7F5115" w14:textId="203071F1">
      <w:pPr>
        <w:rPr>
          <w:sz w:val="18"/>
          <w:szCs w:val="18"/>
        </w:rPr>
      </w:pPr>
      <w:r w:rsidRPr="00757688">
        <w:rPr>
          <w:sz w:val="18"/>
          <w:szCs w:val="18"/>
        </w:rPr>
        <w:t>This publication (and any material sourced from it) should be attributed as:</w:t>
      </w:r>
      <w:r w:rsidRPr="00757688">
        <w:t xml:space="preserve"> </w:t>
      </w:r>
      <w:r w:rsidRPr="00757688">
        <w:rPr>
          <w:sz w:val="18"/>
          <w:szCs w:val="18"/>
        </w:rPr>
        <w:t xml:space="preserve">ANZG </w:t>
      </w:r>
      <w:r w:rsidR="003E0104">
        <w:rPr>
          <w:sz w:val="18"/>
          <w:szCs w:val="18"/>
        </w:rPr>
        <w:t>(</w:t>
      </w:r>
      <w:r w:rsidRPr="00757688" w:rsidR="00C42227">
        <w:rPr>
          <w:sz w:val="18"/>
          <w:szCs w:val="18"/>
        </w:rPr>
        <w:t>202</w:t>
      </w:r>
      <w:r w:rsidR="00C42227">
        <w:rPr>
          <w:sz w:val="18"/>
          <w:szCs w:val="18"/>
        </w:rPr>
        <w:t>3</w:t>
      </w:r>
      <w:r w:rsidR="003E0104">
        <w:rPr>
          <w:sz w:val="18"/>
          <w:szCs w:val="18"/>
        </w:rPr>
        <w:t>)</w:t>
      </w:r>
      <w:r w:rsidRPr="00757688">
        <w:rPr>
          <w:sz w:val="18"/>
          <w:szCs w:val="18"/>
        </w:rPr>
        <w:t xml:space="preserve"> </w:t>
      </w:r>
      <w:r w:rsidRPr="00706E5F" w:rsidR="00706E5F">
        <w:rPr>
          <w:i/>
          <w:sz w:val="18"/>
          <w:szCs w:val="18"/>
        </w:rPr>
        <w:t xml:space="preserve">Guidance on the use of ecosystem receptor indicators for </w:t>
      </w:r>
      <w:r w:rsidR="00C42227">
        <w:rPr>
          <w:i/>
          <w:sz w:val="18"/>
          <w:szCs w:val="18"/>
        </w:rPr>
        <w:t xml:space="preserve">the assessment of </w:t>
      </w:r>
      <w:r w:rsidRPr="00706E5F" w:rsidR="00706E5F">
        <w:rPr>
          <w:i/>
          <w:sz w:val="18"/>
          <w:szCs w:val="18"/>
        </w:rPr>
        <w:t>water and sediment quality</w:t>
      </w:r>
      <w:r w:rsidRPr="00757688">
        <w:rPr>
          <w:sz w:val="18"/>
          <w:szCs w:val="18"/>
        </w:rPr>
        <w:t xml:space="preserve">, Australian and New Zealand </w:t>
      </w:r>
      <w:r w:rsidR="003E0104">
        <w:rPr>
          <w:sz w:val="18"/>
          <w:szCs w:val="18"/>
        </w:rPr>
        <w:t>g</w:t>
      </w:r>
      <w:r w:rsidRPr="00757688">
        <w:rPr>
          <w:sz w:val="18"/>
          <w:szCs w:val="18"/>
        </w:rPr>
        <w:t xml:space="preserve">uidelines for </w:t>
      </w:r>
      <w:r w:rsidR="003E0104">
        <w:rPr>
          <w:sz w:val="18"/>
          <w:szCs w:val="18"/>
        </w:rPr>
        <w:t>f</w:t>
      </w:r>
      <w:r w:rsidRPr="00757688">
        <w:rPr>
          <w:sz w:val="18"/>
          <w:szCs w:val="18"/>
        </w:rPr>
        <w:t xml:space="preserve">resh and </w:t>
      </w:r>
      <w:r w:rsidR="003E0104">
        <w:rPr>
          <w:sz w:val="18"/>
          <w:szCs w:val="18"/>
        </w:rPr>
        <w:t>m</w:t>
      </w:r>
      <w:r w:rsidRPr="00757688">
        <w:rPr>
          <w:sz w:val="18"/>
          <w:szCs w:val="18"/>
        </w:rPr>
        <w:t xml:space="preserve">arine </w:t>
      </w:r>
      <w:r w:rsidR="003E0104">
        <w:rPr>
          <w:sz w:val="18"/>
          <w:szCs w:val="18"/>
        </w:rPr>
        <w:t>w</w:t>
      </w:r>
      <w:r w:rsidRPr="00757688">
        <w:rPr>
          <w:sz w:val="18"/>
          <w:szCs w:val="18"/>
        </w:rPr>
        <w:t xml:space="preserve">ater </w:t>
      </w:r>
      <w:r w:rsidR="003E0104">
        <w:rPr>
          <w:sz w:val="18"/>
          <w:szCs w:val="18"/>
        </w:rPr>
        <w:t>q</w:t>
      </w:r>
      <w:r w:rsidRPr="00757688">
        <w:rPr>
          <w:sz w:val="18"/>
          <w:szCs w:val="18"/>
        </w:rPr>
        <w:t>uality. CC BY 4.0. Australian and New Zealand Governments and Australian state and territory governments, Canberra, ACT, Australia.</w:t>
      </w:r>
    </w:p>
    <w:p w:rsidR="002A17A8" w:rsidRPr="00757688" w14:paraId="78577F9C" w14:textId="57AEC8B9">
      <w:pPr>
        <w:rPr>
          <w:sz w:val="18"/>
          <w:szCs w:val="18"/>
        </w:rPr>
      </w:pPr>
      <w:r w:rsidRPr="002A17A8">
        <w:rPr>
          <w:sz w:val="18"/>
          <w:szCs w:val="18"/>
        </w:rPr>
        <w:t xml:space="preserve">This publication is available at </w:t>
      </w:r>
      <w:r>
        <w:fldChar w:fldCharType="begin"/>
      </w:r>
      <w:r>
        <w:instrText xml:space="preserve"> HYPERLINK "https://www.waterquality.gov.au/anz-guidelines/resources/key-concepts/indicators/ecosystem-receptor-indicators" </w:instrText>
      </w:r>
      <w:r>
        <w:fldChar w:fldCharType="separate"/>
      </w:r>
      <w:r w:rsidRPr="00942209" w:rsidR="00CA0179">
        <w:rPr>
          <w:rStyle w:val="Hyperlink"/>
          <w:sz w:val="18"/>
          <w:szCs w:val="18"/>
        </w:rPr>
        <w:t>https://www.waterquality.gov.au/anz-guidelines/resources/key-concepts/indicators/ecosystem-receptor-indicators</w:t>
      </w:r>
      <w:r>
        <w:fldChar w:fldCharType="end"/>
      </w:r>
      <w:r w:rsidRPr="002A17A8">
        <w:rPr>
          <w:sz w:val="18"/>
          <w:szCs w:val="18"/>
        </w:rPr>
        <w:t>.</w:t>
      </w:r>
    </w:p>
    <w:p w:rsidR="00824850" w:rsidRPr="00BA0200" w:rsidP="00824850" w14:paraId="1B568353" w14:textId="77777777">
      <w:pPr>
        <w:spacing w:after="0"/>
        <w:rPr>
          <w:b/>
          <w:sz w:val="18"/>
          <w:szCs w:val="18"/>
        </w:rPr>
      </w:pPr>
      <w:r w:rsidRPr="00BA0200">
        <w:rPr>
          <w:b/>
          <w:sz w:val="18"/>
          <w:szCs w:val="18"/>
        </w:rPr>
        <w:t>Contact</w:t>
      </w:r>
    </w:p>
    <w:p w:rsidR="00824850" w:rsidRPr="00BA0200" w:rsidP="00824850" w14:paraId="60F8C1D2" w14:textId="2F167FF8">
      <w:pPr>
        <w:spacing w:after="0"/>
        <w:rPr>
          <w:b/>
          <w:sz w:val="18"/>
          <w:szCs w:val="18"/>
        </w:rPr>
      </w:pPr>
      <w:r w:rsidRPr="00BA0200">
        <w:rPr>
          <w:sz w:val="18"/>
          <w:szCs w:val="18"/>
        </w:rPr>
        <w:t xml:space="preserve">Australian Government Department of </w:t>
      </w:r>
      <w:r w:rsidR="005A09A0">
        <w:rPr>
          <w:sz w:val="18"/>
          <w:szCs w:val="18"/>
        </w:rPr>
        <w:t>Climate Change, Energy, the Environment and</w:t>
      </w:r>
      <w:r w:rsidRPr="00BA0200">
        <w:rPr>
          <w:sz w:val="18"/>
          <w:szCs w:val="18"/>
        </w:rPr>
        <w:t xml:space="preserve"> Water </w:t>
      </w:r>
    </w:p>
    <w:p w:rsidR="001C0D1C" w:rsidRPr="00BA0200" w:rsidP="00824850" w14:paraId="423077BF" w14:textId="77777777">
      <w:pPr>
        <w:spacing w:after="0"/>
        <w:rPr>
          <w:b/>
          <w:sz w:val="18"/>
          <w:szCs w:val="18"/>
        </w:rPr>
      </w:pPr>
      <w:r w:rsidRPr="00BA0200">
        <w:rPr>
          <w:sz w:val="18"/>
          <w:szCs w:val="18"/>
        </w:rPr>
        <w:t>GPO Box 858 Canberra ACT 2601</w:t>
      </w:r>
    </w:p>
    <w:p w:rsidR="001C0D1C" w:rsidRPr="00BA0200" w:rsidP="00824850" w14:paraId="586EA7C9" w14:textId="607E4C6D">
      <w:pPr>
        <w:spacing w:after="0"/>
        <w:rPr>
          <w:sz w:val="18"/>
          <w:szCs w:val="18"/>
        </w:rPr>
      </w:pPr>
      <w:r>
        <w:rPr>
          <w:sz w:val="18"/>
          <w:szCs w:val="18"/>
        </w:rPr>
        <w:t>General enquiries:</w:t>
      </w:r>
      <w:r w:rsidRPr="00BA0200" w:rsidR="003B398F">
        <w:rPr>
          <w:sz w:val="18"/>
          <w:szCs w:val="18"/>
        </w:rPr>
        <w:t xml:space="preserve"> 1800 </w:t>
      </w:r>
      <w:r>
        <w:rPr>
          <w:sz w:val="18"/>
          <w:szCs w:val="18"/>
        </w:rPr>
        <w:t>920 528</w:t>
      </w:r>
    </w:p>
    <w:p w:rsidR="001C0D1C" w:rsidRPr="00BA0200" w:rsidP="00824850" w14:paraId="2827BC36" w14:textId="6799AE18">
      <w:pPr>
        <w:spacing w:after="120"/>
        <w:rPr>
          <w:sz w:val="18"/>
          <w:szCs w:val="18"/>
        </w:rPr>
      </w:pPr>
      <w:r w:rsidRPr="00BA0200">
        <w:rPr>
          <w:sz w:val="18"/>
          <w:szCs w:val="18"/>
        </w:rPr>
        <w:t xml:space="preserve">Email </w:t>
      </w:r>
      <w:r>
        <w:fldChar w:fldCharType="begin"/>
      </w:r>
      <w:r>
        <w:instrText xml:space="preserve"> HYPERLINK "mailto:waterquality@dcceew.gov.au" </w:instrText>
      </w:r>
      <w:r>
        <w:fldChar w:fldCharType="separate"/>
      </w:r>
      <w:r w:rsidRPr="00051910" w:rsidR="003E0104">
        <w:rPr>
          <w:rStyle w:val="Hyperlink"/>
          <w:sz w:val="18"/>
          <w:szCs w:val="18"/>
        </w:rPr>
        <w:t>waterquality@dcceew.gov.au</w:t>
      </w:r>
      <w:r>
        <w:fldChar w:fldCharType="end"/>
      </w:r>
    </w:p>
    <w:p w:rsidR="001C0D1C" w:rsidRPr="00BA0200" w14:paraId="176C3691" w14:textId="77777777">
      <w:pPr>
        <w:spacing w:after="0"/>
        <w:rPr>
          <w:rFonts w:ascii="Calibri" w:hAnsi="Calibri"/>
          <w:b/>
          <w:sz w:val="18"/>
          <w:szCs w:val="18"/>
        </w:rPr>
      </w:pPr>
      <w:r w:rsidRPr="00BA0200">
        <w:rPr>
          <w:rFonts w:ascii="Calibri" w:hAnsi="Calibri"/>
          <w:b/>
          <w:sz w:val="18"/>
          <w:szCs w:val="18"/>
        </w:rPr>
        <w:t>Liability</w:t>
      </w:r>
    </w:p>
    <w:p w:rsidR="001C0D1C" w14:paraId="2D760F13" w14:textId="77777777">
      <w:pPr>
        <w:rPr>
          <w:sz w:val="18"/>
          <w:szCs w:val="18"/>
        </w:rPr>
      </w:pPr>
      <w:r w:rsidRPr="00BA0200">
        <w:rPr>
          <w:sz w:val="18"/>
          <w:szCs w:val="18"/>
        </w:rPr>
        <w:t xml:space="preserve">The </w:t>
      </w:r>
      <w:r w:rsidRPr="00BA0200" w:rsidR="00740624">
        <w:rPr>
          <w:sz w:val="18"/>
          <w:szCs w:val="18"/>
        </w:rPr>
        <w:t>authors of this publication, all other entities associated with funding this publication or preparing and compiling this publication, and the publisher of this publication, and their e</w:t>
      </w:r>
      <w:r w:rsidRPr="00BA0200">
        <w:rPr>
          <w:sz w:val="18"/>
          <w:szCs w:val="18"/>
        </w:rPr>
        <w:t>mployees and advisers</w:t>
      </w:r>
      <w:r w:rsidRPr="00BA0200" w:rsidR="00740624">
        <w:rPr>
          <w:sz w:val="18"/>
          <w:szCs w:val="18"/>
        </w:rPr>
        <w:t>,</w:t>
      </w:r>
      <w:r w:rsidRPr="00BA0200">
        <w:rPr>
          <w:sz w:val="18"/>
          <w:szCs w:val="18"/>
        </w:rPr>
        <w:t xml:space="preserve">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0D1B24" w:rsidRPr="000D1B24" w:rsidP="000D1B24" w14:paraId="7842ED7E" w14:textId="53B6D136">
      <w:pPr>
        <w:spacing w:after="0"/>
        <w:rPr>
          <w:b/>
          <w:sz w:val="18"/>
          <w:szCs w:val="18"/>
        </w:rPr>
      </w:pPr>
      <w:r w:rsidRPr="000D1B24">
        <w:rPr>
          <w:b/>
          <w:sz w:val="18"/>
          <w:szCs w:val="18"/>
        </w:rPr>
        <w:t>Acknowledgements</w:t>
      </w:r>
    </w:p>
    <w:p w:rsidR="000D1B24" w14:paraId="5AB7AEB9" w14:textId="5328DC61">
      <w:pPr>
        <w:rPr>
          <w:sz w:val="18"/>
          <w:szCs w:val="18"/>
        </w:rPr>
      </w:pPr>
      <w:r>
        <w:rPr>
          <w:sz w:val="18"/>
          <w:szCs w:val="18"/>
        </w:rPr>
        <w:t xml:space="preserve">This guidance document was </w:t>
      </w:r>
      <w:r w:rsidR="007E70BD">
        <w:rPr>
          <w:sz w:val="18"/>
          <w:szCs w:val="18"/>
        </w:rPr>
        <w:t>prepared</w:t>
      </w:r>
      <w:r>
        <w:rPr>
          <w:sz w:val="18"/>
          <w:szCs w:val="18"/>
        </w:rPr>
        <w:t xml:space="preserve"> by Dr Ross Smith (Hydr</w:t>
      </w:r>
      <w:r w:rsidR="009B2BE3">
        <w:rPr>
          <w:sz w:val="18"/>
          <w:szCs w:val="18"/>
        </w:rPr>
        <w:t>o</w:t>
      </w:r>
      <w:r>
        <w:rPr>
          <w:sz w:val="18"/>
          <w:szCs w:val="18"/>
        </w:rPr>
        <w:t>biology), Dr Leon Barmuta (University of Tasmania) and Dr</w:t>
      </w:r>
      <w:r w:rsidR="001F2446">
        <w:rPr>
          <w:sz w:val="18"/>
          <w:szCs w:val="18"/>
        </w:rPr>
        <w:t> </w:t>
      </w:r>
      <w:r>
        <w:rPr>
          <w:sz w:val="18"/>
          <w:szCs w:val="18"/>
        </w:rPr>
        <w:t>Graeme Batley (CSIRO)</w:t>
      </w:r>
      <w:r w:rsidR="00C51FDE">
        <w:rPr>
          <w:sz w:val="18"/>
          <w:szCs w:val="18"/>
        </w:rPr>
        <w:t>,</w:t>
      </w:r>
      <w:r w:rsidR="009B2BE3">
        <w:rPr>
          <w:sz w:val="18"/>
          <w:szCs w:val="18"/>
        </w:rPr>
        <w:t xml:space="preserve"> and reviewed by Dr Chris Humphrey (</w:t>
      </w:r>
      <w:r w:rsidR="00ED2B1A">
        <w:rPr>
          <w:sz w:val="18"/>
          <w:szCs w:val="18"/>
        </w:rPr>
        <w:t xml:space="preserve">Office of the </w:t>
      </w:r>
      <w:r w:rsidR="009B2BE3">
        <w:rPr>
          <w:sz w:val="18"/>
          <w:szCs w:val="18"/>
        </w:rPr>
        <w:t xml:space="preserve">Supervising Scientist, </w:t>
      </w:r>
      <w:r w:rsidRPr="00BA0200" w:rsidR="009B2BE3">
        <w:rPr>
          <w:sz w:val="18"/>
          <w:szCs w:val="18"/>
        </w:rPr>
        <w:t xml:space="preserve">Department of </w:t>
      </w:r>
      <w:r w:rsidR="005A09A0">
        <w:rPr>
          <w:sz w:val="18"/>
          <w:szCs w:val="18"/>
        </w:rPr>
        <w:t>Climate Change, Energy, the Environment</w:t>
      </w:r>
      <w:r w:rsidR="009B2BE3">
        <w:rPr>
          <w:sz w:val="18"/>
          <w:szCs w:val="18"/>
        </w:rPr>
        <w:t>,</w:t>
      </w:r>
      <w:r w:rsidRPr="00BA0200" w:rsidR="009B2BE3">
        <w:rPr>
          <w:sz w:val="18"/>
          <w:szCs w:val="18"/>
        </w:rPr>
        <w:t xml:space="preserve"> </w:t>
      </w:r>
      <w:r w:rsidR="005A09A0">
        <w:rPr>
          <w:sz w:val="18"/>
          <w:szCs w:val="18"/>
        </w:rPr>
        <w:t xml:space="preserve">and </w:t>
      </w:r>
      <w:r w:rsidRPr="00BA0200" w:rsidR="009B2BE3">
        <w:rPr>
          <w:sz w:val="18"/>
          <w:szCs w:val="18"/>
        </w:rPr>
        <w:t>Water</w:t>
      </w:r>
      <w:r w:rsidR="009B2BE3">
        <w:rPr>
          <w:sz w:val="18"/>
          <w:szCs w:val="18"/>
        </w:rPr>
        <w:t>) and contracted technical advisor Dr Rick van Dam (WQadvice).</w:t>
      </w:r>
      <w:r w:rsidR="002B57BE">
        <w:rPr>
          <w:sz w:val="18"/>
          <w:szCs w:val="18"/>
        </w:rPr>
        <w:t xml:space="preserve"> The document was also reviewed and approved by jurisdictional technical and policy oversight groups prior to being published.</w:t>
      </w:r>
    </w:p>
    <w:p w:rsidR="001C0D1C" w:rsidRPr="002B57BE" w14:paraId="4F50043B" w14:textId="4B7E0E7D">
      <w:pPr>
        <w:rPr>
          <w:sz w:val="18"/>
          <w:szCs w:val="18"/>
          <w:highlight w:val="yellow"/>
        </w:rPr>
      </w:pPr>
      <w:r w:rsidRPr="000D1B24">
        <w:rPr>
          <w:noProof/>
          <w:sz w:val="18"/>
          <w:szCs w:val="18"/>
          <w:lang w:eastAsia="en-AU"/>
        </w:rPr>
        <w:drawing>
          <wp:inline distT="0" distB="0" distL="0" distR="0">
            <wp:extent cx="5755522" cy="1658111"/>
            <wp:effectExtent l="0" t="0" r="0" b="5715"/>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84426" name="DA2834_1216_Water Quality state logos.jpg"/>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rcRect t="27031" b="1"/>
                    <a:stretch>
                      <a:fillRect/>
                    </a:stretch>
                  </pic:blipFill>
                  <pic:spPr bwMode="auto">
                    <a:xfrm>
                      <a:off x="0" y="0"/>
                      <a:ext cx="5759450" cy="165924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r w:rsidRPr="0025303D">
        <w:rPr>
          <w:highlight w:val="yellow"/>
        </w:rPr>
        <w:br w:type="page"/>
      </w:r>
    </w:p>
    <w:p w:rsidR="001C0D1C" w:rsidRPr="00242FA4" w14:paraId="4BBF2845" w14:textId="77777777">
      <w:pPr>
        <w:pStyle w:val="TOCHeading"/>
      </w:pPr>
      <w:r w:rsidRPr="00242FA4">
        <w:t>Contents</w:t>
      </w:r>
    </w:p>
    <w:p w:rsidR="00951850" w14:paraId="09DA02E9" w14:textId="30B3EBD6">
      <w:pPr>
        <w:pStyle w:val="TOC1"/>
        <w:rPr>
          <w:rFonts w:eastAsiaTheme="minorEastAsia"/>
          <w:b w:val="0"/>
          <w:kern w:val="2"/>
          <w:sz w:val="24"/>
          <w:szCs w:val="24"/>
          <w:lang w:eastAsia="en-GB"/>
          <w14:ligatures w14:val="standardContextual"/>
        </w:rPr>
      </w:pPr>
      <w:r>
        <w:rPr>
          <w:bCs/>
          <w:szCs w:val="24"/>
        </w:rPr>
        <w:fldChar w:fldCharType="begin"/>
      </w:r>
      <w:r>
        <w:rPr>
          <w:bCs/>
          <w:szCs w:val="24"/>
        </w:rPr>
        <w:instrText xml:space="preserve"> TOC \o "1-1" \h \z \t "Heading 2,1,Heading 3,2,Heading 4,3" </w:instrText>
      </w:r>
      <w:r>
        <w:rPr>
          <w:bCs/>
          <w:szCs w:val="24"/>
        </w:rPr>
        <w:fldChar w:fldCharType="separate"/>
      </w:r>
    </w:p>
    <w:p w:rsidR="00951850" w14:paraId="0BAE5E1E" w14:textId="10FE39C0">
      <w:pPr>
        <w:pStyle w:val="TOC1"/>
        <w:rPr>
          <w:rFonts w:eastAsiaTheme="minorEastAsia"/>
          <w:b w:val="0"/>
          <w:kern w:val="2"/>
          <w:sz w:val="24"/>
          <w:szCs w:val="24"/>
          <w:lang w:eastAsia="en-GB"/>
          <w14:ligatures w14:val="standardContextual"/>
        </w:rPr>
      </w:pPr>
      <w:r>
        <w:fldChar w:fldCharType="begin"/>
      </w:r>
      <w:r>
        <w:instrText xml:space="preserve"> HYPERLINK \l "_Toc138332249" </w:instrText>
      </w:r>
      <w:r>
        <w:fldChar w:fldCharType="separate"/>
      </w:r>
      <w:r w:rsidRPr="007755AD">
        <w:rPr>
          <w:rStyle w:val="Hyperlink"/>
        </w:rPr>
        <w:t>Summary</w:t>
      </w:r>
      <w:r>
        <w:rPr>
          <w:webHidden/>
        </w:rPr>
        <w:tab/>
      </w:r>
      <w:r>
        <w:rPr>
          <w:webHidden/>
        </w:rPr>
        <w:fldChar w:fldCharType="begin"/>
      </w:r>
      <w:r>
        <w:rPr>
          <w:webHidden/>
        </w:rPr>
        <w:instrText xml:space="preserve"> PAGEREF _Toc138332249 \h </w:instrText>
      </w:r>
      <w:r>
        <w:rPr>
          <w:webHidden/>
        </w:rPr>
        <w:fldChar w:fldCharType="separate"/>
      </w:r>
      <w:r w:rsidR="008A285F">
        <w:rPr>
          <w:webHidden/>
        </w:rPr>
        <w:t>iv</w:t>
      </w:r>
      <w:r>
        <w:rPr>
          <w:webHidden/>
        </w:rPr>
        <w:fldChar w:fldCharType="end"/>
      </w:r>
      <w:r>
        <w:fldChar w:fldCharType="end"/>
      </w:r>
    </w:p>
    <w:p w:rsidR="00951850" w14:paraId="3B5D6497" w14:textId="75B3063C">
      <w:pPr>
        <w:pStyle w:val="TOC1"/>
        <w:rPr>
          <w:rFonts w:eastAsiaTheme="minorEastAsia"/>
          <w:b w:val="0"/>
          <w:kern w:val="2"/>
          <w:sz w:val="24"/>
          <w:szCs w:val="24"/>
          <w:lang w:eastAsia="en-GB"/>
          <w14:ligatures w14:val="standardContextual"/>
        </w:rPr>
      </w:pPr>
      <w:r>
        <w:fldChar w:fldCharType="begin"/>
      </w:r>
      <w:r>
        <w:instrText xml:space="preserve"> HYPERLINK \l "_Toc138332250" </w:instrText>
      </w:r>
      <w:r>
        <w:fldChar w:fldCharType="separate"/>
      </w:r>
      <w:r w:rsidRPr="007755AD">
        <w:rPr>
          <w:rStyle w:val="Hyperlink"/>
        </w:rPr>
        <w:t>1</w:t>
      </w:r>
      <w:r>
        <w:rPr>
          <w:rFonts w:eastAsiaTheme="minorEastAsia"/>
          <w:b w:val="0"/>
          <w:kern w:val="2"/>
          <w:sz w:val="24"/>
          <w:szCs w:val="24"/>
          <w:lang w:eastAsia="en-GB"/>
          <w14:ligatures w14:val="standardContextual"/>
        </w:rPr>
        <w:tab/>
      </w:r>
      <w:r w:rsidRPr="007755AD">
        <w:rPr>
          <w:rStyle w:val="Hyperlink"/>
        </w:rPr>
        <w:t>Introduction</w:t>
      </w:r>
      <w:r>
        <w:rPr>
          <w:webHidden/>
        </w:rPr>
        <w:tab/>
      </w:r>
      <w:r>
        <w:rPr>
          <w:webHidden/>
        </w:rPr>
        <w:fldChar w:fldCharType="begin"/>
      </w:r>
      <w:r>
        <w:rPr>
          <w:webHidden/>
        </w:rPr>
        <w:instrText xml:space="preserve"> PAGEREF _Toc138332250 \h </w:instrText>
      </w:r>
      <w:r>
        <w:rPr>
          <w:webHidden/>
        </w:rPr>
        <w:fldChar w:fldCharType="separate"/>
      </w:r>
      <w:r w:rsidR="008A285F">
        <w:rPr>
          <w:webHidden/>
        </w:rPr>
        <w:t>1</w:t>
      </w:r>
      <w:r>
        <w:rPr>
          <w:webHidden/>
        </w:rPr>
        <w:fldChar w:fldCharType="end"/>
      </w:r>
      <w:r>
        <w:fldChar w:fldCharType="end"/>
      </w:r>
    </w:p>
    <w:p w:rsidR="00951850" w14:paraId="08E8B778" w14:textId="40CDBB03">
      <w:pPr>
        <w:pStyle w:val="TOC1"/>
        <w:rPr>
          <w:rFonts w:eastAsiaTheme="minorEastAsia"/>
          <w:b w:val="0"/>
          <w:kern w:val="2"/>
          <w:sz w:val="24"/>
          <w:szCs w:val="24"/>
          <w:lang w:eastAsia="en-GB"/>
          <w14:ligatures w14:val="standardContextual"/>
        </w:rPr>
      </w:pPr>
      <w:r>
        <w:fldChar w:fldCharType="begin"/>
      </w:r>
      <w:r>
        <w:instrText xml:space="preserve"> HYPERLINK \l "_Toc138332251" </w:instrText>
      </w:r>
      <w:r>
        <w:fldChar w:fldCharType="separate"/>
      </w:r>
      <w:r w:rsidRPr="007755AD">
        <w:rPr>
          <w:rStyle w:val="Hyperlink"/>
        </w:rPr>
        <w:t>2</w:t>
      </w:r>
      <w:r>
        <w:rPr>
          <w:rFonts w:eastAsiaTheme="minorEastAsia"/>
          <w:b w:val="0"/>
          <w:kern w:val="2"/>
          <w:sz w:val="24"/>
          <w:szCs w:val="24"/>
          <w:lang w:eastAsia="en-GB"/>
          <w14:ligatures w14:val="standardContextual"/>
        </w:rPr>
        <w:tab/>
      </w:r>
      <w:r w:rsidRPr="007755AD">
        <w:rPr>
          <w:rStyle w:val="Hyperlink"/>
        </w:rPr>
        <w:t>Selecting indicators</w:t>
      </w:r>
      <w:r>
        <w:rPr>
          <w:webHidden/>
        </w:rPr>
        <w:tab/>
      </w:r>
      <w:r>
        <w:rPr>
          <w:webHidden/>
        </w:rPr>
        <w:fldChar w:fldCharType="begin"/>
      </w:r>
      <w:r>
        <w:rPr>
          <w:webHidden/>
        </w:rPr>
        <w:instrText xml:space="preserve"> PAGEREF _Toc138332251 \h </w:instrText>
      </w:r>
      <w:r>
        <w:rPr>
          <w:webHidden/>
        </w:rPr>
        <w:fldChar w:fldCharType="separate"/>
      </w:r>
      <w:r w:rsidR="008A285F">
        <w:rPr>
          <w:webHidden/>
        </w:rPr>
        <w:t>3</w:t>
      </w:r>
      <w:r>
        <w:rPr>
          <w:webHidden/>
        </w:rPr>
        <w:fldChar w:fldCharType="end"/>
      </w:r>
      <w:r>
        <w:fldChar w:fldCharType="end"/>
      </w:r>
    </w:p>
    <w:p w:rsidR="00951850" w14:paraId="62D33C6D" w14:textId="3090BA65">
      <w:pPr>
        <w:pStyle w:val="TOC1"/>
        <w:rPr>
          <w:rFonts w:eastAsiaTheme="minorEastAsia"/>
          <w:b w:val="0"/>
          <w:kern w:val="2"/>
          <w:sz w:val="24"/>
          <w:szCs w:val="24"/>
          <w:lang w:eastAsia="en-GB"/>
          <w14:ligatures w14:val="standardContextual"/>
        </w:rPr>
      </w:pPr>
      <w:r>
        <w:fldChar w:fldCharType="begin"/>
      </w:r>
      <w:r>
        <w:instrText xml:space="preserve"> HYPERLINK \l "_Toc138332252" </w:instrText>
      </w:r>
      <w:r>
        <w:fldChar w:fldCharType="separate"/>
      </w:r>
      <w:r w:rsidRPr="007755AD">
        <w:rPr>
          <w:rStyle w:val="Hyperlink"/>
        </w:rPr>
        <w:t>3</w:t>
      </w:r>
      <w:r>
        <w:rPr>
          <w:rFonts w:eastAsiaTheme="minorEastAsia"/>
          <w:b w:val="0"/>
          <w:kern w:val="2"/>
          <w:sz w:val="24"/>
          <w:szCs w:val="24"/>
          <w:lang w:eastAsia="en-GB"/>
          <w14:ligatures w14:val="standardContextual"/>
        </w:rPr>
        <w:tab/>
      </w:r>
      <w:r w:rsidRPr="007755AD">
        <w:rPr>
          <w:rStyle w:val="Hyperlink"/>
        </w:rPr>
        <w:t>Ecosystem receptor lines of evidence and their indicators</w:t>
      </w:r>
      <w:r>
        <w:rPr>
          <w:webHidden/>
        </w:rPr>
        <w:tab/>
      </w:r>
      <w:r>
        <w:rPr>
          <w:webHidden/>
        </w:rPr>
        <w:fldChar w:fldCharType="begin"/>
      </w:r>
      <w:r>
        <w:rPr>
          <w:webHidden/>
        </w:rPr>
        <w:instrText xml:space="preserve"> PAGEREF _Toc138332252 \h </w:instrText>
      </w:r>
      <w:r>
        <w:rPr>
          <w:webHidden/>
        </w:rPr>
        <w:fldChar w:fldCharType="separate"/>
      </w:r>
      <w:r w:rsidR="008A285F">
        <w:rPr>
          <w:webHidden/>
        </w:rPr>
        <w:t>9</w:t>
      </w:r>
      <w:r>
        <w:rPr>
          <w:webHidden/>
        </w:rPr>
        <w:fldChar w:fldCharType="end"/>
      </w:r>
      <w:r>
        <w:fldChar w:fldCharType="end"/>
      </w:r>
    </w:p>
    <w:p w:rsidR="00951850" w14:paraId="5CC20686" w14:textId="5AB95F52">
      <w:pPr>
        <w:pStyle w:val="TOC2"/>
        <w:tabs>
          <w:tab w:val="left" w:pos="960"/>
        </w:tabs>
        <w:rPr>
          <w:rFonts w:eastAsiaTheme="minorEastAsia"/>
          <w:kern w:val="2"/>
          <w:sz w:val="24"/>
          <w:szCs w:val="24"/>
          <w:lang w:eastAsia="en-GB"/>
          <w14:ligatures w14:val="standardContextual"/>
        </w:rPr>
      </w:pPr>
      <w:r>
        <w:fldChar w:fldCharType="begin"/>
      </w:r>
      <w:r>
        <w:instrText xml:space="preserve"> HYPERLINK \l "_Toc138332253" </w:instrText>
      </w:r>
      <w:r>
        <w:fldChar w:fldCharType="separate"/>
      </w:r>
      <w:r w:rsidRPr="007755AD">
        <w:rPr>
          <w:rStyle w:val="Hyperlink"/>
        </w:rPr>
        <w:t>3.1</w:t>
      </w:r>
      <w:r>
        <w:rPr>
          <w:rFonts w:eastAsiaTheme="minorEastAsia"/>
          <w:kern w:val="2"/>
          <w:sz w:val="24"/>
          <w:szCs w:val="24"/>
          <w:lang w:eastAsia="en-GB"/>
          <w14:ligatures w14:val="standardContextual"/>
        </w:rPr>
        <w:tab/>
      </w:r>
      <w:r w:rsidRPr="007755AD">
        <w:rPr>
          <w:rStyle w:val="Hyperlink"/>
        </w:rPr>
        <w:t>Biodiversity</w:t>
      </w:r>
      <w:r>
        <w:rPr>
          <w:webHidden/>
        </w:rPr>
        <w:tab/>
      </w:r>
      <w:r>
        <w:rPr>
          <w:webHidden/>
        </w:rPr>
        <w:fldChar w:fldCharType="begin"/>
      </w:r>
      <w:r>
        <w:rPr>
          <w:webHidden/>
        </w:rPr>
        <w:instrText xml:space="preserve"> PAGEREF _Toc138332253 \h </w:instrText>
      </w:r>
      <w:r>
        <w:rPr>
          <w:webHidden/>
        </w:rPr>
        <w:fldChar w:fldCharType="separate"/>
      </w:r>
      <w:r w:rsidR="008A285F">
        <w:rPr>
          <w:webHidden/>
        </w:rPr>
        <w:t>9</w:t>
      </w:r>
      <w:r>
        <w:rPr>
          <w:webHidden/>
        </w:rPr>
        <w:fldChar w:fldCharType="end"/>
      </w:r>
      <w:r>
        <w:fldChar w:fldCharType="end"/>
      </w:r>
    </w:p>
    <w:p w:rsidR="00951850" w14:paraId="1A813639" w14:textId="28D36162">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"_Toc138332254" </w:instrText>
      </w:r>
      <w:r>
        <w:fldChar w:fldCharType="separate"/>
      </w:r>
      <w:r w:rsidRPr="007755AD">
        <w:rPr>
          <w:rStyle w:val="Hyperlink"/>
        </w:rPr>
        <w:t>3.1.1</w:t>
      </w:r>
      <w:r>
        <w:rPr>
          <w:rFonts w:eastAsiaTheme="minorEastAsia"/>
          <w:kern w:val="2"/>
          <w:sz w:val="24"/>
          <w:szCs w:val="24"/>
          <w:lang w:eastAsia="en-GB"/>
          <w14:ligatures w14:val="standardContextual"/>
        </w:rPr>
        <w:tab/>
      </w:r>
      <w:r w:rsidRPr="007755AD">
        <w:rPr>
          <w:rStyle w:val="Hyperlink"/>
        </w:rPr>
        <w:t>Population-level indicators</w:t>
      </w:r>
      <w:r>
        <w:rPr>
          <w:webHidden/>
        </w:rPr>
        <w:tab/>
      </w:r>
      <w:r>
        <w:rPr>
          <w:webHidden/>
        </w:rPr>
        <w:fldChar w:fldCharType="begin"/>
      </w:r>
      <w:r>
        <w:rPr>
          <w:webHidden/>
        </w:rPr>
        <w:instrText xml:space="preserve"> PAGEREF _Toc138332254 \h </w:instrText>
      </w:r>
      <w:r>
        <w:rPr>
          <w:webHidden/>
        </w:rPr>
        <w:fldChar w:fldCharType="separate"/>
      </w:r>
      <w:r w:rsidR="008A285F">
        <w:rPr>
          <w:webHidden/>
        </w:rPr>
        <w:t>9</w:t>
      </w:r>
      <w:r>
        <w:rPr>
          <w:webHidden/>
        </w:rPr>
        <w:fldChar w:fldCharType="end"/>
      </w:r>
      <w:r>
        <w:fldChar w:fldCharType="end"/>
      </w:r>
    </w:p>
    <w:p w:rsidR="00951850" w14:paraId="6A09DFA1" w14:textId="02B5D502">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"_Toc138332255" </w:instrText>
      </w:r>
      <w:r>
        <w:fldChar w:fldCharType="separate"/>
      </w:r>
      <w:r w:rsidRPr="007755AD">
        <w:rPr>
          <w:rStyle w:val="Hyperlink"/>
        </w:rPr>
        <w:t>3.1.2</w:t>
      </w:r>
      <w:r>
        <w:rPr>
          <w:rFonts w:eastAsiaTheme="minorEastAsia"/>
          <w:kern w:val="2"/>
          <w:sz w:val="24"/>
          <w:szCs w:val="24"/>
          <w:lang w:eastAsia="en-GB"/>
          <w14:ligatures w14:val="standardContextual"/>
        </w:rPr>
        <w:tab/>
      </w:r>
      <w:r w:rsidRPr="007755AD">
        <w:rPr>
          <w:rStyle w:val="Hyperlink"/>
        </w:rPr>
        <w:t>Community-level indicators</w:t>
      </w:r>
      <w:r>
        <w:rPr>
          <w:webHidden/>
        </w:rPr>
        <w:tab/>
      </w:r>
      <w:r>
        <w:rPr>
          <w:webHidden/>
        </w:rPr>
        <w:fldChar w:fldCharType="begin"/>
      </w:r>
      <w:r>
        <w:rPr>
          <w:webHidden/>
        </w:rPr>
        <w:instrText xml:space="preserve"> PAGEREF _Toc138332255 \h </w:instrText>
      </w:r>
      <w:r>
        <w:rPr>
          <w:webHidden/>
        </w:rPr>
        <w:fldChar w:fldCharType="separate"/>
      </w:r>
      <w:r w:rsidR="008A285F">
        <w:rPr>
          <w:webHidden/>
        </w:rPr>
        <w:t>10</w:t>
      </w:r>
      <w:r>
        <w:rPr>
          <w:webHidden/>
        </w:rPr>
        <w:fldChar w:fldCharType="end"/>
      </w:r>
      <w:r>
        <w:fldChar w:fldCharType="end"/>
      </w:r>
    </w:p>
    <w:p w:rsidR="00951850" w14:paraId="17D502CD" w14:textId="2596A7CB">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"_Toc138332256" </w:instrText>
      </w:r>
      <w:r>
        <w:fldChar w:fldCharType="separate"/>
      </w:r>
      <w:r w:rsidRPr="007755AD">
        <w:rPr>
          <w:rStyle w:val="Hyperlink"/>
        </w:rPr>
        <w:t>3.1.3</w:t>
      </w:r>
      <w:r>
        <w:rPr>
          <w:rFonts w:eastAsiaTheme="minorEastAsia"/>
          <w:kern w:val="2"/>
          <w:sz w:val="24"/>
          <w:szCs w:val="24"/>
          <w:lang w:eastAsia="en-GB"/>
          <w14:ligatures w14:val="standardContextual"/>
        </w:rPr>
        <w:tab/>
      </w:r>
      <w:r w:rsidRPr="007755AD">
        <w:rPr>
          <w:rStyle w:val="Hyperlink"/>
        </w:rPr>
        <w:t>Ecosystem function indicators</w:t>
      </w:r>
      <w:r>
        <w:rPr>
          <w:webHidden/>
        </w:rPr>
        <w:tab/>
      </w:r>
      <w:r>
        <w:rPr>
          <w:webHidden/>
        </w:rPr>
        <w:fldChar w:fldCharType="begin"/>
      </w:r>
      <w:r>
        <w:rPr>
          <w:webHidden/>
        </w:rPr>
        <w:instrText xml:space="preserve"> PAGEREF _Toc138332256 \h </w:instrText>
      </w:r>
      <w:r>
        <w:rPr>
          <w:webHidden/>
        </w:rPr>
        <w:fldChar w:fldCharType="separate"/>
      </w:r>
      <w:r w:rsidR="008A285F">
        <w:rPr>
          <w:webHidden/>
        </w:rPr>
        <w:t>15</w:t>
      </w:r>
      <w:r>
        <w:rPr>
          <w:webHidden/>
        </w:rPr>
        <w:fldChar w:fldCharType="end"/>
      </w:r>
      <w:r>
        <w:fldChar w:fldCharType="end"/>
      </w:r>
    </w:p>
    <w:p w:rsidR="00951850" w14:paraId="61D927BF" w14:textId="3840C39C">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"_Toc138332257" </w:instrText>
      </w:r>
      <w:r>
        <w:fldChar w:fldCharType="separate"/>
      </w:r>
      <w:r w:rsidRPr="007755AD">
        <w:rPr>
          <w:rStyle w:val="Hyperlink"/>
        </w:rPr>
        <w:t>3.1.4</w:t>
      </w:r>
      <w:r>
        <w:rPr>
          <w:rFonts w:eastAsiaTheme="minorEastAsia"/>
          <w:kern w:val="2"/>
          <w:sz w:val="24"/>
          <w:szCs w:val="24"/>
          <w:lang w:eastAsia="en-GB"/>
          <w14:ligatures w14:val="standardContextual"/>
        </w:rPr>
        <w:tab/>
      </w:r>
      <w:r w:rsidRPr="007755AD">
        <w:rPr>
          <w:rStyle w:val="Hyperlink"/>
        </w:rPr>
        <w:t>Additional guidance</w:t>
      </w:r>
      <w:r>
        <w:rPr>
          <w:webHidden/>
        </w:rPr>
        <w:tab/>
      </w:r>
      <w:r>
        <w:rPr>
          <w:webHidden/>
        </w:rPr>
        <w:fldChar w:fldCharType="begin"/>
      </w:r>
      <w:r>
        <w:rPr>
          <w:webHidden/>
        </w:rPr>
        <w:instrText xml:space="preserve"> PAGEREF _Toc138332257 \h </w:instrText>
      </w:r>
      <w:r>
        <w:rPr>
          <w:webHidden/>
        </w:rPr>
        <w:fldChar w:fldCharType="separate"/>
      </w:r>
      <w:r w:rsidR="008A285F">
        <w:rPr>
          <w:webHidden/>
        </w:rPr>
        <w:t>17</w:t>
      </w:r>
      <w:r>
        <w:rPr>
          <w:webHidden/>
        </w:rPr>
        <w:fldChar w:fldCharType="end"/>
      </w:r>
      <w:r>
        <w:fldChar w:fldCharType="end"/>
      </w:r>
    </w:p>
    <w:p w:rsidR="00951850" w14:paraId="62D6A9D8" w14:textId="4E4890AF">
      <w:pPr>
        <w:pStyle w:val="TOC2"/>
        <w:tabs>
          <w:tab w:val="left" w:pos="960"/>
        </w:tabs>
        <w:rPr>
          <w:rFonts w:eastAsiaTheme="minorEastAsia"/>
          <w:kern w:val="2"/>
          <w:sz w:val="24"/>
          <w:szCs w:val="24"/>
          <w:lang w:eastAsia="en-GB"/>
          <w14:ligatures w14:val="standardContextual"/>
        </w:rPr>
      </w:pPr>
      <w:r>
        <w:fldChar w:fldCharType="begin"/>
      </w:r>
      <w:r>
        <w:instrText xml:space="preserve"> HYPERLINK \l "_Toc138332258" </w:instrText>
      </w:r>
      <w:r>
        <w:fldChar w:fldCharType="separate"/>
      </w:r>
      <w:r w:rsidRPr="007755AD">
        <w:rPr>
          <w:rStyle w:val="Hyperlink"/>
        </w:rPr>
        <w:t>3.2</w:t>
      </w:r>
      <w:r>
        <w:rPr>
          <w:rFonts w:eastAsiaTheme="minorEastAsia"/>
          <w:kern w:val="2"/>
          <w:sz w:val="24"/>
          <w:szCs w:val="24"/>
          <w:lang w:eastAsia="en-GB"/>
          <w14:ligatures w14:val="standardContextual"/>
        </w:rPr>
        <w:tab/>
      </w:r>
      <w:r w:rsidRPr="007755AD">
        <w:rPr>
          <w:rStyle w:val="Hyperlink"/>
        </w:rPr>
        <w:t>Toxicity</w:t>
      </w:r>
      <w:r>
        <w:rPr>
          <w:webHidden/>
        </w:rPr>
        <w:tab/>
      </w:r>
      <w:r>
        <w:rPr>
          <w:webHidden/>
        </w:rPr>
        <w:fldChar w:fldCharType="begin"/>
      </w:r>
      <w:r>
        <w:rPr>
          <w:webHidden/>
        </w:rPr>
        <w:instrText xml:space="preserve"> PAGEREF _Toc138332258 \h </w:instrText>
      </w:r>
      <w:r>
        <w:rPr>
          <w:webHidden/>
        </w:rPr>
        <w:fldChar w:fldCharType="separate"/>
      </w:r>
      <w:r w:rsidR="008A285F">
        <w:rPr>
          <w:webHidden/>
        </w:rPr>
        <w:t>17</w:t>
      </w:r>
      <w:r>
        <w:rPr>
          <w:webHidden/>
        </w:rPr>
        <w:fldChar w:fldCharType="end"/>
      </w:r>
      <w:r>
        <w:fldChar w:fldCharType="end"/>
      </w:r>
    </w:p>
    <w:p w:rsidR="00951850" w14:paraId="603EAD0B" w14:textId="420A2168">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"_Toc138332259" </w:instrText>
      </w:r>
      <w:r>
        <w:fldChar w:fldCharType="separate"/>
      </w:r>
      <w:r w:rsidRPr="007755AD">
        <w:rPr>
          <w:rStyle w:val="Hyperlink"/>
        </w:rPr>
        <w:t>3.2.1</w:t>
      </w:r>
      <w:r>
        <w:rPr>
          <w:rFonts w:eastAsiaTheme="minorEastAsia"/>
          <w:kern w:val="2"/>
          <w:sz w:val="24"/>
          <w:szCs w:val="24"/>
          <w:lang w:eastAsia="en-GB"/>
          <w14:ligatures w14:val="standardContextual"/>
        </w:rPr>
        <w:tab/>
      </w:r>
      <w:r w:rsidRPr="007755AD">
        <w:rPr>
          <w:rStyle w:val="Hyperlink"/>
        </w:rPr>
        <w:t>Single-chemical toxicity testing</w:t>
      </w:r>
      <w:r>
        <w:rPr>
          <w:webHidden/>
        </w:rPr>
        <w:tab/>
      </w:r>
      <w:r>
        <w:rPr>
          <w:webHidden/>
        </w:rPr>
        <w:fldChar w:fldCharType="begin"/>
      </w:r>
      <w:r>
        <w:rPr>
          <w:webHidden/>
        </w:rPr>
        <w:instrText xml:space="preserve"> PAGEREF _Toc138332259 \h </w:instrText>
      </w:r>
      <w:r>
        <w:rPr>
          <w:webHidden/>
        </w:rPr>
        <w:fldChar w:fldCharType="separate"/>
      </w:r>
      <w:r w:rsidR="008A285F">
        <w:rPr>
          <w:webHidden/>
        </w:rPr>
        <w:t>17</w:t>
      </w:r>
      <w:r>
        <w:rPr>
          <w:webHidden/>
        </w:rPr>
        <w:fldChar w:fldCharType="end"/>
      </w:r>
      <w:r>
        <w:fldChar w:fldCharType="end"/>
      </w:r>
    </w:p>
    <w:p w:rsidR="00951850" w14:paraId="5F815636" w14:textId="21F02E2B">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"_Toc138332260" </w:instrText>
      </w:r>
      <w:r>
        <w:fldChar w:fldCharType="separate"/>
      </w:r>
      <w:r w:rsidRPr="007755AD">
        <w:rPr>
          <w:rStyle w:val="Hyperlink"/>
        </w:rPr>
        <w:t>3.2.2</w:t>
      </w:r>
      <w:r>
        <w:rPr>
          <w:rFonts w:eastAsiaTheme="minorEastAsia"/>
          <w:kern w:val="2"/>
          <w:sz w:val="24"/>
          <w:szCs w:val="24"/>
          <w:lang w:eastAsia="en-GB"/>
          <w14:ligatures w14:val="standardContextual"/>
        </w:rPr>
        <w:tab/>
      </w:r>
      <w:r w:rsidRPr="007755AD">
        <w:rPr>
          <w:rStyle w:val="Hyperlink"/>
        </w:rPr>
        <w:t>Direct toxicity assessment</w:t>
      </w:r>
      <w:r>
        <w:rPr>
          <w:webHidden/>
        </w:rPr>
        <w:tab/>
      </w:r>
      <w:r>
        <w:rPr>
          <w:webHidden/>
        </w:rPr>
        <w:fldChar w:fldCharType="begin"/>
      </w:r>
      <w:r>
        <w:rPr>
          <w:webHidden/>
        </w:rPr>
        <w:instrText xml:space="preserve"> PAGEREF _Toc138332260 \h </w:instrText>
      </w:r>
      <w:r>
        <w:rPr>
          <w:webHidden/>
        </w:rPr>
        <w:fldChar w:fldCharType="separate"/>
      </w:r>
      <w:r w:rsidR="008A285F">
        <w:rPr>
          <w:webHidden/>
        </w:rPr>
        <w:t>19</w:t>
      </w:r>
      <w:r>
        <w:rPr>
          <w:webHidden/>
        </w:rPr>
        <w:fldChar w:fldCharType="end"/>
      </w:r>
      <w:r>
        <w:fldChar w:fldCharType="end"/>
      </w:r>
    </w:p>
    <w:p w:rsidR="00951850" w14:paraId="7FD53FF0" w14:textId="11F340EC">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"_Toc138332261" </w:instrText>
      </w:r>
      <w:r>
        <w:fldChar w:fldCharType="separate"/>
      </w:r>
      <w:r w:rsidRPr="007755AD">
        <w:rPr>
          <w:rStyle w:val="Hyperlink"/>
        </w:rPr>
        <w:t>3.2.3</w:t>
      </w:r>
      <w:r>
        <w:rPr>
          <w:rFonts w:eastAsiaTheme="minorEastAsia"/>
          <w:kern w:val="2"/>
          <w:sz w:val="24"/>
          <w:szCs w:val="24"/>
          <w:lang w:eastAsia="en-GB"/>
          <w14:ligatures w14:val="standardContextual"/>
        </w:rPr>
        <w:tab/>
      </w:r>
      <w:r w:rsidRPr="007755AD">
        <w:rPr>
          <w:rStyle w:val="Hyperlink"/>
        </w:rPr>
        <w:t>Toxicity testing in sediments</w:t>
      </w:r>
      <w:r>
        <w:rPr>
          <w:webHidden/>
        </w:rPr>
        <w:tab/>
      </w:r>
      <w:r>
        <w:rPr>
          <w:webHidden/>
        </w:rPr>
        <w:fldChar w:fldCharType="begin"/>
      </w:r>
      <w:r>
        <w:rPr>
          <w:webHidden/>
        </w:rPr>
        <w:instrText xml:space="preserve"> PAGEREF _Toc138332261 \h </w:instrText>
      </w:r>
      <w:r>
        <w:rPr>
          <w:webHidden/>
        </w:rPr>
        <w:fldChar w:fldCharType="separate"/>
      </w:r>
      <w:r w:rsidR="008A285F">
        <w:rPr>
          <w:webHidden/>
        </w:rPr>
        <w:t>26</w:t>
      </w:r>
      <w:r>
        <w:rPr>
          <w:webHidden/>
        </w:rPr>
        <w:fldChar w:fldCharType="end"/>
      </w:r>
      <w:r>
        <w:fldChar w:fldCharType="end"/>
      </w:r>
    </w:p>
    <w:p w:rsidR="00951850" w14:paraId="3302D0BA" w14:textId="0C0C3944">
      <w:pPr>
        <w:pStyle w:val="TOC3"/>
        <w:tabs>
          <w:tab w:val="left" w:pos="1680"/>
        </w:tabs>
        <w:rPr>
          <w:rFonts w:eastAsiaTheme="minorEastAsia"/>
          <w:kern w:val="2"/>
          <w:sz w:val="24"/>
          <w:szCs w:val="24"/>
          <w:lang w:eastAsia="en-GB"/>
          <w14:ligatures w14:val="standardContextual"/>
        </w:rPr>
      </w:pPr>
      <w:r>
        <w:fldChar w:fldCharType="begin"/>
      </w:r>
      <w:r>
        <w:instrText xml:space="preserve"> HYPERLINK \l "_Toc138332262" </w:instrText>
      </w:r>
      <w:r>
        <w:fldChar w:fldCharType="separate"/>
      </w:r>
      <w:r w:rsidRPr="007755AD">
        <w:rPr>
          <w:rStyle w:val="Hyperlink"/>
        </w:rPr>
        <w:t>3.2.4</w:t>
      </w:r>
      <w:r>
        <w:rPr>
          <w:rFonts w:eastAsiaTheme="minorEastAsia"/>
          <w:kern w:val="2"/>
          <w:sz w:val="24"/>
          <w:szCs w:val="24"/>
          <w:lang w:eastAsia="en-GB"/>
          <w14:ligatures w14:val="standardContextual"/>
        </w:rPr>
        <w:tab/>
      </w:r>
      <w:r w:rsidRPr="007755AD">
        <w:rPr>
          <w:rStyle w:val="Hyperlink"/>
        </w:rPr>
        <w:t>Semi-field-based assessments of toxicity</w:t>
      </w:r>
      <w:r>
        <w:rPr>
          <w:webHidden/>
        </w:rPr>
        <w:tab/>
      </w:r>
      <w:r>
        <w:rPr>
          <w:webHidden/>
        </w:rPr>
        <w:fldChar w:fldCharType="begin"/>
      </w:r>
      <w:r>
        <w:rPr>
          <w:webHidden/>
        </w:rPr>
        <w:instrText xml:space="preserve"> PAGEREF _Toc138332262 \h </w:instrText>
      </w:r>
      <w:r>
        <w:rPr>
          <w:webHidden/>
        </w:rPr>
        <w:fldChar w:fldCharType="separate"/>
      </w:r>
      <w:r w:rsidR="008A285F">
        <w:rPr>
          <w:webHidden/>
        </w:rPr>
        <w:t>26</w:t>
      </w:r>
      <w:r>
        <w:rPr>
          <w:webHidden/>
        </w:rPr>
        <w:fldChar w:fldCharType="end"/>
      </w:r>
      <w:r>
        <w:fldChar w:fldCharType="end"/>
      </w:r>
    </w:p>
    <w:p w:rsidR="00951850" w14:paraId="0E0E30B0" w14:textId="5D8DCCFD">
      <w:pPr>
        <w:pStyle w:val="TOC2"/>
        <w:tabs>
          <w:tab w:val="left" w:pos="960"/>
        </w:tabs>
        <w:rPr>
          <w:rFonts w:eastAsiaTheme="minorEastAsia"/>
          <w:kern w:val="2"/>
          <w:sz w:val="24"/>
          <w:szCs w:val="24"/>
          <w:lang w:eastAsia="en-GB"/>
          <w14:ligatures w14:val="standardContextual"/>
        </w:rPr>
      </w:pPr>
      <w:r>
        <w:fldChar w:fldCharType="begin"/>
      </w:r>
      <w:r>
        <w:instrText xml:space="preserve"> HYPERLINK \l "_Toc138332263" </w:instrText>
      </w:r>
      <w:r>
        <w:fldChar w:fldCharType="separate"/>
      </w:r>
      <w:r w:rsidRPr="007755AD">
        <w:rPr>
          <w:rStyle w:val="Hyperlink"/>
        </w:rPr>
        <w:t>3.3</w:t>
      </w:r>
      <w:r>
        <w:rPr>
          <w:rFonts w:eastAsiaTheme="minorEastAsia"/>
          <w:kern w:val="2"/>
          <w:sz w:val="24"/>
          <w:szCs w:val="24"/>
          <w:lang w:eastAsia="en-GB"/>
          <w14:ligatures w14:val="standardContextual"/>
        </w:rPr>
        <w:tab/>
      </w:r>
      <w:r w:rsidRPr="007755AD">
        <w:rPr>
          <w:rStyle w:val="Hyperlink"/>
        </w:rPr>
        <w:t>Bioaccumulation</w:t>
      </w:r>
      <w:r>
        <w:rPr>
          <w:webHidden/>
        </w:rPr>
        <w:tab/>
      </w:r>
      <w:r>
        <w:rPr>
          <w:webHidden/>
        </w:rPr>
        <w:fldChar w:fldCharType="begin"/>
      </w:r>
      <w:r>
        <w:rPr>
          <w:webHidden/>
        </w:rPr>
        <w:instrText xml:space="preserve"> PAGEREF _Toc138332263 \h </w:instrText>
      </w:r>
      <w:r>
        <w:rPr>
          <w:webHidden/>
        </w:rPr>
        <w:fldChar w:fldCharType="separate"/>
      </w:r>
      <w:r w:rsidR="008A285F">
        <w:rPr>
          <w:webHidden/>
        </w:rPr>
        <w:t>27</w:t>
      </w:r>
      <w:r>
        <w:rPr>
          <w:webHidden/>
        </w:rPr>
        <w:fldChar w:fldCharType="end"/>
      </w:r>
      <w:r>
        <w:fldChar w:fldCharType="end"/>
      </w:r>
    </w:p>
    <w:p w:rsidR="00951850" w14:paraId="516E7D7E" w14:textId="61C4C926">
      <w:pPr>
        <w:pStyle w:val="TOC2"/>
        <w:tabs>
          <w:tab w:val="left" w:pos="960"/>
        </w:tabs>
        <w:rPr>
          <w:rFonts w:eastAsiaTheme="minorEastAsia"/>
          <w:kern w:val="2"/>
          <w:sz w:val="24"/>
          <w:szCs w:val="24"/>
          <w:lang w:eastAsia="en-GB"/>
          <w14:ligatures w14:val="standardContextual"/>
        </w:rPr>
      </w:pPr>
      <w:r>
        <w:fldChar w:fldCharType="begin"/>
      </w:r>
      <w:r>
        <w:instrText xml:space="preserve"> HYPERLINK \l "_Toc138332264" </w:instrText>
      </w:r>
      <w:r>
        <w:fldChar w:fldCharType="separate"/>
      </w:r>
      <w:r w:rsidRPr="007755AD">
        <w:rPr>
          <w:rStyle w:val="Hyperlink"/>
        </w:rPr>
        <w:t>3.4</w:t>
      </w:r>
      <w:r>
        <w:rPr>
          <w:rFonts w:eastAsiaTheme="minorEastAsia"/>
          <w:kern w:val="2"/>
          <w:sz w:val="24"/>
          <w:szCs w:val="24"/>
          <w:lang w:eastAsia="en-GB"/>
          <w14:ligatures w14:val="standardContextual"/>
        </w:rPr>
        <w:tab/>
      </w:r>
      <w:r w:rsidRPr="007755AD">
        <w:rPr>
          <w:rStyle w:val="Hyperlink"/>
        </w:rPr>
        <w:t>Biomarkers</w:t>
      </w:r>
      <w:r>
        <w:rPr>
          <w:webHidden/>
        </w:rPr>
        <w:tab/>
      </w:r>
      <w:r>
        <w:rPr>
          <w:webHidden/>
        </w:rPr>
        <w:fldChar w:fldCharType="begin"/>
      </w:r>
      <w:r>
        <w:rPr>
          <w:webHidden/>
        </w:rPr>
        <w:instrText xml:space="preserve"> PAGEREF _Toc138332264 \h </w:instrText>
      </w:r>
      <w:r>
        <w:rPr>
          <w:webHidden/>
        </w:rPr>
        <w:fldChar w:fldCharType="separate"/>
      </w:r>
      <w:r w:rsidR="008A285F">
        <w:rPr>
          <w:webHidden/>
        </w:rPr>
        <w:t>29</w:t>
      </w:r>
      <w:r>
        <w:rPr>
          <w:webHidden/>
        </w:rPr>
        <w:fldChar w:fldCharType="end"/>
      </w:r>
      <w:r>
        <w:fldChar w:fldCharType="end"/>
      </w:r>
    </w:p>
    <w:p w:rsidR="00951850" w14:paraId="16D13566" w14:textId="34C3F79B">
      <w:pPr>
        <w:pStyle w:val="TOC1"/>
        <w:rPr>
          <w:rFonts w:eastAsiaTheme="minorEastAsia"/>
          <w:b w:val="0"/>
          <w:kern w:val="2"/>
          <w:sz w:val="24"/>
          <w:szCs w:val="24"/>
          <w:lang w:eastAsia="en-GB"/>
          <w14:ligatures w14:val="standardContextual"/>
        </w:rPr>
      </w:pPr>
      <w:r>
        <w:fldChar w:fldCharType="begin"/>
      </w:r>
      <w:r>
        <w:instrText xml:space="preserve"> HYPERLINK \l "_Toc138332265" </w:instrText>
      </w:r>
      <w:r>
        <w:fldChar w:fldCharType="separate"/>
      </w:r>
      <w:r w:rsidRPr="007755AD">
        <w:rPr>
          <w:rStyle w:val="Hyperlink"/>
        </w:rPr>
        <w:t>4</w:t>
      </w:r>
      <w:r>
        <w:rPr>
          <w:rFonts w:eastAsiaTheme="minorEastAsia"/>
          <w:b w:val="0"/>
          <w:kern w:val="2"/>
          <w:sz w:val="24"/>
          <w:szCs w:val="24"/>
          <w:lang w:eastAsia="en-GB"/>
          <w14:ligatures w14:val="standardContextual"/>
        </w:rPr>
        <w:tab/>
      </w:r>
      <w:r w:rsidRPr="007755AD">
        <w:rPr>
          <w:rStyle w:val="Hyperlink"/>
        </w:rPr>
        <w:t>Summary</w:t>
      </w:r>
      <w:r>
        <w:rPr>
          <w:webHidden/>
        </w:rPr>
        <w:tab/>
      </w:r>
      <w:r>
        <w:rPr>
          <w:webHidden/>
        </w:rPr>
        <w:fldChar w:fldCharType="begin"/>
      </w:r>
      <w:r>
        <w:rPr>
          <w:webHidden/>
        </w:rPr>
        <w:instrText xml:space="preserve"> PAGEREF _Toc138332265 \h </w:instrText>
      </w:r>
      <w:r>
        <w:rPr>
          <w:webHidden/>
        </w:rPr>
        <w:fldChar w:fldCharType="separate"/>
      </w:r>
      <w:r w:rsidR="008A285F">
        <w:rPr>
          <w:webHidden/>
        </w:rPr>
        <w:t>31</w:t>
      </w:r>
      <w:r>
        <w:rPr>
          <w:webHidden/>
        </w:rPr>
        <w:fldChar w:fldCharType="end"/>
      </w:r>
      <w:r>
        <w:fldChar w:fldCharType="end"/>
      </w:r>
    </w:p>
    <w:p w:rsidR="00951850" w14:paraId="72FA4FBC" w14:textId="3466AD1C">
      <w:pPr>
        <w:pStyle w:val="TOC1"/>
        <w:rPr>
          <w:rFonts w:eastAsiaTheme="minorEastAsia"/>
          <w:b w:val="0"/>
          <w:kern w:val="2"/>
          <w:sz w:val="24"/>
          <w:szCs w:val="24"/>
          <w:lang w:eastAsia="en-GB"/>
          <w14:ligatures w14:val="standardContextual"/>
        </w:rPr>
      </w:pPr>
      <w:r>
        <w:fldChar w:fldCharType="begin"/>
      </w:r>
      <w:r>
        <w:instrText xml:space="preserve"> HYPERLINK \l "_Toc138332266" </w:instrText>
      </w:r>
      <w:r>
        <w:fldChar w:fldCharType="separate"/>
      </w:r>
      <w:r w:rsidRPr="007755AD">
        <w:rPr>
          <w:rStyle w:val="Hyperlink"/>
        </w:rPr>
        <w:t>Appendix A: Additional guidance for matching biodiversity indicators to problems</w:t>
      </w:r>
      <w:r>
        <w:rPr>
          <w:webHidden/>
        </w:rPr>
        <w:tab/>
      </w:r>
      <w:r>
        <w:rPr>
          <w:webHidden/>
        </w:rPr>
        <w:fldChar w:fldCharType="begin"/>
      </w:r>
      <w:r>
        <w:rPr>
          <w:webHidden/>
        </w:rPr>
        <w:instrText xml:space="preserve"> PAGEREF _Toc138332266 \h </w:instrText>
      </w:r>
      <w:r>
        <w:rPr>
          <w:webHidden/>
        </w:rPr>
        <w:fldChar w:fldCharType="separate"/>
      </w:r>
      <w:r w:rsidR="008A285F">
        <w:rPr>
          <w:webHidden/>
        </w:rPr>
        <w:t>32</w:t>
      </w:r>
      <w:r>
        <w:rPr>
          <w:webHidden/>
        </w:rPr>
        <w:fldChar w:fldCharType="end"/>
      </w:r>
      <w:r>
        <w:fldChar w:fldCharType="end"/>
      </w:r>
    </w:p>
    <w:p w:rsidR="00951850" w14:paraId="07D1DCA8" w14:textId="7C2423DB">
      <w:pPr>
        <w:pStyle w:val="TOC1"/>
        <w:rPr>
          <w:rFonts w:eastAsiaTheme="minorEastAsia"/>
          <w:b w:val="0"/>
          <w:kern w:val="2"/>
          <w:sz w:val="24"/>
          <w:szCs w:val="24"/>
          <w:lang w:eastAsia="en-GB"/>
          <w14:ligatures w14:val="standardContextual"/>
        </w:rPr>
      </w:pPr>
      <w:r>
        <w:fldChar w:fldCharType="begin"/>
      </w:r>
      <w:r>
        <w:instrText xml:space="preserve"> HYPERLINK \l "_Toc138332267" </w:instrText>
      </w:r>
      <w:r>
        <w:fldChar w:fldCharType="separate"/>
      </w:r>
      <w:r w:rsidRPr="007755AD">
        <w:rPr>
          <w:rStyle w:val="Hyperlink"/>
        </w:rPr>
        <w:t>Glossary and acronyms</w:t>
      </w:r>
      <w:r>
        <w:rPr>
          <w:webHidden/>
        </w:rPr>
        <w:tab/>
      </w:r>
      <w:r>
        <w:rPr>
          <w:webHidden/>
        </w:rPr>
        <w:fldChar w:fldCharType="begin"/>
      </w:r>
      <w:r>
        <w:rPr>
          <w:webHidden/>
        </w:rPr>
        <w:instrText xml:space="preserve"> PAGEREF _Toc138332267 \h </w:instrText>
      </w:r>
      <w:r>
        <w:rPr>
          <w:webHidden/>
        </w:rPr>
        <w:fldChar w:fldCharType="separate"/>
      </w:r>
      <w:r w:rsidR="008A285F">
        <w:rPr>
          <w:webHidden/>
        </w:rPr>
        <w:t>37</w:t>
      </w:r>
      <w:r>
        <w:rPr>
          <w:webHidden/>
        </w:rPr>
        <w:fldChar w:fldCharType="end"/>
      </w:r>
      <w:r>
        <w:fldChar w:fldCharType="end"/>
      </w:r>
    </w:p>
    <w:p w:rsidR="00951850" w14:paraId="190AC82A" w14:textId="094DE690">
      <w:pPr>
        <w:pStyle w:val="TOC1"/>
        <w:rPr>
          <w:rFonts w:eastAsiaTheme="minorEastAsia"/>
          <w:b w:val="0"/>
          <w:kern w:val="2"/>
          <w:sz w:val="24"/>
          <w:szCs w:val="24"/>
          <w:lang w:eastAsia="en-GB"/>
          <w14:ligatures w14:val="standardContextual"/>
        </w:rPr>
      </w:pPr>
      <w:r>
        <w:fldChar w:fldCharType="begin"/>
      </w:r>
      <w:r>
        <w:instrText xml:space="preserve"> HYPERLINK \l "_Toc138332268" </w:instrText>
      </w:r>
      <w:r>
        <w:fldChar w:fldCharType="separate"/>
      </w:r>
      <w:r w:rsidRPr="007755AD">
        <w:rPr>
          <w:rStyle w:val="Hyperlink"/>
        </w:rPr>
        <w:t>References</w:t>
      </w:r>
      <w:r>
        <w:rPr>
          <w:webHidden/>
        </w:rPr>
        <w:tab/>
      </w:r>
      <w:r>
        <w:rPr>
          <w:webHidden/>
        </w:rPr>
        <w:fldChar w:fldCharType="begin"/>
      </w:r>
      <w:r>
        <w:rPr>
          <w:webHidden/>
        </w:rPr>
        <w:instrText xml:space="preserve"> PAGEREF _Toc138332268 \h </w:instrText>
      </w:r>
      <w:r>
        <w:rPr>
          <w:webHidden/>
        </w:rPr>
        <w:fldChar w:fldCharType="separate"/>
      </w:r>
      <w:r w:rsidR="008A285F">
        <w:rPr>
          <w:webHidden/>
        </w:rPr>
        <w:t>39</w:t>
      </w:r>
      <w:r>
        <w:rPr>
          <w:webHidden/>
        </w:rPr>
        <w:fldChar w:fldCharType="end"/>
      </w:r>
      <w:r>
        <w:fldChar w:fldCharType="end"/>
      </w:r>
    </w:p>
    <w:p w:rsidR="001C0D1C" w:rsidRPr="00242FA4" w14:paraId="5F097C3A" w14:textId="4DADB066">
      <w:pPr>
        <w:pStyle w:val="TOCHeading2"/>
      </w:pPr>
      <w:r>
        <w:rPr>
          <w:rFonts w:asciiTheme="minorHAnsi" w:eastAsiaTheme="minorHAnsi" w:hAnsiTheme="minorHAnsi" w:cstheme="minorBidi"/>
          <w:bCs w:val="0"/>
          <w:noProof/>
          <w:color w:val="auto"/>
          <w:sz w:val="22"/>
          <w:szCs w:val="24"/>
          <w:lang w:val="en-AU"/>
        </w:rPr>
        <w:fldChar w:fldCharType="end"/>
      </w:r>
      <w:r w:rsidRPr="00242FA4" w:rsidR="00762679">
        <w:t>Figures</w:t>
      </w:r>
    </w:p>
    <w:p w:rsidR="00951850" w14:paraId="692CE7A6" w14:textId="17694309">
      <w:pPr>
        <w:pStyle w:val="TableofFigures"/>
        <w:tabs>
          <w:tab w:val="right" w:leader="dot" w:pos="9060"/>
        </w:tabs>
        <w:rPr>
          <w:rFonts w:eastAsiaTheme="minorEastAsia"/>
          <w:noProof/>
          <w:kern w:val="2"/>
          <w:sz w:val="24"/>
          <w:szCs w:val="24"/>
          <w:lang w:eastAsia="en-GB"/>
          <w14:ligatures w14:val="standardContextual"/>
        </w:rPr>
      </w:pPr>
      <w:r>
        <w:rPr>
          <w:bCs/>
        </w:rPr>
        <w:fldChar w:fldCharType="begin"/>
      </w:r>
      <w:r>
        <w:rPr>
          <w:bCs/>
        </w:rPr>
        <w:instrText xml:space="preserve"> TOC \h \z \c "Figure" </w:instrText>
      </w:r>
      <w:r>
        <w:rPr>
          <w:bCs/>
        </w:rPr>
        <w:fldChar w:fldCharType="separate"/>
      </w:r>
      <w:r>
        <w:fldChar w:fldCharType="begin"/>
      </w:r>
      <w:r>
        <w:instrText xml:space="preserve"> HYPERLINK \l "_Toc138332269" </w:instrText>
      </w:r>
      <w:r>
        <w:fldChar w:fldCharType="separate"/>
      </w:r>
      <w:r w:rsidRPr="004C2845">
        <w:rPr>
          <w:rStyle w:val="Hyperlink"/>
          <w:noProof/>
        </w:rPr>
        <w:t>Figure 1 Weight-of-evidence process for assessing water and sediment quality</w:t>
      </w:r>
      <w:r>
        <w:rPr>
          <w:noProof/>
          <w:webHidden/>
        </w:rPr>
        <w:tab/>
      </w:r>
      <w:r>
        <w:rPr>
          <w:noProof/>
          <w:webHidden/>
        </w:rPr>
        <w:fldChar w:fldCharType="begin"/>
      </w:r>
      <w:r>
        <w:rPr>
          <w:noProof/>
          <w:webHidden/>
        </w:rPr>
        <w:instrText xml:space="preserve"> PAGEREF _Toc138332269 \h </w:instrText>
      </w:r>
      <w:r>
        <w:rPr>
          <w:noProof/>
          <w:webHidden/>
        </w:rPr>
        <w:fldChar w:fldCharType="separate"/>
      </w:r>
      <w:r w:rsidR="008A285F">
        <w:rPr>
          <w:noProof/>
          <w:webHidden/>
        </w:rPr>
        <w:t>1</w:t>
      </w:r>
      <w:r>
        <w:rPr>
          <w:noProof/>
          <w:webHidden/>
        </w:rPr>
        <w:fldChar w:fldCharType="end"/>
      </w:r>
      <w:r>
        <w:fldChar w:fldCharType="end"/>
      </w:r>
    </w:p>
    <w:p w:rsidR="001C0D1C" w:rsidRPr="00242FA4" w14:paraId="4999A201" w14:textId="7ABFBA45">
      <w:pPr>
        <w:pStyle w:val="TOCHeading2"/>
      </w:pPr>
      <w:r>
        <w:rPr>
          <w:rFonts w:asciiTheme="minorHAnsi" w:eastAsiaTheme="minorHAnsi" w:hAnsiTheme="minorHAnsi" w:cstheme="minorBidi"/>
          <w:bCs w:val="0"/>
          <w:color w:val="auto"/>
          <w:sz w:val="22"/>
          <w:szCs w:val="22"/>
          <w:lang w:val="en-AU"/>
        </w:rPr>
        <w:fldChar w:fldCharType="end"/>
      </w:r>
      <w:r w:rsidRPr="00242FA4">
        <w:t>Tables</w:t>
      </w:r>
    </w:p>
    <w:p w:rsidR="00951850" w14:paraId="35028021" w14:textId="1DB1DF53">
      <w:pPr>
        <w:pStyle w:val="TableofFigures"/>
        <w:tabs>
          <w:tab w:val="right" w:leader="dot" w:pos="9060"/>
        </w:tabs>
        <w:rPr>
          <w:rFonts w:eastAsiaTheme="minorEastAsia"/>
          <w:noProof/>
          <w:kern w:val="2"/>
          <w:sz w:val="24"/>
          <w:szCs w:val="24"/>
          <w:lang w:eastAsia="en-GB"/>
          <w14:ligatures w14:val="standardContextual"/>
        </w:rPr>
      </w:pPr>
      <w:r>
        <w:rPr>
          <w:szCs w:val="24"/>
        </w:rPr>
        <w:fldChar w:fldCharType="begin"/>
      </w:r>
      <w:r>
        <w:rPr>
          <w:szCs w:val="24"/>
        </w:rPr>
        <w:instrText xml:space="preserve"> TOC \h \z \c "Table" </w:instrText>
      </w:r>
      <w:r>
        <w:rPr>
          <w:szCs w:val="24"/>
        </w:rPr>
        <w:fldChar w:fldCharType="separate"/>
      </w:r>
      <w:r>
        <w:fldChar w:fldCharType="begin"/>
      </w:r>
      <w:r>
        <w:instrText xml:space="preserve"> HYPERLINK \l "_Toc138332274" </w:instrText>
      </w:r>
      <w:r>
        <w:fldChar w:fldCharType="separate"/>
      </w:r>
      <w:r w:rsidRPr="00667749">
        <w:rPr>
          <w:rStyle w:val="Hyperlink"/>
          <w:noProof/>
        </w:rPr>
        <w:t>Table 1 Broad indicator types, suitable scenarios and examples for assessing biodiversity, conservation status and ecosystem-level responses</w:t>
      </w:r>
      <w:r>
        <w:rPr>
          <w:noProof/>
          <w:webHidden/>
        </w:rPr>
        <w:tab/>
      </w:r>
      <w:r>
        <w:rPr>
          <w:noProof/>
          <w:webHidden/>
        </w:rPr>
        <w:fldChar w:fldCharType="begin"/>
      </w:r>
      <w:r>
        <w:rPr>
          <w:noProof/>
          <w:webHidden/>
        </w:rPr>
        <w:instrText xml:space="preserve"> PAGEREF _Toc138332274 \h </w:instrText>
      </w:r>
      <w:r>
        <w:rPr>
          <w:noProof/>
          <w:webHidden/>
        </w:rPr>
        <w:fldChar w:fldCharType="separate"/>
      </w:r>
      <w:r w:rsidR="008A285F">
        <w:rPr>
          <w:noProof/>
          <w:webHidden/>
        </w:rPr>
        <w:t>6</w:t>
      </w:r>
      <w:r>
        <w:rPr>
          <w:noProof/>
          <w:webHidden/>
        </w:rPr>
        <w:fldChar w:fldCharType="end"/>
      </w:r>
      <w:r>
        <w:fldChar w:fldCharType="end"/>
      </w:r>
    </w:p>
    <w:p w:rsidR="005E58F3" w:rsidP="005E58F3" w14:paraId="61B55834" w14:textId="3BFA35F3">
      <w:pPr>
        <w:pStyle w:val="TOCHeading2"/>
        <w:rPr>
          <w:bCs w:val="0"/>
          <w:szCs w:val="24"/>
        </w:rPr>
      </w:pPr>
      <w:r>
        <w:rPr>
          <w:rFonts w:asciiTheme="minorHAnsi" w:eastAsiaTheme="minorHAnsi" w:hAnsiTheme="minorHAnsi" w:cstheme="minorBidi"/>
          <w:color w:val="auto"/>
          <w:sz w:val="22"/>
          <w:szCs w:val="24"/>
          <w:lang w:val="en-AU"/>
        </w:rPr>
        <w:fldChar w:fldCharType="end"/>
      </w:r>
      <w:r>
        <w:rPr>
          <w:bCs w:val="0"/>
          <w:szCs w:val="24"/>
        </w:rPr>
        <w:t>Appendix tables</w:t>
      </w:r>
    </w:p>
    <w:p w:rsidR="00951850" w14:paraId="019D6938" w14:textId="32A11634">
      <w:pPr>
        <w:pStyle w:val="TableofFigures"/>
        <w:tabs>
          <w:tab w:val="right" w:leader="dot" w:pos="9060"/>
        </w:tabs>
        <w:rPr>
          <w:rFonts w:eastAsiaTheme="minorEastAsia"/>
          <w:noProof/>
          <w:kern w:val="2"/>
          <w:sz w:val="24"/>
          <w:szCs w:val="24"/>
          <w:lang w:eastAsia="en-GB"/>
          <w14:ligatures w14:val="standardContextual"/>
        </w:rPr>
      </w:pPr>
      <w:r>
        <w:rPr>
          <w:bCs/>
        </w:rPr>
        <w:fldChar w:fldCharType="begin"/>
      </w:r>
      <w:r>
        <w:rPr>
          <w:bCs/>
        </w:rPr>
        <w:instrText xml:space="preserve"> TOC \h \z \c "Table A" </w:instrText>
      </w:r>
      <w:r>
        <w:rPr>
          <w:bCs/>
        </w:rPr>
        <w:fldChar w:fldCharType="separate"/>
      </w:r>
      <w:r>
        <w:fldChar w:fldCharType="begin"/>
      </w:r>
      <w:r>
        <w:instrText xml:space="preserve"> HYPERLINK \l "_Toc138332279" </w:instrText>
      </w:r>
      <w:r>
        <w:fldChar w:fldCharType="separate"/>
      </w:r>
      <w:r w:rsidRPr="003D7541">
        <w:rPr>
          <w:rStyle w:val="Hyperlink"/>
          <w:noProof/>
        </w:rPr>
        <w:t>Table A1 Matching biodiversity indicators to a problem</w:t>
      </w:r>
      <w:r>
        <w:rPr>
          <w:noProof/>
          <w:webHidden/>
        </w:rPr>
        <w:tab/>
      </w:r>
      <w:r>
        <w:rPr>
          <w:noProof/>
          <w:webHidden/>
        </w:rPr>
        <w:fldChar w:fldCharType="begin"/>
      </w:r>
      <w:r>
        <w:rPr>
          <w:noProof/>
          <w:webHidden/>
        </w:rPr>
        <w:instrText xml:space="preserve"> PAGEREF _Toc138332279 \h </w:instrText>
      </w:r>
      <w:r>
        <w:rPr>
          <w:noProof/>
          <w:webHidden/>
        </w:rPr>
        <w:fldChar w:fldCharType="separate"/>
      </w:r>
      <w:r w:rsidR="008A285F">
        <w:rPr>
          <w:noProof/>
          <w:webHidden/>
        </w:rPr>
        <w:t>32</w:t>
      </w:r>
      <w:r>
        <w:rPr>
          <w:noProof/>
          <w:webHidden/>
        </w:rPr>
        <w:fldChar w:fldCharType="end"/>
      </w:r>
      <w:r>
        <w:fldChar w:fldCharType="end"/>
      </w:r>
    </w:p>
    <w:p w:rsidR="005E58F3" w:rsidRPr="005E58F3" w:rsidP="005E58F3" w14:paraId="29169094" w14:textId="0EDA2DB0">
      <w:r>
        <w:rPr>
          <w:bCs/>
        </w:rPr>
        <w:fldChar w:fldCharType="end"/>
      </w:r>
    </w:p>
    <w:p w:rsidR="001C0D1C" w:rsidRPr="00BA0200" w14:paraId="452311E8" w14:textId="77777777">
      <w:pPr>
        <w:pStyle w:val="Heading2"/>
        <w:numPr>
          <w:ilvl w:val="0"/>
          <w:numId w:val="0"/>
        </w:numPr>
        <w:ind w:left="720" w:hanging="720"/>
      </w:pPr>
      <w:bookmarkStart w:id="3" w:name="_Toc138332249"/>
      <w:r w:rsidRPr="00BA0200">
        <w:t>Summary</w:t>
      </w:r>
      <w:bookmarkEnd w:id="3"/>
      <w:r w:rsidRPr="00BA0200">
        <w:t xml:space="preserve"> </w:t>
      </w:r>
    </w:p>
    <w:p w:rsidR="0077790C" w14:paraId="6D72DCF3" w14:textId="1199F21A">
      <w:r w:rsidRPr="00BA0200">
        <w:t>This</w:t>
      </w:r>
      <w:r w:rsidR="00156ADA">
        <w:t xml:space="preserve"> guidance</w:t>
      </w:r>
      <w:r w:rsidRPr="00BA0200">
        <w:t xml:space="preserve"> document </w:t>
      </w:r>
      <w:r w:rsidR="00BD6144">
        <w:t xml:space="preserve">provides </w:t>
      </w:r>
      <w:r w:rsidR="00C50CEE">
        <w:t>update</w:t>
      </w:r>
      <w:r w:rsidR="00BD6144">
        <w:t>d</w:t>
      </w:r>
      <w:r w:rsidRPr="00BA0200">
        <w:t xml:space="preserve"> information on the measurement of </w:t>
      </w:r>
      <w:r w:rsidRPr="00BA0200" w:rsidR="00C50CEE">
        <w:t xml:space="preserve">ecosystem receptor indicators </w:t>
      </w:r>
      <w:r w:rsidRPr="00BA0200">
        <w:t xml:space="preserve">required for the ecosystem receptor lines of evidence </w:t>
      </w:r>
      <w:r w:rsidR="00C50CEE">
        <w:t>for</w:t>
      </w:r>
      <w:r w:rsidRPr="00BA0200" w:rsidR="00C50CEE">
        <w:t xml:space="preserve"> </w:t>
      </w:r>
      <w:r w:rsidR="000554DF">
        <w:t xml:space="preserve">the assessment of </w:t>
      </w:r>
      <w:r w:rsidRPr="00BA0200">
        <w:t>water</w:t>
      </w:r>
      <w:r w:rsidR="000554DF">
        <w:t xml:space="preserve"> </w:t>
      </w:r>
      <w:r w:rsidRPr="00BA0200">
        <w:t>and sediment</w:t>
      </w:r>
      <w:r w:rsidR="00BD6144">
        <w:t xml:space="preserve"> quality in Australia</w:t>
      </w:r>
      <w:r w:rsidR="00B0159F">
        <w:t xml:space="preserve"> </w:t>
      </w:r>
      <w:r w:rsidR="00BD6144">
        <w:t>and New Zealand</w:t>
      </w:r>
      <w:r w:rsidRPr="00BA0200">
        <w:t xml:space="preserve">. </w:t>
      </w:r>
      <w:r>
        <w:t xml:space="preserve">The guidance provided here </w:t>
      </w:r>
      <w:r w:rsidR="00C50CEE">
        <w:t xml:space="preserve">is </w:t>
      </w:r>
      <w:r>
        <w:t xml:space="preserve">an extension of the ANZG (2018) </w:t>
      </w:r>
      <w:r w:rsidR="00BD6144">
        <w:t xml:space="preserve">guidance </w:t>
      </w:r>
      <w:r>
        <w:t xml:space="preserve">on </w:t>
      </w:r>
      <w:r w:rsidRPr="0077790C" w:rsidR="00C50CEE">
        <w:t xml:space="preserve">indicators </w:t>
      </w:r>
      <w:r w:rsidRPr="0077790C">
        <w:t xml:space="preserve">and </w:t>
      </w:r>
      <w:r w:rsidR="00BD6144">
        <w:t>their selection</w:t>
      </w:r>
      <w:r w:rsidRPr="0077790C">
        <w:t xml:space="preserve"> for </w:t>
      </w:r>
      <w:r w:rsidR="007D7BDE">
        <w:t xml:space="preserve">the assessment of </w:t>
      </w:r>
      <w:r w:rsidRPr="0077790C">
        <w:t>water</w:t>
      </w:r>
      <w:r w:rsidR="007D7BDE">
        <w:t xml:space="preserve"> </w:t>
      </w:r>
      <w:r w:rsidR="00915939">
        <w:t xml:space="preserve">and </w:t>
      </w:r>
      <w:r w:rsidRPr="0077790C">
        <w:t>sediment quality</w:t>
      </w:r>
      <w:r w:rsidR="00241712">
        <w:t>, and is applicable to all water types</w:t>
      </w:r>
      <w:r w:rsidR="00015DA9">
        <w:t xml:space="preserve">. </w:t>
      </w:r>
      <w:r w:rsidR="00F4440E">
        <w:t>H</w:t>
      </w:r>
      <w:r w:rsidR="00D00C9F">
        <w:t xml:space="preserve">yperlinks to the relevant </w:t>
      </w:r>
      <w:r w:rsidR="00F4440E">
        <w:t xml:space="preserve">ANZG (2018) </w:t>
      </w:r>
      <w:r w:rsidR="00D00C9F">
        <w:t>guidance are provided</w:t>
      </w:r>
      <w:r w:rsidR="00F4440E">
        <w:t xml:space="preserve"> throughout this </w:t>
      </w:r>
      <w:r w:rsidR="00156ADA">
        <w:t>document</w:t>
      </w:r>
      <w:r w:rsidR="00D00C9F">
        <w:t>.</w:t>
      </w:r>
    </w:p>
    <w:p w:rsidR="00BA0200" w:rsidRPr="0025303D" w14:paraId="6A935727" w14:textId="59E9846B">
      <w:pPr>
        <w:rPr>
          <w:highlight w:val="yellow"/>
        </w:rPr>
      </w:pPr>
      <w:r>
        <w:t xml:space="preserve">This </w:t>
      </w:r>
      <w:r w:rsidR="00156ADA">
        <w:t>document</w:t>
      </w:r>
      <w:r>
        <w:t xml:space="preserve"> describes</w:t>
      </w:r>
      <w:r w:rsidRPr="00BA0200" w:rsidR="00253CDC">
        <w:t xml:space="preserve"> </w:t>
      </w:r>
      <w:r w:rsidR="0048330D">
        <w:t>4</w:t>
      </w:r>
      <w:r w:rsidRPr="00BA0200" w:rsidR="0048330D">
        <w:t xml:space="preserve"> </w:t>
      </w:r>
      <w:r w:rsidR="00F4440E">
        <w:t>lines of evidence</w:t>
      </w:r>
      <w:r w:rsidRPr="00BA0200" w:rsidR="00F4440E">
        <w:t xml:space="preserve"> </w:t>
      </w:r>
      <w:r w:rsidRPr="00BA0200" w:rsidR="00253CDC">
        <w:t>for ecosystem receptors: biodiversity, toxicity, bioaccumulation and biomarkers</w:t>
      </w:r>
      <w:r>
        <w:t>.</w:t>
      </w:r>
    </w:p>
    <w:p w:rsidR="001C0D1C" w:rsidRPr="0025303D" w14:paraId="31835D31" w14:textId="77777777">
      <w:pPr>
        <w:rPr>
          <w:highlight w:val="yellow"/>
        </w:rPr>
      </w:pPr>
    </w:p>
    <w:p w:rsidR="001C0D1C" w:rsidRPr="0025303D" w14:paraId="179AFB78" w14:textId="77777777">
      <w:pPr>
        <w:rPr>
          <w:highlight w:val="yellow"/>
        </w:rPr>
        <w:sectPr>
          <w:headerReference w:type="default" r:id="rId12"/>
          <w:footerReference w:type="default" r:id="rId13"/>
          <w:headerReference w:type="first" r:id="rId14"/>
          <w:pgSz w:w="11906" w:h="16838"/>
          <w:pgMar w:top="1418" w:right="1418" w:bottom="1418" w:left="1418" w:header="567" w:footer="283" w:gutter="0"/>
          <w:pgNumType w:fmt="lowerRoman"/>
          <w:cols w:space="708"/>
          <w:titlePg/>
          <w:docGrid w:linePitch="360"/>
        </w:sectPr>
      </w:pPr>
    </w:p>
    <w:p w:rsidR="001C0D1C" w:rsidRPr="007A6A4D" w14:paraId="2FADD5D4" w14:textId="77777777">
      <w:pPr>
        <w:pStyle w:val="Heading2"/>
      </w:pPr>
      <w:bookmarkStart w:id="4" w:name="_Ref64988945"/>
      <w:bookmarkStart w:id="5" w:name="_Toc138332250"/>
      <w:r>
        <w:t>Introduction</w:t>
      </w:r>
      <w:bookmarkEnd w:id="4"/>
      <w:bookmarkEnd w:id="5"/>
    </w:p>
    <w:p w:rsidR="004669F8" w14:paraId="3C065A63" w14:textId="0B571F33">
      <w:r>
        <w:t xml:space="preserve">ANZG (2018) provides guidance on how to </w:t>
      </w:r>
      <w:r w:rsidR="002355D2">
        <w:t xml:space="preserve">assess </w:t>
      </w:r>
      <w:r>
        <w:t>water and sediment quality using the water quality management framework (WQMF) and an associated weight</w:t>
      </w:r>
      <w:r w:rsidR="002E05DC">
        <w:t>-</w:t>
      </w:r>
      <w:r>
        <w:t>of</w:t>
      </w:r>
      <w:r w:rsidR="002E05DC">
        <w:t>-</w:t>
      </w:r>
      <w:r>
        <w:t xml:space="preserve">evidence process, which includes the selection and assessment of </w:t>
      </w:r>
      <w:r w:rsidR="007D0389">
        <w:t xml:space="preserve">indicators for </w:t>
      </w:r>
      <w:r>
        <w:t>pressure</w:t>
      </w:r>
      <w:r w:rsidR="00BE690B">
        <w:t>s</w:t>
      </w:r>
      <w:r>
        <w:t>, stressor</w:t>
      </w:r>
      <w:r w:rsidR="00BE690B">
        <w:t>s</w:t>
      </w:r>
      <w:r>
        <w:t xml:space="preserve"> and ecosystem receptor</w:t>
      </w:r>
      <w:r w:rsidR="007D0389">
        <w:t>s</w:t>
      </w:r>
      <w:r>
        <w:t xml:space="preserve">. This guidance document is an extension of the ANZG (2018) guidance </w:t>
      </w:r>
      <w:r w:rsidR="001607CD">
        <w:t xml:space="preserve">for the selection and assessment of </w:t>
      </w:r>
      <w:r>
        <w:t xml:space="preserve">ecosystem receptor </w:t>
      </w:r>
      <w:r w:rsidRPr="0077790C">
        <w:t>indicators</w:t>
      </w:r>
      <w:r>
        <w:t>.</w:t>
      </w:r>
      <w:r w:rsidR="007A5473">
        <w:t xml:space="preserve"> </w:t>
      </w:r>
      <w:r w:rsidR="007845E0">
        <w:t>The general guidance presented here is applicable to all water types, even if guidance or examples for specific water types are not presented.</w:t>
      </w:r>
      <w:r w:rsidR="00F60FEE">
        <w:t xml:space="preserve"> </w:t>
      </w:r>
      <w:r w:rsidR="00C57599">
        <w:t>A</w:t>
      </w:r>
      <w:r w:rsidR="00CC5CE8">
        <w:t>dditional specific guidance for certain water types (e.g. groundwaters</w:t>
      </w:r>
      <w:r w:rsidR="00AD7C09">
        <w:t>, hypersaline waters</w:t>
      </w:r>
      <w:r w:rsidR="00CC5CE8">
        <w:t>) can be provided in the future.</w:t>
      </w:r>
    </w:p>
    <w:p w:rsidR="001607CD" w14:paraId="4D0A2ED1" w14:textId="58C0010C">
      <w:r>
        <w:t>A</w:t>
      </w:r>
      <w:r w:rsidRPr="00980E76">
        <w:t xml:space="preserve">ny living organism or natural </w:t>
      </w:r>
      <w:r w:rsidR="00E35BB9">
        <w:t xml:space="preserve">living </w:t>
      </w:r>
      <w:r w:rsidRPr="00980E76">
        <w:t>habitat that could be exposed to a stressor</w:t>
      </w:r>
      <w:r>
        <w:t xml:space="preserve"> </w:t>
      </w:r>
      <w:r w:rsidR="00E83ECA">
        <w:t xml:space="preserve">can be </w:t>
      </w:r>
      <w:r>
        <w:t xml:space="preserve">an ecosystem receptor. </w:t>
      </w:r>
      <w:r w:rsidR="00A3150F">
        <w:t xml:space="preserve">Ecosystem receptor indicators are </w:t>
      </w:r>
      <w:r w:rsidR="0095629B">
        <w:t xml:space="preserve">measurable </w:t>
      </w:r>
      <w:r w:rsidR="00B0159F">
        <w:t>characteristics</w:t>
      </w:r>
      <w:r w:rsidR="00006098">
        <w:t xml:space="preserve"> or components</w:t>
      </w:r>
      <w:r w:rsidR="0095629B">
        <w:t xml:space="preserve"> of </w:t>
      </w:r>
      <w:r w:rsidR="00A3150F">
        <w:t xml:space="preserve">specific ecosystem receptors that </w:t>
      </w:r>
      <w:r w:rsidR="0095629B">
        <w:t>can be</w:t>
      </w:r>
      <w:r w:rsidR="00A3150F">
        <w:t xml:space="preserve"> used to measure the </w:t>
      </w:r>
      <w:r w:rsidR="008E3A03">
        <w:t>response</w:t>
      </w:r>
      <w:r w:rsidR="0095629B">
        <w:t xml:space="preserve"> of an ecosystem receptor </w:t>
      </w:r>
      <w:r w:rsidR="00D873AE">
        <w:t>to a</w:t>
      </w:r>
      <w:r w:rsidR="008E3A03">
        <w:t xml:space="preserve"> </w:t>
      </w:r>
      <w:r w:rsidR="00A3150F">
        <w:t>stressor</w:t>
      </w:r>
      <w:r w:rsidR="00C13A99">
        <w:t xml:space="preserve">. They are also referred to as </w:t>
      </w:r>
      <w:r w:rsidR="007975F1">
        <w:t>‘</w:t>
      </w:r>
      <w:r w:rsidR="00C13A99">
        <w:t>biological indicators</w:t>
      </w:r>
      <w:r w:rsidR="007975F1">
        <w:t>’</w:t>
      </w:r>
      <w:r>
        <w:t xml:space="preserve">. </w:t>
      </w:r>
      <w:r w:rsidR="00A3150F">
        <w:t xml:space="preserve">Ecosystem receptor indicators, along with </w:t>
      </w:r>
      <w:r w:rsidR="00B4088D">
        <w:t xml:space="preserve">indicators for </w:t>
      </w:r>
      <w:r w:rsidR="00A3150F">
        <w:t>pressure</w:t>
      </w:r>
      <w:r w:rsidR="00B4088D">
        <w:t>s</w:t>
      </w:r>
      <w:r w:rsidR="00A3150F">
        <w:t xml:space="preserve"> and stressor</w:t>
      </w:r>
      <w:r w:rsidR="00B4088D">
        <w:t>s</w:t>
      </w:r>
      <w:r w:rsidR="008E3A03">
        <w:t>,</w:t>
      </w:r>
      <w:r w:rsidR="00A3150F">
        <w:t xml:space="preserve"> </w:t>
      </w:r>
      <w:r w:rsidR="008E3A03">
        <w:t xml:space="preserve">are </w:t>
      </w:r>
      <w:r w:rsidR="00A3150F">
        <w:t xml:space="preserve">recommended </w:t>
      </w:r>
      <w:r w:rsidR="00B4088D">
        <w:t xml:space="preserve">to be used as </w:t>
      </w:r>
      <w:r w:rsidR="008E3A03">
        <w:t xml:space="preserve">lines of evidence </w:t>
      </w:r>
      <w:r w:rsidR="00A3150F">
        <w:t>in a weight</w:t>
      </w:r>
      <w:r w:rsidR="002E05DC">
        <w:t>-</w:t>
      </w:r>
      <w:r w:rsidR="00A3150F">
        <w:t>of</w:t>
      </w:r>
      <w:r w:rsidR="002E05DC">
        <w:t>-</w:t>
      </w:r>
      <w:r w:rsidR="00A3150F">
        <w:t xml:space="preserve">evidence process </w:t>
      </w:r>
      <w:r w:rsidR="00297404">
        <w:t xml:space="preserve">to </w:t>
      </w:r>
      <w:r w:rsidR="00A3150F">
        <w:t xml:space="preserve">assess water </w:t>
      </w:r>
      <w:r w:rsidR="00297404">
        <w:t xml:space="preserve">and </w:t>
      </w:r>
      <w:r w:rsidR="00A3150F">
        <w:t xml:space="preserve">sediment quality </w:t>
      </w:r>
      <w:r w:rsidR="008E3A03">
        <w:t>(ANZG 2018</w:t>
      </w:r>
      <w:r w:rsidR="00593736">
        <w:t>)</w:t>
      </w:r>
      <w:r w:rsidR="008E3A03">
        <w:t>.</w:t>
      </w:r>
      <w:r w:rsidR="00E83ECA">
        <w:t xml:space="preserve"> </w:t>
      </w:r>
      <w:r w:rsidRPr="00E83ECA" w:rsidR="00E83ECA">
        <w:t xml:space="preserve">The shaded boxes </w:t>
      </w:r>
      <w:r w:rsidR="00E83ECA">
        <w:t xml:space="preserve">in </w:t>
      </w:r>
      <w:r w:rsidRPr="007F5A17" w:rsidR="00822DFB">
        <w:rPr>
          <w:rStyle w:val="Hyperlink"/>
        </w:rPr>
        <w:fldChar w:fldCharType="begin"/>
      </w:r>
      <w:r w:rsidRPr="007F5A17" w:rsidR="00822DFB">
        <w:instrText xml:space="preserve"> REF _Ref66975473 \h </w:instrText>
      </w:r>
      <w:r w:rsidRPr="007F5A17" w:rsidR="00822DFB">
        <w:rPr>
          <w:rStyle w:val="Hyperlink"/>
        </w:rPr>
        <w:fldChar w:fldCharType="separate"/>
      </w:r>
      <w:r w:rsidR="008A285F">
        <w:t>Figure </w:t>
      </w:r>
      <w:r w:rsidR="008A285F">
        <w:rPr>
          <w:noProof/>
        </w:rPr>
        <w:t>1</w:t>
      </w:r>
      <w:r w:rsidRPr="007F5A17" w:rsidR="00822DFB">
        <w:rPr>
          <w:rStyle w:val="Hyperlink"/>
        </w:rPr>
        <w:fldChar w:fldCharType="end"/>
      </w:r>
      <w:r w:rsidR="00E83ECA">
        <w:t xml:space="preserve"> </w:t>
      </w:r>
      <w:r w:rsidRPr="00E83ECA" w:rsidR="00E83ECA">
        <w:t xml:space="preserve">represent </w:t>
      </w:r>
      <w:r w:rsidR="00E83ECA">
        <w:t xml:space="preserve">the </w:t>
      </w:r>
      <w:r w:rsidR="002E05DC">
        <w:t xml:space="preserve">3 </w:t>
      </w:r>
      <w:r w:rsidR="00E83ECA">
        <w:t xml:space="preserve">overarching </w:t>
      </w:r>
      <w:r w:rsidR="00C05406">
        <w:t>causal pathway elements</w:t>
      </w:r>
      <w:r w:rsidR="00E83ECA">
        <w:t xml:space="preserve"> (pressure</w:t>
      </w:r>
      <w:r w:rsidR="00BE690B">
        <w:t>s</w:t>
      </w:r>
      <w:r w:rsidR="00E83ECA">
        <w:t>, stressor</w:t>
      </w:r>
      <w:r w:rsidR="00BE690B">
        <w:t>s</w:t>
      </w:r>
      <w:r w:rsidR="00E83ECA">
        <w:t>, ecosystem receptor</w:t>
      </w:r>
      <w:r w:rsidR="00BE690B">
        <w:t>s</w:t>
      </w:r>
      <w:r w:rsidR="00E83ECA">
        <w:t>)</w:t>
      </w:r>
      <w:r w:rsidR="00C05406">
        <w:t xml:space="preserve"> </w:t>
      </w:r>
      <w:r w:rsidR="00A640A6">
        <w:t>that</w:t>
      </w:r>
      <w:r w:rsidR="00C05406">
        <w:t xml:space="preserve"> </w:t>
      </w:r>
      <w:r w:rsidRPr="00A640A6" w:rsidR="00C05406">
        <w:t>ANZG (2018)</w:t>
      </w:r>
      <w:r w:rsidR="00C05406">
        <w:t xml:space="preserve"> </w:t>
      </w:r>
      <w:r w:rsidR="00A640A6">
        <w:t xml:space="preserve">recommends </w:t>
      </w:r>
      <w:r w:rsidR="00AA6A3D">
        <w:t>be</w:t>
      </w:r>
      <w:r w:rsidR="00A263FA">
        <w:t xml:space="preserve"> </w:t>
      </w:r>
      <w:r w:rsidR="00A640A6">
        <w:t>use</w:t>
      </w:r>
      <w:r w:rsidR="00AA6A3D">
        <w:t>d</w:t>
      </w:r>
      <w:r w:rsidR="00A640A6">
        <w:t xml:space="preserve"> </w:t>
      </w:r>
      <w:r w:rsidR="00A263FA">
        <w:t>for selecting</w:t>
      </w:r>
      <w:r w:rsidR="00A640A6">
        <w:t xml:space="preserve"> indicator</w:t>
      </w:r>
      <w:r w:rsidR="00A263FA">
        <w:t>s</w:t>
      </w:r>
      <w:r w:rsidR="00A640A6">
        <w:t xml:space="preserve"> for </w:t>
      </w:r>
      <w:r w:rsidRPr="007F5A17" w:rsidR="00A640A6">
        <w:t>weight</w:t>
      </w:r>
      <w:r w:rsidR="002E05DC">
        <w:t>-</w:t>
      </w:r>
      <w:r w:rsidRPr="007F5A17" w:rsidR="00A640A6">
        <w:t>of</w:t>
      </w:r>
      <w:r w:rsidR="002E05DC">
        <w:t>-</w:t>
      </w:r>
      <w:r w:rsidRPr="007F5A17" w:rsidR="00A640A6">
        <w:t>evidence</w:t>
      </w:r>
      <w:r w:rsidR="00A640A6">
        <w:t xml:space="preserve"> assessments</w:t>
      </w:r>
      <w:r w:rsidRPr="00E83ECA" w:rsidR="00E83ECA">
        <w:t>.</w:t>
      </w:r>
      <w:r w:rsidR="00E83ECA">
        <w:t xml:space="preserve"> </w:t>
      </w:r>
    </w:p>
    <w:p w:rsidR="008E3A03" w14:paraId="5CF43EA7" w14:textId="3F1742DF">
      <w:r w:rsidRPr="00581DBB">
        <w:rPr>
          <w:noProof/>
        </w:rPr>
        <w:drawing>
          <wp:inline distT="0" distB="0" distL="0" distR="0">
            <wp:extent cx="5759450" cy="2115820"/>
            <wp:effectExtent l="0" t="0" r="6350" b="5080"/>
            <wp:docPr id="6" name="Picture 5" descr="A flow chart shows the weight-of-evidence process for assessing water and sediment quality. The selection of lines of evidence is on its own row at the top of the hierarchy. Underneath this is a row with boxes for the 3 causal pathway elements which are pressures, stressors and ecosystem receptors. An arrow points from the 'Selection of lines of evidence' box to the third row titled 'Lines of evidence'. Examples of lines of evidence for each of the 3 causal pathways are given. The examples given for ‘Pressures’ is ‘Pressure x’ and ‘Pressure y’. The examples given for ‘Stressors’ are ‘Chemical and physical’ and ‘Non-water quality’. The examples given for ‘Ecosystem receptors’ are ‘Biodiversity’, ‘Toxicity’, ‘Bioaccumulation’ and ‘Biomarkers’. Arrows point from all of these examples to box in the bottom row, titled ‘Lines of evidence evaluation (weight of evidence)’.">
              <a:extLst xmlns:a="http://schemas.openxmlformats.org/drawingml/2006/main">
                <a:ext xmlns:a="http://schemas.openxmlformats.org/drawingml/2006/main" uri="{FF2B5EF4-FFF2-40B4-BE49-F238E27FC236}">
                  <a16:creationId xmlns:a16="http://schemas.microsoft.com/office/drawing/2014/main" id="{8805A1BB-EBCA-DB42-B01D-869BE68307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73481" name="Picture 5" descr="A flow chart shows the weight-of-evidence process for assessing water and sediment quality. The selection of lines of evidence is on its own row at the top of the hierarchy. Underneath this is a row with boxes for the 3 causal pathway elements which are pressures, stressors and ecosystem receptors. An arrow points from the 'Selection of lines of evidence' box to the third row titled 'Lines of evidence'. Examples of lines of evidence for each of the 3 causal pathways are given. The examples given for ‘Pressures’ is ‘Pressure x’ and ‘Pressure y’. The examples given for ‘Stressors’ are ‘Chemical and physical’ and ‘Non-water quality’. The examples given for ‘Ecosystem receptors’ are ‘Biodiversity’, ‘Toxicity’, ‘Bioaccumulation’ and ‘Biomarkers’. Arrows point from all of these examples to box in the bottom row, titled ‘Lines of evidence evaluation (weight of evidence)’.">
                      <a:extLst>
                        <a:ext xmlns:a="http://schemas.openxmlformats.org/drawingml/2006/main" uri="{FF2B5EF4-FFF2-40B4-BE49-F238E27FC236}">
                          <a16:creationId xmlns:a16="http://schemas.microsoft.com/office/drawing/2014/main" id="{8805A1BB-EBCA-DB42-B01D-869BE68307A3}"/>
                        </a:ext>
                      </a:extLst>
                    </pic:cNvPr>
                    <pic:cNvPicPr>
                      <a:picLocks noChangeAspect="1"/>
                    </pic:cNvPicPr>
                  </pic:nvPicPr>
                  <pic:blipFill>
                    <a:blip xmlns:r="http://schemas.openxmlformats.org/officeDocument/2006/relationships" r:embed="rId15"/>
                    <a:stretch>
                      <a:fillRect/>
                    </a:stretch>
                  </pic:blipFill>
                  <pic:spPr>
                    <a:xfrm>
                      <a:off x="0" y="0"/>
                      <a:ext cx="5759450" cy="2115820"/>
                    </a:xfrm>
                    <a:prstGeom prst="rect">
                      <a:avLst/>
                    </a:prstGeom>
                  </pic:spPr>
                </pic:pic>
              </a:graphicData>
            </a:graphic>
          </wp:inline>
        </w:drawing>
      </w:r>
    </w:p>
    <w:p w:rsidR="00A263FA" w:rsidP="00A263FA" w14:paraId="3354D649" w14:textId="63CF62D6">
      <w:pPr>
        <w:pStyle w:val="FigureTableNoteSource"/>
      </w:pPr>
      <w:r>
        <w:t xml:space="preserve">Source: </w:t>
      </w:r>
      <w:r w:rsidR="00581DBB">
        <w:t xml:space="preserve">Adapted from </w:t>
      </w:r>
      <w:r>
        <w:t>ANZG (2018).</w:t>
      </w:r>
    </w:p>
    <w:p w:rsidR="008E3A03" w:rsidRPr="00593736" w:rsidP="00593736" w14:paraId="4045B1A8" w14:textId="658569DC">
      <w:pPr>
        <w:pStyle w:val="Caption"/>
      </w:pPr>
      <w:bookmarkStart w:id="6" w:name="_Ref66975473"/>
      <w:bookmarkStart w:id="7" w:name="_Toc138332269"/>
      <w:r>
        <w:t>Figure </w:t>
      </w:r>
      <w:r w:rsidR="00BA655D">
        <w:fldChar w:fldCharType="begin"/>
      </w:r>
      <w:r>
        <w:instrText xml:space="preserve"> SEQ Figure \* ARABIC </w:instrText>
      </w:r>
      <w:r w:rsidR="00BA655D">
        <w:fldChar w:fldCharType="separate"/>
      </w:r>
      <w:r w:rsidR="008A285F">
        <w:rPr>
          <w:noProof/>
        </w:rPr>
        <w:t>1</w:t>
      </w:r>
      <w:r w:rsidR="00BA655D">
        <w:fldChar w:fldCharType="end"/>
      </w:r>
      <w:bookmarkEnd w:id="6"/>
      <w:r w:rsidRPr="00593736">
        <w:t xml:space="preserve"> </w:t>
      </w:r>
      <w:r w:rsidR="00A263FA">
        <w:t>W</w:t>
      </w:r>
      <w:r w:rsidRPr="00593736">
        <w:t>eight</w:t>
      </w:r>
      <w:r w:rsidR="005D3570">
        <w:t>-</w:t>
      </w:r>
      <w:r w:rsidRPr="00593736">
        <w:t>of</w:t>
      </w:r>
      <w:r w:rsidR="005D3570">
        <w:t>-</w:t>
      </w:r>
      <w:r w:rsidRPr="00593736">
        <w:t>evidence process for assessing water</w:t>
      </w:r>
      <w:r w:rsidR="007D7BDE">
        <w:t xml:space="preserve"> </w:t>
      </w:r>
      <w:r w:rsidR="00A263FA">
        <w:t>and</w:t>
      </w:r>
      <w:r w:rsidRPr="00593736" w:rsidR="00A263FA">
        <w:t xml:space="preserve"> </w:t>
      </w:r>
      <w:r w:rsidRPr="00593736">
        <w:t>sediment quality</w:t>
      </w:r>
      <w:bookmarkEnd w:id="7"/>
    </w:p>
    <w:p w:rsidR="00B25C11" w14:paraId="41379B50" w14:textId="55CEF09D">
      <w:r>
        <w:t xml:space="preserve">Each causal pathway element has </w:t>
      </w:r>
      <w:r w:rsidR="00BD135D">
        <w:t xml:space="preserve">one or more </w:t>
      </w:r>
      <w:r>
        <w:t>different lines of evidence</w:t>
      </w:r>
      <w:r w:rsidR="00BD135D">
        <w:t xml:space="preserve"> that may be relevant to an investigation</w:t>
      </w:r>
      <w:r w:rsidR="00D4467E">
        <w:t>. F</w:t>
      </w:r>
      <w:r>
        <w:t xml:space="preserve">or example, the </w:t>
      </w:r>
      <w:r w:rsidR="007975F1">
        <w:t>‘</w:t>
      </w:r>
      <w:r>
        <w:t>ecosystem receptor</w:t>
      </w:r>
      <w:r w:rsidR="00D51888">
        <w:t>s’</w:t>
      </w:r>
      <w:r>
        <w:t xml:space="preserve"> causal pathway element includes biodiversity, toxicity</w:t>
      </w:r>
      <w:r w:rsidR="005F2763">
        <w:t>,</w:t>
      </w:r>
      <w:r>
        <w:t xml:space="preserve"> </w:t>
      </w:r>
      <w:r w:rsidR="002A17A8">
        <w:t xml:space="preserve">bioaccumulation and </w:t>
      </w:r>
      <w:r>
        <w:t>biomarker lines of evidence</w:t>
      </w:r>
      <w:r w:rsidR="00BD135D">
        <w:t>, as depicted in</w:t>
      </w:r>
      <w:r w:rsidR="003C5F3E">
        <w:t xml:space="preserve"> </w:t>
      </w:r>
      <w:r w:rsidRPr="007F5A17" w:rsidR="003C5F3E">
        <w:rPr>
          <w:rStyle w:val="Hyperlink"/>
        </w:rPr>
        <w:fldChar w:fldCharType="begin"/>
      </w:r>
      <w:r w:rsidRPr="007F5A17" w:rsidR="003C5F3E">
        <w:instrText xml:space="preserve"> REF _Ref66975473 \h </w:instrText>
      </w:r>
      <w:r w:rsidRPr="007F5A17" w:rsidR="003C5F3E">
        <w:rPr>
          <w:rStyle w:val="Hyperlink"/>
        </w:rPr>
        <w:fldChar w:fldCharType="separate"/>
      </w:r>
      <w:r w:rsidR="008A285F">
        <w:t>Figure </w:t>
      </w:r>
      <w:r w:rsidR="008A285F">
        <w:rPr>
          <w:noProof/>
        </w:rPr>
        <w:t>1</w:t>
      </w:r>
      <w:r w:rsidRPr="007F5A17" w:rsidR="003C5F3E">
        <w:rPr>
          <w:rStyle w:val="Hyperlink"/>
        </w:rPr>
        <w:fldChar w:fldCharType="end"/>
      </w:r>
      <w:r>
        <w:t>. Each line of evidence has indicator types</w:t>
      </w:r>
      <w:r w:rsidR="00D4467E">
        <w:t>. F</w:t>
      </w:r>
      <w:r>
        <w:t xml:space="preserve">or example, the </w:t>
      </w:r>
      <w:r w:rsidR="007975F1">
        <w:t>‘</w:t>
      </w:r>
      <w:r>
        <w:t>biodiversity</w:t>
      </w:r>
      <w:r w:rsidR="00D51888">
        <w:t>’</w:t>
      </w:r>
      <w:r>
        <w:t xml:space="preserve"> line of evidence </w:t>
      </w:r>
      <w:r w:rsidR="00BD135D">
        <w:t xml:space="preserve">could consider </w:t>
      </w:r>
      <w:r w:rsidR="001162DD">
        <w:t>biotic assemblages, individual species</w:t>
      </w:r>
      <w:r w:rsidR="00BD135D">
        <w:t xml:space="preserve"> (e.g. keystone species, threatened species)</w:t>
      </w:r>
      <w:r>
        <w:t xml:space="preserve"> and ecosystem processes as indicator types. </w:t>
      </w:r>
      <w:r w:rsidR="00CC11C4">
        <w:t>E</w:t>
      </w:r>
      <w:r>
        <w:t xml:space="preserve">ach indicator type </w:t>
      </w:r>
      <w:r w:rsidR="00CC11C4">
        <w:t>has</w:t>
      </w:r>
      <w:r>
        <w:t xml:space="preserve"> a range of indicators that </w:t>
      </w:r>
      <w:r w:rsidR="00CC11C4">
        <w:t xml:space="preserve">can </w:t>
      </w:r>
      <w:r w:rsidR="00BD135D">
        <w:t xml:space="preserve">potentially </w:t>
      </w:r>
      <w:r>
        <w:t>be used</w:t>
      </w:r>
      <w:r w:rsidR="00D4467E">
        <w:t>. F</w:t>
      </w:r>
      <w:r>
        <w:t xml:space="preserve">or example, </w:t>
      </w:r>
      <w:r w:rsidR="00BD135D">
        <w:t xml:space="preserve">the </w:t>
      </w:r>
      <w:r w:rsidR="007975F1">
        <w:t>‘</w:t>
      </w:r>
      <w:r w:rsidR="001162DD">
        <w:t>biotic assemblages</w:t>
      </w:r>
      <w:r w:rsidR="00D51888">
        <w:t>’</w:t>
      </w:r>
      <w:r w:rsidR="001162DD">
        <w:t xml:space="preserve"> </w:t>
      </w:r>
      <w:r w:rsidR="00BD135D">
        <w:t>indicator type could consider</w:t>
      </w:r>
      <w:r w:rsidR="001162DD">
        <w:t xml:space="preserve"> benthic </w:t>
      </w:r>
      <w:r>
        <w:t>macroinvertebrate</w:t>
      </w:r>
      <w:r w:rsidR="001162DD">
        <w:t xml:space="preserve"> communities. For each indicator, one or more parameters can be measured</w:t>
      </w:r>
      <w:r w:rsidR="000161E1">
        <w:t>. For example</w:t>
      </w:r>
      <w:r w:rsidR="00D4467E">
        <w:t>,</w:t>
      </w:r>
      <w:r w:rsidR="001162DD">
        <w:t xml:space="preserve"> </w:t>
      </w:r>
      <w:r w:rsidR="00A72041">
        <w:t xml:space="preserve">parameters </w:t>
      </w:r>
      <w:r w:rsidR="001162DD">
        <w:t>for benthic macroinvertebrate communities</w:t>
      </w:r>
      <w:r w:rsidR="00A72041">
        <w:t xml:space="preserve"> </w:t>
      </w:r>
      <w:r w:rsidR="00D51888">
        <w:t>c</w:t>
      </w:r>
      <w:r w:rsidR="00A72041">
        <w:t>ould include</w:t>
      </w:r>
      <w:r w:rsidR="001162DD">
        <w:t xml:space="preserve"> community structure</w:t>
      </w:r>
      <w:r w:rsidR="000638DA">
        <w:t>,</w:t>
      </w:r>
      <w:r w:rsidR="001162DD">
        <w:t xml:space="preserve"> total species abundance</w:t>
      </w:r>
      <w:r w:rsidR="000638DA">
        <w:t xml:space="preserve"> and species richness</w:t>
      </w:r>
      <w:r w:rsidR="00CC11C4">
        <w:t>.</w:t>
      </w:r>
      <w:r w:rsidR="001162DD">
        <w:t xml:space="preserve"> More examples of the </w:t>
      </w:r>
      <w:r w:rsidRPr="001162DD" w:rsidR="001162DD">
        <w:t>weight</w:t>
      </w:r>
      <w:r w:rsidR="00D4467E">
        <w:t>-</w:t>
      </w:r>
      <w:r w:rsidRPr="001162DD" w:rsidR="001162DD">
        <w:t>of</w:t>
      </w:r>
      <w:r w:rsidR="00D4467E">
        <w:t>-</w:t>
      </w:r>
      <w:r w:rsidRPr="001162DD" w:rsidR="001162DD">
        <w:t>evidence</w:t>
      </w:r>
      <w:r w:rsidR="001162DD">
        <w:t xml:space="preserve"> guidance in ANZG (2018)</w:t>
      </w:r>
      <w:r w:rsidRPr="00D4467E" w:rsidR="00D4467E">
        <w:t xml:space="preserve"> </w:t>
      </w:r>
      <w:r w:rsidR="00D4467E">
        <w:t xml:space="preserve">are provided in </w:t>
      </w:r>
      <w:r w:rsidR="00D4467E">
        <w:fldChar w:fldCharType="begin"/>
      </w:r>
      <w:r w:rsidR="00D4467E">
        <w:instrText xml:space="preserve"> REF _Ref48722648 \h </w:instrText>
      </w:r>
      <w:r w:rsidR="00D4467E">
        <w:fldChar w:fldCharType="separate"/>
      </w:r>
      <w:r w:rsidR="008A285F">
        <w:t>Table </w:t>
      </w:r>
      <w:r w:rsidR="008A285F">
        <w:rPr>
          <w:noProof/>
        </w:rPr>
        <w:t>1</w:t>
      </w:r>
      <w:r w:rsidR="00D4467E">
        <w:fldChar w:fldCharType="end"/>
      </w:r>
      <w:r w:rsidR="001162DD">
        <w:t>.</w:t>
      </w:r>
    </w:p>
    <w:p w:rsidR="00F2616E" w:rsidRPr="00BD6144" w14:paraId="12488884" w14:textId="49170160">
      <w:r>
        <w:t>For simplicity, all the indicators that fall within the ecosystem receptor</w:t>
      </w:r>
      <w:r w:rsidR="00D51888">
        <w:t>s</w:t>
      </w:r>
      <w:r>
        <w:t xml:space="preserve"> causal pathway element are collectively referred to as </w:t>
      </w:r>
      <w:r w:rsidR="00D51888">
        <w:t>‘</w:t>
      </w:r>
      <w:r>
        <w:t>ecosystem receptor indicators</w:t>
      </w:r>
      <w:r w:rsidR="00D51888">
        <w:t>’</w:t>
      </w:r>
      <w:r>
        <w:t xml:space="preserve">. Similarly, the ecosystem receptor indicators that fall within a line of evidence can be collectively </w:t>
      </w:r>
      <w:r w:rsidR="006167F7">
        <w:t>considered</w:t>
      </w:r>
      <w:r>
        <w:t xml:space="preserve"> as indicators of that line of evidence (e.g. biodiversity indicators for the biodiversity line of evidence).</w:t>
      </w:r>
    </w:p>
    <w:p w:rsidR="00E27300" w:rsidRPr="007A6A4D" w:rsidP="00E27300" w14:paraId="4977B309" w14:textId="77777777">
      <w:pPr>
        <w:pStyle w:val="Heading2"/>
      </w:pPr>
      <w:bookmarkStart w:id="8" w:name="_Toc138332251"/>
      <w:r>
        <w:t>Selecting indicators</w:t>
      </w:r>
      <w:bookmarkEnd w:id="8"/>
    </w:p>
    <w:p w:rsidR="007A6A4D" w14:paraId="101C2BA7" w14:textId="142A54BB">
      <w:pPr>
        <w:rPr>
          <w:highlight w:val="yellow"/>
        </w:rPr>
      </w:pPr>
      <w:r>
        <w:t>I</w:t>
      </w:r>
      <w:r w:rsidRPr="007A6A4D" w:rsidR="00253CDC">
        <w:t xml:space="preserve">t is important that </w:t>
      </w:r>
      <w:r>
        <w:t xml:space="preserve">selected </w:t>
      </w:r>
      <w:r w:rsidRPr="00D00C9F" w:rsidR="00253CDC">
        <w:t xml:space="preserve">ecosystem receptor indicators </w:t>
      </w:r>
      <w:r w:rsidRPr="007A6A4D" w:rsidR="00253CDC">
        <w:t xml:space="preserve">are relevant to the issue and its </w:t>
      </w:r>
      <w:r w:rsidR="001E1F11">
        <w:t xml:space="preserve">temporal and spatial </w:t>
      </w:r>
      <w:r w:rsidRPr="007A6A4D" w:rsidR="00253CDC">
        <w:t>scale</w:t>
      </w:r>
      <w:r w:rsidR="00A370B8">
        <w:t>s</w:t>
      </w:r>
      <w:r w:rsidRPr="007A6A4D" w:rsidR="00253CDC">
        <w:t xml:space="preserve">. The suitability of indicators should become apparent as the current understanding of </w:t>
      </w:r>
      <w:r w:rsidR="004307C2">
        <w:t>an</w:t>
      </w:r>
      <w:r w:rsidRPr="007A6A4D" w:rsidR="004307C2">
        <w:t xml:space="preserve"> </w:t>
      </w:r>
      <w:r w:rsidRPr="007A6A4D" w:rsidR="00253CDC">
        <w:t>issue</w:t>
      </w:r>
      <w:r w:rsidR="0035611B">
        <w:t xml:space="preserve"> (including the pressure</w:t>
      </w:r>
      <w:r w:rsidR="00273F2D">
        <w:t xml:space="preserve">, </w:t>
      </w:r>
      <w:r w:rsidR="00171BDE">
        <w:t>stressor</w:t>
      </w:r>
      <w:r w:rsidR="00273F2D">
        <w:t xml:space="preserve"> and </w:t>
      </w:r>
      <w:r w:rsidR="00171BDE">
        <w:t>ecosystem receptor causal</w:t>
      </w:r>
      <w:r w:rsidR="0035611B">
        <w:t xml:space="preserve"> pathways)</w:t>
      </w:r>
      <w:r w:rsidRPr="007A6A4D" w:rsidR="00253CDC">
        <w:t xml:space="preserve"> is articulated</w:t>
      </w:r>
      <w:r w:rsidR="004307C2">
        <w:t xml:space="preserve"> and an associated </w:t>
      </w:r>
      <w:r w:rsidRPr="007D0389" w:rsidR="004307C2">
        <w:t>conceptual model</w:t>
      </w:r>
      <w:r w:rsidR="004307C2">
        <w:t xml:space="preserve"> is developed</w:t>
      </w:r>
      <w:r w:rsidRPr="007A6A4D" w:rsidR="00253CDC">
        <w:t xml:space="preserve">. </w:t>
      </w:r>
      <w:r w:rsidR="005E2D6A">
        <w:t>For example</w:t>
      </w:r>
      <w:r w:rsidR="001D65AB">
        <w:t>, d</w:t>
      </w:r>
      <w:r w:rsidRPr="007A6A4D" w:rsidR="001D65AB">
        <w:t xml:space="preserve">epending on the </w:t>
      </w:r>
      <w:r w:rsidR="007D0389">
        <w:t>understanding of the water</w:t>
      </w:r>
      <w:r w:rsidR="00982D54">
        <w:t xml:space="preserve"> or </w:t>
      </w:r>
      <w:r w:rsidR="007D0389">
        <w:t>sediment quality issue gained</w:t>
      </w:r>
      <w:r w:rsidRPr="007A6A4D" w:rsidR="007D0389">
        <w:t xml:space="preserve"> </w:t>
      </w:r>
      <w:r w:rsidRPr="007A6A4D" w:rsidR="001D65AB">
        <w:t xml:space="preserve">at </w:t>
      </w:r>
      <w:r>
        <w:fldChar w:fldCharType="begin"/>
      </w:r>
      <w:r>
        <w:instrText xml:space="preserve"> HYPERLINK "https://www.waterquality.gov.au/anz-guidelines/framework/general" \l "examine-current-understanding" </w:instrText>
      </w:r>
      <w:r>
        <w:fldChar w:fldCharType="separate"/>
      </w:r>
      <w:r w:rsidRPr="005E486F" w:rsidR="001D65AB">
        <w:rPr>
          <w:rStyle w:val="Hyperlink"/>
        </w:rPr>
        <w:t>Step 1</w:t>
      </w:r>
      <w:r>
        <w:fldChar w:fldCharType="end"/>
      </w:r>
      <w:r w:rsidR="001D65AB">
        <w:t xml:space="preserve"> </w:t>
      </w:r>
      <w:r w:rsidRPr="007A6A4D" w:rsidR="00D94511">
        <w:t xml:space="preserve">and the </w:t>
      </w:r>
      <w:r w:rsidR="0033539F">
        <w:t xml:space="preserve">associated </w:t>
      </w:r>
      <w:r w:rsidRPr="007A6A4D" w:rsidR="00D94511">
        <w:t xml:space="preserve">management goals </w:t>
      </w:r>
      <w:r w:rsidR="007D0389">
        <w:t xml:space="preserve">identified </w:t>
      </w:r>
      <w:r w:rsidRPr="007A6A4D" w:rsidR="00D94511">
        <w:t xml:space="preserve">at </w:t>
      </w:r>
      <w:r>
        <w:fldChar w:fldCharType="begin"/>
      </w:r>
      <w:r>
        <w:instrText xml:space="preserve"> HYPERLINK "https://www.waterquality.gov.au/anz-guidelines/framework/general" \l "define-community-values-and-management-goals" </w:instrText>
      </w:r>
      <w:r>
        <w:fldChar w:fldCharType="separate"/>
      </w:r>
      <w:r w:rsidRPr="005E486F" w:rsidR="00D94511">
        <w:rPr>
          <w:rStyle w:val="Hyperlink"/>
        </w:rPr>
        <w:t>Step 2</w:t>
      </w:r>
      <w:r>
        <w:fldChar w:fldCharType="end"/>
      </w:r>
      <w:r w:rsidR="00D94511">
        <w:t xml:space="preserve"> </w:t>
      </w:r>
      <w:r w:rsidRPr="007A6A4D" w:rsidR="001D65AB">
        <w:t xml:space="preserve">of the </w:t>
      </w:r>
      <w:r w:rsidR="001D65AB">
        <w:t xml:space="preserve">ANZG (2018) </w:t>
      </w:r>
      <w:r w:rsidRPr="0035611B" w:rsidR="001D65AB">
        <w:t>WQMF</w:t>
      </w:r>
      <w:r w:rsidR="001D65AB">
        <w:t>,</w:t>
      </w:r>
      <w:r w:rsidRPr="007A6A4D" w:rsidR="001D65AB">
        <w:t xml:space="preserve"> the roles of </w:t>
      </w:r>
      <w:r w:rsidR="001D65AB">
        <w:t xml:space="preserve">ecosystem receptor </w:t>
      </w:r>
      <w:r w:rsidRPr="007A6A4D" w:rsidR="001D65AB">
        <w:t>indicators</w:t>
      </w:r>
      <w:r w:rsidR="001D65AB">
        <w:t xml:space="preserve"> </w:t>
      </w:r>
      <w:r w:rsidRPr="007A6A4D" w:rsidR="007D0389">
        <w:t>c</w:t>
      </w:r>
      <w:r w:rsidR="007D0389">
        <w:t>ould</w:t>
      </w:r>
      <w:r w:rsidRPr="007A6A4D" w:rsidR="007D0389">
        <w:t xml:space="preserve"> </w:t>
      </w:r>
      <w:r w:rsidRPr="007A6A4D" w:rsidR="001D65AB">
        <w:t>range from short-term</w:t>
      </w:r>
      <w:r w:rsidR="007975F1">
        <w:t>,</w:t>
      </w:r>
      <w:r w:rsidRPr="007A6A4D" w:rsidR="001D65AB">
        <w:t xml:space="preserve"> early</w:t>
      </w:r>
      <w:r w:rsidR="007975F1">
        <w:t>-</w:t>
      </w:r>
      <w:r w:rsidRPr="007A6A4D" w:rsidR="001D65AB">
        <w:t>warning indicators to long-term indicators of the performance of management actions. Their spatial scope can range from site-specific issues to regional-scale assessments</w:t>
      </w:r>
      <w:r w:rsidR="00982D54">
        <w:t>,</w:t>
      </w:r>
      <w:r w:rsidRPr="007A6A4D" w:rsidR="001D65AB">
        <w:t xml:space="preserve"> depending on the scale of the issue </w:t>
      </w:r>
      <w:r w:rsidR="001D65AB">
        <w:t>being considered</w:t>
      </w:r>
      <w:r w:rsidRPr="007A6A4D" w:rsidR="001D65AB">
        <w:t xml:space="preserve"> </w:t>
      </w:r>
      <w:r w:rsidR="001D65AB">
        <w:t>(</w:t>
      </w:r>
      <w:r>
        <w:fldChar w:fldCharType="begin"/>
      </w:r>
      <w:r>
        <w:instrText xml:space="preserve"> HYPERLINK "https://www.waterquality.gov.au/anz-guidelines/framework" </w:instrText>
      </w:r>
      <w:r>
        <w:fldChar w:fldCharType="separate"/>
      </w:r>
      <w:r w:rsidRPr="007975F1" w:rsidR="001D65AB">
        <w:rPr>
          <w:rStyle w:val="Hyperlink"/>
        </w:rPr>
        <w:t xml:space="preserve">see </w:t>
      </w:r>
      <w:r w:rsidRPr="007975F1" w:rsidR="007975F1">
        <w:rPr>
          <w:rStyle w:val="Hyperlink"/>
        </w:rPr>
        <w:t xml:space="preserve">7 </w:t>
      </w:r>
      <w:r w:rsidRPr="007975F1" w:rsidR="001D65AB">
        <w:rPr>
          <w:rStyle w:val="Hyperlink"/>
        </w:rPr>
        <w:t>typical uses of the WQMF</w:t>
      </w:r>
      <w:r>
        <w:fldChar w:fldCharType="end"/>
      </w:r>
      <w:r w:rsidR="001D65AB">
        <w:t>)</w:t>
      </w:r>
      <w:r w:rsidRPr="007A6A4D" w:rsidR="001D65AB">
        <w:t>.</w:t>
      </w:r>
      <w:r w:rsidR="001D65AB">
        <w:t xml:space="preserve"> </w:t>
      </w:r>
      <w:r w:rsidRPr="007A6A4D" w:rsidR="00253CDC">
        <w:t xml:space="preserve">Candidate indicators should be identified and selected in </w:t>
      </w:r>
      <w:r>
        <w:fldChar w:fldCharType="begin"/>
      </w:r>
      <w:r>
        <w:instrText xml:space="preserve"> HYPERLINK "https://www.waterquality.gov.au/anz-guidelines/framework/general" \l "define-relevant-indicators" </w:instrText>
      </w:r>
      <w:r>
        <w:fldChar w:fldCharType="separate"/>
      </w:r>
      <w:r w:rsidRPr="00982D54" w:rsidR="00253CDC">
        <w:rPr>
          <w:rStyle w:val="Hyperlink"/>
        </w:rPr>
        <w:t>Step</w:t>
      </w:r>
      <w:r w:rsidRPr="00982D54" w:rsidR="007E5152">
        <w:rPr>
          <w:rStyle w:val="Hyperlink"/>
        </w:rPr>
        <w:t> </w:t>
      </w:r>
      <w:r w:rsidRPr="00982D54" w:rsidR="00253CDC">
        <w:rPr>
          <w:rStyle w:val="Hyperlink"/>
        </w:rPr>
        <w:t>3</w:t>
      </w:r>
      <w:r>
        <w:fldChar w:fldCharType="end"/>
      </w:r>
      <w:r w:rsidRPr="007A6A4D" w:rsidR="00253CDC">
        <w:t xml:space="preserve"> of the WQMF</w:t>
      </w:r>
      <w:r w:rsidR="00260AFE">
        <w:t>,</w:t>
      </w:r>
      <w:r w:rsidRPr="007A6A4D" w:rsidR="00253CDC">
        <w:t xml:space="preserve"> </w:t>
      </w:r>
      <w:r w:rsidR="005A3B54">
        <w:t>taking into account</w:t>
      </w:r>
      <w:r w:rsidRPr="007A6A4D" w:rsidR="00253CDC">
        <w:t xml:space="preserve"> the appropriate </w:t>
      </w:r>
      <w:r w:rsidRPr="00595599" w:rsidR="00253CDC">
        <w:t>sampling designs</w:t>
      </w:r>
      <w:r w:rsidRPr="007A6A4D" w:rsidR="00253CDC">
        <w:t xml:space="preserve"> and </w:t>
      </w:r>
      <w:r w:rsidRPr="00595599" w:rsidR="00253CDC">
        <w:t>data analy</w:t>
      </w:r>
      <w:r w:rsidR="001535EC">
        <w:t>sis</w:t>
      </w:r>
      <w:r w:rsidRPr="00595599" w:rsidR="00253CDC">
        <w:t xml:space="preserve"> methods and constraints</w:t>
      </w:r>
      <w:r w:rsidRPr="007A6A4D" w:rsidR="00253CDC">
        <w:t xml:space="preserve">. Critically, ecosystem receptor indicators should be selected and interpreted </w:t>
      </w:r>
      <w:r w:rsidR="004307C2">
        <w:t>as part of a weight</w:t>
      </w:r>
      <w:r w:rsidR="007975F1">
        <w:t>-</w:t>
      </w:r>
      <w:r w:rsidR="004307C2">
        <w:t>of</w:t>
      </w:r>
      <w:r w:rsidR="007975F1">
        <w:t>-</w:t>
      </w:r>
      <w:r w:rsidR="004307C2">
        <w:t xml:space="preserve">evidence process, as described in </w:t>
      </w:r>
      <w:r w:rsidR="001A52D9">
        <w:t>Section </w:t>
      </w:r>
      <w:r w:rsidR="001A52D9">
        <w:fldChar w:fldCharType="begin"/>
      </w:r>
      <w:r w:rsidR="001A52D9">
        <w:instrText xml:space="preserve"> REF _Ref64988945 \r \h </w:instrText>
      </w:r>
      <w:r w:rsidR="001A52D9">
        <w:fldChar w:fldCharType="separate"/>
      </w:r>
      <w:r w:rsidR="008A285F">
        <w:t>1</w:t>
      </w:r>
      <w:r w:rsidR="001A52D9">
        <w:fldChar w:fldCharType="end"/>
      </w:r>
      <w:r w:rsidR="004307C2">
        <w:t>.</w:t>
      </w:r>
    </w:p>
    <w:p w:rsidR="007A6A4D" w14:paraId="23C34ECE" w14:textId="7976BA7E">
      <w:pPr>
        <w:rPr>
          <w:highlight w:val="yellow"/>
        </w:rPr>
      </w:pPr>
      <w:r w:rsidRPr="001D071B">
        <w:t xml:space="preserve">Rohr et al. (2016) provide an overview of the merits of different levels of organisation of </w:t>
      </w:r>
      <w:r w:rsidR="00AA61A1">
        <w:t xml:space="preserve">ecosystem receptor </w:t>
      </w:r>
      <w:r w:rsidRPr="001D071B">
        <w:t>indicators (sub-individual, individual, population, community</w:t>
      </w:r>
      <w:r w:rsidR="00982D54">
        <w:t>,</w:t>
      </w:r>
      <w:r w:rsidRPr="001D071B">
        <w:t xml:space="preserve"> ecosystem) </w:t>
      </w:r>
      <w:r w:rsidR="00AA61A1">
        <w:t xml:space="preserve">for use </w:t>
      </w:r>
      <w:r w:rsidRPr="001D071B">
        <w:t>in ecological risk assessment in the US</w:t>
      </w:r>
      <w:r w:rsidR="0059503A">
        <w:t>A</w:t>
      </w:r>
      <w:r w:rsidRPr="001D071B">
        <w:t>. They conclude that there was no universal ideal level of biological organisation from which to select indicators</w:t>
      </w:r>
      <w:r w:rsidR="00BF1118">
        <w:t>.</w:t>
      </w:r>
      <w:r w:rsidRPr="001D071B">
        <w:t xml:space="preserve"> </w:t>
      </w:r>
      <w:r w:rsidR="00BF1118">
        <w:t>T</w:t>
      </w:r>
      <w:r w:rsidR="0059503A">
        <w:t>hey</w:t>
      </w:r>
      <w:r w:rsidR="00BF1118">
        <w:t xml:space="preserve"> also</w:t>
      </w:r>
      <w:r w:rsidR="0059503A">
        <w:t xml:space="preserve"> </w:t>
      </w:r>
      <w:r w:rsidRPr="001D071B">
        <w:t xml:space="preserve">foreshadowed the imminent development of modelling and mathematical tools that would </w:t>
      </w:r>
      <w:r w:rsidR="00230D99">
        <w:t>integrate</w:t>
      </w:r>
      <w:r w:rsidRPr="001D071B">
        <w:t xml:space="preserve"> ‘bottom</w:t>
      </w:r>
      <w:r w:rsidR="0059503A">
        <w:t>-</w:t>
      </w:r>
      <w:r w:rsidRPr="001D071B">
        <w:t xml:space="preserve">up’ </w:t>
      </w:r>
      <w:r w:rsidR="007975F1">
        <w:t xml:space="preserve">indicators </w:t>
      </w:r>
      <w:r w:rsidRPr="001D071B">
        <w:t>(e.g. biomarkers, ecotoxicity) and ‘top</w:t>
      </w:r>
      <w:r w:rsidR="0059503A">
        <w:t>-</w:t>
      </w:r>
      <w:r w:rsidRPr="001D071B">
        <w:t xml:space="preserve">down’ </w:t>
      </w:r>
      <w:r w:rsidR="007975F1">
        <w:t>indicators</w:t>
      </w:r>
      <w:r w:rsidRPr="001D071B" w:rsidR="007975F1">
        <w:t xml:space="preserve"> </w:t>
      </w:r>
      <w:r w:rsidRPr="001D071B">
        <w:t>(e.g. ecosystem process</w:t>
      </w:r>
      <w:r w:rsidR="00982D54">
        <w:t>es</w:t>
      </w:r>
      <w:r w:rsidRPr="001D071B">
        <w:t xml:space="preserve">). </w:t>
      </w:r>
      <w:r w:rsidR="00982D54">
        <w:t>Additionally</w:t>
      </w:r>
      <w:r w:rsidRPr="001D071B">
        <w:t>, frameworks such as</w:t>
      </w:r>
      <w:r w:rsidR="007975F1">
        <w:t xml:space="preserve"> the</w:t>
      </w:r>
      <w:r w:rsidRPr="001D071B">
        <w:t xml:space="preserve"> </w:t>
      </w:r>
      <w:r w:rsidR="007975F1">
        <w:t>‘a</w:t>
      </w:r>
      <w:r w:rsidRPr="001D071B">
        <w:t xml:space="preserve">dverse </w:t>
      </w:r>
      <w:r w:rsidR="007975F1">
        <w:t>o</w:t>
      </w:r>
      <w:r w:rsidRPr="001D071B">
        <w:t xml:space="preserve">utcome </w:t>
      </w:r>
      <w:r w:rsidR="007975F1">
        <w:t>p</w:t>
      </w:r>
      <w:r w:rsidRPr="001D071B">
        <w:t>athways</w:t>
      </w:r>
      <w:r w:rsidR="007975F1">
        <w:t>’</w:t>
      </w:r>
      <w:r w:rsidR="00390A34">
        <w:t xml:space="preserve"> framework</w:t>
      </w:r>
      <w:r w:rsidRPr="001D071B">
        <w:t xml:space="preserve"> (Vinken 2013) can assist in framing conceptual models, identifying candidate indicators</w:t>
      </w:r>
      <w:r w:rsidR="00A85813">
        <w:t>,</w:t>
      </w:r>
      <w:r w:rsidRPr="001D071B">
        <w:t xml:space="preserve"> and guiding modelling approaches to extrapolate observations of responses </w:t>
      </w:r>
      <w:r w:rsidR="003F46D9">
        <w:t xml:space="preserve">at lower levels of biological organisation </w:t>
      </w:r>
      <w:r w:rsidRPr="001D071B">
        <w:t>to broader issues</w:t>
      </w:r>
      <w:r w:rsidR="00A85813">
        <w:t>,</w:t>
      </w:r>
      <w:r w:rsidRPr="001D071B">
        <w:t xml:space="preserve"> </w:t>
      </w:r>
      <w:r w:rsidR="003F46D9">
        <w:t>such as</w:t>
      </w:r>
      <w:r w:rsidRPr="001D071B" w:rsidR="007B597F">
        <w:t xml:space="preserve"> </w:t>
      </w:r>
      <w:r w:rsidRPr="001D071B">
        <w:t>ecosystem respon</w:t>
      </w:r>
      <w:r w:rsidR="007B597F">
        <w:t>ses and services (Ankley et al.</w:t>
      </w:r>
      <w:r w:rsidRPr="001D071B">
        <w:t xml:space="preserve"> 2010</w:t>
      </w:r>
      <w:r w:rsidR="007B597F">
        <w:t>, Madden et al.</w:t>
      </w:r>
      <w:r w:rsidRPr="001D071B">
        <w:t xml:space="preserve"> 2014</w:t>
      </w:r>
      <w:r w:rsidR="007B597F">
        <w:t xml:space="preserve">, Forbes et al. </w:t>
      </w:r>
      <w:r w:rsidRPr="001D071B">
        <w:t>2017).</w:t>
      </w:r>
    </w:p>
    <w:p w:rsidR="007A6A4D" w14:paraId="16B303F7" w14:textId="5EEEDAEC">
      <w:r w:rsidRPr="001D071B">
        <w:t xml:space="preserve">Generally, ecosystem receptor indicators are a fundamental consideration in all </w:t>
      </w:r>
      <w:r w:rsidR="00EF62C1">
        <w:t>weight</w:t>
      </w:r>
      <w:r w:rsidR="009B3237">
        <w:t>-</w:t>
      </w:r>
      <w:r w:rsidR="00EF62C1">
        <w:t>of</w:t>
      </w:r>
      <w:r w:rsidR="009B3237">
        <w:t>-</w:t>
      </w:r>
      <w:r w:rsidR="00EF62C1">
        <w:t>evidence</w:t>
      </w:r>
      <w:r w:rsidRPr="00595599" w:rsidR="00EF62C1">
        <w:t xml:space="preserve"> </w:t>
      </w:r>
      <w:r w:rsidRPr="00595599">
        <w:t>assessments</w:t>
      </w:r>
      <w:r w:rsidRPr="001D071B">
        <w:t xml:space="preserve"> of water and sediment quality because they provide diagnostic information and inference about the presence of an impact and its extent. Some ‘keystone’ biota </w:t>
      </w:r>
      <w:r w:rsidR="00E33F10">
        <w:t>can</w:t>
      </w:r>
      <w:r w:rsidRPr="001D071B" w:rsidR="00E33F10">
        <w:t xml:space="preserve"> </w:t>
      </w:r>
      <w:r w:rsidRPr="001D071B">
        <w:t xml:space="preserve">act as modifier indicators because they </w:t>
      </w:r>
      <w:r w:rsidR="00E33F10">
        <w:t>can</w:t>
      </w:r>
      <w:r w:rsidRPr="001D071B" w:rsidR="00E33F10">
        <w:t xml:space="preserve"> </w:t>
      </w:r>
      <w:r w:rsidRPr="001D071B">
        <w:t xml:space="preserve">form habitats, alter </w:t>
      </w:r>
      <w:r w:rsidR="00A85813">
        <w:t>habitats</w:t>
      </w:r>
      <w:r w:rsidRPr="001D071B">
        <w:t>, or facilitate or inhibit the responses of other indicators (e.g. populations of invasive plant species, irruptions of dominant urchins</w:t>
      </w:r>
      <w:r w:rsidR="00982D54">
        <w:t>,</w:t>
      </w:r>
      <w:r w:rsidRPr="001D071B">
        <w:t xml:space="preserve"> loss of seagrass in marine systems). The other important role of ecosystem receptor indicators is as performance indicators</w:t>
      </w:r>
      <w:r w:rsidR="00C92776">
        <w:t>.</w:t>
      </w:r>
      <w:r w:rsidRPr="001D071B">
        <w:t xml:space="preserve"> </w:t>
      </w:r>
      <w:r w:rsidR="00C92776">
        <w:t>S</w:t>
      </w:r>
      <w:r w:rsidR="003F46D9">
        <w:t xml:space="preserve">pecific </w:t>
      </w:r>
      <w:r w:rsidR="000F0098">
        <w:t xml:space="preserve">biodiversity </w:t>
      </w:r>
      <w:r w:rsidRPr="001D071B">
        <w:t xml:space="preserve">aspects of </w:t>
      </w:r>
      <w:r w:rsidR="000F0098">
        <w:t>performance indicators are</w:t>
      </w:r>
      <w:r w:rsidRPr="001D071B">
        <w:t xml:space="preserve"> identified in </w:t>
      </w:r>
      <w:r>
        <w:fldChar w:fldCharType="begin"/>
      </w:r>
      <w:r>
        <w:instrText xml:space="preserve"> HYPERLINK "https://www.waterquality.gov.au/anz-guidelines/framework/general" \l "define-community-values-and-management-goals" </w:instrText>
      </w:r>
      <w:r>
        <w:fldChar w:fldCharType="separate"/>
      </w:r>
      <w:r w:rsidRPr="007F5A17">
        <w:rPr>
          <w:rStyle w:val="Hyperlink"/>
        </w:rPr>
        <w:t>Step</w:t>
      </w:r>
      <w:r w:rsidRPr="007F5A17" w:rsidR="007E5152">
        <w:rPr>
          <w:rStyle w:val="Hyperlink"/>
        </w:rPr>
        <w:t> </w:t>
      </w:r>
      <w:r w:rsidRPr="007F5A17">
        <w:rPr>
          <w:rStyle w:val="Hyperlink"/>
        </w:rPr>
        <w:t>2</w:t>
      </w:r>
      <w:r>
        <w:fldChar w:fldCharType="end"/>
      </w:r>
      <w:r w:rsidRPr="001D071B">
        <w:t xml:space="preserve"> of the WQMF as a management goal in themselves</w:t>
      </w:r>
      <w:r w:rsidR="00DE3C8A">
        <w:t xml:space="preserve"> (e.g. </w:t>
      </w:r>
      <w:r w:rsidR="003F46D9">
        <w:t>protect</w:t>
      </w:r>
      <w:r w:rsidR="00DE3C8A">
        <w:t>ion of</w:t>
      </w:r>
      <w:r w:rsidR="003F46D9">
        <w:t xml:space="preserve"> an endangered species</w:t>
      </w:r>
      <w:r w:rsidR="00210032">
        <w:t xml:space="preserve"> or community</w:t>
      </w:r>
      <w:r w:rsidR="00DE3C8A">
        <w:t>)</w:t>
      </w:r>
      <w:r w:rsidRPr="001D071B">
        <w:t>.</w:t>
      </w:r>
    </w:p>
    <w:p w:rsidR="001D071B" w14:paraId="6CABC703" w14:textId="75ADC641">
      <w:pPr>
        <w:rPr>
          <w:highlight w:val="yellow"/>
        </w:rPr>
      </w:pPr>
      <w:r>
        <w:t>ANZG (2018)</w:t>
      </w:r>
      <w:r w:rsidRPr="001D071B" w:rsidR="00253CDC">
        <w:t xml:space="preserve"> </w:t>
      </w:r>
      <w:r w:rsidRPr="001D071B">
        <w:t>distinguishe</w:t>
      </w:r>
      <w:r>
        <w:t>s</w:t>
      </w:r>
      <w:r w:rsidRPr="001D071B">
        <w:t xml:space="preserve"> </w:t>
      </w:r>
      <w:r w:rsidRPr="001D071B" w:rsidR="00253CDC">
        <w:t>the roles of toxicity and biomarker</w:t>
      </w:r>
      <w:r w:rsidR="00C05406">
        <w:t xml:space="preserve"> indicators </w:t>
      </w:r>
      <w:r w:rsidRPr="001D071B" w:rsidR="00253CDC">
        <w:t xml:space="preserve">from those of biodiversity </w:t>
      </w:r>
      <w:r w:rsidR="00C05406">
        <w:t>indicators</w:t>
      </w:r>
      <w:r w:rsidRPr="001D071B" w:rsidR="00253CDC">
        <w:t>. Toxicity and biomarker</w:t>
      </w:r>
      <w:r>
        <w:t xml:space="preserve"> indicators also differ from each</w:t>
      </w:r>
      <w:r w:rsidR="00666B40">
        <w:t xml:space="preserve"> </w:t>
      </w:r>
      <w:r>
        <w:t>other</w:t>
      </w:r>
      <w:r w:rsidR="009B3237">
        <w:t>.</w:t>
      </w:r>
      <w:r w:rsidR="00666B40">
        <w:t xml:space="preserve"> </w:t>
      </w:r>
      <w:r w:rsidR="009B3237">
        <w:t>H</w:t>
      </w:r>
      <w:r w:rsidR="00666B40">
        <w:t>owever, they typically</w:t>
      </w:r>
      <w:r w:rsidRPr="001D071B" w:rsidR="00253CDC">
        <w:t xml:space="preserve"> provide either early</w:t>
      </w:r>
      <w:r w:rsidR="006167F7">
        <w:t>-</w:t>
      </w:r>
      <w:r w:rsidRPr="001D071B" w:rsidR="00253CDC">
        <w:t xml:space="preserve">detection information or diagnostic information in a </w:t>
      </w:r>
      <w:r w:rsidR="008453BF">
        <w:t>weight</w:t>
      </w:r>
      <w:r w:rsidR="009B3237">
        <w:t>-</w:t>
      </w:r>
      <w:r w:rsidR="008453BF">
        <w:t>of</w:t>
      </w:r>
      <w:r w:rsidR="009B3237">
        <w:t>-</w:t>
      </w:r>
      <w:r w:rsidR="008453BF">
        <w:t>evidence</w:t>
      </w:r>
      <w:r w:rsidRPr="001D071B" w:rsidR="008453BF">
        <w:t xml:space="preserve"> </w:t>
      </w:r>
      <w:r w:rsidR="008453BF">
        <w:t>assessment</w:t>
      </w:r>
      <w:r w:rsidRPr="001D071B" w:rsidR="008453BF">
        <w:t xml:space="preserve"> </w:t>
      </w:r>
      <w:r w:rsidRPr="001D071B" w:rsidR="00253CDC">
        <w:t>(</w:t>
      </w:r>
      <w:r w:rsidR="00A5667B">
        <w:t>e.g.</w:t>
      </w:r>
      <w:r w:rsidRPr="001D071B" w:rsidR="00253CDC">
        <w:t xml:space="preserve"> stressor presence, </w:t>
      </w:r>
      <w:r w:rsidR="00A5667B">
        <w:t>magnitude and type of effect</w:t>
      </w:r>
      <w:r w:rsidRPr="001D071B" w:rsidR="00253CDC">
        <w:t xml:space="preserve">). Often, for these </w:t>
      </w:r>
      <w:r w:rsidR="005A3B54">
        <w:t xml:space="preserve">(non-biodiversity) </w:t>
      </w:r>
      <w:r w:rsidR="00C05406">
        <w:t>indicators</w:t>
      </w:r>
      <w:r w:rsidRPr="001D071B" w:rsidR="00253CDC">
        <w:t>, the measurement program</w:t>
      </w:r>
      <w:r w:rsidRPr="00820DD3" w:rsidR="00820DD3">
        <w:t xml:space="preserve"> </w:t>
      </w:r>
      <w:r w:rsidRPr="001D071B" w:rsidR="00820DD3">
        <w:t>objective</w:t>
      </w:r>
      <w:r w:rsidRPr="001D071B" w:rsidR="00253CDC">
        <w:t xml:space="preserve"> is to detect any change (including trend) </w:t>
      </w:r>
      <w:r w:rsidR="003E3C9D">
        <w:t>from</w:t>
      </w:r>
      <w:r w:rsidRPr="001D071B" w:rsidR="003E3C9D">
        <w:t xml:space="preserve"> </w:t>
      </w:r>
      <w:r w:rsidRPr="001D071B" w:rsidR="00253CDC">
        <w:t xml:space="preserve">a control or reference condition associated with stressors. </w:t>
      </w:r>
      <w:r w:rsidR="00666B40">
        <w:t>Where toxicity or biomarker</w:t>
      </w:r>
      <w:r w:rsidR="00C05406">
        <w:t xml:space="preserve"> </w:t>
      </w:r>
      <w:r w:rsidRPr="001D071B" w:rsidR="00253CDC">
        <w:t>assessment</w:t>
      </w:r>
      <w:r w:rsidR="00666B40">
        <w:t>s are undertaken in the laboratory, they are</w:t>
      </w:r>
      <w:r w:rsidRPr="001D071B" w:rsidR="00253CDC">
        <w:t xml:space="preserve"> less likely to be confounded by non-water</w:t>
      </w:r>
      <w:r w:rsidR="00ED5678">
        <w:t>-</w:t>
      </w:r>
      <w:r w:rsidRPr="001D071B" w:rsidR="00253CDC">
        <w:t>quality stressors and other environmental influences than biodiversity</w:t>
      </w:r>
      <w:r w:rsidR="00820DD3">
        <w:t xml:space="preserve"> </w:t>
      </w:r>
      <w:r w:rsidR="00DA6AD8">
        <w:t>assessments</w:t>
      </w:r>
      <w:r w:rsidRPr="001D071B" w:rsidR="00253CDC">
        <w:t xml:space="preserve">. For </w:t>
      </w:r>
      <w:r w:rsidR="00666B40">
        <w:t xml:space="preserve">field-based studies, particularly those assessing </w:t>
      </w:r>
      <w:r w:rsidRPr="001D071B" w:rsidR="00253CDC">
        <w:t xml:space="preserve">biodiversity indicators </w:t>
      </w:r>
      <w:r w:rsidR="005F0785">
        <w:t>for</w:t>
      </w:r>
      <w:r w:rsidR="002F30B2">
        <w:t xml:space="preserve"> </w:t>
      </w:r>
      <w:r w:rsidRPr="001D071B" w:rsidR="00253CDC">
        <w:t>ecosystem</w:t>
      </w:r>
      <w:r w:rsidR="005A3B54">
        <w:t>-level</w:t>
      </w:r>
      <w:r w:rsidRPr="001D071B" w:rsidR="00253CDC">
        <w:t xml:space="preserve"> response </w:t>
      </w:r>
      <w:r w:rsidR="00666B40">
        <w:t xml:space="preserve">or biomarker indicators, </w:t>
      </w:r>
      <w:r w:rsidRPr="001D071B" w:rsidR="00253CDC">
        <w:t>non-water</w:t>
      </w:r>
      <w:r w:rsidR="00ED5678">
        <w:t>-</w:t>
      </w:r>
      <w:r w:rsidRPr="001D071B" w:rsidR="00253CDC">
        <w:t xml:space="preserve">quality </w:t>
      </w:r>
      <w:r w:rsidR="00820DD3">
        <w:t xml:space="preserve">stressors </w:t>
      </w:r>
      <w:r w:rsidRPr="001D071B" w:rsidR="00253CDC">
        <w:t>and other environmental influences contribute to inherent variability</w:t>
      </w:r>
      <w:r w:rsidR="00015D68">
        <w:t xml:space="preserve">, </w:t>
      </w:r>
      <w:r w:rsidRPr="001D071B" w:rsidR="00253CDC">
        <w:t xml:space="preserve">and </w:t>
      </w:r>
      <w:r w:rsidR="00666B40">
        <w:t>the indicators</w:t>
      </w:r>
      <w:r w:rsidRPr="001D071B" w:rsidR="00253CDC">
        <w:t xml:space="preserve"> may respond to one or several stressors in a similar </w:t>
      </w:r>
      <w:r w:rsidR="00015D68">
        <w:t>way</w:t>
      </w:r>
      <w:r w:rsidRPr="001D071B" w:rsidR="00253CDC">
        <w:t>. Further, because of the inherent variability, associated sampling designs have a limited capacity to detect and quantify change relative to an undisturbed or reference state.</w:t>
      </w:r>
    </w:p>
    <w:p w:rsidR="001D071B" w:rsidRPr="00FE3443" w:rsidP="008E51F0" w14:paraId="14FEA558" w14:textId="1810AAC4">
      <w:pPr>
        <w:rPr>
          <w:highlight w:val="yellow"/>
        </w:rPr>
      </w:pPr>
      <w:r w:rsidRPr="001D071B">
        <w:t xml:space="preserve">The selection of ecosystem receptor indicators </w:t>
      </w:r>
      <w:r w:rsidR="00B5515C">
        <w:t>is</w:t>
      </w:r>
      <w:r w:rsidRPr="001D071B">
        <w:t xml:space="preserve"> highly dependent on the nature of the issue(s)</w:t>
      </w:r>
      <w:r w:rsidR="00727EF3">
        <w:t>, including its</w:t>
      </w:r>
      <w:r w:rsidR="00B5515C">
        <w:t xml:space="preserve"> </w:t>
      </w:r>
      <w:r w:rsidRPr="001D071B">
        <w:t>specific pressures and stressors</w:t>
      </w:r>
      <w:r w:rsidR="00727EF3">
        <w:t>, the questions being asked</w:t>
      </w:r>
      <w:r w:rsidR="00240441">
        <w:t>,</w:t>
      </w:r>
      <w:r w:rsidR="00727EF3">
        <w:t xml:space="preserve"> and the associated type of assessment required</w:t>
      </w:r>
      <w:r w:rsidRPr="001D071B">
        <w:t xml:space="preserve">. </w:t>
      </w:r>
      <w:r w:rsidR="00B064C3">
        <w:t>Candidate i</w:t>
      </w:r>
      <w:r w:rsidR="000D7A7E">
        <w:t>ndicators</w:t>
      </w:r>
      <w:r w:rsidR="00DE702A">
        <w:t xml:space="preserve"> must </w:t>
      </w:r>
      <w:r w:rsidR="000D7A7E">
        <w:t xml:space="preserve">be </w:t>
      </w:r>
      <w:r w:rsidR="00B064C3">
        <w:t xml:space="preserve">relevant and </w:t>
      </w:r>
      <w:r w:rsidR="000D7A7E">
        <w:t>sensitive</w:t>
      </w:r>
      <w:r w:rsidR="00347655">
        <w:t xml:space="preserve"> (relative to</w:t>
      </w:r>
      <w:r w:rsidR="009042FE">
        <w:t xml:space="preserve"> other potential indicators)</w:t>
      </w:r>
      <w:r w:rsidR="000D7A7E">
        <w:t xml:space="preserve"> </w:t>
      </w:r>
      <w:r w:rsidR="00B064C3">
        <w:t>to</w:t>
      </w:r>
      <w:r w:rsidR="000D7A7E">
        <w:t xml:space="preserve"> the pressures</w:t>
      </w:r>
      <w:r w:rsidR="00611A62">
        <w:t xml:space="preserve"> and </w:t>
      </w:r>
      <w:r w:rsidR="000D7A7E">
        <w:t>stressors of concern</w:t>
      </w:r>
      <w:r w:rsidR="00727EF3">
        <w:t xml:space="preserve">, suitable for the type of assessment required, </w:t>
      </w:r>
      <w:r w:rsidR="00B064C3">
        <w:t xml:space="preserve">measurable in practice at the </w:t>
      </w:r>
      <w:r w:rsidR="004F733C">
        <w:t xml:space="preserve">appropriate </w:t>
      </w:r>
      <w:r w:rsidR="00B064C3">
        <w:t>scale</w:t>
      </w:r>
      <w:r w:rsidR="003E3C9D">
        <w:t xml:space="preserve"> (e.g. catchment</w:t>
      </w:r>
      <w:r w:rsidR="00611A62">
        <w:t>-</w:t>
      </w:r>
      <w:r w:rsidR="003E3C9D">
        <w:t>level</w:t>
      </w:r>
      <w:r w:rsidR="00E53357">
        <w:t>,</w:t>
      </w:r>
      <w:r w:rsidR="003E3C9D">
        <w:t xml:space="preserve"> site-specific)</w:t>
      </w:r>
      <w:r w:rsidR="004F733C">
        <w:t>,</w:t>
      </w:r>
      <w:r w:rsidR="00B064C3">
        <w:t xml:space="preserve"> and </w:t>
      </w:r>
      <w:r w:rsidR="000D7A7E">
        <w:t>relevant to the management goals.</w:t>
      </w:r>
      <w:r w:rsidRPr="004F733C" w:rsidR="004F733C">
        <w:t xml:space="preserve"> Candidate indicators should be considered and prioritised in a quality</w:t>
      </w:r>
      <w:r w:rsidR="00611A62">
        <w:t>-</w:t>
      </w:r>
      <w:r w:rsidRPr="004F733C" w:rsidR="004F733C">
        <w:t>of</w:t>
      </w:r>
      <w:r w:rsidR="00611A62">
        <w:t>-</w:t>
      </w:r>
      <w:r w:rsidRPr="004F733C" w:rsidR="004F733C">
        <w:t>evidence table as part of the weight</w:t>
      </w:r>
      <w:r w:rsidR="00611A62">
        <w:t>-</w:t>
      </w:r>
      <w:r w:rsidRPr="004F733C" w:rsidR="004F733C">
        <w:t>of</w:t>
      </w:r>
      <w:r w:rsidR="00611A62">
        <w:t>-</w:t>
      </w:r>
      <w:r w:rsidRPr="004F733C" w:rsidR="004F733C">
        <w:t>evidence process, based on the current understanding</w:t>
      </w:r>
      <w:r w:rsidR="00240441">
        <w:t xml:space="preserve"> of</w:t>
      </w:r>
      <w:r w:rsidRPr="004F733C" w:rsidR="004F733C">
        <w:t xml:space="preserve"> (</w:t>
      </w:r>
      <w:r>
        <w:fldChar w:fldCharType="begin"/>
      </w:r>
      <w:r>
        <w:instrText xml:space="preserve"> HYPERLINK "https://www.waterquality.gov.au/anz-guidelines/framework/general" \l "examine-current-understanding" </w:instrText>
      </w:r>
      <w:r>
        <w:fldChar w:fldCharType="separate"/>
      </w:r>
      <w:r w:rsidRPr="00611A62" w:rsidR="004F733C">
        <w:rPr>
          <w:rStyle w:val="Hyperlink"/>
        </w:rPr>
        <w:t>Step 1</w:t>
      </w:r>
      <w:r>
        <w:fldChar w:fldCharType="end"/>
      </w:r>
      <w:r w:rsidRPr="004F733C" w:rsidR="004F733C">
        <w:t>)</w:t>
      </w:r>
      <w:r w:rsidR="004F733C">
        <w:t xml:space="preserve"> </w:t>
      </w:r>
      <w:r w:rsidRPr="004F733C" w:rsidR="004F733C">
        <w:t>and management goals</w:t>
      </w:r>
      <w:r w:rsidR="00240441">
        <w:t xml:space="preserve"> for</w:t>
      </w:r>
      <w:r w:rsidRPr="004F733C" w:rsidR="004F733C">
        <w:t xml:space="preserve"> (</w:t>
      </w:r>
      <w:r>
        <w:fldChar w:fldCharType="begin"/>
      </w:r>
      <w:r>
        <w:instrText xml:space="preserve"> HYPERLINK "https://www.waterquality.gov.au/anz-guidelines/framework/general" \l "define-community-values-and-management-goals" </w:instrText>
      </w:r>
      <w:r>
        <w:fldChar w:fldCharType="separate"/>
      </w:r>
      <w:r w:rsidRPr="00611A62" w:rsidR="004F733C">
        <w:rPr>
          <w:rStyle w:val="Hyperlink"/>
        </w:rPr>
        <w:t>Step 2</w:t>
      </w:r>
      <w:r>
        <w:fldChar w:fldCharType="end"/>
      </w:r>
      <w:r w:rsidRPr="004F733C" w:rsidR="004F733C">
        <w:t>) the issue</w:t>
      </w:r>
      <w:r w:rsidRPr="001D071B">
        <w:t xml:space="preserve">. </w:t>
      </w:r>
      <w:r w:rsidR="00257D03">
        <w:t>A quality</w:t>
      </w:r>
      <w:r w:rsidR="00611A62">
        <w:t>-</w:t>
      </w:r>
      <w:r w:rsidR="00257D03">
        <w:t>of</w:t>
      </w:r>
      <w:r w:rsidR="00611A62">
        <w:t>-</w:t>
      </w:r>
      <w:r w:rsidR="00257D03">
        <w:t xml:space="preserve">evidence </w:t>
      </w:r>
      <w:r w:rsidR="000D7A7E">
        <w:t>table</w:t>
      </w:r>
      <w:r w:rsidR="00727EF3">
        <w:t xml:space="preserve"> </w:t>
      </w:r>
      <w:r w:rsidR="000D7A7E">
        <w:t>will help identify an appropriate suite of indicators that will result in an acceptable quality of evidence for the assessment</w:t>
      </w:r>
      <w:r w:rsidRPr="001D071B">
        <w:t xml:space="preserve">. </w:t>
      </w:r>
      <w:r w:rsidR="0001387F">
        <w:t>G</w:t>
      </w:r>
      <w:r w:rsidRPr="001D071B">
        <w:t xml:space="preserve">uidance on </w:t>
      </w:r>
      <w:r w:rsidR="0001387F">
        <w:t>selecting</w:t>
      </w:r>
      <w:r w:rsidRPr="001D071B">
        <w:t xml:space="preserve"> indicator types for pressure</w:t>
      </w:r>
      <w:r w:rsidR="009E744B">
        <w:t>s</w:t>
      </w:r>
      <w:r w:rsidR="00611A62">
        <w:t xml:space="preserve"> and </w:t>
      </w:r>
      <w:r w:rsidRPr="001D071B">
        <w:t>str</w:t>
      </w:r>
      <w:r w:rsidR="00850E85">
        <w:t xml:space="preserve">essors is in </w:t>
      </w:r>
      <w:r w:rsidR="00B865E2">
        <w:fldChar w:fldCharType="begin"/>
      </w:r>
      <w:r w:rsidR="00B865E2">
        <w:instrText xml:space="preserve"> REF _Ref48722648 \h </w:instrText>
      </w:r>
      <w:r w:rsidR="00B865E2">
        <w:fldChar w:fldCharType="separate"/>
      </w:r>
      <w:r w:rsidR="008A285F">
        <w:t>Table </w:t>
      </w:r>
      <w:r w:rsidR="008A285F">
        <w:rPr>
          <w:noProof/>
        </w:rPr>
        <w:t>1</w:t>
      </w:r>
      <w:r w:rsidR="00B865E2">
        <w:fldChar w:fldCharType="end"/>
      </w:r>
      <w:r w:rsidR="00850E85">
        <w:t xml:space="preserve">. </w:t>
      </w:r>
      <w:r w:rsidRPr="001D071B">
        <w:t xml:space="preserve">Once indicators </w:t>
      </w:r>
      <w:r w:rsidR="0001387F">
        <w:t>are</w:t>
      </w:r>
      <w:r w:rsidRPr="001D071B">
        <w:t xml:space="preserve"> selected, specific details about spatial scale, frequency, required limits of detection, and other details </w:t>
      </w:r>
      <w:r w:rsidR="0001387F">
        <w:t>of</w:t>
      </w:r>
      <w:r w:rsidRPr="001D071B">
        <w:t xml:space="preserve"> sampling and measurement method</w:t>
      </w:r>
      <w:r w:rsidR="0001387F">
        <w:t>s</w:t>
      </w:r>
      <w:r w:rsidRPr="001D071B">
        <w:t xml:space="preserve"> need to be considered. These are discussed </w:t>
      </w:r>
      <w:r w:rsidR="00FE3443">
        <w:t xml:space="preserve">in </w:t>
      </w:r>
      <w:r w:rsidRPr="005A3B54" w:rsidR="00FE3443">
        <w:t>ANZG (2018)</w:t>
      </w:r>
      <w:r w:rsidRPr="001D071B">
        <w:t>.</w:t>
      </w:r>
      <w:r w:rsidRPr="008E51F0">
        <w:rPr>
          <w:highlight w:val="yellow"/>
        </w:rPr>
        <w:t xml:space="preserve"> </w:t>
      </w:r>
    </w:p>
    <w:p w:rsidR="007A6A4D" w14:paraId="0819E023" w14:textId="7CCE55DB">
      <w:r>
        <w:t>The type of assessment required var</w:t>
      </w:r>
      <w:r w:rsidR="00584043">
        <w:t>ies</w:t>
      </w:r>
      <w:r>
        <w:t xml:space="preserve"> depending on the issue and </w:t>
      </w:r>
      <w:r w:rsidR="00584043">
        <w:t xml:space="preserve">on </w:t>
      </w:r>
      <w:r>
        <w:t>the questions being asked. Certain types of ecosystem receptor indicators will suit specific types of assessments.</w:t>
      </w:r>
      <w:r w:rsidRPr="001D071B" w:rsidR="00253CDC">
        <w:t xml:space="preserve"> </w:t>
      </w:r>
      <w:r w:rsidR="00D70F8A">
        <w:t>As a guide, s</w:t>
      </w:r>
      <w:r w:rsidRPr="001D071B" w:rsidR="00253CDC">
        <w:t>ome examples</w:t>
      </w:r>
      <w:r w:rsidR="009335D9">
        <w:t xml:space="preserve"> </w:t>
      </w:r>
      <w:r>
        <w:t xml:space="preserve">of indicators </w:t>
      </w:r>
      <w:r w:rsidR="009335D9">
        <w:t>that</w:t>
      </w:r>
      <w:r w:rsidRPr="001D071B" w:rsidR="00253CDC">
        <w:t xml:space="preserve"> are potentially suitable for </w:t>
      </w:r>
      <w:r w:rsidR="00611A62">
        <w:t xml:space="preserve">3 </w:t>
      </w:r>
      <w:r w:rsidR="00D70F8A">
        <w:t>key</w:t>
      </w:r>
      <w:r w:rsidRPr="001D071B" w:rsidR="00D70F8A">
        <w:t xml:space="preserve"> </w:t>
      </w:r>
      <w:r>
        <w:t>types of assessment</w:t>
      </w:r>
      <w:r w:rsidR="00FE517F">
        <w:t xml:space="preserve"> (</w:t>
      </w:r>
      <w:r w:rsidR="00D70F8A">
        <w:t>early detection, broad</w:t>
      </w:r>
      <w:r w:rsidR="00240441">
        <w:t>-</w:t>
      </w:r>
      <w:r w:rsidR="00D70F8A">
        <w:t>scale assessment and site-specific assessment)</w:t>
      </w:r>
      <w:r w:rsidRPr="001D071B">
        <w:t xml:space="preserve"> </w:t>
      </w:r>
      <w:r w:rsidRPr="001D071B" w:rsidR="00253CDC">
        <w:t>are</w:t>
      </w:r>
      <w:r w:rsidR="009335D9">
        <w:t xml:space="preserve"> listed as follows.</w:t>
      </w:r>
      <w:r w:rsidR="00262584">
        <w:t xml:space="preserve"> </w:t>
      </w:r>
    </w:p>
    <w:p w:rsidR="001D071B" w:rsidRPr="001A6B2B" w:rsidP="001A6B2B" w14:paraId="63B856E9" w14:textId="15F3E2E2">
      <w:pPr>
        <w:rPr>
          <w:b/>
          <w:bCs/>
        </w:rPr>
      </w:pPr>
      <w:r w:rsidRPr="001A6B2B">
        <w:rPr>
          <w:b/>
          <w:bCs/>
        </w:rPr>
        <w:t>Early detection</w:t>
      </w:r>
    </w:p>
    <w:p w:rsidR="001D071B" w:rsidP="001A6B2B" w14:paraId="31EB0B54" w14:textId="0F64CB2D">
      <w:pPr>
        <w:pStyle w:val="ListBullet"/>
      </w:pPr>
      <w:r>
        <w:t>Bioaccumulation can be cost-effective where presence, absence or increase in tissue concentration is relevant to the issue or where bioaccumulation is relevant to community values other than aquatic ecosystems (e.g. concentrations</w:t>
      </w:r>
      <w:r w:rsidR="00611A62">
        <w:t xml:space="preserve"> of </w:t>
      </w:r>
      <w:r w:rsidR="00240441">
        <w:t>PFAS [</w:t>
      </w:r>
      <w:r w:rsidR="00611A62">
        <w:t>per- and polyfluoroalkyl substances]</w:t>
      </w:r>
      <w:r>
        <w:t xml:space="preserve"> in seafood). There is a vast literature on this topic</w:t>
      </w:r>
      <w:r w:rsidR="00D45220">
        <w:t xml:space="preserve"> –</w:t>
      </w:r>
      <w:r>
        <w:t xml:space="preserve"> examples of relevant reviews include van der Oost et al. (2003) and DeForest et al. (2007)</w:t>
      </w:r>
      <w:r w:rsidR="000B6432">
        <w:t>.</w:t>
      </w:r>
    </w:p>
    <w:p w:rsidR="001D071B" w:rsidP="001A6B2B" w14:paraId="211E5176" w14:textId="4CC21542">
      <w:pPr>
        <w:pStyle w:val="ListBullet"/>
      </w:pPr>
      <w:r>
        <w:t>Biomarkers typically provide evidence of organism exposure to a stressor more readily than they measure effects resulting from that exposure (Hook et al. 2014).</w:t>
      </w:r>
    </w:p>
    <w:p w:rsidR="001D071B" w:rsidP="001A6B2B" w14:paraId="2327DB55" w14:textId="37383B1C">
      <w:pPr>
        <w:pStyle w:val="ListBullet"/>
      </w:pPr>
      <w:r w:rsidRPr="00084B0C">
        <w:rPr>
          <w:rStyle w:val="Emphasis"/>
        </w:rPr>
        <w:t>In</w:t>
      </w:r>
      <w:r w:rsidR="00D45220">
        <w:rPr>
          <w:rStyle w:val="Emphasis"/>
        </w:rPr>
        <w:t>-</w:t>
      </w:r>
      <w:r w:rsidRPr="00084B0C">
        <w:rPr>
          <w:rStyle w:val="Emphasis"/>
        </w:rPr>
        <w:t>situ</w:t>
      </w:r>
      <w:r>
        <w:t xml:space="preserve"> toxicity monitoring (e.g. Method 1A, Appendix 3, vol</w:t>
      </w:r>
      <w:r w:rsidR="00640124">
        <w:t>.</w:t>
      </w:r>
      <w:r>
        <w:t xml:space="preserve"> 2</w:t>
      </w:r>
      <w:r w:rsidR="00084B0C">
        <w:t xml:space="preserve"> of</w:t>
      </w:r>
      <w:r>
        <w:t xml:space="preserve"> </w:t>
      </w:r>
      <w:r w:rsidR="00FE3443">
        <w:t>ANZECC</w:t>
      </w:r>
      <w:r w:rsidR="00BE4397">
        <w:t xml:space="preserve"> and </w:t>
      </w:r>
      <w:r w:rsidR="00FE3443">
        <w:t>ARMCANZ 2000</w:t>
      </w:r>
      <w:r w:rsidR="00084B0C">
        <w:t>,</w:t>
      </w:r>
      <w:r>
        <w:t xml:space="preserve"> </w:t>
      </w:r>
      <w:r w:rsidR="00D70F8A">
        <w:t xml:space="preserve">with </w:t>
      </w:r>
      <w:r>
        <w:t>revised protocol in Supervising Scientist 2011) can provide early detection of pulsed or continuous exposure to toxicants but can be expensive to implement.</w:t>
      </w:r>
    </w:p>
    <w:p w:rsidR="001D071B" w:rsidRPr="001D071B" w:rsidP="001A6B2B" w14:paraId="4B161FF3" w14:textId="7602F2B8">
      <w:pPr>
        <w:pStyle w:val="ListBullet"/>
      </w:pPr>
      <w:r>
        <w:t>Genomics</w:t>
      </w:r>
      <w:r w:rsidR="00C61E42">
        <w:t>,</w:t>
      </w:r>
      <w:r>
        <w:t xml:space="preserve"> including </w:t>
      </w:r>
      <w:r w:rsidR="00C61E42">
        <w:t>us</w:t>
      </w:r>
      <w:r w:rsidR="00094A63">
        <w:t>e of</w:t>
      </w:r>
      <w:r w:rsidR="00C61E42">
        <w:t xml:space="preserve"> </w:t>
      </w:r>
      <w:r>
        <w:t>environmental DNA</w:t>
      </w:r>
      <w:r w:rsidR="00463D6F">
        <w:t xml:space="preserve"> (eDNA)</w:t>
      </w:r>
      <w:r w:rsidR="00C61E42">
        <w:t xml:space="preserve"> for analyses such as</w:t>
      </w:r>
      <w:r>
        <w:t xml:space="preserve"> </w:t>
      </w:r>
      <w:r w:rsidR="00E53357">
        <w:t xml:space="preserve">species </w:t>
      </w:r>
      <w:r>
        <w:t>assemblages</w:t>
      </w:r>
      <w:r w:rsidR="00C61E42">
        <w:t xml:space="preserve"> and</w:t>
      </w:r>
      <w:r>
        <w:t xml:space="preserve"> microbial processes</w:t>
      </w:r>
      <w:r w:rsidR="00C61E42">
        <w:t>,</w:t>
      </w:r>
      <w:r>
        <w:t xml:space="preserve"> is a developing area and </w:t>
      </w:r>
      <w:r w:rsidR="00084B0C">
        <w:t xml:space="preserve">is </w:t>
      </w:r>
      <w:r>
        <w:t xml:space="preserve">currently </w:t>
      </w:r>
      <w:r w:rsidR="00AD4675">
        <w:t>mostly</w:t>
      </w:r>
      <w:r w:rsidR="003E3C9D">
        <w:t xml:space="preserve"> </w:t>
      </w:r>
      <w:r>
        <w:t>used as a research tool</w:t>
      </w:r>
      <w:r w:rsidR="00FF52A4">
        <w:t>. However</w:t>
      </w:r>
      <w:r>
        <w:t xml:space="preserve">, successful applications for </w:t>
      </w:r>
      <w:r w:rsidR="009E1D8F">
        <w:t xml:space="preserve">the </w:t>
      </w:r>
      <w:r w:rsidRPr="001D071B" w:rsidR="009E1D8F">
        <w:t xml:space="preserve">derivation and assessment </w:t>
      </w:r>
      <w:r w:rsidR="009E1D8F">
        <w:t xml:space="preserve">of </w:t>
      </w:r>
      <w:r w:rsidRPr="001D071B">
        <w:t>sediment guideline value</w:t>
      </w:r>
      <w:r w:rsidR="009E1D8F">
        <w:t>s</w:t>
      </w:r>
      <w:r w:rsidRPr="001D071B">
        <w:t xml:space="preserve"> highlight the value of the methods (e.g. Harford et al. 2013</w:t>
      </w:r>
      <w:r w:rsidR="00084B0C">
        <w:t>,</w:t>
      </w:r>
      <w:r w:rsidRPr="001D071B">
        <w:t xml:space="preserve"> Chariton et al. 2014</w:t>
      </w:r>
      <w:r w:rsidR="00084B0C">
        <w:t>,</w:t>
      </w:r>
      <w:r w:rsidRPr="001D071B">
        <w:t xml:space="preserve"> Laroche et al. 2018).</w:t>
      </w:r>
    </w:p>
    <w:p w:rsidR="001D071B" w:rsidP="001A6B2B" w14:paraId="2AD47F7A" w14:textId="34501BA3">
      <w:pPr>
        <w:pStyle w:val="ListBullet"/>
      </w:pPr>
      <w:r w:rsidRPr="001D071B">
        <w:t>Rapid assessments (e.g. Method 3A(i), Appendix 3, vol</w:t>
      </w:r>
      <w:r w:rsidR="00640124">
        <w:t>.</w:t>
      </w:r>
      <w:r w:rsidRPr="001D071B">
        <w:t xml:space="preserve"> 2</w:t>
      </w:r>
      <w:r w:rsidR="00957560">
        <w:t xml:space="preserve"> of</w:t>
      </w:r>
      <w:r w:rsidRPr="001D071B">
        <w:t xml:space="preserve"> </w:t>
      </w:r>
      <w:r w:rsidR="00FE3443">
        <w:t>ANZECC</w:t>
      </w:r>
      <w:r w:rsidR="00BE4397">
        <w:t xml:space="preserve"> and </w:t>
      </w:r>
      <w:r w:rsidR="00FE3443">
        <w:t>ARMCANZ 2000</w:t>
      </w:r>
      <w:r w:rsidR="003E3C9D">
        <w:t xml:space="preserve">, </w:t>
      </w:r>
      <w:r w:rsidRPr="001A6B2B" w:rsidR="000D6A8A">
        <w:t>the Australian River Assessment System</w:t>
      </w:r>
      <w:r w:rsidR="000D6A8A">
        <w:t xml:space="preserve"> </w:t>
      </w:r>
      <w:r w:rsidR="00384923">
        <w:t>[</w:t>
      </w:r>
      <w:r w:rsidR="000D6A8A">
        <w:t>Chessman 1995</w:t>
      </w:r>
      <w:r w:rsidR="00384923">
        <w:t>]</w:t>
      </w:r>
      <w:r w:rsidRPr="001D071B">
        <w:t xml:space="preserve">) may be relatively fast to mobilise compared </w:t>
      </w:r>
      <w:r w:rsidR="00957560">
        <w:t>to</w:t>
      </w:r>
      <w:r w:rsidRPr="001D071B" w:rsidR="00957560">
        <w:t xml:space="preserve"> </w:t>
      </w:r>
      <w:r w:rsidRPr="001D071B">
        <w:t>other indicators but</w:t>
      </w:r>
      <w:r w:rsidR="00957560">
        <w:t xml:space="preserve"> </w:t>
      </w:r>
      <w:r w:rsidRPr="001D071B">
        <w:t>will typically b</w:t>
      </w:r>
      <w:r w:rsidR="00262584">
        <w:t>e less sensitive and specific</w:t>
      </w:r>
      <w:r w:rsidR="003E3C9D">
        <w:t>, particularly for subtle or point</w:t>
      </w:r>
      <w:r w:rsidR="00FF52A4">
        <w:t>-</w:t>
      </w:r>
      <w:r w:rsidR="003E3C9D">
        <w:t>source impacts</w:t>
      </w:r>
      <w:r w:rsidR="00262584">
        <w:t xml:space="preserve">. </w:t>
      </w:r>
      <w:r w:rsidRPr="001D071B">
        <w:t xml:space="preserve">However, they may be useful for identifying locations </w:t>
      </w:r>
      <w:r w:rsidR="00851AC8">
        <w:t>that need</w:t>
      </w:r>
      <w:r w:rsidRPr="001D071B" w:rsidR="00851AC8">
        <w:t xml:space="preserve"> </w:t>
      </w:r>
      <w:r w:rsidRPr="001D071B">
        <w:t>more management or more detailed assessment using other indicators</w:t>
      </w:r>
      <w:r w:rsidR="00BF1118">
        <w:t>.</w:t>
      </w:r>
      <w:r w:rsidR="003E3C9D">
        <w:t xml:space="preserve"> </w:t>
      </w:r>
      <w:r w:rsidR="00BF1118">
        <w:t>T</w:t>
      </w:r>
      <w:r w:rsidR="003E3C9D">
        <w:t xml:space="preserve">hey can </w:t>
      </w:r>
      <w:r w:rsidR="00BF1118">
        <w:t xml:space="preserve">also </w:t>
      </w:r>
      <w:r w:rsidR="003E3C9D">
        <w:t>provide necessary cost and efficiency benefits for broad</w:t>
      </w:r>
      <w:r w:rsidR="00FF52A4">
        <w:t>-</w:t>
      </w:r>
      <w:r w:rsidR="003E3C9D">
        <w:t>scale (e.g. catchment</w:t>
      </w:r>
      <w:r w:rsidR="00FF52A4">
        <w:t>-</w:t>
      </w:r>
      <w:r w:rsidR="003E3C9D">
        <w:t>level) assessments</w:t>
      </w:r>
      <w:r w:rsidR="002C2AB3">
        <w:t xml:space="preserve"> </w:t>
      </w:r>
      <w:r w:rsidRPr="002C2AB3" w:rsidR="002C2AB3">
        <w:rPr>
          <w:lang w:val="en-US"/>
        </w:rPr>
        <w:t xml:space="preserve">(see </w:t>
      </w:r>
      <w:r w:rsidR="002947E4">
        <w:rPr>
          <w:lang w:val="en-US"/>
        </w:rPr>
        <w:t>below</w:t>
      </w:r>
      <w:r w:rsidRPr="002C2AB3" w:rsidR="002C2AB3">
        <w:rPr>
          <w:lang w:val="en-US"/>
        </w:rPr>
        <w:t>)</w:t>
      </w:r>
      <w:r w:rsidRPr="001D071B">
        <w:t>.</w:t>
      </w:r>
    </w:p>
    <w:p w:rsidR="004212B5" w:rsidP="004212B5" w14:paraId="385AFA0F" w14:textId="77777777">
      <w:pPr>
        <w:pStyle w:val="ListBullet"/>
        <w:sectPr w:rsidSect="00FA60A2">
          <w:headerReference w:type="default" r:id="rId16"/>
          <w:headerReference w:type="first" r:id="rId17"/>
          <w:footerReference w:type="first" r:id="rId18"/>
          <w:pgSz w:w="11906" w:h="16838" w:code="9"/>
          <w:pgMar w:top="1418" w:right="1418" w:bottom="1418" w:left="1418" w:header="567" w:footer="283" w:gutter="0"/>
          <w:pgNumType w:start="1"/>
          <w:cols w:space="708"/>
          <w:titlePg/>
          <w:docGrid w:linePitch="360"/>
        </w:sectPr>
      </w:pPr>
    </w:p>
    <w:p w:rsidR="004212B5" w:rsidRPr="000F056D" w:rsidP="004212B5" w14:paraId="1537EAD7" w14:textId="6D1E2110">
      <w:pPr>
        <w:pStyle w:val="Caption"/>
      </w:pPr>
      <w:bookmarkStart w:id="9" w:name="_Ref48722648"/>
      <w:bookmarkStart w:id="10" w:name="_Toc138332274"/>
      <w:r>
        <w:t>Table </w:t>
      </w:r>
      <w:r w:rsidR="00BA655D">
        <w:fldChar w:fldCharType="begin"/>
      </w:r>
      <w:r>
        <w:instrText xml:space="preserve"> SEQ Table \* ARABIC </w:instrText>
      </w:r>
      <w:r w:rsidR="00BA655D">
        <w:fldChar w:fldCharType="separate"/>
      </w:r>
      <w:r w:rsidR="008A285F">
        <w:rPr>
          <w:noProof/>
        </w:rPr>
        <w:t>1</w:t>
      </w:r>
      <w:r w:rsidR="00BA655D">
        <w:fldChar w:fldCharType="end"/>
      </w:r>
      <w:bookmarkEnd w:id="9"/>
      <w:r w:rsidRPr="000F056D">
        <w:t xml:space="preserve"> </w:t>
      </w:r>
      <w:r>
        <w:t>Broad indicator types, suitable scenarios and examples for assessing biodiversity, conservation status and ecosystem-level responses</w:t>
      </w:r>
      <w:bookmarkEnd w:id="10"/>
    </w:p>
    <w:tbl>
      <w:tblPr>
        <w:tblStyle w:val="TableGrid"/>
        <w:tblCaption w:val="Broad indicator types, suitable scenarios and examples for assessing biodiversity, conservation status and/or ecosystem-level responses"/>
        <w:tblDescription w:val="This table provides guidance on selecting indicators for pressures/stressors. Scenarios and examples are shown for indicator classes (e.g. community measures)."/>
        <w:tblW w:w="5000" w:type="pct"/>
        <w:tblLook w:val="04A0"/>
      </w:tblPr>
      <w:tblGrid>
        <w:gridCol w:w="2062"/>
        <w:gridCol w:w="5970"/>
        <w:gridCol w:w="5970"/>
      </w:tblGrid>
      <w:tr w14:paraId="49211FE6" w14:textId="77777777" w:rsidTr="008C2328">
        <w:tblPrEx>
          <w:tblW w:w="5000" w:type="pct"/>
          <w:tblLook w:val="04A0"/>
        </w:tblPrEx>
        <w:tc>
          <w:tcPr>
            <w:tcW w:w="736" w:type="pct"/>
            <w:tcBorders>
              <w:left w:val="nil"/>
              <w:bottom w:val="single" w:sz="4" w:space="0" w:color="auto"/>
              <w:right w:val="nil"/>
            </w:tcBorders>
          </w:tcPr>
          <w:p w:rsidR="004212B5" w:rsidRPr="00C74E3D" w:rsidP="008C2328" w14:paraId="1D390855" w14:textId="77777777">
            <w:pPr>
              <w:pStyle w:val="TableHeading"/>
              <w:rPr>
                <w:bCs/>
                <w:color w:val="000000" w:themeColor="text1"/>
              </w:rPr>
            </w:pPr>
            <w:r>
              <w:t>Indicator type</w:t>
            </w:r>
          </w:p>
        </w:tc>
        <w:tc>
          <w:tcPr>
            <w:tcW w:w="2132" w:type="pct"/>
            <w:tcBorders>
              <w:left w:val="nil"/>
              <w:right w:val="nil"/>
            </w:tcBorders>
          </w:tcPr>
          <w:p w:rsidR="004212B5" w:rsidP="008C2328" w14:paraId="300170A2" w14:textId="77777777">
            <w:pPr>
              <w:pStyle w:val="TableHeading"/>
            </w:pPr>
            <w:r>
              <w:t>Scenarios suitable for indicator type</w:t>
            </w:r>
          </w:p>
        </w:tc>
        <w:tc>
          <w:tcPr>
            <w:tcW w:w="2132" w:type="pct"/>
            <w:tcBorders>
              <w:left w:val="nil"/>
              <w:bottom w:val="single" w:sz="4" w:space="0" w:color="auto"/>
              <w:right w:val="nil"/>
            </w:tcBorders>
          </w:tcPr>
          <w:p w:rsidR="004212B5" w:rsidP="008C2328" w14:paraId="424AC2D4" w14:textId="77777777">
            <w:pPr>
              <w:pStyle w:val="TableHeading"/>
            </w:pPr>
            <w:r>
              <w:t>Examples</w:t>
            </w:r>
          </w:p>
        </w:tc>
      </w:tr>
      <w:tr w14:paraId="555F304C" w14:textId="77777777" w:rsidTr="008C2328">
        <w:tblPrEx>
          <w:tblW w:w="5000" w:type="pct"/>
          <w:tblLook w:val="04A0"/>
        </w:tblPrEx>
        <w:tc>
          <w:tcPr>
            <w:tcW w:w="736" w:type="pct"/>
            <w:vMerge w:val="restart"/>
            <w:tcBorders>
              <w:left w:val="nil"/>
              <w:right w:val="nil"/>
            </w:tcBorders>
          </w:tcPr>
          <w:p w:rsidR="004212B5" w:rsidP="00914B54" w14:paraId="16D18F14" w14:textId="77777777">
            <w:pPr>
              <w:pStyle w:val="TableText"/>
              <w:spacing w:after="40"/>
            </w:pPr>
            <w:r>
              <w:t>Sub-organismal</w:t>
            </w:r>
          </w:p>
        </w:tc>
        <w:tc>
          <w:tcPr>
            <w:tcW w:w="2132" w:type="pct"/>
            <w:tcBorders>
              <w:left w:val="nil"/>
              <w:bottom w:val="nil"/>
              <w:right w:val="nil"/>
            </w:tcBorders>
          </w:tcPr>
          <w:p w:rsidR="004212B5" w:rsidP="00914B54" w14:paraId="006AA18D" w14:textId="77777777">
            <w:pPr>
              <w:pStyle w:val="TableText"/>
              <w:spacing w:after="40"/>
            </w:pPr>
            <w:r>
              <w:t>Exposure to a substance infers increased risk of impact</w:t>
            </w:r>
          </w:p>
        </w:tc>
        <w:tc>
          <w:tcPr>
            <w:tcW w:w="2132" w:type="pct"/>
            <w:vMerge w:val="restart"/>
            <w:tcBorders>
              <w:left w:val="nil"/>
              <w:right w:val="nil"/>
            </w:tcBorders>
          </w:tcPr>
          <w:p w:rsidR="004212B5" w:rsidP="00914B54" w14:paraId="15C442F1" w14:textId="77777777">
            <w:pPr>
              <w:pStyle w:val="TableText"/>
              <w:spacing w:after="40"/>
            </w:pPr>
            <w:r>
              <w:t>Bioaccumulation monitoring</w:t>
            </w:r>
          </w:p>
          <w:p w:rsidR="004212B5" w:rsidP="00914B54" w14:paraId="2548CB2E" w14:textId="544E643B">
            <w:pPr>
              <w:pStyle w:val="TableText"/>
              <w:spacing w:after="40"/>
            </w:pPr>
            <w:r>
              <w:t>Biomarker assessment of potentially exposed species</w:t>
            </w:r>
          </w:p>
          <w:p w:rsidR="004212B5" w:rsidP="00914B54" w14:paraId="74A76874" w14:textId="5F26C8AE">
            <w:pPr>
              <w:pStyle w:val="TableText"/>
              <w:spacing w:after="40"/>
            </w:pPr>
            <w:r>
              <w:t>Effect biomarker measurement in a variety of collected organisms (e.g. plasma sorbitol dehydrogenase or stress</w:t>
            </w:r>
            <w:r w:rsidR="00047AA0">
              <w:t>-</w:t>
            </w:r>
            <w:r>
              <w:t>hormone levels at control and impact sites)</w:t>
            </w:r>
          </w:p>
        </w:tc>
      </w:tr>
      <w:tr w14:paraId="27F4A2AF" w14:textId="77777777" w:rsidTr="008C2328">
        <w:tblPrEx>
          <w:tblW w:w="5000" w:type="pct"/>
          <w:tblLook w:val="04A0"/>
        </w:tblPrEx>
        <w:tc>
          <w:tcPr>
            <w:tcW w:w="736" w:type="pct"/>
            <w:vMerge/>
            <w:tcBorders>
              <w:left w:val="nil"/>
              <w:right w:val="nil"/>
            </w:tcBorders>
          </w:tcPr>
          <w:p w:rsidR="004212B5" w:rsidP="00914B54" w14:paraId="3FCCC979" w14:textId="77777777">
            <w:pPr>
              <w:pStyle w:val="TableText"/>
              <w:spacing w:after="40"/>
            </w:pPr>
          </w:p>
        </w:tc>
        <w:tc>
          <w:tcPr>
            <w:tcW w:w="2132" w:type="pct"/>
            <w:tcBorders>
              <w:top w:val="nil"/>
              <w:left w:val="nil"/>
              <w:bottom w:val="nil"/>
              <w:right w:val="nil"/>
            </w:tcBorders>
          </w:tcPr>
          <w:p w:rsidR="004212B5" w:rsidP="00914B54" w14:paraId="2E59F615" w14:textId="6DED9CFD">
            <w:pPr>
              <w:pStyle w:val="TableText"/>
              <w:spacing w:after="40"/>
            </w:pPr>
            <w:r>
              <w:t>or</w:t>
            </w:r>
          </w:p>
        </w:tc>
        <w:tc>
          <w:tcPr>
            <w:tcW w:w="2132" w:type="pct"/>
            <w:vMerge/>
            <w:tcBorders>
              <w:left w:val="nil"/>
              <w:right w:val="nil"/>
            </w:tcBorders>
          </w:tcPr>
          <w:p w:rsidR="004212B5" w:rsidP="00914B54" w14:paraId="4C425646" w14:textId="77777777">
            <w:pPr>
              <w:pStyle w:val="TableText"/>
              <w:spacing w:after="40"/>
            </w:pPr>
          </w:p>
        </w:tc>
      </w:tr>
      <w:tr w14:paraId="0CA78615" w14:textId="77777777" w:rsidTr="008C2328">
        <w:tblPrEx>
          <w:tblW w:w="5000" w:type="pct"/>
          <w:tblLook w:val="04A0"/>
        </w:tblPrEx>
        <w:tc>
          <w:tcPr>
            <w:tcW w:w="736" w:type="pct"/>
            <w:vMerge/>
            <w:tcBorders>
              <w:left w:val="nil"/>
              <w:right w:val="nil"/>
            </w:tcBorders>
          </w:tcPr>
          <w:p w:rsidR="004212B5" w:rsidP="00914B54" w14:paraId="6F11D296" w14:textId="77777777">
            <w:pPr>
              <w:pStyle w:val="TableText"/>
              <w:spacing w:after="40"/>
            </w:pPr>
          </w:p>
        </w:tc>
        <w:tc>
          <w:tcPr>
            <w:tcW w:w="2132" w:type="pct"/>
            <w:tcBorders>
              <w:top w:val="nil"/>
              <w:left w:val="nil"/>
              <w:bottom w:val="nil"/>
              <w:right w:val="nil"/>
            </w:tcBorders>
          </w:tcPr>
          <w:p w:rsidR="004212B5" w:rsidP="00914B54" w14:paraId="19C8BB7B" w14:textId="77777777">
            <w:pPr>
              <w:pStyle w:val="TableText"/>
              <w:spacing w:after="40"/>
            </w:pPr>
            <w:r>
              <w:t>Physiological impairment of key taxa is a management concern</w:t>
            </w:r>
          </w:p>
        </w:tc>
        <w:tc>
          <w:tcPr>
            <w:tcW w:w="2132" w:type="pct"/>
            <w:vMerge/>
            <w:tcBorders>
              <w:left w:val="nil"/>
              <w:right w:val="nil"/>
            </w:tcBorders>
          </w:tcPr>
          <w:p w:rsidR="004212B5" w:rsidP="00914B54" w14:paraId="44CD223E" w14:textId="77777777">
            <w:pPr>
              <w:pStyle w:val="TableText"/>
              <w:spacing w:after="40"/>
            </w:pPr>
          </w:p>
        </w:tc>
      </w:tr>
      <w:tr w14:paraId="35C08AA2" w14:textId="77777777" w:rsidTr="008C2328">
        <w:tblPrEx>
          <w:tblW w:w="5000" w:type="pct"/>
          <w:tblLook w:val="04A0"/>
        </w:tblPrEx>
        <w:tc>
          <w:tcPr>
            <w:tcW w:w="736" w:type="pct"/>
            <w:vMerge/>
            <w:tcBorders>
              <w:left w:val="nil"/>
              <w:right w:val="nil"/>
            </w:tcBorders>
          </w:tcPr>
          <w:p w:rsidR="004212B5" w:rsidP="00914B54" w14:paraId="11CF9A24" w14:textId="77777777">
            <w:pPr>
              <w:pStyle w:val="TableText"/>
              <w:spacing w:after="40"/>
            </w:pPr>
          </w:p>
        </w:tc>
        <w:tc>
          <w:tcPr>
            <w:tcW w:w="2132" w:type="pct"/>
            <w:tcBorders>
              <w:top w:val="nil"/>
              <w:left w:val="nil"/>
              <w:bottom w:val="nil"/>
              <w:right w:val="nil"/>
            </w:tcBorders>
          </w:tcPr>
          <w:p w:rsidR="004212B5" w:rsidP="00914B54" w14:paraId="645907A1" w14:textId="4FAC97AF">
            <w:pPr>
              <w:pStyle w:val="TableText"/>
              <w:spacing w:after="40"/>
            </w:pPr>
            <w:r>
              <w:t>or</w:t>
            </w:r>
          </w:p>
        </w:tc>
        <w:tc>
          <w:tcPr>
            <w:tcW w:w="2132" w:type="pct"/>
            <w:vMerge/>
            <w:tcBorders>
              <w:left w:val="nil"/>
              <w:right w:val="nil"/>
            </w:tcBorders>
          </w:tcPr>
          <w:p w:rsidR="004212B5" w:rsidP="00914B54" w14:paraId="4686A04D" w14:textId="77777777">
            <w:pPr>
              <w:pStyle w:val="TableText"/>
              <w:spacing w:after="40"/>
            </w:pPr>
          </w:p>
        </w:tc>
      </w:tr>
      <w:tr w14:paraId="34B52A17" w14:textId="77777777" w:rsidTr="008C2328">
        <w:tblPrEx>
          <w:tblW w:w="5000" w:type="pct"/>
          <w:tblLook w:val="04A0"/>
        </w:tblPrEx>
        <w:tc>
          <w:tcPr>
            <w:tcW w:w="736" w:type="pct"/>
            <w:vMerge/>
            <w:tcBorders>
              <w:left w:val="nil"/>
              <w:bottom w:val="single" w:sz="4" w:space="0" w:color="auto"/>
              <w:right w:val="nil"/>
            </w:tcBorders>
          </w:tcPr>
          <w:p w:rsidR="004212B5" w:rsidP="00914B54" w14:paraId="36932877" w14:textId="77777777">
            <w:pPr>
              <w:pStyle w:val="TableText"/>
              <w:spacing w:after="40"/>
            </w:pPr>
          </w:p>
        </w:tc>
        <w:tc>
          <w:tcPr>
            <w:tcW w:w="2132" w:type="pct"/>
            <w:tcBorders>
              <w:top w:val="nil"/>
              <w:left w:val="nil"/>
              <w:bottom w:val="single" w:sz="4" w:space="0" w:color="auto"/>
              <w:right w:val="nil"/>
            </w:tcBorders>
          </w:tcPr>
          <w:p w:rsidR="004212B5" w:rsidP="00914B54" w14:paraId="46843F3D" w14:textId="77777777">
            <w:pPr>
              <w:pStyle w:val="TableText"/>
              <w:spacing w:after="40"/>
            </w:pPr>
            <w:r>
              <w:t>Reliable monitoring at individual or population level is difficult to achieve (e.g. remote area, highly variable flows, after a fish kill)</w:t>
            </w:r>
          </w:p>
        </w:tc>
        <w:tc>
          <w:tcPr>
            <w:tcW w:w="2132" w:type="pct"/>
            <w:vMerge/>
            <w:tcBorders>
              <w:left w:val="nil"/>
              <w:bottom w:val="single" w:sz="4" w:space="0" w:color="auto"/>
              <w:right w:val="nil"/>
            </w:tcBorders>
          </w:tcPr>
          <w:p w:rsidR="004212B5" w:rsidP="00914B54" w14:paraId="5A7AD11D" w14:textId="77777777">
            <w:pPr>
              <w:pStyle w:val="TableText"/>
              <w:spacing w:after="40"/>
            </w:pPr>
          </w:p>
        </w:tc>
      </w:tr>
      <w:tr w14:paraId="08786EB6" w14:textId="77777777" w:rsidTr="008C2328">
        <w:tblPrEx>
          <w:tblW w:w="5000" w:type="pct"/>
          <w:tblLook w:val="04A0"/>
        </w:tblPrEx>
        <w:tc>
          <w:tcPr>
            <w:tcW w:w="736" w:type="pct"/>
            <w:vMerge w:val="restart"/>
            <w:tcBorders>
              <w:left w:val="nil"/>
              <w:right w:val="nil"/>
            </w:tcBorders>
          </w:tcPr>
          <w:p w:rsidR="004212B5" w:rsidP="00914B54" w14:paraId="251C850E" w14:textId="77777777">
            <w:pPr>
              <w:pStyle w:val="TableText"/>
              <w:spacing w:after="40"/>
            </w:pPr>
            <w:r>
              <w:t>Individual organism</w:t>
            </w:r>
          </w:p>
        </w:tc>
        <w:tc>
          <w:tcPr>
            <w:tcW w:w="2132" w:type="pct"/>
            <w:tcBorders>
              <w:top w:val="single" w:sz="4" w:space="0" w:color="auto"/>
              <w:left w:val="nil"/>
              <w:bottom w:val="nil"/>
              <w:right w:val="nil"/>
            </w:tcBorders>
          </w:tcPr>
          <w:p w:rsidR="004212B5" w:rsidP="00914B54" w14:paraId="5229359D" w14:textId="77777777">
            <w:pPr>
              <w:pStyle w:val="TableText"/>
              <w:spacing w:after="40"/>
            </w:pPr>
            <w:r>
              <w:t>Collection of individuals is more feasible than population sampling or species is of high conservation value</w:t>
            </w:r>
          </w:p>
        </w:tc>
        <w:tc>
          <w:tcPr>
            <w:tcW w:w="2132" w:type="pct"/>
            <w:vMerge w:val="restart"/>
            <w:tcBorders>
              <w:top w:val="single" w:sz="4" w:space="0" w:color="auto"/>
              <w:left w:val="nil"/>
              <w:right w:val="nil"/>
            </w:tcBorders>
          </w:tcPr>
          <w:p w:rsidR="004212B5" w:rsidP="00914B54" w14:paraId="11FAA579" w14:textId="2B44057E">
            <w:pPr>
              <w:pStyle w:val="TableText"/>
              <w:spacing w:after="40"/>
            </w:pPr>
            <w:r>
              <w:t xml:space="preserve">Health measurement (e.g. condition index) of </w:t>
            </w:r>
            <w:r w:rsidR="00047AA0">
              <w:t xml:space="preserve">individuals of </w:t>
            </w:r>
            <w:r>
              <w:t>target taxa</w:t>
            </w:r>
          </w:p>
          <w:p w:rsidR="004212B5" w:rsidP="00914B54" w14:paraId="57AAD9D7" w14:textId="47B8A09A">
            <w:pPr>
              <w:pStyle w:val="TableText"/>
              <w:spacing w:after="40"/>
            </w:pPr>
            <w:r>
              <w:t>Visual census of freshwater fish</w:t>
            </w:r>
            <w:r w:rsidR="004464F1">
              <w:t xml:space="preserve"> species</w:t>
            </w:r>
          </w:p>
          <w:p w:rsidR="004212B5" w:rsidP="00914B54" w14:paraId="5073E080" w14:textId="77777777">
            <w:pPr>
              <w:pStyle w:val="TableText"/>
              <w:spacing w:after="40"/>
            </w:pPr>
            <w:r>
              <w:t>Deployment of caged bivalves for bioaccumulation monitoring</w:t>
            </w:r>
          </w:p>
        </w:tc>
      </w:tr>
      <w:tr w14:paraId="0E640118" w14:textId="77777777" w:rsidTr="008C2328">
        <w:tblPrEx>
          <w:tblW w:w="5000" w:type="pct"/>
          <w:tblLook w:val="04A0"/>
        </w:tblPrEx>
        <w:tc>
          <w:tcPr>
            <w:tcW w:w="736" w:type="pct"/>
            <w:vMerge/>
            <w:tcBorders>
              <w:left w:val="nil"/>
              <w:right w:val="nil"/>
            </w:tcBorders>
          </w:tcPr>
          <w:p w:rsidR="004212B5" w:rsidP="00914B54" w14:paraId="0F3BF84A" w14:textId="77777777">
            <w:pPr>
              <w:pStyle w:val="TableText"/>
              <w:spacing w:after="40"/>
            </w:pPr>
          </w:p>
        </w:tc>
        <w:tc>
          <w:tcPr>
            <w:tcW w:w="2132" w:type="pct"/>
            <w:tcBorders>
              <w:top w:val="nil"/>
              <w:left w:val="nil"/>
              <w:bottom w:val="nil"/>
              <w:right w:val="nil"/>
            </w:tcBorders>
          </w:tcPr>
          <w:p w:rsidR="004212B5" w:rsidP="00914B54" w14:paraId="0AB0DCE4" w14:textId="6B938258">
            <w:pPr>
              <w:pStyle w:val="TableText"/>
              <w:spacing w:after="40"/>
            </w:pPr>
            <w:r>
              <w:t>or</w:t>
            </w:r>
          </w:p>
        </w:tc>
        <w:tc>
          <w:tcPr>
            <w:tcW w:w="2132" w:type="pct"/>
            <w:vMerge/>
            <w:tcBorders>
              <w:left w:val="nil"/>
              <w:right w:val="nil"/>
            </w:tcBorders>
          </w:tcPr>
          <w:p w:rsidR="004212B5" w:rsidP="00914B54" w14:paraId="3E16DE89" w14:textId="77777777">
            <w:pPr>
              <w:pStyle w:val="TableText"/>
              <w:spacing w:after="40"/>
            </w:pPr>
          </w:p>
        </w:tc>
      </w:tr>
      <w:tr w14:paraId="3FE517F4" w14:textId="77777777" w:rsidTr="008C2328">
        <w:tblPrEx>
          <w:tblW w:w="5000" w:type="pct"/>
          <w:tblLook w:val="04A0"/>
        </w:tblPrEx>
        <w:tc>
          <w:tcPr>
            <w:tcW w:w="736" w:type="pct"/>
            <w:vMerge/>
            <w:tcBorders>
              <w:left w:val="nil"/>
              <w:right w:val="nil"/>
            </w:tcBorders>
          </w:tcPr>
          <w:p w:rsidR="004212B5" w:rsidP="00914B54" w14:paraId="2D8AA899" w14:textId="77777777">
            <w:pPr>
              <w:pStyle w:val="TableText"/>
              <w:spacing w:after="40"/>
            </w:pPr>
          </w:p>
        </w:tc>
        <w:tc>
          <w:tcPr>
            <w:tcW w:w="2132" w:type="pct"/>
            <w:tcBorders>
              <w:top w:val="nil"/>
              <w:left w:val="nil"/>
              <w:bottom w:val="nil"/>
              <w:right w:val="nil"/>
            </w:tcBorders>
          </w:tcPr>
          <w:p w:rsidR="004212B5" w:rsidP="00914B54" w14:paraId="3B72B5DF" w14:textId="14FC666D">
            <w:pPr>
              <w:pStyle w:val="TableText"/>
              <w:spacing w:after="40"/>
            </w:pPr>
            <w:r>
              <w:t>Presence</w:t>
            </w:r>
            <w:r w:rsidR="00632993">
              <w:t xml:space="preserve"> or </w:t>
            </w:r>
            <w:r>
              <w:t>absence of key (e.g. culturally significant) taxa is important</w:t>
            </w:r>
          </w:p>
        </w:tc>
        <w:tc>
          <w:tcPr>
            <w:tcW w:w="2132" w:type="pct"/>
            <w:vMerge/>
            <w:tcBorders>
              <w:left w:val="nil"/>
              <w:right w:val="nil"/>
            </w:tcBorders>
          </w:tcPr>
          <w:p w:rsidR="004212B5" w:rsidP="00914B54" w14:paraId="3AB80002" w14:textId="77777777">
            <w:pPr>
              <w:pStyle w:val="TableText"/>
              <w:spacing w:after="40"/>
            </w:pPr>
          </w:p>
        </w:tc>
      </w:tr>
      <w:tr w14:paraId="23091520" w14:textId="77777777" w:rsidTr="008C2328">
        <w:tblPrEx>
          <w:tblW w:w="5000" w:type="pct"/>
          <w:tblLook w:val="04A0"/>
        </w:tblPrEx>
        <w:tc>
          <w:tcPr>
            <w:tcW w:w="736" w:type="pct"/>
            <w:vMerge/>
            <w:tcBorders>
              <w:left w:val="nil"/>
              <w:right w:val="nil"/>
            </w:tcBorders>
          </w:tcPr>
          <w:p w:rsidR="004212B5" w:rsidP="00914B54" w14:paraId="52D4D391" w14:textId="77777777">
            <w:pPr>
              <w:pStyle w:val="TableText"/>
              <w:spacing w:after="40"/>
            </w:pPr>
          </w:p>
        </w:tc>
        <w:tc>
          <w:tcPr>
            <w:tcW w:w="2132" w:type="pct"/>
            <w:tcBorders>
              <w:top w:val="nil"/>
              <w:left w:val="nil"/>
              <w:bottom w:val="nil"/>
              <w:right w:val="nil"/>
            </w:tcBorders>
          </w:tcPr>
          <w:p w:rsidR="004212B5" w:rsidP="00914B54" w14:paraId="49C5390B" w14:textId="31F23233">
            <w:pPr>
              <w:pStyle w:val="TableText"/>
              <w:spacing w:after="40"/>
            </w:pPr>
            <w:r>
              <w:t>or</w:t>
            </w:r>
          </w:p>
        </w:tc>
        <w:tc>
          <w:tcPr>
            <w:tcW w:w="2132" w:type="pct"/>
            <w:vMerge/>
            <w:tcBorders>
              <w:left w:val="nil"/>
              <w:right w:val="nil"/>
            </w:tcBorders>
          </w:tcPr>
          <w:p w:rsidR="004212B5" w:rsidP="00914B54" w14:paraId="2E2A2CE5" w14:textId="77777777">
            <w:pPr>
              <w:pStyle w:val="TableText"/>
              <w:spacing w:after="40"/>
            </w:pPr>
          </w:p>
        </w:tc>
      </w:tr>
      <w:tr w14:paraId="5E58531D" w14:textId="77777777" w:rsidTr="008C2328">
        <w:tblPrEx>
          <w:tblW w:w="5000" w:type="pct"/>
          <w:tblLook w:val="04A0"/>
        </w:tblPrEx>
        <w:tc>
          <w:tcPr>
            <w:tcW w:w="736" w:type="pct"/>
            <w:vMerge/>
            <w:tcBorders>
              <w:left w:val="nil"/>
              <w:right w:val="nil"/>
            </w:tcBorders>
          </w:tcPr>
          <w:p w:rsidR="004212B5" w:rsidP="00914B54" w14:paraId="2E7C2E7D" w14:textId="77777777">
            <w:pPr>
              <w:pStyle w:val="TableText"/>
              <w:spacing w:after="40"/>
            </w:pPr>
          </w:p>
        </w:tc>
        <w:tc>
          <w:tcPr>
            <w:tcW w:w="2132" w:type="pct"/>
            <w:tcBorders>
              <w:top w:val="nil"/>
              <w:left w:val="nil"/>
              <w:bottom w:val="single" w:sz="4" w:space="0" w:color="auto"/>
              <w:right w:val="nil"/>
            </w:tcBorders>
          </w:tcPr>
          <w:p w:rsidR="004212B5" w:rsidP="00914B54" w14:paraId="6D103E49" w14:textId="77777777">
            <w:pPr>
              <w:pStyle w:val="TableText"/>
              <w:spacing w:after="40"/>
            </w:pPr>
            <w:r>
              <w:t>Reliable population assessment is difficult (e.g. highly variable environment)</w:t>
            </w:r>
          </w:p>
        </w:tc>
        <w:tc>
          <w:tcPr>
            <w:tcW w:w="2132" w:type="pct"/>
            <w:vMerge/>
            <w:tcBorders>
              <w:left w:val="nil"/>
              <w:bottom w:val="single" w:sz="4" w:space="0" w:color="auto"/>
              <w:right w:val="nil"/>
            </w:tcBorders>
          </w:tcPr>
          <w:p w:rsidR="004212B5" w:rsidP="00914B54" w14:paraId="23325E4C" w14:textId="77777777">
            <w:pPr>
              <w:pStyle w:val="TableText"/>
              <w:spacing w:after="40"/>
            </w:pPr>
          </w:p>
        </w:tc>
      </w:tr>
      <w:tr w14:paraId="3093EAC2" w14:textId="77777777" w:rsidTr="008C2328">
        <w:tblPrEx>
          <w:tblW w:w="5000" w:type="pct"/>
          <w:tblLook w:val="04A0"/>
        </w:tblPrEx>
        <w:tc>
          <w:tcPr>
            <w:tcW w:w="736" w:type="pct"/>
            <w:vMerge w:val="restart"/>
            <w:tcBorders>
              <w:left w:val="nil"/>
              <w:right w:val="nil"/>
            </w:tcBorders>
          </w:tcPr>
          <w:p w:rsidR="004212B5" w:rsidP="00914B54" w14:paraId="7D7960A4" w14:textId="77777777">
            <w:pPr>
              <w:pStyle w:val="TableText"/>
              <w:spacing w:after="40"/>
            </w:pPr>
            <w:r>
              <w:t>Population parameters</w:t>
            </w:r>
          </w:p>
        </w:tc>
        <w:tc>
          <w:tcPr>
            <w:tcW w:w="2132" w:type="pct"/>
            <w:tcBorders>
              <w:top w:val="single" w:sz="4" w:space="0" w:color="auto"/>
              <w:left w:val="nil"/>
              <w:bottom w:val="nil"/>
              <w:right w:val="nil"/>
            </w:tcBorders>
          </w:tcPr>
          <w:p w:rsidR="004212B5" w:rsidP="00914B54" w14:paraId="347D5D01" w14:textId="77777777">
            <w:pPr>
              <w:pStyle w:val="TableText"/>
              <w:spacing w:after="40"/>
            </w:pPr>
            <w:r>
              <w:t>Population is the management target</w:t>
            </w:r>
          </w:p>
        </w:tc>
        <w:tc>
          <w:tcPr>
            <w:tcW w:w="2132" w:type="pct"/>
            <w:vMerge w:val="restart"/>
            <w:tcBorders>
              <w:top w:val="single" w:sz="4" w:space="0" w:color="auto"/>
              <w:left w:val="nil"/>
              <w:right w:val="nil"/>
            </w:tcBorders>
          </w:tcPr>
          <w:p w:rsidR="004212B5" w:rsidP="00914B54" w14:paraId="4865B8B8" w14:textId="337C96C2">
            <w:pPr>
              <w:pStyle w:val="TableText"/>
              <w:spacing w:after="40"/>
            </w:pPr>
            <w:r>
              <w:t>Threatened or socioeconomically important species</w:t>
            </w:r>
          </w:p>
          <w:p w:rsidR="004212B5" w:rsidP="00914B54" w14:paraId="016C3E05" w14:textId="77777777">
            <w:pPr>
              <w:pStyle w:val="TableText"/>
              <w:spacing w:after="40"/>
            </w:pPr>
            <w:r>
              <w:t>Coverage by a species of seagrass</w:t>
            </w:r>
          </w:p>
        </w:tc>
      </w:tr>
      <w:tr w14:paraId="42A6BA7F" w14:textId="77777777" w:rsidTr="008C2328">
        <w:tblPrEx>
          <w:tblW w:w="5000" w:type="pct"/>
          <w:tblLook w:val="04A0"/>
        </w:tblPrEx>
        <w:tc>
          <w:tcPr>
            <w:tcW w:w="736" w:type="pct"/>
            <w:vMerge/>
            <w:tcBorders>
              <w:left w:val="nil"/>
              <w:right w:val="nil"/>
            </w:tcBorders>
          </w:tcPr>
          <w:p w:rsidR="004212B5" w:rsidP="00914B54" w14:paraId="35A1DD02" w14:textId="77777777">
            <w:pPr>
              <w:pStyle w:val="TableText"/>
              <w:spacing w:after="40"/>
            </w:pPr>
          </w:p>
        </w:tc>
        <w:tc>
          <w:tcPr>
            <w:tcW w:w="2132" w:type="pct"/>
            <w:tcBorders>
              <w:top w:val="nil"/>
              <w:left w:val="nil"/>
              <w:bottom w:val="nil"/>
              <w:right w:val="nil"/>
            </w:tcBorders>
          </w:tcPr>
          <w:p w:rsidR="004212B5" w:rsidP="00914B54" w14:paraId="1DA8747A" w14:textId="4DB06E36">
            <w:pPr>
              <w:pStyle w:val="TableText"/>
              <w:spacing w:after="40"/>
            </w:pPr>
            <w:r>
              <w:t>or</w:t>
            </w:r>
          </w:p>
        </w:tc>
        <w:tc>
          <w:tcPr>
            <w:tcW w:w="2132" w:type="pct"/>
            <w:vMerge/>
            <w:tcBorders>
              <w:left w:val="nil"/>
              <w:right w:val="nil"/>
            </w:tcBorders>
          </w:tcPr>
          <w:p w:rsidR="004212B5" w:rsidP="00914B54" w14:paraId="628926EA" w14:textId="77777777">
            <w:pPr>
              <w:pStyle w:val="TableText"/>
              <w:spacing w:after="40"/>
            </w:pPr>
          </w:p>
        </w:tc>
      </w:tr>
      <w:tr w14:paraId="104308FB" w14:textId="77777777" w:rsidTr="008C2328">
        <w:tblPrEx>
          <w:tblW w:w="5000" w:type="pct"/>
          <w:tblLook w:val="04A0"/>
        </w:tblPrEx>
        <w:tc>
          <w:tcPr>
            <w:tcW w:w="736" w:type="pct"/>
            <w:vMerge/>
            <w:tcBorders>
              <w:left w:val="nil"/>
              <w:right w:val="nil"/>
            </w:tcBorders>
          </w:tcPr>
          <w:p w:rsidR="004212B5" w:rsidP="00914B54" w14:paraId="114D6BA9" w14:textId="77777777">
            <w:pPr>
              <w:pStyle w:val="TableText"/>
              <w:spacing w:after="40"/>
            </w:pPr>
          </w:p>
        </w:tc>
        <w:tc>
          <w:tcPr>
            <w:tcW w:w="2132" w:type="pct"/>
            <w:tcBorders>
              <w:top w:val="nil"/>
              <w:left w:val="nil"/>
              <w:bottom w:val="single" w:sz="4" w:space="0" w:color="auto"/>
              <w:right w:val="nil"/>
            </w:tcBorders>
          </w:tcPr>
          <w:p w:rsidR="004212B5" w:rsidP="00914B54" w14:paraId="6227FDD8" w14:textId="0480F060">
            <w:pPr>
              <w:pStyle w:val="TableText"/>
              <w:spacing w:after="40"/>
            </w:pPr>
            <w:r>
              <w:rPr>
                <w:rFonts w:hAnsi="Arial"/>
              </w:rPr>
              <w:t xml:space="preserve">Population is </w:t>
            </w:r>
            <w:r>
              <w:rPr>
                <w:rFonts w:hAnsi="Arial"/>
              </w:rPr>
              <w:t>‘</w:t>
            </w:r>
            <w:r>
              <w:rPr>
                <w:rFonts w:hAnsi="Arial"/>
              </w:rPr>
              <w:t>keystone</w:t>
            </w:r>
            <w:r w:rsidR="00CB3619">
              <w:rPr>
                <w:rFonts w:hAnsi="Arial"/>
              </w:rPr>
              <w:t>’</w:t>
            </w:r>
            <w:r>
              <w:rPr>
                <w:rFonts w:hAnsi="Arial"/>
              </w:rPr>
              <w:t xml:space="preserve"> species or provides habitat for the target community</w:t>
            </w:r>
          </w:p>
        </w:tc>
        <w:tc>
          <w:tcPr>
            <w:tcW w:w="2132" w:type="pct"/>
            <w:vMerge/>
            <w:tcBorders>
              <w:left w:val="nil"/>
              <w:bottom w:val="single" w:sz="4" w:space="0" w:color="auto"/>
              <w:right w:val="nil"/>
            </w:tcBorders>
          </w:tcPr>
          <w:p w:rsidR="004212B5" w:rsidP="00914B54" w14:paraId="3342444D" w14:textId="77777777">
            <w:pPr>
              <w:pStyle w:val="TableText"/>
              <w:spacing w:after="40"/>
            </w:pPr>
          </w:p>
        </w:tc>
      </w:tr>
      <w:tr w14:paraId="36090D2E" w14:textId="77777777" w:rsidTr="008C2328">
        <w:tblPrEx>
          <w:tblW w:w="5000" w:type="pct"/>
          <w:tblLook w:val="04A0"/>
        </w:tblPrEx>
        <w:tc>
          <w:tcPr>
            <w:tcW w:w="736" w:type="pct"/>
            <w:vMerge w:val="restart"/>
            <w:tcBorders>
              <w:left w:val="nil"/>
              <w:right w:val="nil"/>
            </w:tcBorders>
          </w:tcPr>
          <w:p w:rsidR="004212B5" w:rsidP="00914B54" w14:paraId="76BC31D6" w14:textId="77777777">
            <w:pPr>
              <w:pStyle w:val="TableText"/>
              <w:spacing w:after="40"/>
            </w:pPr>
            <w:r>
              <w:t>Community measures</w:t>
            </w:r>
          </w:p>
        </w:tc>
        <w:tc>
          <w:tcPr>
            <w:tcW w:w="2132" w:type="pct"/>
            <w:tcBorders>
              <w:top w:val="single" w:sz="4" w:space="0" w:color="auto"/>
              <w:left w:val="nil"/>
              <w:bottom w:val="nil"/>
              <w:right w:val="nil"/>
            </w:tcBorders>
          </w:tcPr>
          <w:p w:rsidR="004212B5" w:rsidP="00914B54" w14:paraId="2CD0E8D6" w14:textId="77777777">
            <w:pPr>
              <w:pStyle w:val="TableText"/>
              <w:spacing w:after="40"/>
              <w:rPr>
                <w:rFonts w:hAnsi="Arial"/>
              </w:rPr>
            </w:pPr>
            <w:r>
              <w:t>Community is the management target</w:t>
            </w:r>
          </w:p>
        </w:tc>
        <w:tc>
          <w:tcPr>
            <w:tcW w:w="2132" w:type="pct"/>
            <w:vMerge w:val="restart"/>
            <w:tcBorders>
              <w:top w:val="single" w:sz="4" w:space="0" w:color="auto"/>
              <w:left w:val="nil"/>
              <w:right w:val="nil"/>
            </w:tcBorders>
          </w:tcPr>
          <w:p w:rsidR="004212B5" w:rsidP="00914B54" w14:paraId="65812A96" w14:textId="77777777">
            <w:pPr>
              <w:pStyle w:val="TableText"/>
              <w:spacing w:after="40"/>
            </w:pPr>
            <w:r>
              <w:t>Structure of freshwater fish communities</w:t>
            </w:r>
          </w:p>
          <w:p w:rsidR="004212B5" w:rsidP="00914B54" w14:paraId="274BBC52" w14:textId="77777777">
            <w:pPr>
              <w:pStyle w:val="TableText"/>
              <w:spacing w:after="40"/>
            </w:pPr>
            <w:r>
              <w:t>Vegetation structure in wetlands</w:t>
            </w:r>
          </w:p>
          <w:p w:rsidR="004212B5" w:rsidP="00914B54" w14:paraId="1F846AFC" w14:textId="77777777">
            <w:pPr>
              <w:pStyle w:val="TableText"/>
              <w:spacing w:after="40"/>
            </w:pPr>
            <w:r>
              <w:t>Macroinvertebrate community structure</w:t>
            </w:r>
          </w:p>
        </w:tc>
      </w:tr>
      <w:tr w14:paraId="049B54DC" w14:textId="77777777" w:rsidTr="008C2328">
        <w:tblPrEx>
          <w:tblW w:w="5000" w:type="pct"/>
          <w:tblLook w:val="04A0"/>
        </w:tblPrEx>
        <w:tc>
          <w:tcPr>
            <w:tcW w:w="736" w:type="pct"/>
            <w:vMerge/>
            <w:tcBorders>
              <w:left w:val="nil"/>
              <w:right w:val="nil"/>
            </w:tcBorders>
          </w:tcPr>
          <w:p w:rsidR="004212B5" w:rsidP="00914B54" w14:paraId="144B6A11" w14:textId="77777777">
            <w:pPr>
              <w:pStyle w:val="TableText"/>
              <w:spacing w:after="40"/>
            </w:pPr>
          </w:p>
        </w:tc>
        <w:tc>
          <w:tcPr>
            <w:tcW w:w="2132" w:type="pct"/>
            <w:tcBorders>
              <w:top w:val="nil"/>
              <w:left w:val="nil"/>
              <w:bottom w:val="nil"/>
              <w:right w:val="nil"/>
            </w:tcBorders>
          </w:tcPr>
          <w:p w:rsidR="004212B5" w:rsidP="00914B54" w14:paraId="2C30C52D" w14:textId="07F75DE3">
            <w:pPr>
              <w:pStyle w:val="TableText"/>
              <w:spacing w:after="40"/>
            </w:pPr>
            <w:r>
              <w:t>or</w:t>
            </w:r>
          </w:p>
        </w:tc>
        <w:tc>
          <w:tcPr>
            <w:tcW w:w="2132" w:type="pct"/>
            <w:vMerge/>
            <w:tcBorders>
              <w:left w:val="nil"/>
              <w:right w:val="nil"/>
            </w:tcBorders>
          </w:tcPr>
          <w:p w:rsidR="004212B5" w:rsidP="00914B54" w14:paraId="66090F42" w14:textId="77777777">
            <w:pPr>
              <w:pStyle w:val="TableText"/>
              <w:spacing w:after="40"/>
            </w:pPr>
          </w:p>
        </w:tc>
      </w:tr>
      <w:tr w14:paraId="627FE8D0" w14:textId="77777777" w:rsidTr="008C2328">
        <w:tblPrEx>
          <w:tblW w:w="5000" w:type="pct"/>
          <w:tblLook w:val="04A0"/>
        </w:tblPrEx>
        <w:tc>
          <w:tcPr>
            <w:tcW w:w="736" w:type="pct"/>
            <w:vMerge/>
            <w:tcBorders>
              <w:left w:val="nil"/>
              <w:right w:val="nil"/>
            </w:tcBorders>
          </w:tcPr>
          <w:p w:rsidR="004212B5" w:rsidP="00914B54" w14:paraId="56133564" w14:textId="77777777">
            <w:pPr>
              <w:pStyle w:val="TableText"/>
              <w:spacing w:after="40"/>
            </w:pPr>
          </w:p>
        </w:tc>
        <w:tc>
          <w:tcPr>
            <w:tcW w:w="2132" w:type="pct"/>
            <w:tcBorders>
              <w:top w:val="nil"/>
              <w:left w:val="nil"/>
              <w:bottom w:val="nil"/>
              <w:right w:val="nil"/>
            </w:tcBorders>
          </w:tcPr>
          <w:p w:rsidR="004212B5" w:rsidP="00914B54" w14:paraId="39F42362" w14:textId="77777777">
            <w:pPr>
              <w:pStyle w:val="TableText"/>
              <w:spacing w:after="40"/>
            </w:pPr>
            <w:r>
              <w:t>Community provides habitat or resources for rest of ecosystem</w:t>
            </w:r>
          </w:p>
        </w:tc>
        <w:tc>
          <w:tcPr>
            <w:tcW w:w="2132" w:type="pct"/>
            <w:vMerge/>
            <w:tcBorders>
              <w:left w:val="nil"/>
              <w:right w:val="nil"/>
            </w:tcBorders>
          </w:tcPr>
          <w:p w:rsidR="004212B5" w:rsidP="00914B54" w14:paraId="65FE2936" w14:textId="77777777">
            <w:pPr>
              <w:pStyle w:val="TableText"/>
              <w:spacing w:after="40"/>
            </w:pPr>
          </w:p>
        </w:tc>
      </w:tr>
      <w:tr w14:paraId="5309949F" w14:textId="77777777" w:rsidTr="008C2328">
        <w:tblPrEx>
          <w:tblW w:w="5000" w:type="pct"/>
          <w:tblLook w:val="04A0"/>
        </w:tblPrEx>
        <w:tc>
          <w:tcPr>
            <w:tcW w:w="736" w:type="pct"/>
            <w:vMerge/>
            <w:tcBorders>
              <w:left w:val="nil"/>
              <w:right w:val="nil"/>
            </w:tcBorders>
          </w:tcPr>
          <w:p w:rsidR="004212B5" w:rsidP="00914B54" w14:paraId="6013587D" w14:textId="77777777">
            <w:pPr>
              <w:pStyle w:val="TableText"/>
              <w:spacing w:after="40"/>
            </w:pPr>
          </w:p>
        </w:tc>
        <w:tc>
          <w:tcPr>
            <w:tcW w:w="2132" w:type="pct"/>
            <w:tcBorders>
              <w:top w:val="nil"/>
              <w:left w:val="nil"/>
              <w:bottom w:val="nil"/>
              <w:right w:val="nil"/>
            </w:tcBorders>
          </w:tcPr>
          <w:p w:rsidR="004212B5" w:rsidP="00914B54" w14:paraId="6136A6F3" w14:textId="044126AC">
            <w:pPr>
              <w:pStyle w:val="TableText"/>
              <w:spacing w:after="40"/>
            </w:pPr>
            <w:r>
              <w:t>or</w:t>
            </w:r>
          </w:p>
        </w:tc>
        <w:tc>
          <w:tcPr>
            <w:tcW w:w="2132" w:type="pct"/>
            <w:vMerge/>
            <w:tcBorders>
              <w:left w:val="nil"/>
              <w:right w:val="nil"/>
            </w:tcBorders>
          </w:tcPr>
          <w:p w:rsidR="004212B5" w:rsidP="00914B54" w14:paraId="08AF9591" w14:textId="77777777">
            <w:pPr>
              <w:pStyle w:val="TableText"/>
              <w:spacing w:after="40"/>
            </w:pPr>
          </w:p>
        </w:tc>
      </w:tr>
      <w:tr w14:paraId="47F84879" w14:textId="77777777" w:rsidTr="008C2328">
        <w:tblPrEx>
          <w:tblW w:w="5000" w:type="pct"/>
          <w:tblLook w:val="04A0"/>
        </w:tblPrEx>
        <w:tc>
          <w:tcPr>
            <w:tcW w:w="736" w:type="pct"/>
            <w:vMerge/>
            <w:tcBorders>
              <w:left w:val="nil"/>
              <w:right w:val="nil"/>
            </w:tcBorders>
          </w:tcPr>
          <w:p w:rsidR="004212B5" w:rsidP="00914B54" w14:paraId="31977366" w14:textId="77777777">
            <w:pPr>
              <w:pStyle w:val="TableText"/>
              <w:spacing w:after="40"/>
            </w:pPr>
          </w:p>
        </w:tc>
        <w:tc>
          <w:tcPr>
            <w:tcW w:w="2132" w:type="pct"/>
            <w:tcBorders>
              <w:top w:val="nil"/>
              <w:left w:val="nil"/>
              <w:bottom w:val="single" w:sz="4" w:space="0" w:color="auto"/>
              <w:right w:val="nil"/>
            </w:tcBorders>
          </w:tcPr>
          <w:p w:rsidR="004212B5" w:rsidP="00914B54" w14:paraId="1A32EF84" w14:textId="77777777">
            <w:pPr>
              <w:pStyle w:val="TableText"/>
              <w:spacing w:after="40"/>
            </w:pPr>
            <w:r>
              <w:t>Community measure is a surrogate for (i.e. closely related to) diversity or ecosystem function</w:t>
            </w:r>
          </w:p>
        </w:tc>
        <w:tc>
          <w:tcPr>
            <w:tcW w:w="2132" w:type="pct"/>
            <w:vMerge/>
            <w:tcBorders>
              <w:left w:val="nil"/>
              <w:bottom w:val="single" w:sz="4" w:space="0" w:color="auto"/>
              <w:right w:val="nil"/>
            </w:tcBorders>
          </w:tcPr>
          <w:p w:rsidR="004212B5" w:rsidP="00914B54" w14:paraId="2F1B5E2A" w14:textId="77777777">
            <w:pPr>
              <w:pStyle w:val="TableText"/>
              <w:spacing w:after="40"/>
            </w:pPr>
          </w:p>
        </w:tc>
      </w:tr>
      <w:tr w14:paraId="5362B16C" w14:textId="77777777" w:rsidTr="008C2328">
        <w:tblPrEx>
          <w:tblW w:w="5000" w:type="pct"/>
          <w:tblLook w:val="04A0"/>
        </w:tblPrEx>
        <w:tc>
          <w:tcPr>
            <w:tcW w:w="736" w:type="pct"/>
            <w:vMerge w:val="restart"/>
            <w:tcBorders>
              <w:left w:val="nil"/>
              <w:right w:val="nil"/>
            </w:tcBorders>
          </w:tcPr>
          <w:p w:rsidR="004212B5" w:rsidP="00914B54" w14:paraId="1B013448" w14:textId="77777777">
            <w:pPr>
              <w:pStyle w:val="TableText"/>
              <w:spacing w:after="40"/>
            </w:pPr>
            <w:r>
              <w:t>Measures of ecosystem processes</w:t>
            </w:r>
          </w:p>
        </w:tc>
        <w:tc>
          <w:tcPr>
            <w:tcW w:w="2132" w:type="pct"/>
            <w:tcBorders>
              <w:top w:val="single" w:sz="4" w:space="0" w:color="auto"/>
              <w:left w:val="nil"/>
              <w:bottom w:val="nil"/>
              <w:right w:val="nil"/>
            </w:tcBorders>
          </w:tcPr>
          <w:p w:rsidR="004212B5" w:rsidP="00914B54" w14:paraId="183F7E55" w14:textId="77777777">
            <w:pPr>
              <w:pStyle w:val="TableText"/>
              <w:spacing w:after="40"/>
            </w:pPr>
            <w:r>
              <w:t>Process is essential to functioning of the system</w:t>
            </w:r>
          </w:p>
        </w:tc>
        <w:tc>
          <w:tcPr>
            <w:tcW w:w="2132" w:type="pct"/>
            <w:vMerge w:val="restart"/>
            <w:tcBorders>
              <w:top w:val="single" w:sz="4" w:space="0" w:color="auto"/>
              <w:left w:val="nil"/>
              <w:right w:val="nil"/>
            </w:tcBorders>
          </w:tcPr>
          <w:p w:rsidR="004212B5" w:rsidP="00914B54" w14:paraId="56DE43FE" w14:textId="77777777">
            <w:pPr>
              <w:pStyle w:val="TableText"/>
              <w:spacing w:after="40"/>
            </w:pPr>
            <w:r>
              <w:t>Measures of gross primary production and respiration in streams</w:t>
            </w:r>
          </w:p>
          <w:p w:rsidR="004212B5" w:rsidP="00914B54" w14:paraId="27E33B32" w14:textId="77777777">
            <w:pPr>
              <w:pStyle w:val="TableText"/>
              <w:spacing w:after="40"/>
            </w:pPr>
            <w:r>
              <w:t>Measures of decomposition potential in sediments</w:t>
            </w:r>
          </w:p>
        </w:tc>
      </w:tr>
      <w:tr w14:paraId="75B7E33E" w14:textId="77777777" w:rsidTr="008C2328">
        <w:tblPrEx>
          <w:tblW w:w="5000" w:type="pct"/>
          <w:tblLook w:val="04A0"/>
        </w:tblPrEx>
        <w:tc>
          <w:tcPr>
            <w:tcW w:w="736" w:type="pct"/>
            <w:vMerge/>
            <w:tcBorders>
              <w:left w:val="nil"/>
              <w:right w:val="nil"/>
            </w:tcBorders>
          </w:tcPr>
          <w:p w:rsidR="004212B5" w:rsidP="00914B54" w14:paraId="0C3D6849" w14:textId="77777777">
            <w:pPr>
              <w:pStyle w:val="TableText"/>
              <w:spacing w:after="40"/>
            </w:pPr>
          </w:p>
        </w:tc>
        <w:tc>
          <w:tcPr>
            <w:tcW w:w="2132" w:type="pct"/>
            <w:tcBorders>
              <w:top w:val="nil"/>
              <w:left w:val="nil"/>
              <w:bottom w:val="nil"/>
              <w:right w:val="nil"/>
            </w:tcBorders>
          </w:tcPr>
          <w:p w:rsidR="004212B5" w:rsidP="00914B54" w14:paraId="2AD66926" w14:textId="7B943B38">
            <w:pPr>
              <w:pStyle w:val="TableText"/>
              <w:spacing w:after="40"/>
            </w:pPr>
            <w:r>
              <w:t>or</w:t>
            </w:r>
          </w:p>
        </w:tc>
        <w:tc>
          <w:tcPr>
            <w:tcW w:w="2132" w:type="pct"/>
            <w:vMerge/>
            <w:tcBorders>
              <w:left w:val="nil"/>
              <w:right w:val="nil"/>
            </w:tcBorders>
          </w:tcPr>
          <w:p w:rsidR="004212B5" w:rsidP="00914B54" w14:paraId="7E8CAC38" w14:textId="77777777">
            <w:pPr>
              <w:pStyle w:val="TableText"/>
              <w:spacing w:after="40"/>
            </w:pPr>
          </w:p>
        </w:tc>
      </w:tr>
      <w:tr w14:paraId="0E7BF860" w14:textId="77777777" w:rsidTr="008C2328">
        <w:tblPrEx>
          <w:tblW w:w="5000" w:type="pct"/>
          <w:tblLook w:val="04A0"/>
        </w:tblPrEx>
        <w:tc>
          <w:tcPr>
            <w:tcW w:w="736" w:type="pct"/>
            <w:vMerge/>
            <w:tcBorders>
              <w:left w:val="nil"/>
              <w:right w:val="nil"/>
            </w:tcBorders>
          </w:tcPr>
          <w:p w:rsidR="004212B5" w:rsidP="00914B54" w14:paraId="2A95A7F4" w14:textId="77777777">
            <w:pPr>
              <w:pStyle w:val="TableText"/>
              <w:spacing w:after="40"/>
            </w:pPr>
          </w:p>
        </w:tc>
        <w:tc>
          <w:tcPr>
            <w:tcW w:w="2132" w:type="pct"/>
            <w:tcBorders>
              <w:top w:val="nil"/>
              <w:left w:val="nil"/>
              <w:bottom w:val="single" w:sz="4" w:space="0" w:color="auto"/>
              <w:right w:val="nil"/>
            </w:tcBorders>
          </w:tcPr>
          <w:p w:rsidR="004212B5" w:rsidP="00914B54" w14:paraId="4A58FACE" w14:textId="7A27A97D">
            <w:pPr>
              <w:pStyle w:val="TableText"/>
              <w:spacing w:after="40"/>
            </w:pPr>
            <w:r>
              <w:t xml:space="preserve">Links to structural attributes </w:t>
            </w:r>
            <w:r w:rsidR="00047AA0">
              <w:t xml:space="preserve">are </w:t>
            </w:r>
            <w:r>
              <w:t>well demonstrated</w:t>
            </w:r>
          </w:p>
        </w:tc>
        <w:tc>
          <w:tcPr>
            <w:tcW w:w="2132" w:type="pct"/>
            <w:vMerge/>
            <w:tcBorders>
              <w:left w:val="nil"/>
              <w:bottom w:val="single" w:sz="4" w:space="0" w:color="auto"/>
              <w:right w:val="nil"/>
            </w:tcBorders>
          </w:tcPr>
          <w:p w:rsidR="004212B5" w:rsidP="00914B54" w14:paraId="529A8F65" w14:textId="77777777">
            <w:pPr>
              <w:pStyle w:val="TableText"/>
              <w:spacing w:after="40"/>
            </w:pPr>
          </w:p>
        </w:tc>
      </w:tr>
    </w:tbl>
    <w:p w:rsidR="004212B5" w:rsidP="004212B5" w14:paraId="44F436D1" w14:textId="77777777">
      <w:pPr>
        <w:pStyle w:val="ListBullet"/>
        <w:numPr>
          <w:ilvl w:val="0"/>
          <w:numId w:val="0"/>
        </w:numPr>
      </w:pPr>
    </w:p>
    <w:p w:rsidR="004212B5" w:rsidP="004212B5" w14:paraId="67E7D5C0" w14:textId="77777777">
      <w:pPr>
        <w:pStyle w:val="ListBullet"/>
        <w:sectPr w:rsidSect="00850E85">
          <w:pgSz w:w="16838" w:h="11906" w:orient="landscape"/>
          <w:pgMar w:top="1418" w:right="1418" w:bottom="1418" w:left="1418" w:header="567" w:footer="283" w:gutter="0"/>
          <w:cols w:space="708"/>
          <w:titlePg/>
          <w:docGrid w:linePitch="360"/>
        </w:sectPr>
      </w:pPr>
    </w:p>
    <w:p w:rsidR="001D071B" w:rsidRPr="001A6B2B" w:rsidP="001A6B2B" w14:paraId="352B28C3" w14:textId="00B0CBFC">
      <w:pPr>
        <w:rPr>
          <w:b/>
          <w:bCs/>
        </w:rPr>
      </w:pPr>
      <w:r w:rsidRPr="001A6B2B">
        <w:rPr>
          <w:b/>
          <w:bCs/>
        </w:rPr>
        <w:t>Broad</w:t>
      </w:r>
      <w:r w:rsidRPr="001A6B2B" w:rsidR="00FF52A4">
        <w:rPr>
          <w:b/>
          <w:bCs/>
        </w:rPr>
        <w:t>-</w:t>
      </w:r>
      <w:r w:rsidRPr="001A6B2B">
        <w:rPr>
          <w:b/>
          <w:bCs/>
        </w:rPr>
        <w:t>scale assessments</w:t>
      </w:r>
    </w:p>
    <w:p w:rsidR="001D071B" w:rsidRPr="001A6B2B" w:rsidP="001A6B2B" w14:paraId="53C79894" w14:textId="18C451B0">
      <w:pPr>
        <w:pStyle w:val="ListBullet"/>
      </w:pPr>
      <w:r w:rsidRPr="001A6B2B">
        <w:t xml:space="preserve">Remote sensing can be used to perform habitat </w:t>
      </w:r>
      <w:r w:rsidRPr="001A6B2B" w:rsidR="00134A1A">
        <w:t xml:space="preserve">mapping and analysis </w:t>
      </w:r>
      <w:r w:rsidRPr="001A6B2B">
        <w:t xml:space="preserve">(e.g. seagrass density and extent, </w:t>
      </w:r>
      <w:r w:rsidRPr="001A6B2B" w:rsidR="0035611B">
        <w:t xml:space="preserve">riparian vegetation extent and health, </w:t>
      </w:r>
      <w:r w:rsidRPr="001A6B2B">
        <w:t xml:space="preserve">wetland macrophyte cover, vegetation type </w:t>
      </w:r>
      <w:r w:rsidR="00D956DB">
        <w:t xml:space="preserve">– </w:t>
      </w:r>
      <w:r w:rsidRPr="001A6B2B">
        <w:t>including</w:t>
      </w:r>
      <w:r w:rsidR="00D223A2">
        <w:t xml:space="preserve"> using these</w:t>
      </w:r>
      <w:r w:rsidRPr="001A6B2B">
        <w:t xml:space="preserve"> as prox</w:t>
      </w:r>
      <w:r w:rsidR="00D956DB">
        <w:t>ies</w:t>
      </w:r>
      <w:r w:rsidRPr="001A6B2B">
        <w:t xml:space="preserve"> for biodiversity</w:t>
      </w:r>
      <w:r w:rsidRPr="001A6B2B" w:rsidR="00E53357">
        <w:t>;</w:t>
      </w:r>
      <w:r w:rsidRPr="001A6B2B">
        <w:t xml:space="preserve"> see Method 5, Appendix 3, vol</w:t>
      </w:r>
      <w:r w:rsidRPr="001A6B2B" w:rsidR="00640124">
        <w:t>.</w:t>
      </w:r>
      <w:r w:rsidRPr="001A6B2B">
        <w:t xml:space="preserve"> 2, </w:t>
      </w:r>
      <w:r w:rsidRPr="001A6B2B" w:rsidR="00FE3443">
        <w:t>ANZECC</w:t>
      </w:r>
      <w:r w:rsidRPr="001A6B2B" w:rsidR="00BE4397">
        <w:t xml:space="preserve"> and </w:t>
      </w:r>
      <w:r w:rsidRPr="001A6B2B" w:rsidR="00FE3443">
        <w:t>ARMCANZ 2000</w:t>
      </w:r>
      <w:r w:rsidRPr="001A6B2B">
        <w:t xml:space="preserve"> for another example). </w:t>
      </w:r>
      <w:r w:rsidRPr="001A6B2B" w:rsidR="00134A1A">
        <w:t xml:space="preserve">Similar to </w:t>
      </w:r>
      <w:r w:rsidRPr="001A6B2B">
        <w:t xml:space="preserve">rapid assessments </w:t>
      </w:r>
      <w:r w:rsidRPr="001A6B2B" w:rsidR="00A66516">
        <w:t>for early detection</w:t>
      </w:r>
      <w:r w:rsidRPr="001A6B2B">
        <w:t xml:space="preserve">, </w:t>
      </w:r>
      <w:r w:rsidRPr="001A6B2B" w:rsidR="009F2956">
        <w:t>remote sensing may</w:t>
      </w:r>
      <w:r w:rsidRPr="001A6B2B">
        <w:t xml:space="preserve"> provide broad coverage </w:t>
      </w:r>
      <w:r w:rsidRPr="001A6B2B" w:rsidR="00134A1A">
        <w:t>in a cost-effective manner and may be useful for identifying areas that require further management focus or more detailed assessment using other indicators. Rapid advances in drone technology, sensor types and artificial intelligence for image classification mean that these technologies are now capable of providing detailed assessments of a broad range of indicators with high spatial resolution in near</w:t>
      </w:r>
      <w:r w:rsidRPr="001A6B2B" w:rsidR="00913E36">
        <w:t>-</w:t>
      </w:r>
      <w:r w:rsidRPr="001A6B2B" w:rsidR="00134A1A">
        <w:t>real</w:t>
      </w:r>
      <w:r w:rsidRPr="001A6B2B" w:rsidR="00913E36">
        <w:t xml:space="preserve"> </w:t>
      </w:r>
      <w:r w:rsidRPr="001A6B2B" w:rsidR="00134A1A">
        <w:t>time (Gray et al. 2018)</w:t>
      </w:r>
      <w:r w:rsidRPr="001A6B2B">
        <w:t>.</w:t>
      </w:r>
    </w:p>
    <w:p w:rsidR="001D071B" w:rsidRPr="001A6B2B" w:rsidP="001A6B2B" w14:paraId="2B355A81" w14:textId="15B7D7F1">
      <w:pPr>
        <w:pStyle w:val="ListBullet"/>
      </w:pPr>
      <w:r w:rsidRPr="001A6B2B">
        <w:t xml:space="preserve">Chlorophyll </w:t>
      </w:r>
      <w:r w:rsidRPr="001A6B2B" w:rsidR="002B46DF">
        <w:t xml:space="preserve">measurement using </w:t>
      </w:r>
      <w:r w:rsidRPr="001A6B2B">
        <w:t xml:space="preserve">remote </w:t>
      </w:r>
      <w:r w:rsidRPr="001A6B2B" w:rsidR="00253CDC">
        <w:t>sensing</w:t>
      </w:r>
      <w:r w:rsidRPr="001A6B2B">
        <w:t xml:space="preserve"> </w:t>
      </w:r>
      <w:r w:rsidRPr="001A6B2B" w:rsidR="00253CDC">
        <w:t>typically ha</w:t>
      </w:r>
      <w:r w:rsidRPr="001A6B2B" w:rsidR="00EA0B46">
        <w:t>s</w:t>
      </w:r>
      <w:r w:rsidRPr="001A6B2B" w:rsidR="00253CDC">
        <w:t xml:space="preserve"> strengths and weaknesses </w:t>
      </w:r>
      <w:r w:rsidRPr="001A6B2B" w:rsidR="00EA0B46">
        <w:t xml:space="preserve">that are comparable </w:t>
      </w:r>
      <w:r w:rsidRPr="001A6B2B" w:rsidR="00253CDC">
        <w:t>to other remote</w:t>
      </w:r>
      <w:r w:rsidRPr="001A6B2B" w:rsidR="00E2282E">
        <w:t>-</w:t>
      </w:r>
      <w:r w:rsidRPr="001A6B2B" w:rsidR="00253CDC">
        <w:t xml:space="preserve">sensing approaches </w:t>
      </w:r>
      <w:r w:rsidRPr="001A6B2B" w:rsidR="0087121A">
        <w:t>(e.g. habitat</w:t>
      </w:r>
      <w:r w:rsidRPr="001A6B2B" w:rsidR="00913E36">
        <w:t xml:space="preserve"> mapping</w:t>
      </w:r>
      <w:r w:rsidRPr="001A6B2B" w:rsidR="0087121A">
        <w:t>)</w:t>
      </w:r>
      <w:r w:rsidRPr="001A6B2B" w:rsidR="00253CDC">
        <w:t xml:space="preserve"> but </w:t>
      </w:r>
      <w:r w:rsidRPr="001A6B2B" w:rsidR="0087121A">
        <w:t xml:space="preserve">it </w:t>
      </w:r>
      <w:r w:rsidRPr="001A6B2B" w:rsidR="00253CDC">
        <w:t>can provide very broad coverage quickly, particularly where satellite data are adequate for the assessment needed (</w:t>
      </w:r>
      <w:r w:rsidRPr="001A6B2B" w:rsidR="0087121A">
        <w:t>i.e.</w:t>
      </w:r>
      <w:r w:rsidRPr="001A6B2B" w:rsidR="00253CDC">
        <w:t xml:space="preserve"> where surface or near</w:t>
      </w:r>
      <w:r w:rsidRPr="001A6B2B" w:rsidR="00E2282E">
        <w:t>-</w:t>
      </w:r>
      <w:r w:rsidRPr="001A6B2B" w:rsidR="00253CDC">
        <w:t>surface spectral data are sufficient)</w:t>
      </w:r>
      <w:r w:rsidRPr="001A6B2B" w:rsidR="0087121A">
        <w:t>.</w:t>
      </w:r>
      <w:r w:rsidRPr="001A6B2B" w:rsidR="00253CDC">
        <w:t xml:space="preserve"> See Ritchie et al. (2003)</w:t>
      </w:r>
      <w:r w:rsidRPr="001A6B2B" w:rsidR="00760F45">
        <w:t>, Gholizadeh et al. (2016)</w:t>
      </w:r>
      <w:r w:rsidRPr="001A6B2B" w:rsidR="0024796E">
        <w:t xml:space="preserve"> and Groom et al. (2019)</w:t>
      </w:r>
      <w:r w:rsidRPr="001A6B2B" w:rsidR="007F6FB5">
        <w:t xml:space="preserve"> for current status of remote sensing technologies for measuring chlorophyll </w:t>
      </w:r>
      <w:r w:rsidRPr="00F55BCE" w:rsidR="007F6FB5">
        <w:rPr>
          <w:i/>
          <w:iCs/>
        </w:rPr>
        <w:t>a</w:t>
      </w:r>
      <w:r w:rsidRPr="001A6B2B" w:rsidR="00253CDC">
        <w:t>.</w:t>
      </w:r>
    </w:p>
    <w:p w:rsidR="001D071B" w:rsidRPr="001A6B2B" w:rsidP="001A6B2B" w14:paraId="38DDE08E" w14:textId="6E10159D">
      <w:pPr>
        <w:pStyle w:val="ListBullet"/>
      </w:pPr>
      <w:r w:rsidRPr="001A6B2B">
        <w:t xml:space="preserve">Rapid assessments </w:t>
      </w:r>
      <w:r w:rsidRPr="001A6B2B" w:rsidR="00C574F8">
        <w:t xml:space="preserve">(e.g. </w:t>
      </w:r>
      <w:r w:rsidRPr="001A6B2B" w:rsidR="00C46D19">
        <w:t xml:space="preserve">the Australian River Assessment System </w:t>
      </w:r>
      <w:r w:rsidR="00420E2B">
        <w:t>[</w:t>
      </w:r>
      <w:r w:rsidRPr="001A6B2B" w:rsidR="00651F55">
        <w:t>AUSRIVAS</w:t>
      </w:r>
      <w:r w:rsidR="00420E2B">
        <w:t>]</w:t>
      </w:r>
      <w:r w:rsidRPr="001A6B2B" w:rsidR="00C574F8">
        <w:t xml:space="preserve">) </w:t>
      </w:r>
      <w:r w:rsidRPr="001A6B2B" w:rsidR="0004380F">
        <w:t>are</w:t>
      </w:r>
      <w:r w:rsidRPr="001A6B2B">
        <w:t xml:space="preserve"> relatively fast </w:t>
      </w:r>
      <w:r w:rsidRPr="001A6B2B" w:rsidR="0004380F">
        <w:t xml:space="preserve">and cost-effective </w:t>
      </w:r>
      <w:r w:rsidRPr="001A6B2B">
        <w:t xml:space="preserve">to mobilise </w:t>
      </w:r>
      <w:r w:rsidRPr="001A6B2B" w:rsidR="0004380F">
        <w:t xml:space="preserve">at broader scales </w:t>
      </w:r>
      <w:r w:rsidRPr="001A6B2B">
        <w:t xml:space="preserve">compared with other indicators but </w:t>
      </w:r>
      <w:r w:rsidRPr="001A6B2B" w:rsidR="006C3CA3">
        <w:t>are</w:t>
      </w:r>
      <w:r w:rsidRPr="001A6B2B">
        <w:t xml:space="preserve"> typically less sensitive for point</w:t>
      </w:r>
      <w:r w:rsidRPr="001A6B2B" w:rsidR="00D64296">
        <w:t>-</w:t>
      </w:r>
      <w:r w:rsidRPr="001A6B2B">
        <w:t xml:space="preserve">source stressors. </w:t>
      </w:r>
      <w:r w:rsidRPr="001A6B2B" w:rsidR="0004380F">
        <w:t>T</w:t>
      </w:r>
      <w:r w:rsidRPr="001A6B2B">
        <w:t xml:space="preserve">hey may be useful for identifying locations </w:t>
      </w:r>
      <w:r w:rsidRPr="001A6B2B" w:rsidR="006C3CA3">
        <w:t xml:space="preserve">that </w:t>
      </w:r>
      <w:r w:rsidRPr="001A6B2B">
        <w:t>need more management attention or more detailed assessment using other indicators.</w:t>
      </w:r>
    </w:p>
    <w:p w:rsidR="001D071B" w:rsidRPr="001A6B2B" w:rsidP="001A6B2B" w14:paraId="32FC6B52" w14:textId="7F11DD95">
      <w:pPr>
        <w:pStyle w:val="ListBullet"/>
      </w:pPr>
      <w:r w:rsidRPr="001A6B2B">
        <w:t>Genomics, including us</w:t>
      </w:r>
      <w:r w:rsidR="00E97F0F">
        <w:t>e of</w:t>
      </w:r>
      <w:r w:rsidRPr="001A6B2B">
        <w:t xml:space="preserve"> eDNA for analyses such as </w:t>
      </w:r>
      <w:r w:rsidRPr="001A6B2B" w:rsidR="00E53357">
        <w:t xml:space="preserve">species </w:t>
      </w:r>
      <w:r w:rsidRPr="001A6B2B">
        <w:t xml:space="preserve">assemblages and microbial processes, is a developing area and </w:t>
      </w:r>
      <w:r w:rsidR="00AD4675">
        <w:t xml:space="preserve">is </w:t>
      </w:r>
      <w:r w:rsidRPr="001A6B2B">
        <w:t>currently mostly used as a research tool</w:t>
      </w:r>
      <w:r w:rsidRPr="001A6B2B" w:rsidR="0004380F">
        <w:t xml:space="preserve">. However, </w:t>
      </w:r>
      <w:r w:rsidRPr="001A6B2B">
        <w:t xml:space="preserve">it has </w:t>
      </w:r>
      <w:r w:rsidRPr="001A6B2B" w:rsidR="0004380F">
        <w:t>been</w:t>
      </w:r>
      <w:r w:rsidRPr="001A6B2B">
        <w:t xml:space="preserve"> success</w:t>
      </w:r>
      <w:r w:rsidRPr="001A6B2B" w:rsidR="0004380F">
        <w:t>fully applied</w:t>
      </w:r>
      <w:r w:rsidRPr="001A6B2B">
        <w:t xml:space="preserve"> as a monitoring technique in Australia and internationally (e.g. Robson et al. 2016).</w:t>
      </w:r>
    </w:p>
    <w:p w:rsidR="007A6A4D" w:rsidRPr="001A6B2B" w:rsidP="00FC1EDE" w14:paraId="18AE0A6C" w14:textId="719A2BFC">
      <w:pPr>
        <w:pStyle w:val="ListBullet"/>
      </w:pPr>
      <w:r w:rsidRPr="001A6B2B">
        <w:t xml:space="preserve">Zooplankton </w:t>
      </w:r>
      <w:r w:rsidR="00FC1EDE">
        <w:t>surveys</w:t>
      </w:r>
      <w:r w:rsidR="00E97F0F">
        <w:t>,</w:t>
      </w:r>
      <w:r w:rsidR="00FC1EDE">
        <w:t xml:space="preserve"> </w:t>
      </w:r>
      <w:r w:rsidRPr="001A6B2B">
        <w:t xml:space="preserve">such as the Australian Continuous Plankton Recorder Survey (Richardson et al. </w:t>
      </w:r>
      <w:r w:rsidRPr="001A6B2B" w:rsidR="007C7CE3">
        <w:t>2006</w:t>
      </w:r>
      <w:r w:rsidRPr="001A6B2B" w:rsidR="00FC1EDE">
        <w:t>)</w:t>
      </w:r>
      <w:r w:rsidR="00FC1EDE">
        <w:t>, measure plankton communities as a guide to the health of Australia’s oceans.</w:t>
      </w:r>
    </w:p>
    <w:p w:rsidR="001D071B" w:rsidRPr="001A6B2B" w:rsidP="001A6B2B" w14:paraId="67D29EB5" w14:textId="6759EF29">
      <w:pPr>
        <w:rPr>
          <w:b/>
          <w:bCs/>
        </w:rPr>
      </w:pPr>
      <w:r w:rsidRPr="001A6B2B">
        <w:rPr>
          <w:b/>
          <w:bCs/>
        </w:rPr>
        <w:t>Site-specific assessments</w:t>
      </w:r>
    </w:p>
    <w:p w:rsidR="001D071B" w:rsidP="001A6B2B" w14:paraId="161F7EEA" w14:textId="38ADA39D">
      <w:pPr>
        <w:pStyle w:val="ListBullet"/>
      </w:pPr>
      <w:r w:rsidRPr="001D071B">
        <w:t>Many ecosystem receptor indicators are potentially suitable. Ideally</w:t>
      </w:r>
      <w:r w:rsidR="006F451E">
        <w:t>,</w:t>
      </w:r>
      <w:r w:rsidRPr="001D071B">
        <w:t xml:space="preserve"> a number of indicators </w:t>
      </w:r>
      <w:r w:rsidR="006F451E">
        <w:t>should</w:t>
      </w:r>
      <w:r w:rsidRPr="001D071B" w:rsidR="006F451E">
        <w:t xml:space="preserve"> </w:t>
      </w:r>
      <w:r w:rsidRPr="001D071B">
        <w:t xml:space="preserve">be used </w:t>
      </w:r>
      <w:r w:rsidR="006F451E">
        <w:t>for</w:t>
      </w:r>
      <w:r w:rsidRPr="001D071B" w:rsidR="006F451E">
        <w:t xml:space="preserve"> </w:t>
      </w:r>
      <w:r w:rsidRPr="001D071B">
        <w:t xml:space="preserve">a </w:t>
      </w:r>
      <w:r w:rsidR="006F451E">
        <w:t>weight</w:t>
      </w:r>
      <w:r w:rsidR="001D3178">
        <w:t>-</w:t>
      </w:r>
      <w:r w:rsidR="006F451E">
        <w:t>of</w:t>
      </w:r>
      <w:r w:rsidR="001D3178">
        <w:t>-</w:t>
      </w:r>
      <w:r w:rsidR="006F451E">
        <w:t>evidence</w:t>
      </w:r>
      <w:r w:rsidRPr="001D071B" w:rsidR="006F451E">
        <w:t xml:space="preserve"> </w:t>
      </w:r>
      <w:r w:rsidRPr="001D071B">
        <w:t>assessment approach. Biodiversity indicators should focus on groups known to be sensitive to the stressors of interest</w:t>
      </w:r>
      <w:r w:rsidR="000A04DC">
        <w:t xml:space="preserve"> (relative to other potential indicators)</w:t>
      </w:r>
      <w:r w:rsidRPr="001D071B">
        <w:t xml:space="preserve">. For toxicants and physical and chemical stressors, a starting point is to examine the relevant </w:t>
      </w:r>
      <w:r w:rsidR="00A5667B">
        <w:t>toxicant</w:t>
      </w:r>
      <w:r w:rsidR="009130E2">
        <w:t xml:space="preserve"> technical brief</w:t>
      </w:r>
      <w:r w:rsidRPr="001D071B">
        <w:t xml:space="preserve"> </w:t>
      </w:r>
      <w:r w:rsidR="00A5667B">
        <w:t>(or other such published information) to identify</w:t>
      </w:r>
      <w:r w:rsidRPr="001D071B" w:rsidR="00A5667B">
        <w:t xml:space="preserve"> </w:t>
      </w:r>
      <w:r w:rsidRPr="001D071B">
        <w:t>sensitive taxonomic groups (</w:t>
      </w:r>
      <w:r w:rsidR="006F451E">
        <w:t xml:space="preserve">e.g. </w:t>
      </w:r>
      <w:r w:rsidRPr="001D071B">
        <w:t xml:space="preserve">including the most sensitive taxa from the species sensitivity distribution </w:t>
      </w:r>
      <w:r w:rsidR="001D3178">
        <w:t>[</w:t>
      </w:r>
      <w:r w:rsidRPr="001D071B">
        <w:t>SSD</w:t>
      </w:r>
      <w:r w:rsidR="001D3178">
        <w:t>]</w:t>
      </w:r>
      <w:r w:rsidRPr="001D071B">
        <w:t xml:space="preserve"> used to derive </w:t>
      </w:r>
      <w:r w:rsidR="009130E2">
        <w:t>a</w:t>
      </w:r>
      <w:r w:rsidRPr="001D071B" w:rsidR="009130E2">
        <w:t xml:space="preserve"> </w:t>
      </w:r>
      <w:r w:rsidRPr="001D071B">
        <w:t xml:space="preserve">default </w:t>
      </w:r>
      <w:r w:rsidR="006F451E">
        <w:t>g</w:t>
      </w:r>
      <w:r w:rsidRPr="001D071B">
        <w:t xml:space="preserve">uideline </w:t>
      </w:r>
      <w:r w:rsidR="006F451E">
        <w:t>v</w:t>
      </w:r>
      <w:r w:rsidRPr="001D071B">
        <w:t xml:space="preserve">alue </w:t>
      </w:r>
      <w:r w:rsidR="001D3178">
        <w:t>[</w:t>
      </w:r>
      <w:r w:rsidR="001856AB">
        <w:t>D</w:t>
      </w:r>
      <w:r w:rsidR="00850E85">
        <w:t>GV</w:t>
      </w:r>
      <w:r w:rsidR="001D3178">
        <w:t>]</w:t>
      </w:r>
      <w:r w:rsidR="00850E85">
        <w:t xml:space="preserve">). </w:t>
      </w:r>
      <w:r w:rsidRPr="001D071B">
        <w:t xml:space="preserve">Similarly, biomarker, bioaccumulation and toxicity indicators should be responsive to the stressors of concern (again, being guided by the </w:t>
      </w:r>
      <w:r w:rsidR="006F451E">
        <w:t>D</w:t>
      </w:r>
      <w:r w:rsidRPr="001D071B">
        <w:t>GV SSD</w:t>
      </w:r>
      <w:r w:rsidR="009130E2">
        <w:t xml:space="preserve"> or other relevant information</w:t>
      </w:r>
      <w:r w:rsidRPr="001D071B">
        <w:t>).</w:t>
      </w:r>
      <w:r w:rsidR="00A5667B">
        <w:t xml:space="preserve"> In some cases, direct toxicity assessment (DTA) or the development of site-specific guideline values may be necessary.</w:t>
      </w:r>
    </w:p>
    <w:p w:rsidR="003E3C9D" w:rsidRPr="001D071B" w:rsidP="001A6B2B" w14:paraId="3CD0BE02" w14:textId="6D524880">
      <w:pPr>
        <w:pStyle w:val="ListBullet"/>
      </w:pPr>
      <w:r>
        <w:t>Rapid assessment approaches (e.g. AUSRIVAS) would not usually be recommended for this type of assessment.</w:t>
      </w:r>
    </w:p>
    <w:p w:rsidR="001D071B" w:rsidRPr="001D071B" w:rsidP="001A6B2B" w14:paraId="5154A5D5" w14:textId="2AE542A7">
      <w:pPr>
        <w:pStyle w:val="ListBullet"/>
      </w:pPr>
      <w:r w:rsidRPr="001D071B">
        <w:t>For approved waste</w:t>
      </w:r>
      <w:r w:rsidR="00B913F4">
        <w:t xml:space="preserve">water </w:t>
      </w:r>
      <w:r w:rsidRPr="001D071B">
        <w:t>discharges</w:t>
      </w:r>
      <w:r w:rsidR="006F451E">
        <w:t>,</w:t>
      </w:r>
      <w:r w:rsidRPr="001D071B">
        <w:t xml:space="preserve"> there may be indicators inc</w:t>
      </w:r>
      <w:r w:rsidR="00262584">
        <w:t>luded in the discharge permit</w:t>
      </w:r>
      <w:r w:rsidR="009130E2">
        <w:t xml:space="preserve"> that are required to be included in </w:t>
      </w:r>
      <w:r w:rsidRPr="001D071B">
        <w:t>the assessment.</w:t>
      </w:r>
    </w:p>
    <w:p w:rsidR="001D071B" w:rsidP="001A6B2B" w14:paraId="376AB984" w14:textId="478A5605">
      <w:pPr>
        <w:pStyle w:val="ListBullet"/>
      </w:pPr>
      <w:r w:rsidRPr="001D071B">
        <w:t xml:space="preserve">For a known </w:t>
      </w:r>
      <w:r w:rsidR="0004380F">
        <w:t>waste</w:t>
      </w:r>
      <w:r w:rsidR="0093434B">
        <w:t>-</w:t>
      </w:r>
      <w:r w:rsidRPr="001D071B">
        <w:t>discharge location, sampling</w:t>
      </w:r>
      <w:r w:rsidR="0093434B">
        <w:t>-</w:t>
      </w:r>
      <w:r w:rsidRPr="001D071B">
        <w:t xml:space="preserve">site designs should be selected to optimise </w:t>
      </w:r>
      <w:r w:rsidR="0004380F">
        <w:t>inferences about</w:t>
      </w:r>
      <w:r w:rsidRPr="001D071B">
        <w:t xml:space="preserve"> indicator responses to the discharge</w:t>
      </w:r>
      <w:r w:rsidR="00DF4298">
        <w:t xml:space="preserve"> (see </w:t>
      </w:r>
      <w:r>
        <w:fldChar w:fldCharType="begin"/>
      </w:r>
      <w:r>
        <w:instrText xml:space="preserve"> HYPERLINK "https://www.waterquality.gov.au/anz-guidelines/monitoring/study-design/considerations" </w:instrText>
      </w:r>
      <w:r>
        <w:fldChar w:fldCharType="separate"/>
      </w:r>
      <w:r w:rsidR="00D956DB">
        <w:rPr>
          <w:rStyle w:val="Hyperlink"/>
        </w:rPr>
        <w:t>Considerations for ecosystem receptors</w:t>
      </w:r>
      <w:r>
        <w:fldChar w:fldCharType="end"/>
      </w:r>
      <w:r w:rsidR="00DF4298">
        <w:t>)</w:t>
      </w:r>
      <w:r w:rsidRPr="001D071B">
        <w:t xml:space="preserve">. </w:t>
      </w:r>
      <w:r w:rsidR="00DF4298">
        <w:t>For information</w:t>
      </w:r>
      <w:r w:rsidRPr="001D071B">
        <w:t xml:space="preserve"> on </w:t>
      </w:r>
      <w:r w:rsidR="00DF4298">
        <w:t xml:space="preserve">the </w:t>
      </w:r>
      <w:r w:rsidRPr="001D071B">
        <w:t xml:space="preserve">analysis of </w:t>
      </w:r>
      <w:r w:rsidR="00DF4298">
        <w:t xml:space="preserve">data from </w:t>
      </w:r>
      <w:r w:rsidRPr="001D071B">
        <w:t xml:space="preserve">these types of </w:t>
      </w:r>
      <w:r w:rsidR="00DF4298">
        <w:t xml:space="preserve">designs, see </w:t>
      </w:r>
      <w:r>
        <w:fldChar w:fldCharType="begin"/>
      </w:r>
      <w:r>
        <w:instrText xml:space="preserve"> HYPERLINK "https://www.waterquality.gov.au/anz-guidelines/monitoring/data-analysis/data-considerations" </w:instrText>
      </w:r>
      <w:r>
        <w:fldChar w:fldCharType="separate"/>
      </w:r>
      <w:r w:rsidR="00D956DB">
        <w:rPr>
          <w:rStyle w:val="Hyperlink"/>
        </w:rPr>
        <w:t>Data analysis considerations for ecosystem receptors</w:t>
      </w:r>
      <w:r>
        <w:fldChar w:fldCharType="end"/>
      </w:r>
      <w:r w:rsidR="00DF4298">
        <w:t>.</w:t>
      </w:r>
      <w:r w:rsidRPr="001D071B">
        <w:t xml:space="preserve"> </w:t>
      </w:r>
    </w:p>
    <w:p w:rsidR="00FF42B8" w:rsidP="00FF42B8" w14:paraId="5CADEDDE" w14:textId="5FD45976">
      <w:r>
        <w:t xml:space="preserve">Further advice on selecting indicators is provided in </w:t>
      </w:r>
      <w:r w:rsidR="00822DFB">
        <w:fldChar w:fldCharType="begin"/>
      </w:r>
      <w:r w:rsidR="00822DFB">
        <w:instrText xml:space="preserve"> REF _Ref66975515 \h </w:instrText>
      </w:r>
      <w:r w:rsidR="00822DFB">
        <w:fldChar w:fldCharType="separate"/>
      </w:r>
      <w:r w:rsidR="008A285F">
        <w:t>Appendix A: Additional guidance for matching biodiversity indicators to problems</w:t>
      </w:r>
      <w:r w:rsidR="00822DFB">
        <w:fldChar w:fldCharType="end"/>
      </w:r>
      <w:r>
        <w:t xml:space="preserve">. </w:t>
      </w:r>
      <w:r w:rsidR="00E43A85">
        <w:t>N</w:t>
      </w:r>
      <w:r>
        <w:t xml:space="preserve">ote that the guidance in </w:t>
      </w:r>
      <w:r w:rsidR="00822DFB">
        <w:fldChar w:fldCharType="begin"/>
      </w:r>
      <w:r w:rsidR="00822DFB">
        <w:instrText xml:space="preserve"> REF _Ref66975515 \h </w:instrText>
      </w:r>
      <w:r w:rsidR="00822DFB">
        <w:fldChar w:fldCharType="separate"/>
      </w:r>
      <w:r w:rsidR="008A285F">
        <w:t>Appendix A: Additional guidance for matching biodiversity indicators to problems</w:t>
      </w:r>
      <w:r w:rsidR="00822DFB">
        <w:fldChar w:fldCharType="end"/>
      </w:r>
      <w:r>
        <w:t xml:space="preserve"> is only the starting point to a thorough review of the applicability of the indicator types being considered for the pressures</w:t>
      </w:r>
      <w:r w:rsidR="0093434B">
        <w:t xml:space="preserve"> and </w:t>
      </w:r>
      <w:r>
        <w:t xml:space="preserve">stressors of concern. </w:t>
      </w:r>
      <w:r w:rsidR="00B30508">
        <w:t>Additional</w:t>
      </w:r>
      <w:r>
        <w:t xml:space="preserve"> guidance, including cautionary advice and updated protocols, is </w:t>
      </w:r>
      <w:r w:rsidR="00D20AA5">
        <w:t xml:space="preserve">provided </w:t>
      </w:r>
      <w:r>
        <w:t xml:space="preserve">in recent literature reviews and ANZG (2018) information on </w:t>
      </w:r>
      <w:r w:rsidRPr="007A266B">
        <w:t>recommended protocols for each state or territory</w:t>
      </w:r>
      <w:r>
        <w:t>.</w:t>
      </w:r>
    </w:p>
    <w:p w:rsidR="00B75D32" w:rsidP="00FF42B8" w14:paraId="21072A09" w14:textId="6A0E1C00">
      <w:r>
        <w:t xml:space="preserve">Most ecosystem receptor indicators do not have DGVs. Changes in ecosystem receptor indicator responses are inferred from comparison with data collected under an agreed </w:t>
      </w:r>
      <w:r w:rsidRPr="00727561">
        <w:t>study design</w:t>
      </w:r>
      <w:r>
        <w:t xml:space="preserve">. That is, for most ecosystem receptor indicators, guideline values will be negotiated in terms of the maximum acceptable deviation from control or reference condition or departures from expected trends, with the negotiations based on the management questions being addressed and the </w:t>
      </w:r>
      <w:r w:rsidRPr="00727561">
        <w:t>candidate monitoring designs</w:t>
      </w:r>
      <w:r>
        <w:t xml:space="preserve"> (also see Chapter 10 of Downes et al. 2002).</w:t>
      </w:r>
    </w:p>
    <w:p w:rsidR="00402A63" w:rsidRPr="007A6A4D" w:rsidP="00402A63" w14:paraId="62BB49D9" w14:textId="0F557FCD">
      <w:pPr>
        <w:pStyle w:val="Heading2"/>
      </w:pPr>
      <w:bookmarkStart w:id="11" w:name="_Toc138332252"/>
      <w:r>
        <w:t>E</w:t>
      </w:r>
      <w:r w:rsidR="00762679">
        <w:t xml:space="preserve">cosystem receptor </w:t>
      </w:r>
      <w:r w:rsidR="00EF2E83">
        <w:t xml:space="preserve">lines of evidence and their </w:t>
      </w:r>
      <w:r w:rsidR="00762679">
        <w:t>indicators</w:t>
      </w:r>
      <w:bookmarkEnd w:id="11"/>
    </w:p>
    <w:p w:rsidR="001D071B" w:rsidRPr="001D071B" w14:paraId="460CE7CB" w14:textId="20B1DDAD">
      <w:r>
        <w:t>This section describes</w:t>
      </w:r>
      <w:r w:rsidRPr="001D071B" w:rsidR="00253CDC">
        <w:t xml:space="preserve"> </w:t>
      </w:r>
      <w:r w:rsidR="006167F7">
        <w:t>4</w:t>
      </w:r>
      <w:r w:rsidRPr="001D071B" w:rsidR="006167F7">
        <w:t xml:space="preserve"> </w:t>
      </w:r>
      <w:r>
        <w:t>lines of evidence</w:t>
      </w:r>
      <w:r w:rsidRPr="001D071B">
        <w:t xml:space="preserve"> </w:t>
      </w:r>
      <w:r w:rsidRPr="001D071B" w:rsidR="00253CDC">
        <w:t>for ecosystem receptors: biodiversity, toxicity, bioaccumulation and biomarkers.</w:t>
      </w:r>
    </w:p>
    <w:p w:rsidR="001D071B" w:rsidRPr="001D071B" w:rsidP="00850E85" w14:paraId="7825280A" w14:textId="77777777">
      <w:pPr>
        <w:pStyle w:val="Heading3"/>
      </w:pPr>
      <w:bookmarkStart w:id="12" w:name="_Ref88562622"/>
      <w:bookmarkStart w:id="13" w:name="_Toc138332253"/>
      <w:r w:rsidRPr="001D071B">
        <w:t>Biodiversity</w:t>
      </w:r>
      <w:bookmarkEnd w:id="12"/>
      <w:bookmarkEnd w:id="13"/>
    </w:p>
    <w:p w:rsidR="001D071B" w:rsidP="001A6B2B" w14:paraId="447E0AE8" w14:textId="256EE7C4">
      <w:pPr>
        <w:spacing w:after="120"/>
      </w:pPr>
      <w:r w:rsidRPr="001D071B">
        <w:t xml:space="preserve">The assessment of system ecology has been related to </w:t>
      </w:r>
      <w:r w:rsidRPr="001D071B" w:rsidR="0096129C">
        <w:t xml:space="preserve">principally </w:t>
      </w:r>
      <w:r w:rsidRPr="001D071B">
        <w:t>structural components of biodiversity, such as whole plant or animal assemblages or population parameters</w:t>
      </w:r>
      <w:r w:rsidR="00634432">
        <w:t>,</w:t>
      </w:r>
      <w:r w:rsidRPr="001D071B">
        <w:t xml:space="preserve"> including the occurrence of particular taxa. </w:t>
      </w:r>
      <w:r w:rsidR="00FE3443">
        <w:t>ANZECC</w:t>
      </w:r>
      <w:r w:rsidR="00BE4397">
        <w:t xml:space="preserve"> and </w:t>
      </w:r>
      <w:r w:rsidR="00FE3443">
        <w:t>ARMCANZ (2000)</w:t>
      </w:r>
      <w:r w:rsidRPr="001D071B">
        <w:t xml:space="preserve"> also include</w:t>
      </w:r>
      <w:r w:rsidR="00A35F33">
        <w:t xml:space="preserve"> the</w:t>
      </w:r>
      <w:r w:rsidRPr="00A35F33" w:rsidR="00A35F33">
        <w:t xml:space="preserve"> </w:t>
      </w:r>
      <w:r w:rsidRPr="001D071B" w:rsidR="00A35F33">
        <w:t>measurement of ecosystem function</w:t>
      </w:r>
      <w:r w:rsidRPr="001D071B">
        <w:t xml:space="preserve"> in </w:t>
      </w:r>
      <w:r w:rsidR="00A35F33">
        <w:t xml:space="preserve">the </w:t>
      </w:r>
      <w:r w:rsidRPr="001D071B">
        <w:t>biodiversity</w:t>
      </w:r>
      <w:r w:rsidR="00A35F33">
        <w:t xml:space="preserve"> line of evidence.</w:t>
      </w:r>
      <w:r w:rsidRPr="001D071B">
        <w:t xml:space="preserve"> </w:t>
      </w:r>
      <w:r w:rsidR="00A35F33">
        <w:t>M</w:t>
      </w:r>
      <w:r w:rsidRPr="001D071B">
        <w:t>ore recently</w:t>
      </w:r>
      <w:r w:rsidR="00A35F33">
        <w:t>,</w:t>
      </w:r>
      <w:r w:rsidRPr="001D071B">
        <w:t xml:space="preserve"> attention has focused on either quantifying the functional traits of plant or animal communities or measuring ecosys</w:t>
      </w:r>
      <w:r w:rsidR="00262584">
        <w:t xml:space="preserve">tem traits such as metabolism. </w:t>
      </w:r>
      <w:r w:rsidRPr="001D071B">
        <w:t xml:space="preserve">Typical </w:t>
      </w:r>
      <w:r w:rsidR="00D55635">
        <w:t xml:space="preserve">indicator types for the </w:t>
      </w:r>
      <w:r w:rsidRPr="001D071B">
        <w:t>biodiversity</w:t>
      </w:r>
      <w:r w:rsidR="00D55635">
        <w:t xml:space="preserve"> line of evidence</w:t>
      </w:r>
      <w:r w:rsidRPr="001D071B">
        <w:t xml:space="preserve"> are:</w:t>
      </w:r>
    </w:p>
    <w:p w:rsidR="001D071B" w:rsidP="001D071B" w14:paraId="3275491D" w14:textId="00619A27">
      <w:pPr>
        <w:pStyle w:val="ListBullet"/>
      </w:pPr>
      <w:r>
        <w:t>species of high conservation value or species important to the integrity of ecosystems</w:t>
      </w:r>
      <w:r w:rsidR="004464F1">
        <w:t xml:space="preserve"> (e.g. marine turtles, dugongs, endemic invertebrates)</w:t>
      </w:r>
    </w:p>
    <w:p w:rsidR="007D1868" w:rsidP="001D071B" w14:paraId="5882A76A" w14:textId="12E48CD5">
      <w:pPr>
        <w:pStyle w:val="ListBullet"/>
      </w:pPr>
      <w:r>
        <w:t xml:space="preserve">communities of organisms, such as phytoplankton, macrophytes (also constituting important habitat), </w:t>
      </w:r>
      <w:r w:rsidR="004464F1">
        <w:t xml:space="preserve">corals, </w:t>
      </w:r>
      <w:r>
        <w:t xml:space="preserve">zooplankton, macroinvertebrates </w:t>
      </w:r>
      <w:r w:rsidR="00F24A5D">
        <w:t xml:space="preserve">(including stygofauna for groundwaters) </w:t>
      </w:r>
      <w:r>
        <w:t>and fish</w:t>
      </w:r>
      <w:r w:rsidR="0096129C">
        <w:t>es</w:t>
      </w:r>
    </w:p>
    <w:p w:rsidR="001D071B" w:rsidP="001D071B" w14:paraId="45E24C8A" w14:textId="54843E00">
      <w:pPr>
        <w:pStyle w:val="ListBullet"/>
      </w:pPr>
      <w:r>
        <w:t>important ecosystem processes (e.g. measures of gross primary production and respiration, functional traits).</w:t>
      </w:r>
    </w:p>
    <w:p w:rsidR="001D071B" w:rsidP="001D071B" w14:paraId="159F154A" w14:textId="76115FC0">
      <w:r>
        <w:t>S</w:t>
      </w:r>
      <w:r w:rsidR="00253CDC">
        <w:t xml:space="preserve">ignificant advances in the measurement of </w:t>
      </w:r>
      <w:r w:rsidR="004B419E">
        <w:t xml:space="preserve">biodiversity </w:t>
      </w:r>
      <w:r w:rsidR="00253CDC">
        <w:t xml:space="preserve">indicators in recent years have </w:t>
      </w:r>
      <w:r>
        <w:t xml:space="preserve">substantially </w:t>
      </w:r>
      <w:r w:rsidR="00253CDC">
        <w:t xml:space="preserve">increased the </w:t>
      </w:r>
      <w:r>
        <w:t xml:space="preserve">amount of </w:t>
      </w:r>
      <w:r w:rsidR="00253CDC">
        <w:t>information that can</w:t>
      </w:r>
      <w:r>
        <w:t xml:space="preserve"> be obtained rapidly and inexpensively</w:t>
      </w:r>
      <w:r w:rsidR="00253CDC">
        <w:t>.</w:t>
      </w:r>
    </w:p>
    <w:p w:rsidR="001D071B" w:rsidP="001D071B" w14:paraId="1300727B" w14:textId="3746A2BC">
      <w:r>
        <w:t>Biodivers</w:t>
      </w:r>
      <w:r w:rsidR="007D1868">
        <w:t>i</w:t>
      </w:r>
      <w:r>
        <w:t>t</w:t>
      </w:r>
      <w:r w:rsidR="00466BD9">
        <w:t>y</w:t>
      </w:r>
      <w:r>
        <w:t xml:space="preserve"> m</w:t>
      </w:r>
      <w:r w:rsidR="00253CDC">
        <w:t>anagement goals are often linked to detecting changes at the population, community or ecosystem level</w:t>
      </w:r>
      <w:r>
        <w:t>. These levels are described in S</w:t>
      </w:r>
      <w:r w:rsidR="00AE3B65">
        <w:t>ection </w:t>
      </w:r>
      <w:r w:rsidR="00AE3B65">
        <w:fldChar w:fldCharType="begin"/>
      </w:r>
      <w:r w:rsidR="00AE3B65">
        <w:instrText xml:space="preserve"> REF _Ref48724005 \r \h </w:instrText>
      </w:r>
      <w:r w:rsidR="00AE3B65">
        <w:fldChar w:fldCharType="separate"/>
      </w:r>
      <w:r w:rsidR="008A285F">
        <w:t>3.1.1</w:t>
      </w:r>
      <w:r w:rsidR="00AE3B65">
        <w:fldChar w:fldCharType="end"/>
      </w:r>
      <w:r>
        <w:t>, Section </w:t>
      </w:r>
      <w:r w:rsidR="00AE3B65">
        <w:fldChar w:fldCharType="begin"/>
      </w:r>
      <w:r w:rsidR="00AE3B65">
        <w:instrText xml:space="preserve"> REF _Ref48724020 \r \h </w:instrText>
      </w:r>
      <w:r w:rsidR="00AE3B65">
        <w:fldChar w:fldCharType="separate"/>
      </w:r>
      <w:r w:rsidR="008A285F">
        <w:t>3.1.2</w:t>
      </w:r>
      <w:r w:rsidR="00AE3B65">
        <w:fldChar w:fldCharType="end"/>
      </w:r>
      <w:r>
        <w:t xml:space="preserve"> and Section</w:t>
      </w:r>
      <w:r w:rsidR="00AE3B65">
        <w:t> </w:t>
      </w:r>
      <w:r w:rsidR="00AE3B65">
        <w:fldChar w:fldCharType="begin"/>
      </w:r>
      <w:r w:rsidR="00AE3B65">
        <w:instrText xml:space="preserve"> REF _Ref48724029 \r \h </w:instrText>
      </w:r>
      <w:r w:rsidR="00AE3B65">
        <w:fldChar w:fldCharType="separate"/>
      </w:r>
      <w:r w:rsidR="008A285F">
        <w:t>3.1.3</w:t>
      </w:r>
      <w:r w:rsidR="00AE3B65">
        <w:fldChar w:fldCharType="end"/>
      </w:r>
      <w:r w:rsidR="00FA3E96">
        <w:t>, respectively</w:t>
      </w:r>
      <w:r w:rsidR="00253CDC">
        <w:t xml:space="preserve">. There are </w:t>
      </w:r>
      <w:r w:rsidR="00BF5ED3">
        <w:t xml:space="preserve">2 </w:t>
      </w:r>
      <w:r w:rsidR="00253CDC">
        <w:t>main uses for indicators</w:t>
      </w:r>
      <w:r w:rsidR="000B5533">
        <w:t xml:space="preserve"> at these </w:t>
      </w:r>
      <w:r w:rsidR="00BF5ED3">
        <w:t xml:space="preserve">3 </w:t>
      </w:r>
      <w:r w:rsidR="000B5533">
        <w:t>levels</w:t>
      </w:r>
      <w:r w:rsidR="00466BD9">
        <w:t>:</w:t>
      </w:r>
      <w:r w:rsidR="00253CDC">
        <w:t xml:space="preserve"> detecting a response to </w:t>
      </w:r>
      <w:r w:rsidR="00A243A9">
        <w:t>a stressor</w:t>
      </w:r>
      <w:r w:rsidR="00253CDC">
        <w:t xml:space="preserve"> and assessing biodiversity or conservation status. </w:t>
      </w:r>
      <w:r w:rsidR="00BF5ED3">
        <w:t>T</w:t>
      </w:r>
      <w:r w:rsidR="00253CDC">
        <w:t xml:space="preserve">hese uses </w:t>
      </w:r>
      <w:r w:rsidR="00BF5ED3">
        <w:t xml:space="preserve">often </w:t>
      </w:r>
      <w:r w:rsidR="00253CDC">
        <w:t>overlap.</w:t>
      </w:r>
    </w:p>
    <w:p w:rsidR="001D071B" w:rsidRPr="001D071B" w:rsidP="001D071B" w14:paraId="13348DD0" w14:textId="25A3EA9F">
      <w:r>
        <w:t>The selection of indicators</w:t>
      </w:r>
      <w:r w:rsidR="00253CDC">
        <w:t xml:space="preserve"> depends on the management question being addressed, but there </w:t>
      </w:r>
      <w:r w:rsidR="00AC7CB2">
        <w:t>are</w:t>
      </w:r>
      <w:r w:rsidR="00253CDC">
        <w:t xml:space="preserve"> occasions when an indicator is too difficult or costly to monitor. In </w:t>
      </w:r>
      <w:r w:rsidR="006C32A8">
        <w:t xml:space="preserve">these </w:t>
      </w:r>
      <w:r w:rsidR="00253CDC">
        <w:t>circumstances</w:t>
      </w:r>
      <w:r w:rsidR="006C32A8">
        <w:t>,</w:t>
      </w:r>
      <w:r w:rsidR="00253CDC">
        <w:t xml:space="preserve"> alternative indicators need to be </w:t>
      </w:r>
      <w:r w:rsidR="006C32A8">
        <w:t xml:space="preserve">monitored </w:t>
      </w:r>
      <w:r w:rsidR="00253CDC">
        <w:t xml:space="preserve">instead. For example, management may be focused on the conservation of a rare </w:t>
      </w:r>
      <w:r w:rsidR="006C32A8">
        <w:t xml:space="preserve">fish </w:t>
      </w:r>
      <w:r w:rsidR="00253CDC">
        <w:t>species but numbers may be too low to monitor the population reliably and quantitatively</w:t>
      </w:r>
      <w:r w:rsidR="00755C16">
        <w:t>. T</w:t>
      </w:r>
      <w:r w:rsidR="00253CDC">
        <w:t xml:space="preserve">herefore, the monitoring program should include </w:t>
      </w:r>
      <w:r w:rsidR="006C32A8">
        <w:t>an</w:t>
      </w:r>
      <w:r w:rsidR="00253CDC">
        <w:t xml:space="preserve"> </w:t>
      </w:r>
      <w:r w:rsidR="007D1868">
        <w:t>alternative</w:t>
      </w:r>
      <w:r w:rsidR="006C32A8">
        <w:t xml:space="preserve"> </w:t>
      </w:r>
      <w:r w:rsidR="00253CDC">
        <w:t>indicator</w:t>
      </w:r>
      <w:r w:rsidR="006C32A8">
        <w:t>,</w:t>
      </w:r>
      <w:r w:rsidR="00253CDC">
        <w:t xml:space="preserve"> such as the aquatic vegetation that provides</w:t>
      </w:r>
      <w:r w:rsidR="00262584">
        <w:t xml:space="preserve"> crucial habitat for the fish. </w:t>
      </w:r>
    </w:p>
    <w:p w:rsidR="001D071B" w:rsidRPr="001D071B" w:rsidP="00850E85" w14:paraId="62310FB8" w14:textId="49A54B0F">
      <w:pPr>
        <w:pStyle w:val="Heading4"/>
      </w:pPr>
      <w:bookmarkStart w:id="14" w:name="_Ref48724005"/>
      <w:bookmarkStart w:id="15" w:name="_Toc138332254"/>
      <w:r w:rsidRPr="001D071B">
        <w:t>Population</w:t>
      </w:r>
      <w:r w:rsidR="00755C16">
        <w:t>-</w:t>
      </w:r>
      <w:bookmarkEnd w:id="14"/>
      <w:r w:rsidR="00FA3E96">
        <w:t>level</w:t>
      </w:r>
      <w:r w:rsidR="00A361E9">
        <w:t xml:space="preserve"> indicators</w:t>
      </w:r>
      <w:bookmarkEnd w:id="15"/>
    </w:p>
    <w:p w:rsidR="001D071B" w:rsidP="001D071B" w14:paraId="0F34F7AA" w14:textId="1873319D">
      <w:r>
        <w:t>P</w:t>
      </w:r>
      <w:r w:rsidR="00762679">
        <w:t>opulation</w:t>
      </w:r>
      <w:r w:rsidR="00755C16">
        <w:t>-</w:t>
      </w:r>
      <w:r w:rsidR="001B30C7">
        <w:t>level indicators include measures for</w:t>
      </w:r>
      <w:r w:rsidR="00762679">
        <w:t xml:space="preserve"> a given taxon</w:t>
      </w:r>
      <w:r w:rsidR="001B30C7">
        <w:t>,</w:t>
      </w:r>
      <w:r w:rsidR="00762679">
        <w:t xml:space="preserve"> </w:t>
      </w:r>
      <w:r w:rsidR="001B30C7">
        <w:t>such as</w:t>
      </w:r>
      <w:r>
        <w:t xml:space="preserve"> density of a species of fish</w:t>
      </w:r>
      <w:r w:rsidR="001B30C7">
        <w:t xml:space="preserve"> or </w:t>
      </w:r>
      <w:r>
        <w:t>percentage cover by macroalgae</w:t>
      </w:r>
      <w:r w:rsidR="00762679">
        <w:t>. Sometimes</w:t>
      </w:r>
      <w:r w:rsidR="00755C16">
        <w:t>,</w:t>
      </w:r>
      <w:r w:rsidR="00762679">
        <w:t xml:space="preserve"> individual taxa are included as indicators because of their intrinsic value to stakeholders (e.g. species of high conservation value, </w:t>
      </w:r>
      <w:r w:rsidR="00420E2B">
        <w:t xml:space="preserve">or that are </w:t>
      </w:r>
      <w:r w:rsidR="00762679">
        <w:t>economically or culturally significant), but inclusion of such species in a program should still pass tests of specificity and relevance to the water</w:t>
      </w:r>
      <w:r w:rsidR="00ED5678">
        <w:t>-</w:t>
      </w:r>
      <w:r w:rsidR="00762679">
        <w:t>quality issue at hand.</w:t>
      </w:r>
    </w:p>
    <w:p w:rsidR="001D071B" w:rsidRPr="003A6879" w:rsidP="003A6879" w14:paraId="7E0DE4DC" w14:textId="635FAC94">
      <w:pPr>
        <w:rPr>
          <w:rFonts w:ascii="Times New Roman" w:eastAsia="Times New Roman" w:hAnsi="Times New Roman" w:cs="Times New Roman"/>
          <w:sz w:val="24"/>
          <w:szCs w:val="24"/>
          <w:lang w:eastAsia="en-GB"/>
        </w:rPr>
      </w:pPr>
      <w:r>
        <w:t>For broad</w:t>
      </w:r>
      <w:r w:rsidR="00755C16">
        <w:t>-</w:t>
      </w:r>
      <w:r>
        <w:t>scale water</w:t>
      </w:r>
      <w:r w:rsidR="00755C16">
        <w:t>-</w:t>
      </w:r>
      <w:r>
        <w:t xml:space="preserve">quality issues, which involve surveying many sites across </w:t>
      </w:r>
      <w:r w:rsidR="0080200C">
        <w:t xml:space="preserve">a </w:t>
      </w:r>
      <w:r>
        <w:t>landscape, the presence or absence of key taxa in each site may be a relevant measure of their population status</w:t>
      </w:r>
      <w:r w:rsidR="003A6879">
        <w:t>.</w:t>
      </w:r>
      <w:r w:rsidR="006575D5">
        <w:t xml:space="preserve"> </w:t>
      </w:r>
      <w:r w:rsidR="003A6879">
        <w:rPr>
          <w:rFonts w:ascii="Calibri" w:hAnsi="Calibri" w:cs="Calibri"/>
          <w:color w:val="000000"/>
        </w:rPr>
        <w:t>While this can provide substantial cost and efficiency benefits, it</w:t>
      </w:r>
      <w:r w:rsidR="00FB7366">
        <w:rPr>
          <w:rStyle w:val="apple-converted-space"/>
          <w:rFonts w:ascii="Calibri" w:hAnsi="Calibri" w:cs="Calibri"/>
          <w:color w:val="000000"/>
        </w:rPr>
        <w:t xml:space="preserve"> </w:t>
      </w:r>
      <w:r w:rsidR="003A6879">
        <w:rPr>
          <w:rFonts w:ascii="Calibri" w:hAnsi="Calibri" w:cs="Calibri"/>
          <w:color w:val="000000"/>
          <w:spacing w:val="2"/>
        </w:rPr>
        <w:t>will only detect impacts that are severe enough to eliminate entire taxonomic groups (typically families) of organisms</w:t>
      </w:r>
      <w:r>
        <w:t xml:space="preserve">. As a result, occupancy modelling (MacKenzie 2006) has become popular for </w:t>
      </w:r>
      <w:r w:rsidR="0080200C">
        <w:t>broad</w:t>
      </w:r>
      <w:r w:rsidR="005A6F5B">
        <w:t>-</w:t>
      </w:r>
      <w:r w:rsidR="0080200C">
        <w:t>scale water</w:t>
      </w:r>
      <w:r w:rsidR="005A6F5B">
        <w:t>-</w:t>
      </w:r>
      <w:r w:rsidR="0080200C">
        <w:t xml:space="preserve">quality </w:t>
      </w:r>
      <w:r>
        <w:t xml:space="preserve">investigations. Instead of estimating abundance, the focus is on estimating the proportion of sample units that support (are ‘occupied by’) a given species (Noon et al. 2012). Mackenzie and Royle (2005) provide some practical guidelines for designing occupancy surveys, </w:t>
      </w:r>
      <w:r w:rsidR="002B15F8">
        <w:t xml:space="preserve">while </w:t>
      </w:r>
      <w:r>
        <w:t xml:space="preserve">Gwinn et al. (2016) </w:t>
      </w:r>
      <w:r w:rsidR="004D12DD">
        <w:t xml:space="preserve">assess </w:t>
      </w:r>
      <w:r w:rsidR="002B15F8">
        <w:t xml:space="preserve">the incomplete and variable </w:t>
      </w:r>
      <w:r>
        <w:t>detection</w:t>
      </w:r>
      <w:r w:rsidR="002B15F8">
        <w:t xml:space="preserve"> of fish</w:t>
      </w:r>
      <w:r>
        <w:t xml:space="preserve"> </w:t>
      </w:r>
      <w:r w:rsidR="002B15F8">
        <w:t>by different</w:t>
      </w:r>
      <w:r>
        <w:t xml:space="preserve"> </w:t>
      </w:r>
      <w:r w:rsidR="002B15F8">
        <w:t>sampling methods</w:t>
      </w:r>
      <w:r>
        <w:t xml:space="preserve">. Concurrently, rapid improvements in technologies such as automated remote cameras, sound recordings, use of animal sign and genetic techniques </w:t>
      </w:r>
      <w:r w:rsidR="00E069B8">
        <w:t>(e.g.</w:t>
      </w:r>
      <w:r>
        <w:t xml:space="preserve"> eDNA</w:t>
      </w:r>
      <w:r w:rsidR="005A6F5B">
        <w:t>;</w:t>
      </w:r>
      <w:r w:rsidR="009B02B6">
        <w:t xml:space="preserve"> </w:t>
      </w:r>
      <w:r>
        <w:t>Rees et al. 2014</w:t>
      </w:r>
      <w:r w:rsidR="00B60297">
        <w:t>)</w:t>
      </w:r>
      <w:r>
        <w:t xml:space="preserve"> </w:t>
      </w:r>
      <w:r w:rsidR="009B02B6">
        <w:t xml:space="preserve">have </w:t>
      </w:r>
      <w:r w:rsidR="00E069B8">
        <w:t>enable</w:t>
      </w:r>
      <w:r w:rsidR="009B02B6">
        <w:t>d</w:t>
      </w:r>
      <w:r>
        <w:t xml:space="preserve"> multiple samplings over short periods and </w:t>
      </w:r>
      <w:r w:rsidR="00B7558D">
        <w:t xml:space="preserve">have </w:t>
      </w:r>
      <w:r>
        <w:t>increase</w:t>
      </w:r>
      <w:r w:rsidR="009B02B6">
        <w:t>d</w:t>
      </w:r>
      <w:r>
        <w:t xml:space="preserve"> the opportunities to </w:t>
      </w:r>
      <w:r w:rsidR="00E069B8">
        <w:t xml:space="preserve">reliably </w:t>
      </w:r>
      <w:r>
        <w:t>estimate detectability (Noon et al. 2012).</w:t>
      </w:r>
    </w:p>
    <w:p w:rsidR="001D071B" w:rsidP="001D071B" w14:paraId="7611BD49" w14:textId="29B3586F">
      <w:r>
        <w:t>There continues to be progress in sampling designs and methods for estimating abundance and densities of populations, particularly for large vertebrate species</w:t>
      </w:r>
      <w:r w:rsidR="007C2FF7">
        <w:t>,</w:t>
      </w:r>
      <w:r>
        <w:t xml:space="preserve"> as well as</w:t>
      </w:r>
      <w:r w:rsidR="007C2FF7">
        <w:t xml:space="preserve"> in the </w:t>
      </w:r>
      <w:r>
        <w:t xml:space="preserve">development of </w:t>
      </w:r>
      <w:r w:rsidR="007C2FF7">
        <w:t>remote</w:t>
      </w:r>
      <w:r w:rsidR="005A6F5B">
        <w:t>-</w:t>
      </w:r>
      <w:r w:rsidR="007C2FF7">
        <w:t>sensing</w:t>
      </w:r>
      <w:r>
        <w:t xml:space="preserve"> methods for vascular plants and other large sedentary species (Simmonds </w:t>
      </w:r>
      <w:r w:rsidR="003C60FB">
        <w:t>and</w:t>
      </w:r>
      <w:r>
        <w:t xml:space="preserve"> MacLennan 2005</w:t>
      </w:r>
      <w:r w:rsidR="00642B81">
        <w:t>,</w:t>
      </w:r>
      <w:r>
        <w:t xml:space="preserve"> Dafforn et al. </w:t>
      </w:r>
      <w:r w:rsidR="00D32EE0">
        <w:t>2016</w:t>
      </w:r>
      <w:r>
        <w:t xml:space="preserve">). The literature should be consulted during the early stages of program development to ensure that the most recent developments </w:t>
      </w:r>
      <w:r w:rsidR="000E278E">
        <w:t xml:space="preserve">are considered </w:t>
      </w:r>
      <w:r>
        <w:t>and that appropriate specialists are engaged in design and data acquisition.</w:t>
      </w:r>
    </w:p>
    <w:p w:rsidR="001D071B" w:rsidP="00850E85" w14:paraId="219792FB" w14:textId="60546699">
      <w:pPr>
        <w:pStyle w:val="Heading4"/>
      </w:pPr>
      <w:bookmarkStart w:id="16" w:name="_Ref48724020"/>
      <w:bookmarkStart w:id="17" w:name="_Ref66975370"/>
      <w:bookmarkStart w:id="18" w:name="_Toc138332255"/>
      <w:r w:rsidRPr="001D071B">
        <w:t>Community</w:t>
      </w:r>
      <w:r w:rsidR="005A6F5B">
        <w:t>-</w:t>
      </w:r>
      <w:bookmarkEnd w:id="16"/>
      <w:r w:rsidR="00FA3E96">
        <w:t>level</w:t>
      </w:r>
      <w:bookmarkEnd w:id="17"/>
      <w:r w:rsidR="00A361E9">
        <w:t xml:space="preserve"> indicators</w:t>
      </w:r>
      <w:bookmarkEnd w:id="18"/>
    </w:p>
    <w:p w:rsidR="001D071B" w:rsidP="001D071B" w14:paraId="4EEE6B98" w14:textId="143D9BB9">
      <w:r>
        <w:t>Community</w:t>
      </w:r>
      <w:r w:rsidR="005A6F5B">
        <w:t>-</w:t>
      </w:r>
      <w:r w:rsidR="00545C16">
        <w:t>level</w:t>
      </w:r>
      <w:r w:rsidR="001B30C7">
        <w:t xml:space="preserve"> indicators</w:t>
      </w:r>
      <w:r w:rsidR="00545C16">
        <w:t xml:space="preserve"> </w:t>
      </w:r>
      <w:r w:rsidR="001B30C7">
        <w:t>include</w:t>
      </w:r>
      <w:r>
        <w:t xml:space="preserve"> all techniques that involve analyses of </w:t>
      </w:r>
      <w:r w:rsidR="007844F9">
        <w:t xml:space="preserve">organism </w:t>
      </w:r>
      <w:r>
        <w:t xml:space="preserve">assemblages. The </w:t>
      </w:r>
      <w:r w:rsidR="001B30C7">
        <w:t xml:space="preserve">indicators </w:t>
      </w:r>
      <w:r>
        <w:t xml:space="preserve">may consist of recording the presence or absence of </w:t>
      </w:r>
      <w:r w:rsidR="000711FE">
        <w:t xml:space="preserve">multiple </w:t>
      </w:r>
      <w:r>
        <w:t xml:space="preserve">taxa (community composition) or of </w:t>
      </w:r>
      <w:r w:rsidR="007844F9">
        <w:t xml:space="preserve">estimating </w:t>
      </w:r>
      <w:r>
        <w:t xml:space="preserve">the relative abundance of each taxon (community structure). </w:t>
      </w:r>
    </w:p>
    <w:p w:rsidR="001D071B" w:rsidP="001D071B" w14:paraId="1328FBDC" w14:textId="23C445B6">
      <w:r>
        <w:t>Traditionally</w:t>
      </w:r>
      <w:r w:rsidR="007844F9">
        <w:t>,</w:t>
      </w:r>
      <w:r>
        <w:t xml:space="preserve"> community</w:t>
      </w:r>
      <w:r w:rsidR="005A6F5B">
        <w:t>-</w:t>
      </w:r>
      <w:r w:rsidR="001B30C7">
        <w:t xml:space="preserve">level indicators </w:t>
      </w:r>
      <w:r>
        <w:t xml:space="preserve">required </w:t>
      </w:r>
      <w:r w:rsidR="00B156C8">
        <w:t xml:space="preserve">the </w:t>
      </w:r>
      <w:r>
        <w:t>sampling of whole organisms and typically involved</w:t>
      </w:r>
      <w:r w:rsidR="00B156C8">
        <w:t xml:space="preserve"> the</w:t>
      </w:r>
      <w:r>
        <w:t xml:space="preserve"> identification and enumeration of individuals to finely resolved taxonomic levels.</w:t>
      </w:r>
      <w:r w:rsidR="006575D5">
        <w:t xml:space="preserve"> There is a substantial literature on these approaches for many different groups of organisms, and well-established and accepted approaches have been developed for each group which will vary in costs and efficiency depending on the groups used.</w:t>
      </w:r>
      <w:r>
        <w:t xml:space="preserve"> More recently</w:t>
      </w:r>
      <w:r w:rsidR="007844F9">
        <w:t>,</w:t>
      </w:r>
      <w:r w:rsidR="006575D5">
        <w:t xml:space="preserve"> </w:t>
      </w:r>
      <w:r>
        <w:t>the rapid growth of ecogenomic techniques based on next</w:t>
      </w:r>
      <w:r w:rsidR="00526A8E">
        <w:t>-</w:t>
      </w:r>
      <w:r>
        <w:t xml:space="preserve">generation sequencing (NGS) </w:t>
      </w:r>
      <w:r w:rsidR="00B156C8">
        <w:t xml:space="preserve">means </w:t>
      </w:r>
      <w:r>
        <w:t>that thousands of species (and higher taxonomic and genetic levels) can be identified across macro</w:t>
      </w:r>
      <w:r w:rsidR="007844F9">
        <w:t>biota</w:t>
      </w:r>
      <w:r>
        <w:t>, meio</w:t>
      </w:r>
      <w:r w:rsidR="007844F9">
        <w:t>biota</w:t>
      </w:r>
      <w:r>
        <w:t xml:space="preserve"> and microbiota in a single sample, compared to dozens or hundreds of taxa using visual identification (see </w:t>
      </w:r>
      <w:r w:rsidR="00526A8E">
        <w:t>‘</w:t>
      </w:r>
      <w:r>
        <w:fldChar w:fldCharType="begin"/>
      </w:r>
      <w:r>
        <w:instrText xml:space="preserve"> HYPERLINK \l "_Ecogenomics" </w:instrText>
      </w:r>
      <w:r>
        <w:fldChar w:fldCharType="separate"/>
      </w:r>
      <w:r w:rsidRPr="00CF6A77" w:rsidR="00CF6A77">
        <w:rPr>
          <w:rStyle w:val="Hyperlink"/>
        </w:rPr>
        <w:t>Ecogenomics</w:t>
      </w:r>
      <w:r>
        <w:fldChar w:fldCharType="end"/>
      </w:r>
      <w:r w:rsidR="00526A8E">
        <w:t>’ section</w:t>
      </w:r>
      <w:r>
        <w:t>).</w:t>
      </w:r>
      <w:r w:rsidR="00D82C45">
        <w:t xml:space="preserve"> </w:t>
      </w:r>
      <w:r w:rsidR="00526A8E">
        <w:t xml:space="preserve">Ecogenomic techniques can be used to support or complement traditional approaches, or as a replacement when the traditional whole-organism approaches are difficult, inefficient or expensive to implement. </w:t>
      </w:r>
      <w:r>
        <w:t xml:space="preserve">Once the data </w:t>
      </w:r>
      <w:r w:rsidR="0002435E">
        <w:t>are</w:t>
      </w:r>
      <w:r>
        <w:t xml:space="preserve"> acquired, they can be analysed by condensing into univariate indices or scores</w:t>
      </w:r>
      <w:r w:rsidR="00C12916">
        <w:t>,</w:t>
      </w:r>
      <w:r>
        <w:t xml:space="preserve"> or by using multivariate techniques. The </w:t>
      </w:r>
      <w:r w:rsidR="00D82C45">
        <w:t xml:space="preserve">analytical methods for </w:t>
      </w:r>
      <w:r w:rsidR="00C12916">
        <w:t>acquiring</w:t>
      </w:r>
      <w:r>
        <w:t xml:space="preserve"> </w:t>
      </w:r>
      <w:r w:rsidR="00D82C45">
        <w:t xml:space="preserve">ecogenomic </w:t>
      </w:r>
      <w:r>
        <w:t xml:space="preserve">community data </w:t>
      </w:r>
      <w:r w:rsidR="00D82C45">
        <w:t xml:space="preserve">are </w:t>
      </w:r>
      <w:r w:rsidR="0096129C">
        <w:t>developing rapidly</w:t>
      </w:r>
      <w:r>
        <w:t xml:space="preserve">, but the sampling designs and </w:t>
      </w:r>
      <w:r w:rsidR="00D82C45">
        <w:t>statistical analysis</w:t>
      </w:r>
      <w:r>
        <w:t xml:space="preserve"> methods remain broadly similar</w:t>
      </w:r>
      <w:r w:rsidR="00D82C45">
        <w:t xml:space="preserve"> to those used for traditional community</w:t>
      </w:r>
      <w:r w:rsidR="00526A8E">
        <w:t>-</w:t>
      </w:r>
      <w:r w:rsidR="00B95EE8">
        <w:t>level</w:t>
      </w:r>
      <w:r w:rsidR="001B30C7">
        <w:t xml:space="preserve"> indicators</w:t>
      </w:r>
      <w:r>
        <w:t>.</w:t>
      </w:r>
    </w:p>
    <w:p w:rsidR="001D071B" w:rsidP="00ED6D02" w14:paraId="2652D6BA" w14:textId="3F7349D8">
      <w:pPr>
        <w:pStyle w:val="Heading5"/>
      </w:pPr>
      <w:r w:rsidRPr="001D071B">
        <w:t>Community</w:t>
      </w:r>
      <w:r w:rsidR="00526A8E">
        <w:t>-</w:t>
      </w:r>
      <w:r w:rsidR="00B95EE8">
        <w:t>level</w:t>
      </w:r>
      <w:r w:rsidR="00F13EEE">
        <w:t xml:space="preserve"> indicators</w:t>
      </w:r>
      <w:r w:rsidRPr="001D071B" w:rsidR="00B95EE8">
        <w:t xml:space="preserve"> </w:t>
      </w:r>
      <w:r w:rsidRPr="001D071B">
        <w:t>using whole organisms</w:t>
      </w:r>
    </w:p>
    <w:p w:rsidR="001D071B" w:rsidP="001D071B" w14:paraId="53047310" w14:textId="23B0C511">
      <w:r>
        <w:t xml:space="preserve">The community composition or structure of </w:t>
      </w:r>
      <w:r w:rsidRPr="00875633" w:rsidR="000711FE">
        <w:rPr>
          <w:rFonts w:cstheme="minorHAnsi"/>
          <w:lang w:val="en-US"/>
        </w:rPr>
        <w:t>algae, invertebrates (particularly infauna and benthic macroinvertebrates), and</w:t>
      </w:r>
      <w:r w:rsidR="00EA44C2">
        <w:rPr>
          <w:rFonts w:cstheme="minorHAnsi"/>
          <w:lang w:val="en-US"/>
        </w:rPr>
        <w:t xml:space="preserve"> –</w:t>
      </w:r>
      <w:r w:rsidRPr="00875633" w:rsidR="000711FE">
        <w:rPr>
          <w:rFonts w:cstheme="minorHAnsi"/>
          <w:lang w:val="en-US"/>
        </w:rPr>
        <w:t xml:space="preserve"> to a lesser extent</w:t>
      </w:r>
      <w:r w:rsidR="00EA44C2">
        <w:rPr>
          <w:rFonts w:cstheme="minorHAnsi"/>
          <w:lang w:val="en-US"/>
        </w:rPr>
        <w:t xml:space="preserve"> –</w:t>
      </w:r>
      <w:r w:rsidRPr="00875633" w:rsidR="000711FE">
        <w:rPr>
          <w:rFonts w:cstheme="minorHAnsi"/>
          <w:lang w:val="en-US"/>
        </w:rPr>
        <w:t xml:space="preserve"> fish, vascular plants and other taxa have been used in both marine and freshwater systems to assess water and sediment quality</w:t>
      </w:r>
      <w:r w:rsidR="000711FE">
        <w:t xml:space="preserve"> </w:t>
      </w:r>
      <w:r>
        <w:t xml:space="preserve">(Downes et al. 2002). </w:t>
      </w:r>
    </w:p>
    <w:p w:rsidR="001D071B" w:rsidP="001D071B" w14:paraId="6CBF1051" w14:textId="6744FE4C">
      <w:r>
        <w:t>Algal</w:t>
      </w:r>
      <w:r w:rsidR="00A83B6D">
        <w:t>,</w:t>
      </w:r>
      <w:r>
        <w:t xml:space="preserve"> micro</w:t>
      </w:r>
      <w:r w:rsidR="007A1FF0">
        <w:t>invertebrate</w:t>
      </w:r>
      <w:r w:rsidR="00A83B6D">
        <w:t xml:space="preserve"> (meiofauna)</w:t>
      </w:r>
      <w:r>
        <w:t xml:space="preserve"> or macroinvertebrate species usually require identification using optical microscopy, which can be cost</w:t>
      </w:r>
      <w:r w:rsidR="00262584">
        <w:t xml:space="preserve">ly, slow and labour-intensive. </w:t>
      </w:r>
      <w:r>
        <w:t xml:space="preserve">However, the </w:t>
      </w:r>
      <w:r w:rsidR="007A1FF0">
        <w:t xml:space="preserve">improved </w:t>
      </w:r>
      <w:r>
        <w:t xml:space="preserve">commercial supply of these services </w:t>
      </w:r>
      <w:r w:rsidR="00A83B6D">
        <w:t xml:space="preserve">in some regions </w:t>
      </w:r>
      <w:r>
        <w:t>over the last decade has substantially reduced the cost and turn-around</w:t>
      </w:r>
      <w:r w:rsidR="00A83B6D">
        <w:t xml:space="preserve"> </w:t>
      </w:r>
      <w:r>
        <w:t xml:space="preserve">time </w:t>
      </w:r>
      <w:r w:rsidR="007A1FF0">
        <w:t xml:space="preserve">of </w:t>
      </w:r>
      <w:r>
        <w:t>analysis. Similarly, sampling riparian plants, fish and amphibians quantitatively requires considerable skill, especially for small taxa or juvenile stages. Accordingly, well-documented procedures for quality assurance and quality control (QA/QC) are essential.</w:t>
      </w:r>
      <w:r w:rsidR="00CA6749">
        <w:t xml:space="preserve"> Videography and sonar methods for fish and vascular plant surveys</w:t>
      </w:r>
      <w:r w:rsidR="00903445">
        <w:t xml:space="preserve"> that</w:t>
      </w:r>
      <w:r w:rsidR="00CA6749">
        <w:t xml:space="preserve"> us</w:t>
      </w:r>
      <w:r w:rsidR="00903445">
        <w:t>e</w:t>
      </w:r>
      <w:r w:rsidR="00CA6749">
        <w:t xml:space="preserve"> artificial intelligence for image classification represent new promising approaches to accurate, safe and cost-effective monitoring under development in parts of Australia (Jalal et al. 2020, Crook et al. 2021, Olsen et al. 2020).</w:t>
      </w:r>
    </w:p>
    <w:p w:rsidR="001D071B" w:rsidP="00ED6D02" w14:paraId="78E1D5A7" w14:textId="77777777">
      <w:pPr>
        <w:pStyle w:val="Heading5"/>
      </w:pPr>
      <w:bookmarkStart w:id="19" w:name="_Ecogenomics"/>
      <w:bookmarkStart w:id="20" w:name="_Ref48722696"/>
      <w:bookmarkEnd w:id="19"/>
      <w:r w:rsidRPr="00E47BE8">
        <w:t>Ecogenomics</w:t>
      </w:r>
      <w:bookmarkEnd w:id="20"/>
    </w:p>
    <w:p w:rsidR="00E47BE8" w:rsidP="00E47BE8" w14:paraId="0ACE6CF8" w14:textId="16299C3B">
      <w:r>
        <w:t xml:space="preserve">The power of large ecogenomic databases based on NGS to identify differences between sampling locations or times is considerable. Baird </w:t>
      </w:r>
      <w:r w:rsidR="005D10DE">
        <w:t>and</w:t>
      </w:r>
      <w:r>
        <w:t xml:space="preserve"> Hajibabaei (2012) outline these techniques, and there are many ‘proof</w:t>
      </w:r>
      <w:r w:rsidR="00903445">
        <w:t>-</w:t>
      </w:r>
      <w:r>
        <w:t>of</w:t>
      </w:r>
      <w:r w:rsidR="00903445">
        <w:t>-</w:t>
      </w:r>
      <w:r>
        <w:t>concept’ studies demonstrating their potential to distinguish between impacted and unimpacted situations (e.g. McInerney et al. 2016</w:t>
      </w:r>
      <w:r w:rsidR="005D10DE">
        <w:t>,</w:t>
      </w:r>
      <w:r>
        <w:t xml:space="preserve"> Harvey et al. 2017).</w:t>
      </w:r>
    </w:p>
    <w:p w:rsidR="00E47BE8" w:rsidP="001A6B2B" w14:paraId="2C371EF7" w14:textId="555B4D29">
      <w:pPr>
        <w:spacing w:after="120"/>
      </w:pPr>
      <w:r>
        <w:t xml:space="preserve">NGS techniques can be divided into </w:t>
      </w:r>
      <w:r w:rsidR="00C41CAA">
        <w:t xml:space="preserve">2 </w:t>
      </w:r>
      <w:r>
        <w:t xml:space="preserve">broad categories (Chariton et al. 2016): </w:t>
      </w:r>
    </w:p>
    <w:p w:rsidR="00E47BE8" w:rsidP="00903445" w14:paraId="59ABBE66" w14:textId="4C321345">
      <w:pPr>
        <w:pStyle w:val="ListBullet"/>
      </w:pPr>
      <w:r>
        <w:t xml:space="preserve">amplicon </w:t>
      </w:r>
      <w:r w:rsidR="00253CDC">
        <w:t>sequencing</w:t>
      </w:r>
      <w:r>
        <w:t>,</w:t>
      </w:r>
      <w:r w:rsidR="00253CDC">
        <w:t xml:space="preserve"> which amplifies known or targeted RNA or DNA sequences from specific gene regions to provide a list of taxa from a site (e.g. Carew et al. 2013)</w:t>
      </w:r>
    </w:p>
    <w:p w:rsidR="00E47BE8" w:rsidP="00903445" w14:paraId="2CB432A3" w14:textId="26848858">
      <w:pPr>
        <w:pStyle w:val="ListBullet"/>
      </w:pPr>
      <w:r>
        <w:t>‘</w:t>
      </w:r>
      <w:r w:rsidR="006B0AA6">
        <w:t>shotgun</w:t>
      </w:r>
      <w:r w:rsidR="00C41CAA">
        <w:t>’</w:t>
      </w:r>
      <w:r w:rsidR="006B0AA6">
        <w:t xml:space="preserve"> </w:t>
      </w:r>
      <w:r>
        <w:t>sequencing</w:t>
      </w:r>
      <w:r w:rsidR="006B0AA6">
        <w:t>,</w:t>
      </w:r>
      <w:r>
        <w:t xml:space="preserve"> in which small random fragments of the entire genomic contents of a sample unit are sequenced to </w:t>
      </w:r>
      <w:r w:rsidR="00B41A7E">
        <w:t>provide a more broadly</w:t>
      </w:r>
      <w:r w:rsidR="00C41CAA">
        <w:t xml:space="preserve"> </w:t>
      </w:r>
      <w:r w:rsidR="00B41A7E">
        <w:t xml:space="preserve">based </w:t>
      </w:r>
      <w:r>
        <w:t>estimate</w:t>
      </w:r>
      <w:r w:rsidR="00B41A7E">
        <w:t xml:space="preserve"> of</w:t>
      </w:r>
      <w:r>
        <w:t xml:space="preserve"> the biodiversity of a site. </w:t>
      </w:r>
    </w:p>
    <w:p w:rsidR="00E47BE8" w:rsidP="00E47BE8" w14:paraId="18075A0E" w14:textId="1C78A2E0">
      <w:r>
        <w:t xml:space="preserve">While these techniques provide advantages, they are not </w:t>
      </w:r>
      <w:r w:rsidR="00C41CAA">
        <w:t>without</w:t>
      </w:r>
      <w:r>
        <w:t xml:space="preserve"> biases and disadvantages. Table 1 of Chariton et al. (2016) summarises comparisons between NGS and conventional techniques in biomonitoring. In general, </w:t>
      </w:r>
      <w:r w:rsidR="00153B22">
        <w:t xml:space="preserve">taxa </w:t>
      </w:r>
      <w:r>
        <w:t>abundances are not routinely inferable from such datasets, although some taxon-specific amplicon methods show promise in particular applications (e.g. Jarman et al.</w:t>
      </w:r>
      <w:r w:rsidR="009B6F82">
        <w:t xml:space="preserve"> 2006,</w:t>
      </w:r>
      <w:r>
        <w:t xml:space="preserve"> McLel</w:t>
      </w:r>
      <w:r w:rsidR="00262584">
        <w:t>lan et al. 2010</w:t>
      </w:r>
      <w:r w:rsidR="009B6F82">
        <w:t>, Legge</w:t>
      </w:r>
      <w:r w:rsidR="00262584">
        <w:t xml:space="preserve"> 2012</w:t>
      </w:r>
      <w:r w:rsidR="009B6F82">
        <w:t>,</w:t>
      </w:r>
      <w:r w:rsidR="00262584">
        <w:t xml:space="preserve"> </w:t>
      </w:r>
      <w:r>
        <w:t>de Vos et al.</w:t>
      </w:r>
      <w:r w:rsidR="009B6F82">
        <w:t xml:space="preserve"> 2018</w:t>
      </w:r>
      <w:r w:rsidR="00C41CAA">
        <w:t>;</w:t>
      </w:r>
      <w:r w:rsidR="009B6F82">
        <w:t xml:space="preserve"> also see Golob et al.</w:t>
      </w:r>
      <w:r>
        <w:t xml:space="preserve"> 2017)</w:t>
      </w:r>
      <w:r w:rsidR="009B6F82">
        <w:t>.</w:t>
      </w:r>
    </w:p>
    <w:p w:rsidR="00E47BE8" w:rsidP="00E47BE8" w14:paraId="6D167F75" w14:textId="18163E3B">
      <w:r>
        <w:t xml:space="preserve">In species-specific studies, amplicon sequencing is important to ensure </w:t>
      </w:r>
      <w:r w:rsidR="00EE784D">
        <w:t xml:space="preserve">that </w:t>
      </w:r>
      <w:r w:rsidR="002A1A2C">
        <w:t xml:space="preserve">the </w:t>
      </w:r>
      <w:r>
        <w:t>gene regions being amplified are unique or diagnostic of the taxon being studie</w:t>
      </w:r>
      <w:r w:rsidR="00EE784D">
        <w:t>d (Carew et al.</w:t>
      </w:r>
      <w:r>
        <w:t xml:space="preserve"> 2013</w:t>
      </w:r>
      <w:r w:rsidR="00EE784D">
        <w:t>,</w:t>
      </w:r>
      <w:r>
        <w:t xml:space="preserve"> MacDonald </w:t>
      </w:r>
      <w:r w:rsidR="003C60FB">
        <w:t>and</w:t>
      </w:r>
      <w:r>
        <w:t xml:space="preserve"> Sarre 2017). Shotgun sequencing </w:t>
      </w:r>
      <w:r w:rsidR="002A1A2C">
        <w:t>may</w:t>
      </w:r>
      <w:r>
        <w:t xml:space="preserve"> provide rich datasets on both community structure and function, including for </w:t>
      </w:r>
      <w:r w:rsidR="00D74EA6">
        <w:t xml:space="preserve">previously </w:t>
      </w:r>
      <w:r>
        <w:t xml:space="preserve">intractable components of the ecosystem (e.g. microbes). While very promising, the </w:t>
      </w:r>
      <w:r w:rsidR="000D4A5C">
        <w:t xml:space="preserve">main </w:t>
      </w:r>
      <w:r>
        <w:t xml:space="preserve">drawbacks </w:t>
      </w:r>
      <w:r w:rsidR="000D4A5C">
        <w:t>include</w:t>
      </w:r>
      <w:r>
        <w:t xml:space="preserve"> the limited databases available for assembling partial genomes and the need for ‘deep sequencing’ of diverse communities (Chariton et al. 2016).</w:t>
      </w:r>
    </w:p>
    <w:p w:rsidR="001D071B" w:rsidP="00E47BE8" w14:paraId="1324AA6F" w14:textId="20F6D67A">
      <w:r>
        <w:t xml:space="preserve">Use of DNA from environmental samples to assess biodiversity or </w:t>
      </w:r>
      <w:r w:rsidR="00632993">
        <w:t xml:space="preserve">the </w:t>
      </w:r>
      <w:r>
        <w:t>presence</w:t>
      </w:r>
      <w:r w:rsidR="00632993">
        <w:t xml:space="preserve"> or </w:t>
      </w:r>
      <w:r>
        <w:t>absence of particular species (eDNA techniques) require</w:t>
      </w:r>
      <w:r w:rsidR="004F372C">
        <w:t>s</w:t>
      </w:r>
      <w:r>
        <w:t xml:space="preserve"> careful field protocols to avoid false positives or false negatives. Shaw et al. (2016) found some protocol-specific discrepancies between eDNA and conventional fyke</w:t>
      </w:r>
      <w:r w:rsidR="00D74EA6">
        <w:t>-</w:t>
      </w:r>
      <w:r>
        <w:t>netting surveys for fish in drought-prone rivers in South Australia but considered that further development could render estimates of abu</w:t>
      </w:r>
      <w:r w:rsidR="00262584">
        <w:t xml:space="preserve">ndance feasible. </w:t>
      </w:r>
    </w:p>
    <w:p w:rsidR="008C4EC5" w:rsidP="008C4EC5" w14:paraId="538E1D0A" w14:textId="77777777">
      <w:pPr>
        <w:pStyle w:val="Heading5"/>
      </w:pPr>
      <w:r w:rsidRPr="00E47BE8">
        <w:t>Analysing community data: univariate summaries</w:t>
      </w:r>
    </w:p>
    <w:p w:rsidR="008C4EC5" w:rsidP="008C4EC5" w14:paraId="0DFCDBCF" w14:textId="388EC3EA">
      <w:r>
        <w:t xml:space="preserve">The </w:t>
      </w:r>
      <w:r w:rsidR="00D74EA6">
        <w:t xml:space="preserve">2 </w:t>
      </w:r>
      <w:r>
        <w:t xml:space="preserve">main classes of univariate summaries are diversity indices and biotic indices. </w:t>
      </w:r>
    </w:p>
    <w:p w:rsidR="008C4EC5" w:rsidP="008C4EC5" w14:paraId="38895025" w14:textId="5F65E149">
      <w:r w:rsidRPr="00E47BE8">
        <w:rPr>
          <w:rStyle w:val="Emphasis"/>
        </w:rPr>
        <w:t>Diversity indices</w:t>
      </w:r>
      <w:r>
        <w:t xml:space="preserve"> require the separation of each taxon in the sample or collection</w:t>
      </w:r>
      <w:r w:rsidR="00C92776">
        <w:t>.</w:t>
      </w:r>
      <w:r>
        <w:t xml:space="preserve"> </w:t>
      </w:r>
      <w:r w:rsidR="00C92776">
        <w:t>M</w:t>
      </w:r>
      <w:r>
        <w:t xml:space="preserve">ost indices also require estimates of the number of individuals, biomass or cover of each taxon. Separation is often at the species level but is sometimes at higher taxonomic levels. While the taxa need to be separated, they may not necessarily need formal identification. It is essential to ensure consistency in taxa separation between different operators, sampling sites and dates as part of QA/QC procedures. </w:t>
      </w:r>
    </w:p>
    <w:p w:rsidR="008C4EC5" w:rsidP="008C4EC5" w14:paraId="06D45AE9" w14:textId="4C850F3C">
      <w:r>
        <w:t>There are many diversity indices</w:t>
      </w:r>
      <w:r w:rsidR="00C92776">
        <w:t>.</w:t>
      </w:r>
      <w:r>
        <w:t xml:space="preserve"> </w:t>
      </w:r>
      <w:r w:rsidR="00C92776">
        <w:t>T</w:t>
      </w:r>
      <w:r>
        <w:t>heir early popularity rested on assumptions about the way disturbances would affect the species</w:t>
      </w:r>
      <w:r w:rsidR="00797922">
        <w:t>-</w:t>
      </w:r>
      <w:r>
        <w:t>abundance distribution in communities. However, empirical support for these suppositions is variable (Washington 1984). Accordingly, the absolute values of these indices have little meaning, and their use for assessing water quality relies on a strongly justified sampling design in which control or reference conditions are included.</w:t>
      </w:r>
    </w:p>
    <w:p w:rsidR="008C4EC5" w:rsidP="001A6B2B" w14:paraId="1BB04A5A" w14:textId="00DC8809">
      <w:pPr>
        <w:keepNext/>
        <w:keepLines/>
        <w:spacing w:after="120"/>
      </w:pPr>
      <w:r>
        <w:t>While diversity indices have some intuitive appeal (e.g. many stakeholders would expect poor water quality to result in low diversity), they have the following drawbacks (Magurran 2013):</w:t>
      </w:r>
    </w:p>
    <w:p w:rsidR="008C4EC5" w:rsidP="00903445" w14:paraId="552130E4" w14:textId="7FC15651">
      <w:pPr>
        <w:pStyle w:val="ListBullet"/>
        <w:keepNext/>
        <w:keepLines/>
      </w:pPr>
      <w:r>
        <w:t>Indices differ in their sensitivity to various aspects of the species</w:t>
      </w:r>
      <w:r w:rsidR="00797922">
        <w:t>-</w:t>
      </w:r>
      <w:r>
        <w:t>abundance distribution</w:t>
      </w:r>
      <w:r w:rsidR="00C92776">
        <w:t>.</w:t>
      </w:r>
      <w:r>
        <w:t xml:space="preserve"> </w:t>
      </w:r>
      <w:r w:rsidR="00C92776">
        <w:t>T</w:t>
      </w:r>
      <w:r>
        <w:t>hese differences can hinder rather than enhance communication with stakeholders.</w:t>
      </w:r>
    </w:p>
    <w:p w:rsidR="008C4EC5" w:rsidP="00903445" w14:paraId="755D7EA1" w14:textId="371951AB">
      <w:pPr>
        <w:pStyle w:val="ListBullet"/>
      </w:pPr>
      <w:r>
        <w:t>They are often sensitive to the number of organisms collected, making comparisons between sites or times difficult.</w:t>
      </w:r>
    </w:p>
    <w:p w:rsidR="008C4EC5" w:rsidP="00903445" w14:paraId="1ECFE498" w14:textId="71BA38F2">
      <w:pPr>
        <w:pStyle w:val="ListBullet"/>
      </w:pPr>
      <w:r>
        <w:t>Information on the identity of taxa is lost in the computation of an index</w:t>
      </w:r>
      <w:r w:rsidR="00E453DD">
        <w:t>.</w:t>
      </w:r>
      <w:r w:rsidR="00546EC7">
        <w:t xml:space="preserve"> </w:t>
      </w:r>
      <w:r w:rsidR="00E453DD">
        <w:t>For example,</w:t>
      </w:r>
      <w:r w:rsidR="00546EC7">
        <w:t xml:space="preserve"> 2 </w:t>
      </w:r>
      <w:r>
        <w:t>sites may have similar values of a diversity index but vastly different species compositions.</w:t>
      </w:r>
    </w:p>
    <w:p w:rsidR="008C4EC5" w:rsidP="00903445" w14:paraId="288169AC" w14:textId="77777777">
      <w:pPr>
        <w:pStyle w:val="ListBullet"/>
      </w:pPr>
      <w:r>
        <w:t xml:space="preserve">The statistical properties of many diversity indices are poorly known or are likely to violate the assumptions of commonly used univariate statistical techniques. </w:t>
      </w:r>
    </w:p>
    <w:p w:rsidR="008C4EC5" w:rsidRPr="001F0C3B" w:rsidP="00903445" w14:paraId="07BFA5C8" w14:textId="2076E626">
      <w:pPr>
        <w:pStyle w:val="ListBullet"/>
        <w:rPr>
          <w:rFonts w:ascii="Times New Roman" w:hAnsi="Times New Roman" w:cs="Times New Roman"/>
          <w:sz w:val="24"/>
          <w:szCs w:val="24"/>
          <w:lang w:eastAsia="en-GB"/>
        </w:rPr>
      </w:pPr>
      <w:r>
        <w:rPr>
          <w:lang w:eastAsia="en-GB"/>
        </w:rPr>
        <w:t>D</w:t>
      </w:r>
      <w:r w:rsidRPr="001F0C3B">
        <w:rPr>
          <w:lang w:eastAsia="en-GB"/>
        </w:rPr>
        <w:t xml:space="preserve">iversity indices are not </w:t>
      </w:r>
      <w:r w:rsidR="001133CE">
        <w:rPr>
          <w:lang w:eastAsia="en-GB"/>
        </w:rPr>
        <w:t>suitably</w:t>
      </w:r>
      <w:r w:rsidRPr="001F0C3B">
        <w:rPr>
          <w:lang w:eastAsia="en-GB"/>
        </w:rPr>
        <w:t xml:space="preserve"> for use in </w:t>
      </w:r>
      <w:r w:rsidR="00546EC7">
        <w:rPr>
          <w:lang w:eastAsia="en-GB"/>
        </w:rPr>
        <w:t xml:space="preserve">systems with </w:t>
      </w:r>
      <w:r w:rsidRPr="001F0C3B">
        <w:rPr>
          <w:lang w:eastAsia="en-GB"/>
        </w:rPr>
        <w:t>naturally low diversity, particularly areas with high seasonal variability in species</w:t>
      </w:r>
      <w:r w:rsidR="00632993">
        <w:rPr>
          <w:lang w:eastAsia="en-GB"/>
        </w:rPr>
        <w:t xml:space="preserve"> abundances and </w:t>
      </w:r>
      <w:r w:rsidRPr="001F0C3B">
        <w:rPr>
          <w:lang w:eastAsia="en-GB"/>
        </w:rPr>
        <w:t>relative abundances</w:t>
      </w:r>
      <w:r>
        <w:rPr>
          <w:lang w:eastAsia="en-GB"/>
        </w:rPr>
        <w:t>.</w:t>
      </w:r>
    </w:p>
    <w:p w:rsidR="008C4EC5" w:rsidP="008C4EC5" w14:paraId="5E47A945" w14:textId="1CAFDEF7">
      <w:r>
        <w:t>Even so, a diversity index may form part of a set of line</w:t>
      </w:r>
      <w:r w:rsidR="00546EC7">
        <w:t>-</w:t>
      </w:r>
      <w:r>
        <w:t>of</w:t>
      </w:r>
      <w:r w:rsidR="00546EC7">
        <w:t>-</w:t>
      </w:r>
      <w:r>
        <w:t>evidence indicators regarded as desirable by stakeholders (e.g. remediation might be expected to increase diversity of a given assemblage)</w:t>
      </w:r>
      <w:r w:rsidR="00C92776">
        <w:t>.</w:t>
      </w:r>
      <w:r>
        <w:t xml:space="preserve"> </w:t>
      </w:r>
      <w:r w:rsidR="00C92776">
        <w:t xml:space="preserve">It </w:t>
      </w:r>
      <w:r>
        <w:t>would be an acceptable indicator provided the behaviour of the index under the anticipated conditions and planned study design is well</w:t>
      </w:r>
      <w:r w:rsidR="00546EC7">
        <w:t xml:space="preserve"> </w:t>
      </w:r>
      <w:r>
        <w:t>understood.</w:t>
      </w:r>
    </w:p>
    <w:p w:rsidR="008C4EC5" w:rsidP="008C4EC5" w14:paraId="7E359E12" w14:textId="5C0A4EC5">
      <w:r w:rsidRPr="004E32FE">
        <w:rPr>
          <w:rStyle w:val="Emphasis"/>
        </w:rPr>
        <w:t>Biotic indices</w:t>
      </w:r>
      <w:r w:rsidRPr="004E32FE">
        <w:t xml:space="preserve"> have a long history in biological assessments of water quality</w:t>
      </w:r>
      <w:r w:rsidR="00C92776">
        <w:t>.</w:t>
      </w:r>
      <w:r w:rsidRPr="004E32FE">
        <w:t xml:space="preserve"> </w:t>
      </w:r>
      <w:r w:rsidR="00C92776">
        <w:t>T</w:t>
      </w:r>
      <w:r w:rsidRPr="004E32FE">
        <w:t xml:space="preserve">hey are usually used to assess the effects of contaminants, mostly in rivers. Many </w:t>
      </w:r>
      <w:r>
        <w:t xml:space="preserve">biotic indices </w:t>
      </w:r>
      <w:r w:rsidRPr="004E32FE">
        <w:t>are specific to a site and contaminant type (usually organic)</w:t>
      </w:r>
      <w:r>
        <w:t xml:space="preserve">. Compared to diversity indices, biotic indices </w:t>
      </w:r>
      <w:r w:rsidRPr="004E32FE">
        <w:t xml:space="preserve">are more clearly related to the conditions that led to their development. </w:t>
      </w:r>
    </w:p>
    <w:p w:rsidR="008C4EC5" w:rsidP="001A6B2B" w14:paraId="69FE08DB" w14:textId="77777777">
      <w:pPr>
        <w:spacing w:after="120"/>
      </w:pPr>
      <w:r>
        <w:t>The calculation of biotic indices usually requires:</w:t>
      </w:r>
    </w:p>
    <w:p w:rsidR="008C4EC5" w:rsidP="008C4EC5" w14:paraId="51A69E30" w14:textId="77777777">
      <w:pPr>
        <w:pStyle w:val="ListBullet"/>
      </w:pPr>
      <w:r>
        <w:t>total counts of individuals or taxa</w:t>
      </w:r>
    </w:p>
    <w:p w:rsidR="008C4EC5" w:rsidP="008C4EC5" w14:paraId="000F6F1C" w14:textId="69D4646F">
      <w:pPr>
        <w:pStyle w:val="ListBullet"/>
      </w:pPr>
      <w:r>
        <w:t>counts (or biomass measurements) of specific taxonomic groups (e.g. mayflies, stoneflies and caddisflies in cool, freshwater habitats)</w:t>
      </w:r>
    </w:p>
    <w:p w:rsidR="008C4EC5" w:rsidP="008C4EC5" w14:paraId="6B262637" w14:textId="77777777">
      <w:pPr>
        <w:pStyle w:val="ListBullet"/>
      </w:pPr>
      <w:r>
        <w:t>details of the responses of different taxa to contaminants</w:t>
      </w:r>
    </w:p>
    <w:p w:rsidR="008C4EC5" w:rsidP="008C4EC5" w14:paraId="3194E9CB" w14:textId="0B87EE67">
      <w:pPr>
        <w:pStyle w:val="ListBullet"/>
      </w:pPr>
      <w:r>
        <w:t>division of taxa into groups with different traits (e.g. growth forms in plants, feeding or respiratory adaptations in invertebrates).</w:t>
      </w:r>
    </w:p>
    <w:p w:rsidR="008C4EC5" w:rsidP="008C4EC5" w14:paraId="38D9E1E5" w14:textId="0674F2C0">
      <w:r>
        <w:t xml:space="preserve">One example of a biotic index is SIGNAL 2 in Australia (Chessman 2003), originally developed to assess changes due to sewage pollution in waterways in New South Wales (e.g. Chessman 1995, Growns et al. 1995) but subsequently updated and adapted to other regions. Another is the </w:t>
      </w:r>
      <w:r w:rsidR="003936BD">
        <w:t>m</w:t>
      </w:r>
      <w:r>
        <w:t xml:space="preserve">acroinvertebrate </w:t>
      </w:r>
      <w:r w:rsidR="003936BD">
        <w:t>c</w:t>
      </w:r>
      <w:r>
        <w:t xml:space="preserve">ommunity </w:t>
      </w:r>
      <w:r w:rsidR="003936BD">
        <w:t>i</w:t>
      </w:r>
      <w:r>
        <w:t xml:space="preserve">ndices, including quantitative and semi-quantitative applications, in New Zealand (Stark 1993, Stark </w:t>
      </w:r>
      <w:r w:rsidR="003C60FB">
        <w:t>and</w:t>
      </w:r>
      <w:r>
        <w:t xml:space="preserve"> Maxted 2007). Aylagas et al. (2017) propose a microbial index that could complement or supplement these indices. Cost savings are often achieved with algal and macroinvertebrate data by using coarser taxonomic resolution than species-level identifications. More elaborate schemes involve computing several indices (‘metrics’) from the community data, with each metric reflecting a different aspect of community structure or function, often with protocols for converting raw scores </w:t>
      </w:r>
      <w:r w:rsidR="003936BD">
        <w:t xml:space="preserve">for </w:t>
      </w:r>
      <w:r>
        <w:t xml:space="preserve">the metrics into assessments of ecosystem condition (e.g. Kerans </w:t>
      </w:r>
      <w:r w:rsidR="003C60FB">
        <w:t>and</w:t>
      </w:r>
      <w:r>
        <w:t xml:space="preserve"> Karr 1994, Fore et al. 1996, Miller et al. 1988, Harris </w:t>
      </w:r>
      <w:r w:rsidR="003C60FB">
        <w:t>and</w:t>
      </w:r>
      <w:r>
        <w:t xml:space="preserve"> Silveira 1999). Once the metrics are developed and tested for a particular region, they may be applicable over wide geographic areas with minor modification (Resh et al. 1995). However, Resh and Jackson (1993) emphasise that the metrics and their protocols need to be calibrated for different regions of the country and, perhaps, for different types of stressors.</w:t>
      </w:r>
    </w:p>
    <w:p w:rsidR="008C4EC5" w:rsidP="008C4EC5" w14:paraId="19BBDD2B" w14:textId="3434A35F">
      <w:r>
        <w:t>Biotic indices and metrics often have diagnostic value and are frequently used in broad</w:t>
      </w:r>
      <w:r w:rsidR="00797922">
        <w:t>-</w:t>
      </w:r>
      <w:r>
        <w:t xml:space="preserve">scale monitoring programs, such as </w:t>
      </w:r>
      <w:r w:rsidRPr="00797922" w:rsidR="00797922">
        <w:rPr>
          <w:i/>
          <w:iCs/>
        </w:rPr>
        <w:t xml:space="preserve">Australia </w:t>
      </w:r>
      <w:r w:rsidR="00797922">
        <w:rPr>
          <w:i/>
          <w:iCs/>
        </w:rPr>
        <w:t>s</w:t>
      </w:r>
      <w:r w:rsidRPr="00797922">
        <w:rPr>
          <w:i/>
          <w:iCs/>
        </w:rPr>
        <w:t xml:space="preserve">tate of the </w:t>
      </w:r>
      <w:r w:rsidR="00797922">
        <w:rPr>
          <w:i/>
          <w:iCs/>
        </w:rPr>
        <w:t>e</w:t>
      </w:r>
      <w:r w:rsidRPr="00797922">
        <w:rPr>
          <w:i/>
          <w:iCs/>
        </w:rPr>
        <w:t>nvironment</w:t>
      </w:r>
      <w:r>
        <w:t xml:space="preserve"> reporting, and other applications where some measure of ecosystem status or health is needed (e.g. preliminaries to development approvals, baseline studies for greenfield developments). Some biotic indices or metrics can be used as response variables in </w:t>
      </w:r>
      <w:r w:rsidRPr="00CC72A9">
        <w:t>monitoring designs</w:t>
      </w:r>
      <w:r>
        <w:t xml:space="preserve"> and </w:t>
      </w:r>
      <w:r w:rsidRPr="00CC72A9">
        <w:t>data analyses</w:t>
      </w:r>
      <w:r>
        <w:t>, although their sensitivities, specificity and statistical behaviour must be well understood beforehand.</w:t>
      </w:r>
    </w:p>
    <w:p w:rsidR="008C4EC5" w:rsidP="008C4EC5" w14:paraId="57207F54" w14:textId="77777777">
      <w:pPr>
        <w:pStyle w:val="Heading5"/>
      </w:pPr>
      <w:r>
        <w:t>A</w:t>
      </w:r>
      <w:r w:rsidRPr="00E47BE8">
        <w:t>nalysing community data</w:t>
      </w:r>
      <w:r>
        <w:t xml:space="preserve">: </w:t>
      </w:r>
      <w:r w:rsidRPr="00E47BE8">
        <w:t xml:space="preserve">multivariate </w:t>
      </w:r>
      <w:r>
        <w:t>methods</w:t>
      </w:r>
    </w:p>
    <w:p w:rsidR="008C4EC5" w:rsidP="008C4EC5" w14:paraId="14C1A903" w14:textId="77777777">
      <w:pPr>
        <w:pStyle w:val="Heading6"/>
      </w:pPr>
      <w:r>
        <w:t>S</w:t>
      </w:r>
      <w:r w:rsidRPr="00E47BE8">
        <w:t xml:space="preserve">imilarity indices and multivariate analyses </w:t>
      </w:r>
    </w:p>
    <w:p w:rsidR="008C4EC5" w:rsidP="00481C4D" w14:paraId="647D965A" w14:textId="0E5A2B1D">
      <w:pPr>
        <w:spacing w:after="160"/>
      </w:pPr>
      <w:r>
        <w:t>S</w:t>
      </w:r>
      <w:r w:rsidRPr="004F7305">
        <w:t>imilarity indices and multivariate analyses</w:t>
      </w:r>
      <w:r>
        <w:t xml:space="preserve"> identify taxa and infer impacts based on</w:t>
      </w:r>
      <w:r w:rsidRPr="004F7305">
        <w:t xml:space="preserve"> </w:t>
      </w:r>
      <w:r>
        <w:t xml:space="preserve">changes in community structure relative to control or reference conditions. Traditionally, these analyses were based on computing a (dis)similarity measure on all pairwise combinations of sample units in a program (Legendre </w:t>
      </w:r>
      <w:r w:rsidR="003C60FB">
        <w:t>and</w:t>
      </w:r>
      <w:r>
        <w:t xml:space="preserve"> Legendre 2012) and then undertaking randomisation tests (also called permutation tests) on the resulting (dis)similarity matrix using the standard general linear model designs (e.g. from the MBACI</w:t>
      </w:r>
      <w:r w:rsidR="00797922">
        <w:t xml:space="preserve"> [</w:t>
      </w:r>
      <w:r w:rsidRPr="00797922" w:rsidR="00797922">
        <w:t>multiple before</w:t>
      </w:r>
      <w:r w:rsidR="00797922">
        <w:t>–</w:t>
      </w:r>
      <w:r w:rsidRPr="00797922" w:rsidR="00797922">
        <w:t>after</w:t>
      </w:r>
      <w:r w:rsidR="00092B43">
        <w:t xml:space="preserve"> </w:t>
      </w:r>
      <w:r w:rsidRPr="00797922" w:rsidR="00797922">
        <w:t>control</w:t>
      </w:r>
      <w:r w:rsidR="00797922">
        <w:t>–</w:t>
      </w:r>
      <w:r w:rsidRPr="00797922" w:rsidR="00797922">
        <w:t>impact</w:t>
      </w:r>
      <w:r w:rsidR="00797922">
        <w:t>]</w:t>
      </w:r>
      <w:r>
        <w:t xml:space="preserve"> family) for univariate responses (e.g. Anderson 2001, Ferrier et al. 2002, Anderson </w:t>
      </w:r>
      <w:r w:rsidR="003C60FB">
        <w:t>and</w:t>
      </w:r>
      <w:r>
        <w:t xml:space="preserve"> Robinson 2003, Anderson </w:t>
      </w:r>
      <w:r w:rsidR="003C60FB">
        <w:t>and</w:t>
      </w:r>
      <w:r>
        <w:t xml:space="preserve"> Ter Braak 2003). Alternative approaches have been proposed based on generalised linear models (Warton et al. 2012, Niku et al. 2019) and Bayesian extensions to account for residual correlations between species (Hui et al. 2016)</w:t>
      </w:r>
      <w:r w:rsidR="007232C7">
        <w:t>. T</w:t>
      </w:r>
      <w:r>
        <w:t xml:space="preserve">here is a burgeoning literature on novel approaches to model-based inferences using ‘messy’ community ecological data (Warton et al. 2015a, 2015b, Ovaskainen et al. 2017, </w:t>
      </w:r>
      <w:r w:rsidR="0079718E">
        <w:t>T</w:t>
      </w:r>
      <w:r>
        <w:t xml:space="preserve">er Braak 2019). </w:t>
      </w:r>
    </w:p>
    <w:p w:rsidR="008C4EC5" w:rsidP="00481C4D" w14:paraId="40FDF8BA" w14:textId="1EC16FB8">
      <w:pPr>
        <w:spacing w:after="160"/>
      </w:pPr>
      <w:r>
        <w:t>Multivariate community data based on similarities are usually displayed using clustering, ordination or a combination of both</w:t>
      </w:r>
      <w:r w:rsidR="00FB4E59">
        <w:t>. V</w:t>
      </w:r>
      <w:r>
        <w:t xml:space="preserve">arious techniques are readily available to display diagnostic information about which taxa are responsible for the observed patterns in these displays and </w:t>
      </w:r>
      <w:r w:rsidR="00FB4E59">
        <w:t xml:space="preserve">to </w:t>
      </w:r>
      <w:r>
        <w:t>link community differences to patterns in environmental measures</w:t>
      </w:r>
      <w:r w:rsidR="002F30B2">
        <w:t xml:space="preserve"> </w:t>
      </w:r>
      <w:r>
        <w:t xml:space="preserve">(Clarke 1993, Borcard et al. 2011, Legendre </w:t>
      </w:r>
      <w:r w:rsidR="003C60FB">
        <w:t>and</w:t>
      </w:r>
      <w:r>
        <w:t xml:space="preserve"> Legendre 2012)</w:t>
      </w:r>
      <w:r w:rsidR="003936BD">
        <w:t>.</w:t>
      </w:r>
      <w:r>
        <w:t xml:space="preserve"> </w:t>
      </w:r>
      <w:r>
        <w:fldChar w:fldCharType="begin"/>
      </w:r>
      <w:r>
        <w:instrText xml:space="preserve"> HYPERLINK "https://www.waterquality.gov.au/anz-guidelines/monitoring/data-analysis/correlation-between-variables" \l "multivariate" </w:instrText>
      </w:r>
      <w:r>
        <w:fldChar w:fldCharType="separate"/>
      </w:r>
      <w:r w:rsidRPr="003936BD">
        <w:rPr>
          <w:rStyle w:val="Hyperlink"/>
        </w:rPr>
        <w:t>Additional information</w:t>
      </w:r>
      <w:r>
        <w:fldChar w:fldCharType="end"/>
      </w:r>
      <w:r>
        <w:t xml:space="preserve"> on multivariate analyses can be found in </w:t>
      </w:r>
      <w:r w:rsidRPr="003936BD" w:rsidR="003936BD">
        <w:t>ANZG (2018)</w:t>
      </w:r>
      <w:r>
        <w:t>.</w:t>
      </w:r>
    </w:p>
    <w:p w:rsidR="008C4EC5" w:rsidP="00481C4D" w14:paraId="6A3BBEFA" w14:textId="05924AF2">
      <w:pPr>
        <w:spacing w:after="160"/>
      </w:pPr>
      <w:r>
        <w:t>Sometimes the similarities serve as measures of β-diversity (or species</w:t>
      </w:r>
      <w:r w:rsidR="00092B43">
        <w:t xml:space="preserve"> </w:t>
      </w:r>
      <w:r>
        <w:t>turnover) (Anderson et al. 2006) and can be used as a response variable in conventional univariate analyses as for paired designs (e.g. MBACI designs) (Faith et al. 1995, Supervising Scientist 2013).</w:t>
      </w:r>
    </w:p>
    <w:p w:rsidR="008C4EC5" w:rsidP="008C4EC5" w14:paraId="111A5AA2" w14:textId="77777777">
      <w:pPr>
        <w:pStyle w:val="Heading6"/>
      </w:pPr>
      <w:bookmarkStart w:id="21" w:name="_Predictive_modelling"/>
      <w:bookmarkEnd w:id="21"/>
      <w:r>
        <w:t>Predictive modelling</w:t>
      </w:r>
    </w:p>
    <w:p w:rsidR="008C4EC5" w:rsidP="00481C4D" w14:paraId="3B13BC36" w14:textId="13625FE3">
      <w:pPr>
        <w:spacing w:after="160"/>
      </w:pPr>
      <w:r>
        <w:fldChar w:fldCharType="begin"/>
      </w:r>
      <w:r>
        <w:instrText xml:space="preserve"> HYPERLINK "https://www.waterquality.gov.au/anz-guidelines/monitoring/data-analysis/correlation-between-variables" \l "multivariate" </w:instrText>
      </w:r>
      <w:r>
        <w:fldChar w:fldCharType="separate"/>
      </w:r>
      <w:r w:rsidRPr="003936BD" w:rsidR="00CC67FA">
        <w:rPr>
          <w:rStyle w:val="Hyperlink"/>
          <w:spacing w:val="-2"/>
        </w:rPr>
        <w:t>Applications of predictive modelling</w:t>
      </w:r>
      <w:r>
        <w:fldChar w:fldCharType="end"/>
      </w:r>
      <w:r w:rsidRPr="00A81764" w:rsidR="00CC67FA">
        <w:rPr>
          <w:spacing w:val="-2"/>
        </w:rPr>
        <w:t>, including regression and neural networks, to water</w:t>
      </w:r>
      <w:r w:rsidR="00092B43">
        <w:rPr>
          <w:spacing w:val="-2"/>
        </w:rPr>
        <w:t>-</w:t>
      </w:r>
      <w:r w:rsidRPr="00A81764" w:rsidR="00CC67FA">
        <w:rPr>
          <w:spacing w:val="-2"/>
        </w:rPr>
        <w:t xml:space="preserve">quality assessments are covered </w:t>
      </w:r>
      <w:r w:rsidR="00CD00CC">
        <w:rPr>
          <w:spacing w:val="-2"/>
        </w:rPr>
        <w:t xml:space="preserve">elsewhere </w:t>
      </w:r>
      <w:r w:rsidR="00CC67FA">
        <w:rPr>
          <w:spacing w:val="-2"/>
        </w:rPr>
        <w:t xml:space="preserve">in </w:t>
      </w:r>
      <w:r>
        <w:fldChar w:fldCharType="begin"/>
      </w:r>
      <w:r>
        <w:instrText xml:space="preserve"> HYPERLINK "https://www.waterquality.gov.au/anz-guidelines/resources/key-concepts/predictive-models" </w:instrText>
      </w:r>
      <w:r>
        <w:fldChar w:fldCharType="separate"/>
      </w:r>
      <w:r w:rsidRPr="00F7494D" w:rsidR="00CC67FA">
        <w:rPr>
          <w:rStyle w:val="Hyperlink"/>
          <w:spacing w:val="-2"/>
        </w:rPr>
        <w:t>ANZG (2018)</w:t>
      </w:r>
      <w:r>
        <w:fldChar w:fldCharType="end"/>
      </w:r>
      <w:r w:rsidRPr="00A81764" w:rsidR="00CC67FA">
        <w:rPr>
          <w:spacing w:val="-2"/>
        </w:rPr>
        <w:t xml:space="preserve"> and are not discussed further. This discussion focuses on an Australia-wide, </w:t>
      </w:r>
      <w:r w:rsidRPr="00A81764" w:rsidR="00CC67FA">
        <w:t>rapid biological</w:t>
      </w:r>
      <w:r w:rsidR="00092B43">
        <w:t>-</w:t>
      </w:r>
      <w:r w:rsidRPr="00A81764" w:rsidR="00CC67FA">
        <w:t>assessment approach</w:t>
      </w:r>
      <w:r w:rsidRPr="00A81764" w:rsidR="00CC67FA">
        <w:rPr>
          <w:spacing w:val="-2"/>
        </w:rPr>
        <w:t xml:space="preserve"> using predictive modelling, built</w:t>
      </w:r>
      <w:r w:rsidR="00CC67FA">
        <w:rPr>
          <w:spacing w:val="-2"/>
        </w:rPr>
        <w:t xml:space="preserve"> upon</w:t>
      </w:r>
      <w:r w:rsidRPr="00766FFC" w:rsidR="00CC67FA">
        <w:rPr>
          <w:spacing w:val="-2"/>
        </w:rPr>
        <w:t xml:space="preserve"> multivariate precepts</w:t>
      </w:r>
      <w:r w:rsidR="00CC67FA">
        <w:rPr>
          <w:spacing w:val="-2"/>
        </w:rPr>
        <w:t xml:space="preserve"> </w:t>
      </w:r>
      <w:r w:rsidR="00C46D19">
        <w:rPr>
          <w:spacing w:val="-2"/>
        </w:rPr>
        <w:t xml:space="preserve">– </w:t>
      </w:r>
      <w:r w:rsidRPr="00766FFC" w:rsidR="00CC67FA">
        <w:rPr>
          <w:spacing w:val="-2"/>
        </w:rPr>
        <w:t>AUSRIVAS</w:t>
      </w:r>
      <w:r w:rsidR="00CC67FA">
        <w:rPr>
          <w:spacing w:val="-2"/>
        </w:rPr>
        <w:t>. M</w:t>
      </w:r>
      <w:r w:rsidRPr="00766FFC" w:rsidR="00CC67FA">
        <w:t>acroinvertebrates and associated habitat (characterised by a standard set of physical and chemical variables that are largely unrelated to likely pollutants) are sampled from a</w:t>
      </w:r>
      <w:r w:rsidRPr="00766FFC" w:rsidR="00CC67FA">
        <w:rPr>
          <w:spacing w:val="-2"/>
        </w:rPr>
        <w:t>ppropriate reference sites. The</w:t>
      </w:r>
      <w:r w:rsidRPr="00766FFC" w:rsidR="00CC67FA">
        <w:t xml:space="preserve"> </w:t>
      </w:r>
      <w:r w:rsidR="00C46D19">
        <w:t>group</w:t>
      </w:r>
      <w:r w:rsidRPr="00766FFC" w:rsidR="00C46D19">
        <w:t xml:space="preserve"> </w:t>
      </w:r>
      <w:r w:rsidRPr="00766FFC" w:rsidR="00CC67FA">
        <w:t xml:space="preserve">of reference sites </w:t>
      </w:r>
      <w:r w:rsidR="00C46D19">
        <w:t>is</w:t>
      </w:r>
      <w:r w:rsidRPr="00766FFC" w:rsidR="00C46D19">
        <w:t xml:space="preserve"> </w:t>
      </w:r>
      <w:r w:rsidRPr="00766FFC" w:rsidR="00CC67FA">
        <w:t xml:space="preserve">then classified according to their biota to produce groups of sites containing similar fauna. A numerical analysis is used to identify the environmental attributes which describe each group of reference sites. The environmental attributes measured from a monitoring or test site are compared with those of the reference sites to determine which group or groups of reference sites it resembles most closely. The fauna of these corresponding reference sites </w:t>
      </w:r>
      <w:r w:rsidR="00C46D19">
        <w:t>are</w:t>
      </w:r>
      <w:r w:rsidRPr="00766FFC" w:rsidR="00C46D19">
        <w:t xml:space="preserve"> </w:t>
      </w:r>
      <w:r w:rsidRPr="00766FFC" w:rsidR="00CC67FA">
        <w:t>then compared with the test site</w:t>
      </w:r>
      <w:r w:rsidR="00092B43">
        <w:t>.</w:t>
      </w:r>
      <w:r w:rsidRPr="00766FFC" w:rsidR="00CC67FA">
        <w:t xml:space="preserve"> </w:t>
      </w:r>
      <w:r w:rsidR="00092B43">
        <w:t>I</w:t>
      </w:r>
      <w:r w:rsidRPr="00766FFC" w:rsidR="00CC67FA">
        <w:t>f the test site supports fewer taxa than are predicted by the reference sites, it is judged to be disturbed.</w:t>
      </w:r>
    </w:p>
    <w:p w:rsidR="008C4EC5" w:rsidP="00481C4D" w14:paraId="7F2848C4" w14:textId="394C0050">
      <w:pPr>
        <w:spacing w:after="160"/>
      </w:pPr>
      <w:r w:rsidRPr="00766FFC">
        <w:rPr>
          <w:spacing w:val="-2"/>
        </w:rPr>
        <w:t>ANZECC</w:t>
      </w:r>
      <w:r w:rsidR="00BE4397">
        <w:rPr>
          <w:spacing w:val="-2"/>
        </w:rPr>
        <w:t xml:space="preserve"> and </w:t>
      </w:r>
      <w:r w:rsidRPr="00766FFC">
        <w:rPr>
          <w:spacing w:val="-2"/>
        </w:rPr>
        <w:t>ARMCANZ (2000)</w:t>
      </w:r>
      <w:r>
        <w:rPr>
          <w:spacing w:val="-2"/>
        </w:rPr>
        <w:t xml:space="preserve">, </w:t>
      </w:r>
      <w:r w:rsidRPr="00410E30">
        <w:rPr>
          <w:spacing w:val="-2"/>
        </w:rPr>
        <w:t>and affirmed here,</w:t>
      </w:r>
      <w:r>
        <w:rPr>
          <w:spacing w:val="-2"/>
        </w:rPr>
        <w:t xml:space="preserve"> advise against the application of AUSRIVAS for those </w:t>
      </w:r>
      <w:r>
        <w:rPr>
          <w:spacing w:val="2"/>
        </w:rPr>
        <w:t>small</w:t>
      </w:r>
      <w:r w:rsidR="00606A2B">
        <w:rPr>
          <w:spacing w:val="2"/>
        </w:rPr>
        <w:t>-</w:t>
      </w:r>
      <w:r>
        <w:rPr>
          <w:spacing w:val="2"/>
        </w:rPr>
        <w:t>spatial</w:t>
      </w:r>
      <w:r w:rsidR="00606A2B">
        <w:rPr>
          <w:spacing w:val="2"/>
        </w:rPr>
        <w:t>-</w:t>
      </w:r>
      <w:r>
        <w:rPr>
          <w:spacing w:val="2"/>
        </w:rPr>
        <w:t>scale applications (i.e. a specific activity, development</w:t>
      </w:r>
      <w:r w:rsidR="00606A2B">
        <w:rPr>
          <w:spacing w:val="2"/>
        </w:rPr>
        <w:t xml:space="preserve"> or</w:t>
      </w:r>
      <w:r>
        <w:rPr>
          <w:spacing w:val="2"/>
        </w:rPr>
        <w:t xml:space="preserve"> point-source disturbance within a catchment) requiring strong inference and where sensitivity to the water</w:t>
      </w:r>
      <w:r w:rsidR="00092B43">
        <w:rPr>
          <w:spacing w:val="2"/>
        </w:rPr>
        <w:t>-</w:t>
      </w:r>
      <w:r>
        <w:rPr>
          <w:spacing w:val="2"/>
        </w:rPr>
        <w:t xml:space="preserve">quality pressures and stressors of concern is required. AUSRIVAS was chiefly developed for </w:t>
      </w:r>
      <w:r w:rsidRPr="00092B43" w:rsidR="00092B43">
        <w:rPr>
          <w:i/>
          <w:iCs/>
          <w:spacing w:val="2"/>
        </w:rPr>
        <w:t>Australia s</w:t>
      </w:r>
      <w:r w:rsidRPr="00092B43">
        <w:rPr>
          <w:i/>
          <w:iCs/>
          <w:spacing w:val="2"/>
        </w:rPr>
        <w:t xml:space="preserve">tate of the </w:t>
      </w:r>
      <w:r w:rsidRPr="00092B43" w:rsidR="00092B43">
        <w:rPr>
          <w:i/>
          <w:iCs/>
          <w:spacing w:val="2"/>
        </w:rPr>
        <w:t>e</w:t>
      </w:r>
      <w:r w:rsidRPr="00092B43">
        <w:rPr>
          <w:i/>
          <w:iCs/>
          <w:spacing w:val="2"/>
        </w:rPr>
        <w:t>nvironment</w:t>
      </w:r>
      <w:r>
        <w:rPr>
          <w:spacing w:val="2"/>
        </w:rPr>
        <w:t xml:space="preserve"> </w:t>
      </w:r>
      <w:r w:rsidR="00092B43">
        <w:rPr>
          <w:spacing w:val="2"/>
        </w:rPr>
        <w:t>r</w:t>
      </w:r>
      <w:r>
        <w:rPr>
          <w:spacing w:val="2"/>
        </w:rPr>
        <w:t>eporting across broad spatial scales. The advice noted the limitations of a static reference condition and that presence</w:t>
      </w:r>
      <w:r w:rsidR="00092B43">
        <w:rPr>
          <w:spacing w:val="2"/>
        </w:rPr>
        <w:t>–</w:t>
      </w:r>
      <w:r>
        <w:rPr>
          <w:spacing w:val="2"/>
        </w:rPr>
        <w:t>absence, family-level data are useful only for detecting impacts that are severe enough to eliminate these higher order groups. E</w:t>
      </w:r>
      <w:r>
        <w:t>ven</w:t>
      </w:r>
      <w:r w:rsidR="00BB1303">
        <w:t xml:space="preserve"> some </w:t>
      </w:r>
      <w:r>
        <w:t>applications at broader scales have recently been questioned (Cox et al. 2019, Chessman 2021).</w:t>
      </w:r>
    </w:p>
    <w:p w:rsidR="008C4EC5" w:rsidP="00481C4D" w14:paraId="477C8FA6" w14:textId="63EF7B12">
      <w:pPr>
        <w:spacing w:after="160"/>
      </w:pPr>
      <w:r w:rsidRPr="00766FFC">
        <w:rPr>
          <w:spacing w:val="-2"/>
        </w:rPr>
        <w:t>ANZECC</w:t>
      </w:r>
      <w:r w:rsidR="00BE4397">
        <w:rPr>
          <w:spacing w:val="-2"/>
        </w:rPr>
        <w:t xml:space="preserve"> and </w:t>
      </w:r>
      <w:r w:rsidRPr="00766FFC">
        <w:rPr>
          <w:spacing w:val="-2"/>
        </w:rPr>
        <w:t>ARMCANZ (2000)</w:t>
      </w:r>
      <w:r>
        <w:rPr>
          <w:spacing w:val="-2"/>
        </w:rPr>
        <w:t xml:space="preserve"> note that i</w:t>
      </w:r>
      <w:r>
        <w:rPr>
          <w:spacing w:val="2"/>
        </w:rPr>
        <w:t>f AUSRIVAS is to be adopted at small spatial scales, it should be conducted in a design framework that has the necessary sample and site replication, as well as baseline data, to allow the study objectives to be met. Aspects of the rapid biological</w:t>
      </w:r>
      <w:r w:rsidR="00AF483B">
        <w:rPr>
          <w:spacing w:val="2"/>
        </w:rPr>
        <w:t>-</w:t>
      </w:r>
      <w:r>
        <w:rPr>
          <w:spacing w:val="2"/>
        </w:rPr>
        <w:t>assessment protocol can be adapted or modified so that the data gathered are amenable to both AUSRIVAS and quantitative assessment</w:t>
      </w:r>
      <w:r w:rsidR="00606A2B">
        <w:rPr>
          <w:spacing w:val="2"/>
        </w:rPr>
        <w:t>. T</w:t>
      </w:r>
      <w:r>
        <w:rPr>
          <w:spacing w:val="2"/>
        </w:rPr>
        <w:t xml:space="preserve">he latter </w:t>
      </w:r>
      <w:r w:rsidR="00606A2B">
        <w:rPr>
          <w:spacing w:val="2"/>
        </w:rPr>
        <w:t xml:space="preserve">is </w:t>
      </w:r>
      <w:r>
        <w:rPr>
          <w:spacing w:val="2"/>
        </w:rPr>
        <w:t>described above (</w:t>
      </w:r>
      <w:r w:rsidR="00AF483B">
        <w:rPr>
          <w:spacing w:val="2"/>
        </w:rPr>
        <w:t>‘</w:t>
      </w:r>
      <w:r>
        <w:t>S</w:t>
      </w:r>
      <w:r w:rsidRPr="00E47BE8">
        <w:t>imilarity indices and multivariate analyses</w:t>
      </w:r>
      <w:r w:rsidR="00AF483B">
        <w:t>’</w:t>
      </w:r>
      <w:r>
        <w:t xml:space="preserve">) and elsewhere in </w:t>
      </w:r>
      <w:r w:rsidRPr="007318F9" w:rsidR="007318F9">
        <w:t>ANZG (2018)</w:t>
      </w:r>
      <w:r>
        <w:t>.</w:t>
      </w:r>
    </w:p>
    <w:p w:rsidR="008C4EC5" w:rsidRPr="00410E30" w:rsidP="008C4EC5" w14:paraId="109FA44E" w14:textId="77777777">
      <w:pPr>
        <w:pStyle w:val="Heading6"/>
      </w:pPr>
      <w:r w:rsidRPr="00410E30">
        <w:t>Ensuring quality of evidence in chosen biodiversity indicators</w:t>
      </w:r>
    </w:p>
    <w:p w:rsidR="008C4EC5" w:rsidP="00481C4D" w14:paraId="576F055F" w14:textId="75977801">
      <w:pPr>
        <w:spacing w:after="160"/>
      </w:pPr>
      <w:r w:rsidRPr="00410E30">
        <w:t xml:space="preserve">To ensure adequate inference arising from the study of any chosen biodiversity indicator, particularly for site-specific studies, the application should ensure key study design and analysis precepts are incorporated. These include adequate spatial and temporal replication for sampling and, where community data are gathered, additional analyses and outputs beyond single-number metrics such as </w:t>
      </w:r>
      <w:r w:rsidR="008007AF">
        <w:t>observed</w:t>
      </w:r>
      <w:r w:rsidR="00C46D19">
        <w:t>-</w:t>
      </w:r>
      <w:r w:rsidR="008007AF">
        <w:t>to</w:t>
      </w:r>
      <w:r w:rsidR="00C46D19">
        <w:t>-</w:t>
      </w:r>
      <w:r w:rsidR="008007AF">
        <w:t>expected (</w:t>
      </w:r>
      <w:r w:rsidRPr="00410E30">
        <w:t>O/E</w:t>
      </w:r>
      <w:r w:rsidR="008007AF">
        <w:t>)</w:t>
      </w:r>
      <w:r w:rsidRPr="00410E30">
        <w:t xml:space="preserve"> ratios, biotic indices or similarity indices. A more comprehensive analysis and output suite for community data that compare </w:t>
      </w:r>
      <w:r w:rsidR="008007AF">
        <w:t>‘</w:t>
      </w:r>
      <w:r w:rsidRPr="00410E30">
        <w:t>exposed-site</w:t>
      </w:r>
      <w:r w:rsidR="008007AF">
        <w:t>’</w:t>
      </w:r>
      <w:r w:rsidRPr="00410E30">
        <w:t xml:space="preserve"> data to those from an appropriate reference condition dataset(s) would include community summaries such as relative abundance and taxa number, descriptive and exploratory multivariate methods including ordination, multivariate hypothesis testing, and analyses that relate the community structure data to environmental variables and identify influential taxa that separate any multivariate structure in the data. Ensuring quality of evidence for site-specific assessments should be carefully considered within the context</w:t>
      </w:r>
      <w:r w:rsidRPr="00BD2DD5">
        <w:t xml:space="preserve"> of the WQMF, where:</w:t>
      </w:r>
    </w:p>
    <w:p w:rsidR="008C4EC5" w:rsidP="00C46D19" w14:paraId="592E00D3" w14:textId="2562A479">
      <w:pPr>
        <w:pStyle w:val="ListBullet"/>
      </w:pPr>
      <w:r>
        <w:t>The weight</w:t>
      </w:r>
      <w:r w:rsidR="008007AF">
        <w:t>-</w:t>
      </w:r>
      <w:r>
        <w:t>of</w:t>
      </w:r>
      <w:r w:rsidR="008007AF">
        <w:t>-</w:t>
      </w:r>
      <w:r>
        <w:t xml:space="preserve">evidence process (in </w:t>
      </w:r>
      <w:r>
        <w:fldChar w:fldCharType="begin"/>
      </w:r>
      <w:r>
        <w:instrText xml:space="preserve"> HYPERLINK "https://www.waterquality.gov.au/anz-guidelines/framework/general" \l "define-relevant-indicators" </w:instrText>
      </w:r>
      <w:r>
        <w:fldChar w:fldCharType="separate"/>
      </w:r>
      <w:r w:rsidRPr="004F1FCC">
        <w:rPr>
          <w:rStyle w:val="Hyperlink"/>
        </w:rPr>
        <w:t>Step 3</w:t>
      </w:r>
      <w:r>
        <w:fldChar w:fldCharType="end"/>
      </w:r>
      <w:r>
        <w:t xml:space="preserve"> of the WQMF) requires that the selected group of indicators is accompanied by an appropriate quality</w:t>
      </w:r>
      <w:r w:rsidR="008007AF">
        <w:t>-</w:t>
      </w:r>
      <w:r>
        <w:t>of</w:t>
      </w:r>
      <w:r w:rsidR="008007AF">
        <w:t>-</w:t>
      </w:r>
      <w:r>
        <w:t xml:space="preserve">evidence statement that reflects the quality of the indicators. </w:t>
      </w:r>
      <w:r w:rsidR="008007AF">
        <w:t>L</w:t>
      </w:r>
      <w:r>
        <w:t>ess robust indicators (and groups of indicators) would clearly be assigned a lower quality</w:t>
      </w:r>
      <w:r w:rsidR="008007AF">
        <w:t>-</w:t>
      </w:r>
      <w:r>
        <w:t>of</w:t>
      </w:r>
      <w:r w:rsidR="008007AF">
        <w:t>-</w:t>
      </w:r>
      <w:r>
        <w:t>evidence rating that would translate to a lower confidence in the conclusions of the assessment</w:t>
      </w:r>
      <w:r w:rsidR="008007AF">
        <w:t>.</w:t>
      </w:r>
    </w:p>
    <w:p w:rsidR="008C4EC5" w:rsidRPr="00BD2DD5" w:rsidP="00C46D19" w14:paraId="54E28D65" w14:textId="4EC931D9">
      <w:pPr>
        <w:pStyle w:val="ListBullet"/>
      </w:pPr>
      <w:r w:rsidRPr="00BD2DD5">
        <w:rPr>
          <w:lang w:eastAsia="en-GB"/>
        </w:rPr>
        <w:t>The selected indicators and the water</w:t>
      </w:r>
      <w:r w:rsidR="008007AF">
        <w:rPr>
          <w:lang w:eastAsia="en-GB"/>
        </w:rPr>
        <w:t>-</w:t>
      </w:r>
      <w:r w:rsidRPr="00BD2DD5">
        <w:rPr>
          <w:lang w:eastAsia="en-GB"/>
        </w:rPr>
        <w:t xml:space="preserve">quality objectives they would be compared with need to be approved with the stakeholders in </w:t>
      </w:r>
      <w:r>
        <w:fldChar w:fldCharType="begin"/>
      </w:r>
      <w:r>
        <w:instrText xml:space="preserve"> HYPERLINK "https://www.waterquality.gov.au/anz-guidelines/framework/general" \l "define-draft-watersediment-quality-objectives" </w:instrText>
      </w:r>
      <w:r>
        <w:fldChar w:fldCharType="separate"/>
      </w:r>
      <w:r w:rsidRPr="00BD2DD5">
        <w:rPr>
          <w:rStyle w:val="Hyperlink"/>
          <w:lang w:eastAsia="en-GB"/>
        </w:rPr>
        <w:t>Step 5</w:t>
      </w:r>
      <w:r>
        <w:fldChar w:fldCharType="end"/>
      </w:r>
      <w:r w:rsidRPr="00BD2DD5">
        <w:rPr>
          <w:lang w:eastAsia="en-GB"/>
        </w:rPr>
        <w:t>, taking the quality</w:t>
      </w:r>
      <w:r w:rsidR="008007AF">
        <w:rPr>
          <w:lang w:eastAsia="en-GB"/>
        </w:rPr>
        <w:t>-</w:t>
      </w:r>
      <w:r w:rsidRPr="00BD2DD5">
        <w:rPr>
          <w:lang w:eastAsia="en-GB"/>
        </w:rPr>
        <w:t>of</w:t>
      </w:r>
      <w:r w:rsidR="008007AF">
        <w:rPr>
          <w:lang w:eastAsia="en-GB"/>
        </w:rPr>
        <w:t>-</w:t>
      </w:r>
      <w:r w:rsidRPr="00BD2DD5">
        <w:rPr>
          <w:lang w:eastAsia="en-GB"/>
        </w:rPr>
        <w:t>evidence statements into account</w:t>
      </w:r>
      <w:r w:rsidR="008007AF">
        <w:rPr>
          <w:lang w:eastAsia="en-GB"/>
        </w:rPr>
        <w:t>.</w:t>
      </w:r>
    </w:p>
    <w:p w:rsidR="008C4EC5" w:rsidP="00C46D19" w14:paraId="1257475E" w14:textId="77777777">
      <w:pPr>
        <w:pStyle w:val="ListBullet"/>
      </w:pPr>
      <w:r>
        <w:fldChar w:fldCharType="begin"/>
      </w:r>
      <w:r>
        <w:instrText xml:space="preserve"> HYPERLINK "https://www.waterquality.gov.au/anz-guidelines/framework/general" \l "consider-additional-indicators-or-refine-watersediment-quality-objectives" </w:instrText>
      </w:r>
      <w:r>
        <w:fldChar w:fldCharType="separate"/>
      </w:r>
      <w:r w:rsidRPr="004F1FCC" w:rsidR="002A3B7E">
        <w:rPr>
          <w:rStyle w:val="Hyperlink"/>
        </w:rPr>
        <w:t>Step 7</w:t>
      </w:r>
      <w:r>
        <w:fldChar w:fldCharType="end"/>
      </w:r>
      <w:r w:rsidR="002A3B7E">
        <w:t xml:space="preserve"> of the WQMF provides the ability to add additional indicators if those assessed are considered to be insufficient or give a result that suggests more detailed investigations are required.</w:t>
      </w:r>
    </w:p>
    <w:p w:rsidR="008C4EC5" w:rsidP="00481C4D" w14:paraId="3959954D" w14:textId="788D0D20">
      <w:pPr>
        <w:spacing w:after="160"/>
      </w:pPr>
      <w:r>
        <w:t xml:space="preserve">Local jurisdictions should be consulted if there is there is any uncertainty over the selection of rapid </w:t>
      </w:r>
      <w:r w:rsidR="008007AF">
        <w:t>biological-</w:t>
      </w:r>
      <w:r>
        <w:t xml:space="preserve">assessment approaches for specific purposes. </w:t>
      </w:r>
    </w:p>
    <w:p w:rsidR="00E47BE8" w:rsidRPr="00406F44" w:rsidP="00850E85" w14:paraId="47E5F6A7" w14:textId="3E6E92D7">
      <w:pPr>
        <w:pStyle w:val="Heading4"/>
      </w:pPr>
      <w:bookmarkStart w:id="22" w:name="_Toc88566455"/>
      <w:bookmarkStart w:id="23" w:name="_Toc88726867"/>
      <w:bookmarkStart w:id="24" w:name="_Toc88566456"/>
      <w:bookmarkStart w:id="25" w:name="_Toc88726868"/>
      <w:bookmarkStart w:id="26" w:name="_Toc88566457"/>
      <w:bookmarkStart w:id="27" w:name="_Toc88726869"/>
      <w:bookmarkStart w:id="28" w:name="_Toc88566458"/>
      <w:bookmarkStart w:id="29" w:name="_Toc88726870"/>
      <w:bookmarkStart w:id="30" w:name="_Toc88566459"/>
      <w:bookmarkStart w:id="31" w:name="_Toc88726871"/>
      <w:bookmarkStart w:id="32" w:name="_Toc88566460"/>
      <w:bookmarkStart w:id="33" w:name="_Toc88726872"/>
      <w:bookmarkStart w:id="34" w:name="_Toc88566461"/>
      <w:bookmarkStart w:id="35" w:name="_Toc88726873"/>
      <w:bookmarkStart w:id="36" w:name="_Toc88566462"/>
      <w:bookmarkStart w:id="37" w:name="_Toc88726874"/>
      <w:bookmarkStart w:id="38" w:name="_Toc88566463"/>
      <w:bookmarkStart w:id="39" w:name="_Toc88726875"/>
      <w:bookmarkStart w:id="40" w:name="_Toc88566464"/>
      <w:bookmarkStart w:id="41" w:name="_Toc88726876"/>
      <w:bookmarkStart w:id="42" w:name="_Toc88566465"/>
      <w:bookmarkStart w:id="43" w:name="_Toc88726877"/>
      <w:bookmarkStart w:id="44" w:name="_Toc88566466"/>
      <w:bookmarkStart w:id="45" w:name="_Toc88726878"/>
      <w:bookmarkStart w:id="46" w:name="_Toc88566467"/>
      <w:bookmarkStart w:id="47" w:name="_Toc88726879"/>
      <w:bookmarkStart w:id="48" w:name="_Toc88566468"/>
      <w:bookmarkStart w:id="49" w:name="_Toc88726880"/>
      <w:bookmarkStart w:id="50" w:name="_Toc88566469"/>
      <w:bookmarkStart w:id="51" w:name="_Toc88726881"/>
      <w:bookmarkStart w:id="52" w:name="_Toc88566470"/>
      <w:bookmarkStart w:id="53" w:name="_Toc88726882"/>
      <w:bookmarkStart w:id="54" w:name="_Toc88566471"/>
      <w:bookmarkStart w:id="55" w:name="_Toc88726883"/>
      <w:bookmarkStart w:id="56" w:name="_Toc88566472"/>
      <w:bookmarkStart w:id="57" w:name="_Toc88726884"/>
      <w:bookmarkStart w:id="58" w:name="_Toc88566473"/>
      <w:bookmarkStart w:id="59" w:name="_Toc88726885"/>
      <w:bookmarkStart w:id="60" w:name="_Toc88566474"/>
      <w:bookmarkStart w:id="61" w:name="_Toc88726886"/>
      <w:bookmarkStart w:id="62" w:name="_Toc88566475"/>
      <w:bookmarkStart w:id="63" w:name="_Toc88726887"/>
      <w:bookmarkStart w:id="64" w:name="_Toc88566476"/>
      <w:bookmarkStart w:id="65" w:name="_Toc88726888"/>
      <w:bookmarkStart w:id="66" w:name="_Ref48724029"/>
      <w:bookmarkStart w:id="67" w:name="_Toc13833225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406F44">
        <w:t xml:space="preserve">Ecosystem </w:t>
      </w:r>
      <w:bookmarkEnd w:id="66"/>
      <w:r w:rsidR="005C4AEE">
        <w:t xml:space="preserve">function </w:t>
      </w:r>
      <w:r w:rsidR="00F13EEE">
        <w:t>indicators</w:t>
      </w:r>
      <w:bookmarkEnd w:id="67"/>
    </w:p>
    <w:p w:rsidR="00291B14" w:rsidP="00481C4D" w14:paraId="5C34300B" w14:textId="178A253B">
      <w:pPr>
        <w:spacing w:after="160"/>
      </w:pPr>
      <w:r w:rsidRPr="00A243A9">
        <w:t xml:space="preserve">Ecosystem </w:t>
      </w:r>
      <w:r w:rsidR="005C4AEE">
        <w:t>function</w:t>
      </w:r>
      <w:r w:rsidRPr="00A243A9" w:rsidR="005C4AEE">
        <w:t xml:space="preserve"> </w:t>
      </w:r>
      <w:r w:rsidR="00F13EEE">
        <w:t>indicators</w:t>
      </w:r>
      <w:r w:rsidRPr="00A243A9">
        <w:t xml:space="preserve"> </w:t>
      </w:r>
      <w:r w:rsidR="00F13EEE">
        <w:t xml:space="preserve">can be divided into </w:t>
      </w:r>
      <w:r w:rsidR="008007AF">
        <w:t xml:space="preserve">2 </w:t>
      </w:r>
      <w:r w:rsidR="00F13EEE">
        <w:t>types</w:t>
      </w:r>
      <w:r w:rsidRPr="00A243A9">
        <w:t>. First, there are direct measures of ecosystem functions or processes such as community metabolism or net primary production.</w:t>
      </w:r>
      <w:r w:rsidR="000B73E8">
        <w:t xml:space="preserve"> </w:t>
      </w:r>
      <w:r w:rsidRPr="00A243A9">
        <w:t>Second, functional traits (or simply ‘traits’) are used to measure ecological communities in terms of the functional attributes of their constituent species (e.g. the abundance of organisms with traits that facilitate tolerance of salinity). While direct measures of ecosystem function</w:t>
      </w:r>
      <w:r w:rsidRPr="009B170E" w:rsidR="009C59EB">
        <w:t xml:space="preserve"> </w:t>
      </w:r>
      <w:r w:rsidRPr="009B170E" w:rsidR="00253CDC">
        <w:t xml:space="preserve">can be holistic performance indicators of key processes and can map to end-user </w:t>
      </w:r>
      <w:r w:rsidR="0093092B">
        <w:t>understanding</w:t>
      </w:r>
      <w:r w:rsidRPr="009B170E" w:rsidR="0093092B">
        <w:t xml:space="preserve"> </w:t>
      </w:r>
      <w:r w:rsidRPr="009B170E" w:rsidR="00253CDC">
        <w:t>of ecosystem services, the</w:t>
      </w:r>
      <w:r w:rsidR="009C59EB">
        <w:t>y also ignore the</w:t>
      </w:r>
      <w:r w:rsidRPr="009B170E" w:rsidR="00253CDC">
        <w:t xml:space="preserve"> identity of component taxa. Accordingly, such measures are likely to be used with other ‘structural’ indicators if biodiversity </w:t>
      </w:r>
      <w:r w:rsidR="00463B07">
        <w:t xml:space="preserve">is a </w:t>
      </w:r>
      <w:r w:rsidRPr="009B170E" w:rsidR="00253CDC">
        <w:t>management objective.</w:t>
      </w:r>
    </w:p>
    <w:p w:rsidR="009B170E" w:rsidP="00850E85" w14:paraId="59240BDB" w14:textId="77777777">
      <w:pPr>
        <w:pStyle w:val="Heading5"/>
      </w:pPr>
      <w:r w:rsidRPr="009B170E">
        <w:t>Functional traits</w:t>
      </w:r>
    </w:p>
    <w:p w:rsidR="009B170E" w:rsidP="00481C4D" w14:paraId="56E7C60C" w14:textId="789C1F84">
      <w:pPr>
        <w:spacing w:after="160"/>
      </w:pPr>
      <w:r w:rsidRPr="00D36C7A">
        <w:t>This refers to procedures that summarise the functions performed by the constituent species of a community</w:t>
      </w:r>
      <w:r w:rsidR="008007AF">
        <w:t>,</w:t>
      </w:r>
      <w:r w:rsidRPr="00D36C7A">
        <w:t xml:space="preserve"> either as a complement to (Stuart-Smith et al. 2013) or substitute for taxonomically</w:t>
      </w:r>
      <w:r w:rsidR="008007AF">
        <w:t xml:space="preserve"> </w:t>
      </w:r>
      <w:r w:rsidRPr="00D36C7A">
        <w:t>based measures of community structure (Schäfer et al. 2011, Kefford et al. 2020)</w:t>
      </w:r>
      <w:r w:rsidR="00253CDC">
        <w:t xml:space="preserve">. For freshwater macroinvertebrates, an early attempt consisted of the functional feeding groups </w:t>
      </w:r>
      <w:r w:rsidR="009873DD">
        <w:t>(</w:t>
      </w:r>
      <w:r w:rsidR="00253CDC">
        <w:t>ANZECC</w:t>
      </w:r>
      <w:r w:rsidR="00BE4397">
        <w:t xml:space="preserve"> and </w:t>
      </w:r>
      <w:r w:rsidR="00253CDC">
        <w:t>ARMCANZ 2000)</w:t>
      </w:r>
      <w:r w:rsidR="002B15ED">
        <w:t>. S</w:t>
      </w:r>
      <w:r w:rsidR="00253CDC">
        <w:t xml:space="preserve">ome of the component metrics of the </w:t>
      </w:r>
      <w:r w:rsidR="006646E9">
        <w:t>indices</w:t>
      </w:r>
      <w:r w:rsidR="001C2A00">
        <w:t xml:space="preserve"> of </w:t>
      </w:r>
      <w:r w:rsidR="006646E9">
        <w:t>b</w:t>
      </w:r>
      <w:r w:rsidR="001C2A00">
        <w:t xml:space="preserve">iotic </w:t>
      </w:r>
      <w:r w:rsidR="006646E9">
        <w:t>i</w:t>
      </w:r>
      <w:r w:rsidR="001C2A00">
        <w:t>ntegrity for fish and macroinvertebrate</w:t>
      </w:r>
      <w:r w:rsidR="006646E9">
        <w:t>s</w:t>
      </w:r>
      <w:r w:rsidR="001C2A00">
        <w:t xml:space="preserve"> </w:t>
      </w:r>
      <w:r w:rsidR="006646E9">
        <w:t xml:space="preserve">(see </w:t>
      </w:r>
      <w:r w:rsidR="006B3255">
        <w:t>Section </w:t>
      </w:r>
      <w:r w:rsidR="006B3255">
        <w:fldChar w:fldCharType="begin"/>
      </w:r>
      <w:r w:rsidR="006B3255">
        <w:instrText xml:space="preserve"> REF _Ref66975370 \r \h </w:instrText>
      </w:r>
      <w:r w:rsidR="006B3255">
        <w:fldChar w:fldCharType="separate"/>
      </w:r>
      <w:r w:rsidR="008A285F">
        <w:t>3.1.2</w:t>
      </w:r>
      <w:r w:rsidR="006B3255">
        <w:fldChar w:fldCharType="end"/>
      </w:r>
      <w:r w:rsidR="006646E9">
        <w:t xml:space="preserve">) </w:t>
      </w:r>
      <w:r w:rsidR="00253CDC">
        <w:t xml:space="preserve">were early attempts at summarising functional </w:t>
      </w:r>
      <w:r w:rsidR="006646E9">
        <w:t xml:space="preserve">attributes </w:t>
      </w:r>
      <w:r w:rsidR="001C2A00">
        <w:t xml:space="preserve">for these </w:t>
      </w:r>
      <w:r w:rsidR="008007AF">
        <w:t xml:space="preserve">2 </w:t>
      </w:r>
      <w:r w:rsidR="006646E9">
        <w:t xml:space="preserve">biological </w:t>
      </w:r>
      <w:r w:rsidR="001C2A00">
        <w:t>communi</w:t>
      </w:r>
      <w:r w:rsidR="006646E9">
        <w:t>ties</w:t>
      </w:r>
      <w:r w:rsidR="00253CDC">
        <w:t>. Classification schemes for a variety of functional traits have been developed for macroinvertebrates (Poff et al. 2006</w:t>
      </w:r>
      <w:r w:rsidR="00497044">
        <w:t>,</w:t>
      </w:r>
      <w:r w:rsidR="00253CDC">
        <w:t xml:space="preserve"> Schäfer et al. 2011</w:t>
      </w:r>
      <w:r w:rsidR="00497044">
        <w:t>,</w:t>
      </w:r>
      <w:r w:rsidR="00253CDC">
        <w:t xml:space="preserve"> Kefford</w:t>
      </w:r>
      <w:r w:rsidR="006B076C">
        <w:t xml:space="preserve"> et al.</w:t>
      </w:r>
      <w:r w:rsidR="00253CDC">
        <w:t xml:space="preserve"> 2012), fish (Merigoux</w:t>
      </w:r>
      <w:r w:rsidR="00F867C2">
        <w:t xml:space="preserve"> et al.</w:t>
      </w:r>
      <w:r w:rsidR="00253CDC">
        <w:t xml:space="preserve"> 2001</w:t>
      </w:r>
      <w:r w:rsidR="00497044">
        <w:t>,</w:t>
      </w:r>
      <w:r w:rsidR="00253CDC">
        <w:t xml:space="preserve"> Bergerot</w:t>
      </w:r>
      <w:r w:rsidR="00F867C2">
        <w:t xml:space="preserve"> et al.</w:t>
      </w:r>
      <w:r w:rsidR="00253CDC">
        <w:t xml:space="preserve"> 2</w:t>
      </w:r>
      <w:r w:rsidR="00497044">
        <w:t>015) and plants (Quetier et al.</w:t>
      </w:r>
      <w:r w:rsidR="00253CDC">
        <w:t xml:space="preserve"> 2007)</w:t>
      </w:r>
      <w:r w:rsidR="00F867C2">
        <w:t>,</w:t>
      </w:r>
      <w:r w:rsidR="00253CDC">
        <w:t xml:space="preserve"> with applications for aquatic biomonitoring and assessment (Dolédec </w:t>
      </w:r>
      <w:r w:rsidR="003C60FB">
        <w:t>and</w:t>
      </w:r>
      <w:r w:rsidR="00253CDC">
        <w:t xml:space="preserve"> Statzner 2008</w:t>
      </w:r>
      <w:r w:rsidR="00497044">
        <w:t>,</w:t>
      </w:r>
      <w:r w:rsidR="00253CDC">
        <w:t xml:space="preserve"> Van den Brink et </w:t>
      </w:r>
      <w:r w:rsidR="00262584">
        <w:t>al. 2013</w:t>
      </w:r>
      <w:r w:rsidR="00497044">
        <w:t>,</w:t>
      </w:r>
      <w:r w:rsidR="008A3074">
        <w:t xml:space="preserve"> Arce et al.</w:t>
      </w:r>
      <w:r w:rsidR="00262584">
        <w:t xml:space="preserve"> 2014). </w:t>
      </w:r>
    </w:p>
    <w:p w:rsidR="009B170E" w:rsidP="00481C4D" w14:paraId="14A58D02" w14:textId="381F55ED">
      <w:pPr>
        <w:spacing w:after="160"/>
      </w:pPr>
      <w:r w:rsidRPr="00726FA2">
        <w:t xml:space="preserve">Some biotic indices </w:t>
      </w:r>
      <w:r w:rsidRPr="00726FA2" w:rsidR="00F867C2">
        <w:t>assume</w:t>
      </w:r>
      <w:r w:rsidRPr="00726FA2">
        <w:t xml:space="preserve"> that the ratios of organisms with different feeding strategies will change</w:t>
      </w:r>
      <w:r>
        <w:t xml:space="preserve"> with contamination (e.g. collectors will be more abundant than shredders under contaminated conditions), or that trophic generalist organisms will be more tolerant to contaminants than trophic specialist organisms. There is some doubt that these general rules hold true and that it is possible to assign taxa to different feeding strategies (Resh </w:t>
      </w:r>
      <w:r w:rsidR="003C60FB">
        <w:t>and</w:t>
      </w:r>
      <w:r>
        <w:t xml:space="preserve"> Jackson 1993).</w:t>
      </w:r>
    </w:p>
    <w:p w:rsidR="00291B14" w:rsidP="00481C4D" w14:paraId="2E1F469E" w14:textId="7D711385">
      <w:pPr>
        <w:spacing w:after="160"/>
      </w:pPr>
      <w:r>
        <w:t xml:space="preserve">Organisms can be assigned to groups of species that feed in the same way, generally known as functional feeding groups. </w:t>
      </w:r>
      <w:r w:rsidR="00930FA3">
        <w:t>These can be used to assess</w:t>
      </w:r>
      <w:r>
        <w:t xml:space="preserve"> the dynamics of food supplies in a waterbody and the balance of feeding strategies (food acquisition and morphology) in the community assemblage. Deviations from </w:t>
      </w:r>
      <w:r w:rsidR="00152F5C">
        <w:t xml:space="preserve">patterns at </w:t>
      </w:r>
      <w:r>
        <w:t>reference or control site</w:t>
      </w:r>
      <w:r w:rsidR="00152F5C">
        <w:t>s</w:t>
      </w:r>
      <w:r w:rsidR="00930FA3">
        <w:t xml:space="preserve"> </w:t>
      </w:r>
      <w:r>
        <w:t>generally indicate stressed conditions. F</w:t>
      </w:r>
      <w:r w:rsidR="00930FA3">
        <w:t>unctional f</w:t>
      </w:r>
      <w:r>
        <w:t>eeding groups have been defined for bacteria and other microbes (e.g. photosynthetic autotrophs, bacterivores, saprot</w:t>
      </w:r>
      <w:r w:rsidR="007D1868">
        <w:t>r</w:t>
      </w:r>
      <w:r>
        <w:t xml:space="preserve">ophs), macroinvertebrates (e.g. scrapers, piercers, predators, shredders) and fish (e.g. piscivores, invertivores, algivores). The usefulness of functional feeding groups for assessing water quality has not been well demonstrated for benthic macroinvertebrates, and the concept is not considered reliable in this case (Karr </w:t>
      </w:r>
      <w:r w:rsidR="003C60FB">
        <w:t>and</w:t>
      </w:r>
      <w:r>
        <w:t xml:space="preserve"> Chu 1997). However, </w:t>
      </w:r>
      <w:r w:rsidR="001F115B">
        <w:t>functional</w:t>
      </w:r>
      <w:r w:rsidR="00D9047F">
        <w:t xml:space="preserve"> </w:t>
      </w:r>
      <w:r w:rsidR="001F115B">
        <w:t>feeding groups</w:t>
      </w:r>
      <w:r>
        <w:t xml:space="preserve"> may </w:t>
      </w:r>
      <w:r w:rsidR="001F115B">
        <w:t>help identify</w:t>
      </w:r>
      <w:r>
        <w:t xml:space="preserve"> </w:t>
      </w:r>
      <w:r w:rsidR="009B6D1D">
        <w:t xml:space="preserve">the effects </w:t>
      </w:r>
      <w:r w:rsidR="00152F5C">
        <w:t xml:space="preserve">on the community </w:t>
      </w:r>
      <w:r w:rsidR="009B6D1D">
        <w:t>of stressors other than water quality</w:t>
      </w:r>
      <w:r>
        <w:t>. For example, flow alterations may alter the relative abundances o</w:t>
      </w:r>
      <w:r w:rsidR="00497044">
        <w:t>f feeding groups (Tullos et al.</w:t>
      </w:r>
      <w:r>
        <w:t xml:space="preserve"> 2009) and aid the interpretation of field results.</w:t>
      </w:r>
    </w:p>
    <w:p w:rsidR="00291B14" w:rsidP="00850E85" w14:paraId="00E4DA6B" w14:textId="77777777">
      <w:pPr>
        <w:pStyle w:val="Heading5"/>
      </w:pPr>
      <w:r w:rsidRPr="009B170E">
        <w:t>Community metabolism and nutrient pathways</w:t>
      </w:r>
    </w:p>
    <w:p w:rsidR="009B170E" w:rsidP="00481C4D" w14:paraId="669BE521" w14:textId="617892BC">
      <w:pPr>
        <w:spacing w:after="160"/>
      </w:pPr>
      <w:r>
        <w:t>The community</w:t>
      </w:r>
      <w:r w:rsidR="00D636E3">
        <w:t>-</w:t>
      </w:r>
      <w:r>
        <w:t xml:space="preserve">metabolism approach is based on the concept that movement of organic carbon through an ecosystem can be used </w:t>
      </w:r>
      <w:r w:rsidR="00703BC0">
        <w:t>to measure</w:t>
      </w:r>
      <w:r>
        <w:t xml:space="preserve"> community metabolism (see </w:t>
      </w:r>
      <w:r w:rsidR="00703BC0">
        <w:t>Section</w:t>
      </w:r>
      <w:r w:rsidR="00AC0385">
        <w:t> </w:t>
      </w:r>
      <w:r w:rsidR="00703BC0">
        <w:t xml:space="preserve">8.1.2.1 of </w:t>
      </w:r>
      <w:r w:rsidR="00FE3443">
        <w:t>ANZECC</w:t>
      </w:r>
      <w:r w:rsidR="00BE4397">
        <w:t xml:space="preserve"> and </w:t>
      </w:r>
      <w:r w:rsidR="00FE3443">
        <w:t>ARMCANZ (2000)</w:t>
      </w:r>
      <w:r>
        <w:t xml:space="preserve"> for a detailed description). Closely allied to </w:t>
      </w:r>
      <w:r w:rsidR="00111972">
        <w:t>th</w:t>
      </w:r>
      <w:r w:rsidR="00D636E3">
        <w:t>is</w:t>
      </w:r>
      <w:r w:rsidR="00111972">
        <w:t xml:space="preserve"> approach </w:t>
      </w:r>
      <w:r>
        <w:t xml:space="preserve">are methods focused on tracing the movements, transformation and metabolism of key nutrients. These provide indicators of ecosystem health and may also </w:t>
      </w:r>
      <w:r w:rsidR="00111972">
        <w:t>improve</w:t>
      </w:r>
      <w:r>
        <w:t xml:space="preserve"> system understanding </w:t>
      </w:r>
      <w:r w:rsidR="00111972">
        <w:t xml:space="preserve">of </w:t>
      </w:r>
      <w:r>
        <w:t>aspects such as lags and interactions with physical components of the aquatic system (Swanson et al. 2017).</w:t>
      </w:r>
    </w:p>
    <w:p w:rsidR="009B170E" w:rsidP="00481C4D" w14:paraId="05B20DEA" w14:textId="1C4D5738">
      <w:pPr>
        <w:spacing w:after="160"/>
      </w:pPr>
      <w:r>
        <w:t xml:space="preserve">For the </w:t>
      </w:r>
      <w:r w:rsidR="00253CDC">
        <w:t>community metabolism</w:t>
      </w:r>
      <w:r>
        <w:t xml:space="preserve"> approach</w:t>
      </w:r>
      <w:r w:rsidR="00253CDC">
        <w:t xml:space="preserve">, </w:t>
      </w:r>
      <w:r w:rsidR="00D636E3">
        <w:t xml:space="preserve">2 </w:t>
      </w:r>
      <w:r w:rsidR="00253CDC">
        <w:t xml:space="preserve">biological processes affect the movement of carbon: gross primary production </w:t>
      </w:r>
      <w:r w:rsidR="00C84207">
        <w:t xml:space="preserve">(P) </w:t>
      </w:r>
      <w:r w:rsidR="00253CDC">
        <w:t>(via photosynthesis</w:t>
      </w:r>
      <w:r>
        <w:t xml:space="preserve">), </w:t>
      </w:r>
      <w:r w:rsidR="00253CDC">
        <w:t xml:space="preserve">and respiration (R). </w:t>
      </w:r>
      <w:r w:rsidR="009B6D1D">
        <w:t>C</w:t>
      </w:r>
      <w:r w:rsidR="00253CDC">
        <w:t xml:space="preserve">ommunity metabolism is </w:t>
      </w:r>
      <w:r w:rsidR="009B6D1D">
        <w:t xml:space="preserve">considered to be </w:t>
      </w:r>
      <w:r w:rsidR="00253CDC">
        <w:t>sensitive to small changes in water quality (particularly organic contaminants and sedimentation) and to conditions that affect light input</w:t>
      </w:r>
      <w:r w:rsidR="009B6D1D">
        <w:t xml:space="preserve"> (e.g. Hopkinson </w:t>
      </w:r>
      <w:r w:rsidR="003C60FB">
        <w:t>and</w:t>
      </w:r>
      <w:r w:rsidR="009B6D1D">
        <w:t xml:space="preserve"> Vallino 1995</w:t>
      </w:r>
      <w:r w:rsidR="00155E2C">
        <w:t>, Bernot et al. 2010, Clapcott et al. 2016</w:t>
      </w:r>
      <w:r w:rsidR="009B6D1D">
        <w:t>)</w:t>
      </w:r>
      <w:r w:rsidR="00253CDC">
        <w:t>. As a result of this sensitivity, the community</w:t>
      </w:r>
      <w:r w:rsidR="00A9340E">
        <w:t>-</w:t>
      </w:r>
      <w:r w:rsidR="00253CDC">
        <w:t>metabolism approach may be able to detect a disturbance early, before it manifest</w:t>
      </w:r>
      <w:r w:rsidR="00597D49">
        <w:t>s</w:t>
      </w:r>
      <w:r w:rsidR="00253CDC">
        <w:t xml:space="preserve"> in </w:t>
      </w:r>
      <w:r w:rsidR="00A9340E">
        <w:t xml:space="preserve">changes to </w:t>
      </w:r>
      <w:r w:rsidR="00253CDC">
        <w:t>organism assemblage</w:t>
      </w:r>
      <w:r w:rsidR="00597D49">
        <w:t xml:space="preserve">s </w:t>
      </w:r>
      <w:r w:rsidR="00253CDC">
        <w:t>(e.g. macroinvertebrate community composition).</w:t>
      </w:r>
    </w:p>
    <w:p w:rsidR="009B170E" w:rsidP="00481C4D" w14:paraId="1ACC90AB" w14:textId="36B1887B">
      <w:pPr>
        <w:spacing w:after="160"/>
      </w:pPr>
      <w:r>
        <w:t>The ratio of P:R measure</w:t>
      </w:r>
      <w:r w:rsidR="00D77BBF">
        <w:t>s</w:t>
      </w:r>
      <w:r>
        <w:t xml:space="preserve"> ecosystem health in rivers and streams. Undisturbed forest</w:t>
      </w:r>
      <w:r w:rsidR="00A9340E">
        <w:t>-</w:t>
      </w:r>
      <w:r>
        <w:t xml:space="preserve">stream sites are </w:t>
      </w:r>
      <w:r w:rsidR="00EE3252">
        <w:t>typically heterotrophic (i.e. P:</w:t>
      </w:r>
      <w:r>
        <w:t>R</w:t>
      </w:r>
      <w:r w:rsidR="00886B73">
        <w:t> </w:t>
      </w:r>
      <w:r>
        <w:t>&lt;</w:t>
      </w:r>
      <w:r w:rsidR="00886B73">
        <w:t> </w:t>
      </w:r>
      <w:r>
        <w:t xml:space="preserve">1) and so are net consumers of carbon. Sites </w:t>
      </w:r>
      <w:r w:rsidR="009A3B73">
        <w:t xml:space="preserve">that are in cleared catchments or </w:t>
      </w:r>
      <w:r w:rsidR="00DC2ED6">
        <w:t>are</w:t>
      </w:r>
      <w:r w:rsidR="009A3B73">
        <w:t xml:space="preserve"> nutrient enriched </w:t>
      </w:r>
      <w:r w:rsidR="00DC2ED6">
        <w:t xml:space="preserve">are </w:t>
      </w:r>
      <w:r w:rsidR="009A3B73">
        <w:t>typically a</w:t>
      </w:r>
      <w:r w:rsidR="00DC2ED6">
        <w:t xml:space="preserve">utotrophic ( i.e. </w:t>
      </w:r>
      <w:r w:rsidR="00EE3252">
        <w:t>P:</w:t>
      </w:r>
      <w:r>
        <w:t>R</w:t>
      </w:r>
      <w:r w:rsidR="00886B73">
        <w:t> </w:t>
      </w:r>
      <w:r>
        <w:t>&gt;</w:t>
      </w:r>
      <w:r w:rsidR="00886B73">
        <w:t> </w:t>
      </w:r>
      <w:r>
        <w:t xml:space="preserve">1). </w:t>
      </w:r>
      <w:r w:rsidR="004E1200">
        <w:t>Consequently, the P:</w:t>
      </w:r>
      <w:r>
        <w:t xml:space="preserve">R ratio is an index </w:t>
      </w:r>
      <w:r w:rsidR="00DC2ED6">
        <w:t>that applies to</w:t>
      </w:r>
      <w:r>
        <w:t xml:space="preserve"> freshwater, although there can be considerable regional differences in </w:t>
      </w:r>
      <w:r w:rsidR="00FC6590">
        <w:t>estimates of P and R and, therefore, P:R</w:t>
      </w:r>
      <w:r w:rsidR="007A749F">
        <w:t xml:space="preserve"> (Bernot et al.</w:t>
      </w:r>
      <w:r>
        <w:t xml:space="preserve"> 2010</w:t>
      </w:r>
      <w:r w:rsidR="007A749F">
        <w:t>,</w:t>
      </w:r>
      <w:r>
        <w:t xml:space="preserve"> Clapcott et al. 2016). </w:t>
      </w:r>
      <w:r w:rsidR="00A60CDB">
        <w:t xml:space="preserve">The </w:t>
      </w:r>
      <w:r>
        <w:t>community</w:t>
      </w:r>
      <w:r w:rsidR="00D41F0E">
        <w:t>-</w:t>
      </w:r>
      <w:r>
        <w:t xml:space="preserve">metabolism </w:t>
      </w:r>
      <w:r w:rsidR="00A60CDB">
        <w:t>approach is</w:t>
      </w:r>
      <w:r>
        <w:t xml:space="preserve"> included in the suite of ecosystem</w:t>
      </w:r>
      <w:r w:rsidR="00D41F0E">
        <w:t>-</w:t>
      </w:r>
      <w:r>
        <w:t>health monitoring programs developed by the Healthy Land and Water Partnership for the Moreton Bay catchments in south-east Queensland (</w:t>
      </w:r>
      <w:r w:rsidR="004E1200">
        <w:t xml:space="preserve">Healthy Land </w:t>
      </w:r>
      <w:r w:rsidR="003C60FB">
        <w:t>and</w:t>
      </w:r>
      <w:r w:rsidR="004E1200">
        <w:t xml:space="preserve"> Water 20</w:t>
      </w:r>
      <w:r w:rsidR="00D223A2">
        <w:t>21</w:t>
      </w:r>
      <w:r>
        <w:t xml:space="preserve">). A variety of methods </w:t>
      </w:r>
      <w:r w:rsidR="00A97163">
        <w:t>ha</w:t>
      </w:r>
      <w:r w:rsidR="00071DE9">
        <w:t>ve</w:t>
      </w:r>
      <w:r>
        <w:t xml:space="preserve"> been developed for rivers and streams of di</w:t>
      </w:r>
      <w:r w:rsidR="007A749F">
        <w:t>fferent sizes (</w:t>
      </w:r>
      <w:r w:rsidR="00D223A2">
        <w:t xml:space="preserve">Lamberti and </w:t>
      </w:r>
      <w:r w:rsidR="007A749F">
        <w:t>Hauer</w:t>
      </w:r>
      <w:r>
        <w:t xml:space="preserve"> </w:t>
      </w:r>
      <w:r w:rsidR="00D223A2">
        <w:t>2017</w:t>
      </w:r>
      <w:r>
        <w:t>)</w:t>
      </w:r>
      <w:r w:rsidR="00A04805">
        <w:t>,</w:t>
      </w:r>
      <w:r>
        <w:t xml:space="preserve"> and recent literature should be consulted to ensure that the methods chosen are up</w:t>
      </w:r>
      <w:r w:rsidR="00071DE9">
        <w:t xml:space="preserve"> </w:t>
      </w:r>
      <w:r>
        <w:t>to</w:t>
      </w:r>
      <w:r w:rsidR="00071DE9">
        <w:t xml:space="preserve"> </w:t>
      </w:r>
      <w:r>
        <w:t xml:space="preserve">date. </w:t>
      </w:r>
    </w:p>
    <w:p w:rsidR="009B170E" w:rsidP="00481C4D" w14:paraId="34D6AE9D" w14:textId="035E5D99">
      <w:pPr>
        <w:spacing w:after="160"/>
      </w:pPr>
      <w:r>
        <w:t xml:space="preserve">Measuring the rates and fates of key aquatic nutrients </w:t>
      </w:r>
      <w:r w:rsidR="00D41F0E">
        <w:t xml:space="preserve">is </w:t>
      </w:r>
      <w:r>
        <w:t xml:space="preserve">important </w:t>
      </w:r>
      <w:r w:rsidR="00280392">
        <w:t xml:space="preserve">for </w:t>
      </w:r>
      <w:r>
        <w:t>interpret</w:t>
      </w:r>
      <w:r w:rsidR="00280392">
        <w:t>ing</w:t>
      </w:r>
      <w:r>
        <w:t xml:space="preserve"> and understanding </w:t>
      </w:r>
      <w:r w:rsidR="00280392">
        <w:t xml:space="preserve">the </w:t>
      </w:r>
      <w:r>
        <w:t xml:space="preserve">chemical and biological indicators </w:t>
      </w:r>
      <w:r w:rsidR="0051595B">
        <w:t xml:space="preserve">of </w:t>
      </w:r>
      <w:r>
        <w:t xml:space="preserve">marine (e.g. Eyre </w:t>
      </w:r>
      <w:r w:rsidR="003C60FB">
        <w:t>and</w:t>
      </w:r>
      <w:r>
        <w:t xml:space="preserve"> Ferguson 2009) and freshwater (e.g. Burrows et al. 2013) systems. As with </w:t>
      </w:r>
      <w:r w:rsidR="0051595B">
        <w:t xml:space="preserve">the </w:t>
      </w:r>
      <w:r>
        <w:t>community</w:t>
      </w:r>
      <w:r w:rsidR="00D41F0E">
        <w:t>-</w:t>
      </w:r>
      <w:r>
        <w:t>metabolism</w:t>
      </w:r>
      <w:r w:rsidR="0051595B">
        <w:t xml:space="preserve"> approach</w:t>
      </w:r>
      <w:r>
        <w:t xml:space="preserve">, methods </w:t>
      </w:r>
      <w:r w:rsidR="00A97163">
        <w:t>must</w:t>
      </w:r>
      <w:r>
        <w:t xml:space="preserve"> be appropriate </w:t>
      </w:r>
      <w:r w:rsidR="0051595B">
        <w:t xml:space="preserve">for </w:t>
      </w:r>
      <w:r>
        <w:t xml:space="preserve">the spatial extent and temporal resolution </w:t>
      </w:r>
      <w:r w:rsidR="0051595B">
        <w:t>of</w:t>
      </w:r>
      <w:r>
        <w:t xml:space="preserve"> the program. The advantages of these methods are that they can direct</w:t>
      </w:r>
      <w:r w:rsidR="0051595B">
        <w:t>ly</w:t>
      </w:r>
      <w:r>
        <w:t xml:space="preserve"> measure ecosystem processes and are easily understood by stakeholders (e.g. denitrification rates in effluent treatment </w:t>
      </w:r>
      <w:r w:rsidR="00D41F0E">
        <w:t>[</w:t>
      </w:r>
      <w:r>
        <w:t>Oakes et al. 2011</w:t>
      </w:r>
      <w:r w:rsidR="00D41F0E">
        <w:t>]</w:t>
      </w:r>
      <w:r>
        <w:t>). Conversely, most measures of ecosystem function can only be implemented in field surveys</w:t>
      </w:r>
      <w:r w:rsidR="00581A5D">
        <w:t>. D</w:t>
      </w:r>
      <w:r>
        <w:t>emonstrating causal links, especially with toxicants, can be problematic for large</w:t>
      </w:r>
      <w:r w:rsidR="00D41F0E">
        <w:t>-</w:t>
      </w:r>
      <w:r>
        <w:t>scale problems (Rohr et al. 2016). Rohr et al. (2016) also emphasise the uncertainty of links between ecosystem process measures and structural measures of biodiversity</w:t>
      </w:r>
      <w:r w:rsidR="00AC36B7">
        <w:t xml:space="preserve">. For example, </w:t>
      </w:r>
      <w:r w:rsidRPr="00AC36B7" w:rsidR="00AC36B7">
        <w:t>changes to the structure of the community</w:t>
      </w:r>
      <w:r w:rsidR="00D41F0E">
        <w:t xml:space="preserve"> or </w:t>
      </w:r>
      <w:r w:rsidRPr="00AC36B7" w:rsidR="00AC36B7">
        <w:t>ecosystem</w:t>
      </w:r>
      <w:r w:rsidR="00AC36B7">
        <w:t xml:space="preserve"> may not manifest as changes to ecosystem processes,</w:t>
      </w:r>
      <w:r w:rsidRPr="00AC36B7" w:rsidR="00AC36B7">
        <w:t xml:space="preserve"> </w:t>
      </w:r>
      <w:r w:rsidR="00AC36B7">
        <w:t>because</w:t>
      </w:r>
      <w:r w:rsidRPr="00AC36B7" w:rsidR="00AC36B7">
        <w:t xml:space="preserve"> </w:t>
      </w:r>
      <w:r w:rsidR="00AC36B7">
        <w:t xml:space="preserve">the </w:t>
      </w:r>
      <w:r>
        <w:t>processes may be mediated by very different species</w:t>
      </w:r>
      <w:r w:rsidR="00AC36B7">
        <w:t xml:space="preserve">. </w:t>
      </w:r>
      <w:r w:rsidR="002F6D14">
        <w:t>However, t</w:t>
      </w:r>
      <w:r w:rsidR="00AC36B7">
        <w:t xml:space="preserve">he structural </w:t>
      </w:r>
      <w:r w:rsidR="002F6D14">
        <w:t>changes</w:t>
      </w:r>
      <w:r w:rsidR="00AC36B7">
        <w:t xml:space="preserve"> </w:t>
      </w:r>
      <w:r>
        <w:t xml:space="preserve">may also be important to stakeholders </w:t>
      </w:r>
      <w:r w:rsidR="002F6D14">
        <w:t xml:space="preserve">because some species may be more valued than others </w:t>
      </w:r>
      <w:r>
        <w:t xml:space="preserve">(e.g. it may not be acceptable for an introduced or invasive species to substitute a native species </w:t>
      </w:r>
      <w:r w:rsidR="00F15585">
        <w:t>to</w:t>
      </w:r>
      <w:r>
        <w:t xml:space="preserve"> maint</w:t>
      </w:r>
      <w:r w:rsidR="00262584">
        <w:t xml:space="preserve">ain an ecosystem function). </w:t>
      </w:r>
    </w:p>
    <w:p w:rsidR="009B170E" w:rsidP="00D0519D" w14:paraId="2AF5833F" w14:textId="28DB56AE">
      <w:pPr>
        <w:pStyle w:val="Heading4"/>
      </w:pPr>
      <w:bookmarkStart w:id="68" w:name="_Toc138332257"/>
      <w:r>
        <w:t xml:space="preserve">Additional </w:t>
      </w:r>
      <w:r w:rsidR="00F22A01">
        <w:t>guidance</w:t>
      </w:r>
      <w:bookmarkEnd w:id="68"/>
    </w:p>
    <w:p w:rsidR="009B170E" w:rsidP="00AC0385" w14:paraId="27B8C2EF" w14:textId="0E6B955B">
      <w:pPr>
        <w:spacing w:after="180"/>
      </w:pPr>
      <w:r>
        <w:t xml:space="preserve">Additional guidance on </w:t>
      </w:r>
      <w:r w:rsidR="00F22A01">
        <w:t>selecting</w:t>
      </w:r>
      <w:r>
        <w:t xml:space="preserve"> biodiversity indicators is </w:t>
      </w:r>
      <w:r w:rsidR="00C751F5">
        <w:t xml:space="preserve">in </w:t>
      </w:r>
      <w:r w:rsidR="009F6B1A">
        <w:fldChar w:fldCharType="begin"/>
      </w:r>
      <w:r w:rsidR="009F6B1A">
        <w:instrText xml:space="preserve"> REF _Ref48722763 \h </w:instrText>
      </w:r>
      <w:r w:rsidR="009F6B1A">
        <w:fldChar w:fldCharType="separate"/>
      </w:r>
      <w:r w:rsidR="008A285F">
        <w:t>Appendix A: Additional guidance for matching biodiversity indicators to problems</w:t>
      </w:r>
      <w:r w:rsidR="009F6B1A">
        <w:fldChar w:fldCharType="end"/>
      </w:r>
      <w:r>
        <w:t>.</w:t>
      </w:r>
    </w:p>
    <w:p w:rsidR="009B170E" w:rsidP="00850E85" w14:paraId="761B0364" w14:textId="77777777">
      <w:pPr>
        <w:pStyle w:val="Heading3"/>
      </w:pPr>
      <w:bookmarkStart w:id="69" w:name="_Toc40868351"/>
      <w:bookmarkStart w:id="70" w:name="_Toc138332258"/>
      <w:bookmarkEnd w:id="69"/>
      <w:r w:rsidRPr="009B170E">
        <w:t>Toxicity</w:t>
      </w:r>
      <w:bookmarkEnd w:id="70"/>
    </w:p>
    <w:p w:rsidR="00A2194A" w:rsidP="00AC0385" w14:paraId="17CD01F3" w14:textId="45121B02">
      <w:pPr>
        <w:spacing w:after="180"/>
      </w:pPr>
      <w:r>
        <w:t>The determination of the toxicity of water</w:t>
      </w:r>
      <w:r w:rsidR="00FB2D6E">
        <w:t xml:space="preserve"> (</w:t>
      </w:r>
      <w:r w:rsidR="00C66BF3">
        <w:t xml:space="preserve">i.e. </w:t>
      </w:r>
      <w:r w:rsidR="00FB2D6E">
        <w:t>wastewater or ambient</w:t>
      </w:r>
      <w:r w:rsidR="001103B0">
        <w:t xml:space="preserve"> </w:t>
      </w:r>
      <w:r w:rsidR="00FB2D6E">
        <w:t>water)</w:t>
      </w:r>
      <w:r>
        <w:t xml:space="preserve"> or sediment samples is a form of rapid biological assessment</w:t>
      </w:r>
      <w:r w:rsidR="00C66BF3">
        <w:t xml:space="preserve"> that can be used as a line of evidence for assessing water or sediment quality</w:t>
      </w:r>
      <w:r>
        <w:t xml:space="preserve">. </w:t>
      </w:r>
      <w:r w:rsidR="00C66BF3">
        <w:t xml:space="preserve">Toxicity assessments can be tailored to various environmental scenarios, including single or multiple toxicants, different durations (acute or chronic) </w:t>
      </w:r>
      <w:r w:rsidRPr="00A2194A" w:rsidR="00C66BF3">
        <w:t>and frequencies (pulsed, continuous) of exposure, and site-specific water</w:t>
      </w:r>
      <w:r w:rsidR="00ED5678">
        <w:t>-</w:t>
      </w:r>
      <w:r w:rsidRPr="00A2194A" w:rsidR="00C66BF3">
        <w:t xml:space="preserve">quality conditions that may affect toxicant bioavailability and toxicity. </w:t>
      </w:r>
      <w:r w:rsidR="00F42A2A">
        <w:t>T</w:t>
      </w:r>
      <w:r w:rsidR="0090030A">
        <w:t xml:space="preserve">hey can </w:t>
      </w:r>
      <w:r w:rsidR="00F42A2A">
        <w:t xml:space="preserve">also </w:t>
      </w:r>
      <w:r w:rsidR="0090030A">
        <w:t xml:space="preserve">be conducted in the laboratory or field. </w:t>
      </w:r>
      <w:r w:rsidRPr="00A2194A" w:rsidR="00C66BF3">
        <w:t xml:space="preserve">These </w:t>
      </w:r>
      <w:r w:rsidR="0090030A">
        <w:t xml:space="preserve">aspects </w:t>
      </w:r>
      <w:r w:rsidRPr="00A2194A" w:rsidR="00C66BF3">
        <w:t xml:space="preserve">are discussed throughout this section. </w:t>
      </w:r>
    </w:p>
    <w:p w:rsidR="00DB3330" w:rsidP="00DB3330" w14:paraId="3AD8D46C" w14:textId="5B8CD15C">
      <w:r w:rsidRPr="00A2194A">
        <w:t xml:space="preserve">Acute </w:t>
      </w:r>
      <w:r w:rsidRPr="00A2194A" w:rsidR="00C66BF3">
        <w:t xml:space="preserve">(i.e. short-term) </w:t>
      </w:r>
      <w:r w:rsidRPr="00A2194A">
        <w:t xml:space="preserve">toxicity can usually be determined </w:t>
      </w:r>
      <w:r w:rsidRPr="00A2194A" w:rsidR="00CD46E9">
        <w:t>within</w:t>
      </w:r>
      <w:r w:rsidRPr="00A2194A">
        <w:t xml:space="preserve"> 4</w:t>
      </w:r>
      <w:r w:rsidRPr="00A2194A" w:rsidR="00CD46E9">
        <w:t> </w:t>
      </w:r>
      <w:r w:rsidRPr="00A2194A">
        <w:t xml:space="preserve">days. Chronic tests, with the exception of microbial and algal bioassays, and sensitive early </w:t>
      </w:r>
      <w:r w:rsidRPr="00A2194A" w:rsidR="00290EC3">
        <w:t>life</w:t>
      </w:r>
      <w:r w:rsidR="00CF6F54">
        <w:t>-</w:t>
      </w:r>
      <w:r w:rsidRPr="00A2194A">
        <w:t>stage tests (e.g. echinoderm 1</w:t>
      </w:r>
      <w:r w:rsidR="00CF6F54">
        <w:t>-</w:t>
      </w:r>
      <w:r w:rsidRPr="00A2194A" w:rsidR="00CD46E9">
        <w:t> </w:t>
      </w:r>
      <w:r w:rsidRPr="00A2194A">
        <w:t>hour egg fertilisation</w:t>
      </w:r>
      <w:r w:rsidRPr="00A2194A" w:rsidR="00CD46E9">
        <w:t>)</w:t>
      </w:r>
      <w:r w:rsidRPr="00A2194A">
        <w:t xml:space="preserve"> require longer (see </w:t>
      </w:r>
      <w:r w:rsidRPr="00A2194A" w:rsidR="00226914">
        <w:t>Warne et al. 2018</w:t>
      </w:r>
      <w:r w:rsidR="00DC5F6C">
        <w:t>,</w:t>
      </w:r>
      <w:r w:rsidR="00226914">
        <w:t xml:space="preserve"> </w:t>
      </w:r>
      <w:r w:rsidRPr="00A2194A">
        <w:t>Table</w:t>
      </w:r>
      <w:r w:rsidR="00764828">
        <w:t> </w:t>
      </w:r>
      <w:r w:rsidRPr="00A2194A">
        <w:t xml:space="preserve">1). </w:t>
      </w:r>
      <w:r w:rsidRPr="00A2194A" w:rsidR="00583DD5">
        <w:t>T</w:t>
      </w:r>
      <w:r w:rsidRPr="00A2194A" w:rsidR="00FB2D6E">
        <w:t>oxicity assessments</w:t>
      </w:r>
      <w:r w:rsidRPr="00A2194A" w:rsidR="00583DD5">
        <w:t xml:space="preserve"> typically require</w:t>
      </w:r>
      <w:r w:rsidRPr="00A2194A" w:rsidR="00FB2D6E">
        <w:t xml:space="preserve"> toxicity tests for at least </w:t>
      </w:r>
      <w:r w:rsidR="00F42A2A">
        <w:t>5</w:t>
      </w:r>
      <w:r w:rsidRPr="00A2194A" w:rsidR="00F42A2A">
        <w:t xml:space="preserve"> </w:t>
      </w:r>
      <w:r w:rsidRPr="00A2194A" w:rsidR="00FB2D6E">
        <w:t>species</w:t>
      </w:r>
      <w:r w:rsidR="00DC5F6C">
        <w:t xml:space="preserve"> (</w:t>
      </w:r>
      <w:r w:rsidR="0088011E">
        <w:t xml:space="preserve">but </w:t>
      </w:r>
      <w:r w:rsidR="00CF6F54">
        <w:t xml:space="preserve">preferably </w:t>
      </w:r>
      <w:r w:rsidR="0088011E">
        <w:t xml:space="preserve">8 or </w:t>
      </w:r>
      <w:r w:rsidR="00DC5F6C">
        <w:t>more)</w:t>
      </w:r>
      <w:r w:rsidRPr="00A2194A">
        <w:t xml:space="preserve"> covering </w:t>
      </w:r>
      <w:r w:rsidRPr="00A2194A" w:rsidR="00FB2D6E">
        <w:t xml:space="preserve">at least </w:t>
      </w:r>
      <w:r w:rsidR="00F42A2A">
        <w:t>4</w:t>
      </w:r>
      <w:r w:rsidRPr="00A2194A" w:rsidR="00F42A2A">
        <w:t xml:space="preserve"> </w:t>
      </w:r>
      <w:r w:rsidRPr="00A2194A">
        <w:t>different taxonomic groups</w:t>
      </w:r>
      <w:r w:rsidR="00581A5D">
        <w:t>. F</w:t>
      </w:r>
      <w:r w:rsidRPr="00A2194A" w:rsidR="009F791A">
        <w:t xml:space="preserve">ewer species may be acceptable depending on the </w:t>
      </w:r>
      <w:r w:rsidRPr="00A2194A" w:rsidR="00583DD5">
        <w:t xml:space="preserve">assessment </w:t>
      </w:r>
      <w:r w:rsidRPr="00A2194A" w:rsidR="009F791A">
        <w:t>objective.</w:t>
      </w:r>
      <w:r w:rsidRPr="00A2194A">
        <w:t xml:space="preserve"> </w:t>
      </w:r>
      <w:r w:rsidRPr="00A2194A" w:rsidR="00CC6101">
        <w:t>S</w:t>
      </w:r>
      <w:r w:rsidRPr="00A2194A" w:rsidR="009F791A">
        <w:t>pecies</w:t>
      </w:r>
      <w:r w:rsidRPr="00A2194A">
        <w:t xml:space="preserve"> vary in sensitivity to different stressors. For example, herbicides </w:t>
      </w:r>
      <w:r w:rsidRPr="00A2194A" w:rsidR="00CC6101">
        <w:t xml:space="preserve">are </w:t>
      </w:r>
      <w:r w:rsidRPr="00A2194A">
        <w:t>generally more toxic to plants than to animals</w:t>
      </w:r>
      <w:r w:rsidRPr="00A2194A" w:rsidR="00CC6101">
        <w:t>,</w:t>
      </w:r>
      <w:r w:rsidRPr="00A2194A">
        <w:t xml:space="preserve"> and invertebrates </w:t>
      </w:r>
      <w:r w:rsidRPr="00A2194A" w:rsidR="00CC6101">
        <w:t xml:space="preserve">are </w:t>
      </w:r>
      <w:r w:rsidRPr="00A2194A">
        <w:t xml:space="preserve">typically more sensitive </w:t>
      </w:r>
      <w:r w:rsidR="00F42A2A">
        <w:t xml:space="preserve">than plants </w:t>
      </w:r>
      <w:r w:rsidRPr="00A2194A">
        <w:t>to</w:t>
      </w:r>
      <w:r w:rsidRPr="00A2194A" w:rsidR="00262584">
        <w:t xml:space="preserve"> insecticides.</w:t>
      </w:r>
      <w:r w:rsidRPr="00A2194A">
        <w:t xml:space="preserve"> There are many influences on sensitivity, such as the nature and development of regulatory and excretory mechanisms (often making early </w:t>
      </w:r>
      <w:r w:rsidRPr="00A2194A" w:rsidR="00290EC3">
        <w:t>life</w:t>
      </w:r>
      <w:r w:rsidR="00CF6F54">
        <w:t>-</w:t>
      </w:r>
      <w:r w:rsidRPr="00A2194A">
        <w:t xml:space="preserve">history stages more sensitive than later </w:t>
      </w:r>
      <w:r w:rsidRPr="00A2194A" w:rsidR="00290EC3">
        <w:t>life</w:t>
      </w:r>
      <w:r w:rsidR="00290EC3">
        <w:t>-</w:t>
      </w:r>
      <w:r w:rsidRPr="00A2194A">
        <w:t>history stages),</w:t>
      </w:r>
      <w:r w:rsidR="00581A5D">
        <w:t xml:space="preserve"> and</w:t>
      </w:r>
      <w:r w:rsidRPr="00A2194A">
        <w:t xml:space="preserve"> the exposure pathway (for example, absorption across gill surfaces commonly results in increased uptake </w:t>
      </w:r>
      <w:r w:rsidR="00593CC4">
        <w:t>compared to</w:t>
      </w:r>
      <w:r w:rsidRPr="00A2194A" w:rsidR="00593CC4">
        <w:t xml:space="preserve"> </w:t>
      </w:r>
      <w:r w:rsidRPr="00A2194A">
        <w:t xml:space="preserve">uptake via the gut). The drivers of sensitivity can be difficult to determine </w:t>
      </w:r>
      <w:r w:rsidRPr="00A2194A">
        <w:rPr>
          <w:rStyle w:val="Emphasis"/>
        </w:rPr>
        <w:t>a priori</w:t>
      </w:r>
      <w:r w:rsidRPr="00A2194A">
        <w:t xml:space="preserve">, </w:t>
      </w:r>
      <w:r w:rsidR="00A93E86">
        <w:t>so</w:t>
      </w:r>
      <w:r w:rsidRPr="00A2194A">
        <w:t xml:space="preserve"> generally a suite of </w:t>
      </w:r>
      <w:r w:rsidRPr="00A2194A" w:rsidR="009F791A">
        <w:t xml:space="preserve">species </w:t>
      </w:r>
      <w:r w:rsidRPr="00A2194A">
        <w:t>from different taxonomic</w:t>
      </w:r>
      <w:r w:rsidR="00632993">
        <w:t xml:space="preserve"> or </w:t>
      </w:r>
      <w:r w:rsidRPr="00A2194A">
        <w:t>trophic groups is recommended</w:t>
      </w:r>
      <w:r w:rsidR="00900EF5">
        <w:t xml:space="preserve"> (see</w:t>
      </w:r>
      <w:r w:rsidRPr="00D956DB" w:rsidR="00900EF5">
        <w:rPr>
          <w:color w:val="000000" w:themeColor="text1"/>
        </w:rPr>
        <w:t xml:space="preserve"> ‘</w:t>
      </w:r>
      <w:r>
        <w:fldChar w:fldCharType="begin"/>
      </w:r>
      <w:r>
        <w:instrText xml:space="preserve"> HYPERLINK \l "Minimum_requirements" </w:instrText>
      </w:r>
      <w:r>
        <w:fldChar w:fldCharType="separate"/>
      </w:r>
      <w:r w:rsidRPr="00D956DB" w:rsidR="00900EF5">
        <w:rPr>
          <w:rStyle w:val="Hyperlink"/>
          <w:color w:val="000000" w:themeColor="text1"/>
        </w:rPr>
        <w:t>Minimum requirements for using direct toxicity assessment to assess water quality</w:t>
      </w:r>
      <w:r>
        <w:fldChar w:fldCharType="end"/>
      </w:r>
      <w:r w:rsidRPr="00D956DB" w:rsidR="00900EF5">
        <w:rPr>
          <w:color w:val="000000" w:themeColor="text1"/>
        </w:rPr>
        <w:t>’ for more details</w:t>
      </w:r>
      <w:r w:rsidR="00900EF5">
        <w:t>)</w:t>
      </w:r>
      <w:r w:rsidRPr="00A2194A">
        <w:t xml:space="preserve">. For the toxicants with </w:t>
      </w:r>
      <w:r w:rsidRPr="00A2194A" w:rsidR="00CC6101">
        <w:t>D</w:t>
      </w:r>
      <w:r w:rsidRPr="00A2194A">
        <w:t xml:space="preserve">GVs, examination of the SSD can provide guidance on the sensitive </w:t>
      </w:r>
      <w:r w:rsidRPr="00A2194A" w:rsidR="009F791A">
        <w:t xml:space="preserve">species </w:t>
      </w:r>
      <w:r w:rsidRPr="00A2194A">
        <w:t xml:space="preserve">for </w:t>
      </w:r>
      <w:r w:rsidRPr="00A2194A" w:rsidR="009F791A">
        <w:t xml:space="preserve">a given </w:t>
      </w:r>
      <w:r w:rsidRPr="00A2194A">
        <w:t>toxicant.</w:t>
      </w:r>
    </w:p>
    <w:p w:rsidR="009B170E" w:rsidP="004F1DCB" w14:paraId="05EC310D" w14:textId="79D61A24">
      <w:pPr>
        <w:spacing w:after="180"/>
      </w:pPr>
      <w:r>
        <w:t>Data from l</w:t>
      </w:r>
      <w:r w:rsidR="00253CDC">
        <w:t>aboratory</w:t>
      </w:r>
      <w:r w:rsidR="00290EC3">
        <w:t>,</w:t>
      </w:r>
      <w:r w:rsidR="00253CDC">
        <w:t xml:space="preserve"> single-chemical and single-species toxicity tests form the basis for deriving chemical-specific water</w:t>
      </w:r>
      <w:r w:rsidR="00ED5678">
        <w:t>-</w:t>
      </w:r>
      <w:r w:rsidR="00253CDC">
        <w:t xml:space="preserve">quality </w:t>
      </w:r>
      <w:r w:rsidR="003E5350">
        <w:t>D</w:t>
      </w:r>
      <w:r w:rsidR="00253CDC">
        <w:t xml:space="preserve">GVs for Australia and New Zealand. As such, </w:t>
      </w:r>
      <w:r w:rsidR="00612ED8">
        <w:t>ANZG (2018)</w:t>
      </w:r>
      <w:r w:rsidR="00253CDC">
        <w:t xml:space="preserve"> </w:t>
      </w:r>
      <w:r w:rsidR="003E5350">
        <w:t>recommend</w:t>
      </w:r>
      <w:r w:rsidR="00DC5F6C">
        <w:t>s</w:t>
      </w:r>
      <w:r w:rsidR="003E5350">
        <w:t xml:space="preserve"> </w:t>
      </w:r>
      <w:r w:rsidR="00253CDC">
        <w:t xml:space="preserve">direct toxicity assessment (DTA) as a useful technique for </w:t>
      </w:r>
      <w:r w:rsidR="003E5350">
        <w:t>assessing the effects of</w:t>
      </w:r>
      <w:r w:rsidR="00253CDC">
        <w:t xml:space="preserve"> mixtures of compounds in ambient waters </w:t>
      </w:r>
      <w:r w:rsidR="00F65C9B">
        <w:t>(</w:t>
      </w:r>
      <w:r w:rsidR="00593CC4">
        <w:t>e.g.</w:t>
      </w:r>
      <w:r w:rsidR="00253CDC">
        <w:t xml:space="preserve"> industrial effluent, wastewater treatment plant effluent,</w:t>
      </w:r>
      <w:r w:rsidR="00F65C9B">
        <w:t xml:space="preserve"> </w:t>
      </w:r>
      <w:r w:rsidR="00253CDC">
        <w:t>landfill leachates</w:t>
      </w:r>
      <w:r w:rsidR="00F65C9B">
        <w:t>)</w:t>
      </w:r>
      <w:r w:rsidR="00253CDC">
        <w:t xml:space="preserve">. In some countries (e.g. </w:t>
      </w:r>
      <w:r w:rsidR="00EB4521">
        <w:t xml:space="preserve">the </w:t>
      </w:r>
      <w:r w:rsidR="00253CDC">
        <w:t xml:space="preserve">USA), DTA is termed </w:t>
      </w:r>
      <w:r w:rsidR="00593CC4">
        <w:t>‘</w:t>
      </w:r>
      <w:r w:rsidR="00253CDC">
        <w:t>whole effluent toxicity</w:t>
      </w:r>
      <w:r w:rsidR="00593CC4">
        <w:t>’</w:t>
      </w:r>
      <w:r w:rsidR="00253CDC">
        <w:t xml:space="preserve"> (WET) testing.</w:t>
      </w:r>
      <w:r w:rsidR="009F791A">
        <w:t xml:space="preserve"> The ANZECC</w:t>
      </w:r>
      <w:r w:rsidR="00BE4397">
        <w:t xml:space="preserve"> and </w:t>
      </w:r>
      <w:r w:rsidR="009F791A">
        <w:t>ARMCANZ (2000) guidance</w:t>
      </w:r>
      <w:r w:rsidR="00F65C9B">
        <w:t xml:space="preserve"> for toxicity testing</w:t>
      </w:r>
      <w:r w:rsidR="009F791A">
        <w:t xml:space="preserve"> remains largely valid today</w:t>
      </w:r>
      <w:r w:rsidR="00BB14E8">
        <w:t>.</w:t>
      </w:r>
      <w:r w:rsidR="007D1868">
        <w:t xml:space="preserve"> </w:t>
      </w:r>
      <w:r w:rsidR="00C8303B">
        <w:t xml:space="preserve">However, </w:t>
      </w:r>
      <w:r w:rsidR="00AE3B65">
        <w:t>Section</w:t>
      </w:r>
      <w:r w:rsidR="00DC5F6C">
        <w:t>s</w:t>
      </w:r>
      <w:r w:rsidR="00AE3B65">
        <w:t> </w:t>
      </w:r>
      <w:r w:rsidR="00AE3B65">
        <w:fldChar w:fldCharType="begin"/>
      </w:r>
      <w:r w:rsidR="00AE3B65">
        <w:instrText xml:space="preserve"> REF _Ref48723659 \r \h </w:instrText>
      </w:r>
      <w:r w:rsidR="00AE3B65">
        <w:fldChar w:fldCharType="separate"/>
      </w:r>
      <w:r w:rsidR="008A285F">
        <w:t>3.2.1</w:t>
      </w:r>
      <w:r w:rsidR="00AE3B65">
        <w:fldChar w:fldCharType="end"/>
      </w:r>
      <w:r w:rsidR="00F65C9B">
        <w:t xml:space="preserve"> and </w:t>
      </w:r>
      <w:r w:rsidR="00AE3B65">
        <w:fldChar w:fldCharType="begin"/>
      </w:r>
      <w:r w:rsidR="00AE3B65">
        <w:instrText xml:space="preserve"> REF _Ref48723688 \r \h </w:instrText>
      </w:r>
      <w:r w:rsidR="00AE3B65">
        <w:fldChar w:fldCharType="separate"/>
      </w:r>
      <w:r w:rsidR="008A285F">
        <w:t>3.2.2</w:t>
      </w:r>
      <w:r w:rsidR="00AE3B65">
        <w:fldChar w:fldCharType="end"/>
      </w:r>
      <w:r w:rsidR="00F65C9B">
        <w:t xml:space="preserve"> describe this guidance </w:t>
      </w:r>
      <w:r w:rsidR="009F791A">
        <w:t>with various updates</w:t>
      </w:r>
      <w:r w:rsidR="007E1E79">
        <w:t xml:space="preserve"> </w:t>
      </w:r>
      <w:r w:rsidR="00BB14E8">
        <w:t xml:space="preserve">as </w:t>
      </w:r>
      <w:r w:rsidR="007E1E79">
        <w:t>necessary</w:t>
      </w:r>
      <w:r w:rsidR="009F791A">
        <w:t>.</w:t>
      </w:r>
    </w:p>
    <w:p w:rsidR="009B170E" w:rsidP="00850E85" w14:paraId="512268A2" w14:textId="5D7B78F0">
      <w:pPr>
        <w:pStyle w:val="Heading4"/>
      </w:pPr>
      <w:bookmarkStart w:id="71" w:name="_Ref48723659"/>
      <w:bookmarkStart w:id="72" w:name="_Toc138332259"/>
      <w:r w:rsidRPr="00AB44A6">
        <w:t>Single</w:t>
      </w:r>
      <w:r w:rsidR="0001731C">
        <w:t>-</w:t>
      </w:r>
      <w:r w:rsidRPr="00AB44A6">
        <w:t>chemical toxicity testing</w:t>
      </w:r>
      <w:bookmarkEnd w:id="71"/>
      <w:bookmarkEnd w:id="72"/>
    </w:p>
    <w:p w:rsidR="0001731C" w:rsidRPr="0001731C" w:rsidP="004F1DCB" w14:paraId="3014EF6F" w14:textId="77777777">
      <w:pPr>
        <w:pStyle w:val="Heading5"/>
        <w:spacing w:before="80"/>
      </w:pPr>
      <w:r>
        <w:t>Benefits of single-</w:t>
      </w:r>
      <w:r w:rsidRPr="0001731C">
        <w:t>chemical toxicity testing</w:t>
      </w:r>
    </w:p>
    <w:p w:rsidR="00B768A5" w:rsidP="004F1DCB" w14:paraId="2E325456" w14:textId="6EEBCC2E">
      <w:pPr>
        <w:spacing w:after="180"/>
      </w:pPr>
      <w:r>
        <w:t xml:space="preserve">A </w:t>
      </w:r>
      <w:r w:rsidR="00253CDC">
        <w:t xml:space="preserve">major benefit </w:t>
      </w:r>
      <w:r>
        <w:t>of single-chemical toxicity testing is that</w:t>
      </w:r>
      <w:r w:rsidR="00253CDC">
        <w:t xml:space="preserve"> specific cause</w:t>
      </w:r>
      <w:r w:rsidR="0001731C">
        <w:t>–</w:t>
      </w:r>
      <w:r w:rsidR="00253CDC">
        <w:t xml:space="preserve">effect information can be obtained on the toxicity of a particular chemical. </w:t>
      </w:r>
      <w:r>
        <w:t xml:space="preserve">This </w:t>
      </w:r>
      <w:r w:rsidR="00253CDC">
        <w:t>information is used to derive water</w:t>
      </w:r>
      <w:r w:rsidR="00A44547">
        <w:t>-</w:t>
      </w:r>
      <w:r w:rsidR="00253CDC">
        <w:t xml:space="preserve">quality </w:t>
      </w:r>
      <w:r w:rsidR="003E5350">
        <w:t xml:space="preserve">guideline values </w:t>
      </w:r>
      <w:r w:rsidR="00253CDC">
        <w:t>for the protection of aquatic ecosystems. Definitive limits can be set and</w:t>
      </w:r>
      <w:r w:rsidR="00A44547">
        <w:t>,</w:t>
      </w:r>
      <w:r w:rsidR="00253CDC">
        <w:t xml:space="preserve"> assuming there is an analytical detection method for the compound, it can be readily monitored in aquatic environments. In addition, the majority of single-chemical toxicity tests are carried out in the laboratory, where effects can be studied under controlled conditions with a limited number of variables (Sprague 1990). Assuming </w:t>
      </w:r>
      <w:r w:rsidR="00290EC3">
        <w:t xml:space="preserve">that </w:t>
      </w:r>
      <w:r w:rsidR="00253CDC">
        <w:t xml:space="preserve">such experiments are carried out correctly, there is a large degree of certainty that the observed effects are caused by the chemical alone. </w:t>
      </w:r>
      <w:r w:rsidR="00A44547">
        <w:t>F</w:t>
      </w:r>
      <w:r w:rsidR="00253CDC">
        <w:t>or the majority of compounds, single</w:t>
      </w:r>
      <w:r>
        <w:t>-</w:t>
      </w:r>
      <w:r w:rsidR="00253CDC">
        <w:t xml:space="preserve">chemical toxicity tests are </w:t>
      </w:r>
      <w:r w:rsidR="00CC6CB2">
        <w:t>an</w:t>
      </w:r>
      <w:r w:rsidR="00253CDC">
        <w:t xml:space="preserve"> appropriate way of determining toxicity and deriving water</w:t>
      </w:r>
      <w:r w:rsidR="00A44547">
        <w:t>-</w:t>
      </w:r>
      <w:r w:rsidR="00253CDC">
        <w:t xml:space="preserve">quality </w:t>
      </w:r>
      <w:r w:rsidR="003E5350">
        <w:t>guideline values</w:t>
      </w:r>
      <w:r w:rsidR="00253CDC">
        <w:t>.</w:t>
      </w:r>
      <w:r w:rsidR="00145F0A">
        <w:t xml:space="preserve"> </w:t>
      </w:r>
    </w:p>
    <w:p w:rsidR="00AB44A6" w:rsidP="004F1DCB" w14:paraId="5BDA2701" w14:textId="6704F226">
      <w:pPr>
        <w:spacing w:after="180"/>
      </w:pPr>
      <w:r>
        <w:t>A</w:t>
      </w:r>
      <w:r w:rsidR="00145F0A">
        <w:t xml:space="preserve">lternative approaches exist and may be </w:t>
      </w:r>
      <w:r w:rsidR="00FF3FD1">
        <w:t xml:space="preserve">more appropriate in certain circumstances, especially where site-specific </w:t>
      </w:r>
      <w:r w:rsidR="007D1868">
        <w:t>guideline v</w:t>
      </w:r>
      <w:r>
        <w:t xml:space="preserve">alues </w:t>
      </w:r>
      <w:r w:rsidR="00FF3FD1">
        <w:t xml:space="preserve">are needed. Van Dam et al. (2019) provide guidance on how to select and evaluate approaches for deriving site-specific </w:t>
      </w:r>
      <w:r>
        <w:t>guideline values</w:t>
      </w:r>
      <w:r w:rsidR="00FF3FD1">
        <w:t>.</w:t>
      </w:r>
    </w:p>
    <w:p w:rsidR="0001731C" w:rsidP="0001731C" w14:paraId="5B17414E" w14:textId="77777777">
      <w:pPr>
        <w:pStyle w:val="Heading5"/>
      </w:pPr>
      <w:r>
        <w:t>Limitations of single-</w:t>
      </w:r>
      <w:r w:rsidRPr="0001731C">
        <w:t>chemical toxicity testing</w:t>
      </w:r>
    </w:p>
    <w:p w:rsidR="00AB44A6" w:rsidP="004F1DCB" w14:paraId="2631356A" w14:textId="4BB2E3A1">
      <w:pPr>
        <w:spacing w:after="180"/>
      </w:pPr>
      <w:r>
        <w:t xml:space="preserve">An organism will rarely be exposed to just one toxicant in the environment (Sprague 1990), </w:t>
      </w:r>
      <w:r w:rsidR="00581A5D">
        <w:t xml:space="preserve">so </w:t>
      </w:r>
      <w:r>
        <w:t>single-chemical toxicity testing is not representative of the natural environment. In most circumstances, a particular chemical will be present in combination with many other chemicals</w:t>
      </w:r>
      <w:r w:rsidR="003D38D3">
        <w:t>,</w:t>
      </w:r>
      <w:r>
        <w:t xml:space="preserve"> and interactions that alt</w:t>
      </w:r>
      <w:r w:rsidR="007A749F">
        <w:t xml:space="preserve">er their toxicity </w:t>
      </w:r>
      <w:r w:rsidR="00076AFC">
        <w:t xml:space="preserve">may occur </w:t>
      </w:r>
      <w:r w:rsidR="007A749F">
        <w:t>(Holdway 1992,</w:t>
      </w:r>
      <w:r>
        <w:t xml:space="preserve"> </w:t>
      </w:r>
      <w:r w:rsidR="00B510CA">
        <w:t xml:space="preserve">de </w:t>
      </w:r>
      <w:r>
        <w:t xml:space="preserve">Zwart </w:t>
      </w:r>
      <w:r w:rsidR="003C60FB">
        <w:t>and</w:t>
      </w:r>
      <w:r>
        <w:t xml:space="preserve"> Posthuma 2005). Subsequently, mixtures of chemicals can result in additive toxicity, greater</w:t>
      </w:r>
      <w:r w:rsidR="00A44547">
        <w:t>-</w:t>
      </w:r>
      <w:r>
        <w:t>than</w:t>
      </w:r>
      <w:r w:rsidR="00A44547">
        <w:t>-</w:t>
      </w:r>
      <w:r>
        <w:t>additive toxicity (also known as synergism) or less</w:t>
      </w:r>
      <w:r w:rsidR="00A44547">
        <w:t>-</w:t>
      </w:r>
      <w:r>
        <w:t>than</w:t>
      </w:r>
      <w:r w:rsidR="00A44547">
        <w:t>-</w:t>
      </w:r>
      <w:r>
        <w:t>additive toxicity (antagonism) (Rand 1995</w:t>
      </w:r>
      <w:r w:rsidR="007A749F">
        <w:t>,</w:t>
      </w:r>
      <w:r>
        <w:t xml:space="preserve"> </w:t>
      </w:r>
      <w:r w:rsidR="00B510CA">
        <w:t xml:space="preserve">de </w:t>
      </w:r>
      <w:r>
        <w:t xml:space="preserve">Zwart </w:t>
      </w:r>
      <w:r w:rsidR="003C60FB">
        <w:t>and</w:t>
      </w:r>
      <w:r>
        <w:t xml:space="preserve"> Posthuma 2005). Single-chemical toxicity tests do not account for such factors, and the extrapolation of the results to environmental impacts </w:t>
      </w:r>
      <w:r w:rsidR="00654203">
        <w:t>is uncertain</w:t>
      </w:r>
      <w:r>
        <w:t>. While methods exist for predicting the toxicity of mixtures by using data from single</w:t>
      </w:r>
      <w:r w:rsidR="00856A82">
        <w:t>-</w:t>
      </w:r>
      <w:r>
        <w:t>chemical toxicity tests (Marking 1977</w:t>
      </w:r>
      <w:r w:rsidR="007A749F">
        <w:t>,</w:t>
      </w:r>
      <w:r>
        <w:t xml:space="preserve"> Warne 1998), and recent reviews have verified that the assumption of additive toxicity is the best default (Syberg et al. 2009</w:t>
      </w:r>
      <w:r w:rsidR="007A749F">
        <w:t>,</w:t>
      </w:r>
      <w:r>
        <w:t xml:space="preserve"> Verbruggen </w:t>
      </w:r>
      <w:r w:rsidR="003C60FB">
        <w:t>and</w:t>
      </w:r>
      <w:r>
        <w:t xml:space="preserve"> </w:t>
      </w:r>
      <w:r w:rsidR="00136839">
        <w:t xml:space="preserve">Van den </w:t>
      </w:r>
      <w:r>
        <w:t>Brink 2010</w:t>
      </w:r>
      <w:r w:rsidR="007A749F">
        <w:t>,</w:t>
      </w:r>
      <w:r>
        <w:t xml:space="preserve"> Cedergreen 2014), this approach </w:t>
      </w:r>
      <w:r w:rsidR="00136839">
        <w:t>is only effective</w:t>
      </w:r>
      <w:r>
        <w:t xml:space="preserve"> when all contaminants within an effluent are known. This is generally not the case for complex effluent</w:t>
      </w:r>
      <w:r w:rsidR="00290EC3">
        <w:t>s</w:t>
      </w:r>
      <w:r>
        <w:t xml:space="preserve"> and wastewater</w:t>
      </w:r>
      <w:r w:rsidR="00290EC3">
        <w:t>s</w:t>
      </w:r>
      <w:r>
        <w:t>.</w:t>
      </w:r>
    </w:p>
    <w:p w:rsidR="00AB44A6" w:rsidP="004F1DCB" w14:paraId="48DAE273" w14:textId="4FEF2675">
      <w:pPr>
        <w:spacing w:after="180"/>
      </w:pPr>
      <w:r>
        <w:t xml:space="preserve">While strict control of all variables </w:t>
      </w:r>
      <w:r w:rsidR="00A44547">
        <w:t xml:space="preserve">except </w:t>
      </w:r>
      <w:r>
        <w:t xml:space="preserve">the one of interest is usually considered a benefit in laboratory experiments, it has also been recognised as their major limitation (Rand 1995). Manipulation of environmental factors can be incorporated into a laboratory toxicity test (e.g. water hardness for metals) but they cannot simulate all aspects of the natural environment. Other limitations include the use of a constant toxicant concentration, the use of a limited range of standard test organisms, and the need </w:t>
      </w:r>
      <w:r w:rsidR="00136839">
        <w:t>for</w:t>
      </w:r>
      <w:r>
        <w:t xml:space="preserve"> optimal living conditions for test organisms. </w:t>
      </w:r>
      <w:r w:rsidR="00FB2C82">
        <w:t>Additionally</w:t>
      </w:r>
      <w:r w:rsidR="00DF75D2">
        <w:t xml:space="preserve">, condition and resilience of laboratory-cultured organisms can be very different to wild organisms. </w:t>
      </w:r>
      <w:r w:rsidR="00A44547">
        <w:t>I</w:t>
      </w:r>
      <w:r>
        <w:t xml:space="preserve">t is difficult to be sure that effects observed in </w:t>
      </w:r>
      <w:r w:rsidR="00927380">
        <w:t xml:space="preserve">laboratory </w:t>
      </w:r>
      <w:r>
        <w:t xml:space="preserve">experiments resemble those in the natural environment. </w:t>
      </w:r>
    </w:p>
    <w:p w:rsidR="007F3404" w:rsidP="004F1DCB" w14:paraId="102E1F6F" w14:textId="3D59C77F">
      <w:pPr>
        <w:spacing w:after="120"/>
      </w:pPr>
      <w:r>
        <w:t>Various methods have been used to minimise limitations of single-chemical toxicity tests</w:t>
      </w:r>
      <w:r w:rsidR="004F1DCB">
        <w:t>, including</w:t>
      </w:r>
      <w:r>
        <w:t>:</w:t>
      </w:r>
    </w:p>
    <w:p w:rsidR="007F3404" w:rsidP="007F3404" w14:paraId="5478AE01" w14:textId="24B603CE">
      <w:pPr>
        <w:pStyle w:val="ListBullet"/>
      </w:pPr>
      <w:r>
        <w:t xml:space="preserve">the use of safety </w:t>
      </w:r>
      <w:r w:rsidR="00250DA0">
        <w:t xml:space="preserve">or assessment </w:t>
      </w:r>
      <w:r>
        <w:t>factors</w:t>
      </w:r>
      <w:r w:rsidR="00A44547">
        <w:t xml:space="preserve"> – </w:t>
      </w:r>
      <w:r>
        <w:t>a practice widely used in the derivation of water</w:t>
      </w:r>
      <w:r w:rsidR="00ED5678">
        <w:t>-</w:t>
      </w:r>
      <w:r>
        <w:t xml:space="preserve">quality </w:t>
      </w:r>
      <w:r w:rsidR="002B3D0F">
        <w:t xml:space="preserve">guideline values </w:t>
      </w:r>
      <w:r>
        <w:t>worldwide, although questioned more recently (Batley et al. 201</w:t>
      </w:r>
      <w:r w:rsidR="00BA257A">
        <w:t>8</w:t>
      </w:r>
      <w:r>
        <w:t>)</w:t>
      </w:r>
    </w:p>
    <w:p w:rsidR="007F3404" w:rsidP="007F3404" w14:paraId="34B83D8C" w14:textId="41C70E93">
      <w:pPr>
        <w:pStyle w:val="ListBullet"/>
      </w:pPr>
      <w:r>
        <w:t>focusing on data from the most sensitive species tested</w:t>
      </w:r>
    </w:p>
    <w:p w:rsidR="007F3404" w:rsidP="007F3404" w14:paraId="1B1DEDE4" w14:textId="5E1DA357">
      <w:pPr>
        <w:pStyle w:val="ListBullet"/>
      </w:pPr>
      <w:r>
        <w:t>using</w:t>
      </w:r>
      <w:r w:rsidR="00253CDC">
        <w:t xml:space="preserve"> alternative statistical estimates, such as the EC10</w:t>
      </w:r>
      <w:r w:rsidR="00A44547">
        <w:t xml:space="preserve"> (concentration generating </w:t>
      </w:r>
      <w:r w:rsidR="00027DD4">
        <w:t>a 10%</w:t>
      </w:r>
      <w:r w:rsidR="00A44547">
        <w:t xml:space="preserve"> effect </w:t>
      </w:r>
      <w:r w:rsidR="00027DD4">
        <w:t>response in</w:t>
      </w:r>
      <w:r w:rsidR="00A44547">
        <w:t xml:space="preserve"> the test population)</w:t>
      </w:r>
      <w:r w:rsidR="00253CDC">
        <w:t xml:space="preserve"> as opposed to the EC50</w:t>
      </w:r>
      <w:r w:rsidR="00F40B6B">
        <w:t xml:space="preserve"> (concentration generating </w:t>
      </w:r>
      <w:r w:rsidR="00027DD4">
        <w:t>a 50%</w:t>
      </w:r>
      <w:r w:rsidR="00F40B6B">
        <w:t xml:space="preserve"> effect response in the test population)</w:t>
      </w:r>
      <w:r w:rsidR="00253CDC">
        <w:t>.</w:t>
      </w:r>
    </w:p>
    <w:p w:rsidR="009359DB" w:rsidP="00FB2C82" w14:paraId="663C08FC" w14:textId="493F374A">
      <w:pPr>
        <w:spacing w:after="120"/>
      </w:pPr>
      <w:r>
        <w:t xml:space="preserve">In addition, there has been </w:t>
      </w:r>
      <w:r w:rsidR="000F292C">
        <w:t>much research focused on</w:t>
      </w:r>
      <w:r>
        <w:t xml:space="preserve"> making the assessment of the effects of aquatic contaminants more realistic, such as the development of more relevant toxicity</w:t>
      </w:r>
      <w:r w:rsidR="00FB2C82">
        <w:t>-</w:t>
      </w:r>
      <w:r>
        <w:t xml:space="preserve">test protocols, including </w:t>
      </w:r>
      <w:r w:rsidR="000F292C">
        <w:t xml:space="preserve">laboratory </w:t>
      </w:r>
      <w:r>
        <w:t>multi-species and microcosm tests</w:t>
      </w:r>
      <w:r w:rsidR="00F40B6B">
        <w:t>,</w:t>
      </w:r>
      <w:r w:rsidR="00D158CE">
        <w:t xml:space="preserve"> </w:t>
      </w:r>
      <w:r>
        <w:t>outdoor mesocosm tests</w:t>
      </w:r>
      <w:r w:rsidR="00F40B6B">
        <w:t>,</w:t>
      </w:r>
      <w:r w:rsidR="00D158CE">
        <w:t xml:space="preserve"> </w:t>
      </w:r>
      <w:r w:rsidRPr="000F292C" w:rsidR="000F292C">
        <w:rPr>
          <w:i/>
          <w:iCs/>
        </w:rPr>
        <w:t>in</w:t>
      </w:r>
      <w:r w:rsidR="00F40B6B">
        <w:rPr>
          <w:i/>
          <w:iCs/>
        </w:rPr>
        <w:t>-</w:t>
      </w:r>
      <w:r w:rsidRPr="000F292C" w:rsidR="000F292C">
        <w:rPr>
          <w:i/>
          <w:iCs/>
        </w:rPr>
        <w:t>situ</w:t>
      </w:r>
      <w:r w:rsidR="000F292C">
        <w:t xml:space="preserve"> tests</w:t>
      </w:r>
      <w:r w:rsidR="00F40B6B">
        <w:t>,</w:t>
      </w:r>
      <w:r w:rsidR="000F292C">
        <w:t xml:space="preserve"> </w:t>
      </w:r>
      <w:r>
        <w:t xml:space="preserve">and tests for determining the toxicity of complex mixtures such as effluents and urban </w:t>
      </w:r>
      <w:r w:rsidR="00262584">
        <w:t>and industrial runoff water</w:t>
      </w:r>
      <w:r w:rsidR="004F6A0F">
        <w:t xml:space="preserve"> </w:t>
      </w:r>
      <w:r w:rsidRPr="00CF6F54" w:rsidR="004F6A0F">
        <w:t xml:space="preserve">(see Section </w:t>
      </w:r>
      <w:r w:rsidRPr="00CF6F54" w:rsidR="004F6A0F">
        <w:fldChar w:fldCharType="begin"/>
      </w:r>
      <w:r w:rsidRPr="00CF6F54" w:rsidR="004F6A0F">
        <w:instrText xml:space="preserve"> REF _Ref88561451 \r \h  \* MERGEFORMAT </w:instrText>
      </w:r>
      <w:r w:rsidRPr="00CF6F54" w:rsidR="004F6A0F">
        <w:fldChar w:fldCharType="separate"/>
      </w:r>
      <w:r w:rsidR="008A285F">
        <w:t>3.2.4</w:t>
      </w:r>
      <w:r w:rsidRPr="00CF6F54" w:rsidR="004F6A0F">
        <w:fldChar w:fldCharType="end"/>
      </w:r>
      <w:r w:rsidRPr="00CF6F54" w:rsidR="004F6A0F">
        <w:t xml:space="preserve"> for further details on field-based approaches such as </w:t>
      </w:r>
      <w:r w:rsidRPr="00CF6F54" w:rsidR="004F6A0F">
        <w:rPr>
          <w:i/>
          <w:iCs/>
        </w:rPr>
        <w:t>in</w:t>
      </w:r>
      <w:r w:rsidR="00F40B6B">
        <w:rPr>
          <w:i/>
          <w:iCs/>
        </w:rPr>
        <w:t>-</w:t>
      </w:r>
      <w:r w:rsidRPr="00CF6F54" w:rsidR="004F6A0F">
        <w:rPr>
          <w:i/>
          <w:iCs/>
        </w:rPr>
        <w:t>situ</w:t>
      </w:r>
      <w:r w:rsidRPr="00CF6F54" w:rsidR="004F6A0F">
        <w:t xml:space="preserve"> testing and mesocosms)</w:t>
      </w:r>
      <w:r w:rsidRPr="00CF6F54" w:rsidR="00262584">
        <w:t>.</w:t>
      </w:r>
      <w:r w:rsidR="00262584">
        <w:t xml:space="preserve"> </w:t>
      </w:r>
      <w:r>
        <w:t xml:space="preserve">Comparisons between </w:t>
      </w:r>
      <w:r w:rsidR="00D158CE">
        <w:t xml:space="preserve">outputs of </w:t>
      </w:r>
      <w:r>
        <w:t>single</w:t>
      </w:r>
      <w:r w:rsidR="00276474">
        <w:t>-</w:t>
      </w:r>
      <w:r>
        <w:t>species toxicity test</w:t>
      </w:r>
      <w:r w:rsidR="00290EC3">
        <w:t>-</w:t>
      </w:r>
      <w:r>
        <w:t xml:space="preserve">based SSD approaches and </w:t>
      </w:r>
      <w:r w:rsidR="00D158CE">
        <w:t xml:space="preserve">results from </w:t>
      </w:r>
      <w:r>
        <w:t xml:space="preserve">mesocosm and field </w:t>
      </w:r>
      <w:r w:rsidR="00D158CE">
        <w:t>experiments</w:t>
      </w:r>
      <w:r w:rsidR="00D91513">
        <w:t xml:space="preserve"> </w:t>
      </w:r>
      <w:r w:rsidR="00CD4A7C">
        <w:t xml:space="preserve">have generally </w:t>
      </w:r>
      <w:r w:rsidR="00D91513">
        <w:t>indicate</w:t>
      </w:r>
      <w:r w:rsidR="00CD4A7C">
        <w:t>d</w:t>
      </w:r>
      <w:r w:rsidR="00D91513">
        <w:t xml:space="preserve"> </w:t>
      </w:r>
      <w:r w:rsidR="00CD4A7C">
        <w:t>that</w:t>
      </w:r>
      <w:r w:rsidR="00D91513">
        <w:t>:</w:t>
      </w:r>
    </w:p>
    <w:p w:rsidR="009359DB" w:rsidP="00D91513" w14:paraId="28319E7D" w14:textId="591CC763">
      <w:pPr>
        <w:pStyle w:val="ListBullet"/>
      </w:pPr>
      <w:r>
        <w:t xml:space="preserve">they are similar in terms of estimating protective concentrations </w:t>
      </w:r>
      <w:r w:rsidR="00253CDC">
        <w:t>(e.g. Versteeg et al. 1999</w:t>
      </w:r>
      <w:r w:rsidR="007A749F">
        <w:t>,</w:t>
      </w:r>
      <w:r w:rsidR="00253CDC">
        <w:t xml:space="preserve"> Hose</w:t>
      </w:r>
      <w:r w:rsidR="00547BFF">
        <w:t> </w:t>
      </w:r>
      <w:r w:rsidR="003C60FB">
        <w:t>and</w:t>
      </w:r>
      <w:r w:rsidR="00253CDC">
        <w:t xml:space="preserve"> Van den Brink 2004)</w:t>
      </w:r>
    </w:p>
    <w:p w:rsidR="009359DB" w:rsidP="009359DB" w14:paraId="1299ED51" w14:textId="401A127B">
      <w:pPr>
        <w:pStyle w:val="ListBullet"/>
      </w:pPr>
      <w:r>
        <w:t>the use of single-species tests can under-predict toxicity depending on the mode of action of the toxicant (e.g. De Laender et al. 2009)</w:t>
      </w:r>
    </w:p>
    <w:p w:rsidR="009359DB" w:rsidP="009359DB" w14:paraId="3631EFFA" w14:textId="05D6A14E">
      <w:pPr>
        <w:pStyle w:val="ListBullet"/>
      </w:pPr>
      <w:r>
        <w:t xml:space="preserve">protection is best afforded by concentrating on the </w:t>
      </w:r>
      <w:r w:rsidR="00C726F8">
        <w:t>taxa</w:t>
      </w:r>
      <w:r>
        <w:t xml:space="preserve"> </w:t>
      </w:r>
      <w:r w:rsidR="00290EC3">
        <w:t xml:space="preserve">that are </w:t>
      </w:r>
      <w:r>
        <w:t>most sensitive to the toxic</w:t>
      </w:r>
      <w:r w:rsidR="007A749F">
        <w:t xml:space="preserve">ant (e.g. </w:t>
      </w:r>
      <w:r w:rsidR="00962966">
        <w:t xml:space="preserve">Van den </w:t>
      </w:r>
      <w:r w:rsidR="007A749F">
        <w:t>Brink et al.</w:t>
      </w:r>
      <w:r w:rsidR="00262584">
        <w:t xml:space="preserve"> 2006). </w:t>
      </w:r>
    </w:p>
    <w:p w:rsidR="00AB44A6" w:rsidP="007F3404" w14:paraId="34D02276" w14:textId="1D014411">
      <w:r>
        <w:t>Therefore, there is no consensus of the efficacy of</w:t>
      </w:r>
      <w:r w:rsidR="007D1868">
        <w:t xml:space="preserve"> </w:t>
      </w:r>
      <w:r w:rsidR="006C1E21">
        <w:t>using</w:t>
      </w:r>
      <w:r>
        <w:t xml:space="preserve"> an SSD based on single</w:t>
      </w:r>
      <w:r w:rsidR="007350D6">
        <w:t>-</w:t>
      </w:r>
      <w:r>
        <w:t>species tests alone</w:t>
      </w:r>
      <w:r w:rsidR="00581A5D">
        <w:t>.</w:t>
      </w:r>
      <w:r>
        <w:t xml:space="preserve"> </w:t>
      </w:r>
      <w:r w:rsidR="00581A5D">
        <w:t xml:space="preserve">However, </w:t>
      </w:r>
      <w:r>
        <w:t xml:space="preserve">the inclusion of taxa known to be sensitive to </w:t>
      </w:r>
      <w:r w:rsidR="006C1E21">
        <w:t>a toxicant</w:t>
      </w:r>
      <w:r>
        <w:t xml:space="preserve"> mode of action (e.g. plants for herbicides, invertebrates for insecticides) generally provide</w:t>
      </w:r>
      <w:r w:rsidR="006C1E21">
        <w:t>s</w:t>
      </w:r>
      <w:r>
        <w:t xml:space="preserve"> adequate protection for real-world, multi-species exposures.</w:t>
      </w:r>
    </w:p>
    <w:p w:rsidR="009B170E" w:rsidP="00AB44A6" w14:paraId="2FC6DE23" w14:textId="37700D1D">
      <w:r>
        <w:t>While this appear</w:t>
      </w:r>
      <w:r w:rsidR="006C1E21">
        <w:t>s</w:t>
      </w:r>
      <w:r>
        <w:t xml:space="preserve"> to be true for </w:t>
      </w:r>
      <w:r w:rsidR="006C1E21">
        <w:t xml:space="preserve">individual </w:t>
      </w:r>
      <w:r>
        <w:t xml:space="preserve">toxicants, </w:t>
      </w:r>
      <w:r w:rsidR="00CD4A7C">
        <w:t xml:space="preserve">it is less certain for </w:t>
      </w:r>
      <w:r>
        <w:t xml:space="preserve">mixtures of toxicants. </w:t>
      </w:r>
      <w:r w:rsidR="006C1E21">
        <w:t>S</w:t>
      </w:r>
      <w:r>
        <w:t>ection</w:t>
      </w:r>
      <w:r w:rsidR="006C1E21">
        <w:t> </w:t>
      </w:r>
      <w:r w:rsidR="00AE3B65">
        <w:fldChar w:fldCharType="begin"/>
      </w:r>
      <w:r w:rsidR="00AE3B65">
        <w:instrText xml:space="preserve"> REF _Ref48723688 \r \h </w:instrText>
      </w:r>
      <w:r w:rsidR="00AE3B65">
        <w:fldChar w:fldCharType="separate"/>
      </w:r>
      <w:r w:rsidR="008A285F">
        <w:t>3.2.2</w:t>
      </w:r>
      <w:r w:rsidR="00AE3B65">
        <w:fldChar w:fldCharType="end"/>
      </w:r>
      <w:r>
        <w:t xml:space="preserve"> discusses the concepts behind and the advances in toxicity testing of complex mixtures of </w:t>
      </w:r>
      <w:r w:rsidR="00CD4A7C">
        <w:t>toxicants</w:t>
      </w:r>
      <w:r>
        <w:t>.</w:t>
      </w:r>
    </w:p>
    <w:p w:rsidR="00AB44A6" w:rsidP="00850E85" w14:paraId="7B44B350" w14:textId="77777777">
      <w:pPr>
        <w:pStyle w:val="Heading4"/>
      </w:pPr>
      <w:bookmarkStart w:id="73" w:name="_Ref48723688"/>
      <w:bookmarkStart w:id="74" w:name="_Toc138332260"/>
      <w:r w:rsidRPr="00AB44A6">
        <w:t>Direct toxicity assessment</w:t>
      </w:r>
      <w:bookmarkEnd w:id="73"/>
      <w:bookmarkEnd w:id="74"/>
    </w:p>
    <w:p w:rsidR="00AB44A6" w:rsidP="00AB44A6" w14:paraId="159FF2A9" w14:textId="2CD0C615">
      <w:r>
        <w:t>DTA</w:t>
      </w:r>
      <w:r w:rsidR="00253CDC">
        <w:t xml:space="preserve"> (or WET testing) is a well-established approach</w:t>
      </w:r>
      <w:r w:rsidR="00262584">
        <w:t xml:space="preserve"> in ecotoxicology</w:t>
      </w:r>
      <w:r w:rsidR="00B657F0">
        <w:t xml:space="preserve"> that has generally been adapted from conventional single</w:t>
      </w:r>
      <w:r w:rsidR="002E45AD">
        <w:t>-</w:t>
      </w:r>
      <w:r w:rsidR="00B657F0">
        <w:t xml:space="preserve">chemical toxicity testing approaches, using similar methods, species selection and extrapolation to receiving waters (Mount 1986). </w:t>
      </w:r>
      <w:r w:rsidR="00253CDC">
        <w:t>The types of mixtures that can be assessed include urban runoff water</w:t>
      </w:r>
      <w:r w:rsidR="00B913F4">
        <w:t>,</w:t>
      </w:r>
      <w:r w:rsidR="00253CDC">
        <w:t xml:space="preserve"> sewage discharge, mining wastewater, petroleum production wastewater, agricultural runoff water, industrial effluent or any combination of compounds </w:t>
      </w:r>
      <w:r w:rsidR="003620F4">
        <w:t xml:space="preserve">that </w:t>
      </w:r>
      <w:r w:rsidR="00253CDC">
        <w:t xml:space="preserve">occurs in or is likely to enter the environment </w:t>
      </w:r>
      <w:r w:rsidR="00581A5D">
        <w:t xml:space="preserve">and </w:t>
      </w:r>
      <w:r w:rsidR="00253CDC">
        <w:t xml:space="preserve">for which the toxicity is unknown. </w:t>
      </w:r>
      <w:r w:rsidR="003620F4">
        <w:t xml:space="preserve">DTA </w:t>
      </w:r>
      <w:r w:rsidR="00253CDC">
        <w:t>can also include the assessment of the toxicity of ambient (natural) water that receive</w:t>
      </w:r>
      <w:r w:rsidR="003620F4">
        <w:t>s</w:t>
      </w:r>
      <w:r w:rsidR="00253CDC">
        <w:t xml:space="preserve"> contaminant inputs. Therefore, DTA differs from single</w:t>
      </w:r>
      <w:r w:rsidR="003620F4">
        <w:t>-</w:t>
      </w:r>
      <w:r w:rsidR="00253CDC">
        <w:t xml:space="preserve">chemical toxicity testing in that the combined effects of a number of compounds of unknown identity and concentration are assessed, as opposed to the effects of just one chemical. </w:t>
      </w:r>
    </w:p>
    <w:p w:rsidR="00A551AA" w:rsidP="00AB44A6" w14:paraId="342CF4C5" w14:textId="0E2BDA23">
      <w:r>
        <w:t xml:space="preserve">Grothe and Johnson (1996) state that the primary aim of WET testing (and </w:t>
      </w:r>
      <w:r w:rsidR="004E7EB2">
        <w:t xml:space="preserve">so </w:t>
      </w:r>
      <w:r>
        <w:t xml:space="preserve">DTA) is to ensure that wastewater releases into the aquatic environment do not harm aquatic life. </w:t>
      </w:r>
      <w:r w:rsidR="000B5FFF">
        <w:t>T</w:t>
      </w:r>
      <w:r>
        <w:t xml:space="preserve">his can also be broadened to account for </w:t>
      </w:r>
      <w:r w:rsidR="00C726F8">
        <w:t>physico-chemical</w:t>
      </w:r>
      <w:r>
        <w:t xml:space="preserve"> changes in water quality, such as eutrophication, hypoxia</w:t>
      </w:r>
      <w:r w:rsidR="000B5FFF">
        <w:t xml:space="preserve"> and </w:t>
      </w:r>
      <w:r>
        <w:t xml:space="preserve">salinisation. </w:t>
      </w:r>
      <w:r w:rsidR="00E17CED">
        <w:t xml:space="preserve">DTA </w:t>
      </w:r>
      <w:r>
        <w:t>aims to do so by measuring the overall toxicity of a mixture of compounds</w:t>
      </w:r>
      <w:r w:rsidR="00304A24">
        <w:t>. I</w:t>
      </w:r>
      <w:r>
        <w:t xml:space="preserve">t is generally not concerned with individual components. </w:t>
      </w:r>
    </w:p>
    <w:p w:rsidR="00AB44A6" w:rsidP="00AB44A6" w14:paraId="3BB6E5F6" w14:textId="488EFAC3">
      <w:r>
        <w:t>As with other methods, DTA has benefits and limitations. A more comprehensive review of the topic is provided by de Vlaming and Norberg-King (1999).</w:t>
      </w:r>
    </w:p>
    <w:p w:rsidR="00AB44A6" w:rsidP="00850E85" w14:paraId="72A0D146" w14:textId="77777777">
      <w:pPr>
        <w:pStyle w:val="Heading5"/>
      </w:pPr>
      <w:r w:rsidRPr="00AB44A6">
        <w:t>Benefits of direct toxicity assessment</w:t>
      </w:r>
    </w:p>
    <w:p w:rsidR="00AB44A6" w:rsidP="00AB44A6" w14:paraId="1E897280" w14:textId="6D17A2B6">
      <w:r>
        <w:t xml:space="preserve">DTA </w:t>
      </w:r>
      <w:r w:rsidR="00087E51">
        <w:t>is</w:t>
      </w:r>
      <w:r>
        <w:t xml:space="preserve"> an important tool for assessing the toxicity of complex wastewater and receiving </w:t>
      </w:r>
      <w:r w:rsidR="00087E51">
        <w:t>(</w:t>
      </w:r>
      <w:r>
        <w:t>or ambient</w:t>
      </w:r>
      <w:r w:rsidR="00087E51">
        <w:t>)</w:t>
      </w:r>
      <w:r>
        <w:t xml:space="preserve"> water where the</w:t>
      </w:r>
      <w:r w:rsidR="008645AA">
        <w:t>re are thousands</w:t>
      </w:r>
      <w:r>
        <w:t xml:space="preserve"> of </w:t>
      </w:r>
      <w:r w:rsidR="00180D81">
        <w:t xml:space="preserve">unidentified </w:t>
      </w:r>
      <w:r>
        <w:t xml:space="preserve">components. The effects of complex mixtures cannot usually be predicted by determining the toxicity of individual components, which typically change with time and are often not fully known (Holdway 1992). DTA provides an integrated measure of the toxicity of </w:t>
      </w:r>
      <w:r w:rsidR="00C726F8">
        <w:t xml:space="preserve">all the </w:t>
      </w:r>
      <w:r>
        <w:t xml:space="preserve">chemicals within a mixture (de Vlaming et al. 2000) and </w:t>
      </w:r>
      <w:r w:rsidR="00E453DD">
        <w:t xml:space="preserve">so </w:t>
      </w:r>
      <w:r>
        <w:t xml:space="preserve">accounts for interactions between compounds. Therefore, </w:t>
      </w:r>
      <w:r w:rsidR="00DA3E83">
        <w:t>DTA (compared to single-chemical toxicity testing)</w:t>
      </w:r>
      <w:r>
        <w:t xml:space="preserve"> more closely resembles the natural environment.</w:t>
      </w:r>
    </w:p>
    <w:p w:rsidR="003C0080" w:rsidP="001A6B2B" w14:paraId="19FA6CF2" w14:textId="6CFEED5E">
      <w:pPr>
        <w:spacing w:after="120"/>
      </w:pPr>
      <w:r>
        <w:t xml:space="preserve">DTA also: </w:t>
      </w:r>
    </w:p>
    <w:p w:rsidR="003C0080" w:rsidP="003C0080" w14:paraId="37324E97" w14:textId="10B056FC">
      <w:pPr>
        <w:pStyle w:val="ListBullet"/>
      </w:pPr>
      <w:r>
        <w:t>provides a direct measure of toxicity and bioavailability</w:t>
      </w:r>
    </w:p>
    <w:p w:rsidR="003C0080" w:rsidP="003C0080" w14:paraId="1FFDC60F" w14:textId="3ECA184D">
      <w:pPr>
        <w:pStyle w:val="ListBullet"/>
      </w:pPr>
      <w:r>
        <w:t>is</w:t>
      </w:r>
      <w:r w:rsidR="000A689F">
        <w:t xml:space="preserve"> a</w:t>
      </w:r>
      <w:r w:rsidR="00253CDC">
        <w:t xml:space="preserve"> reliable qualitative predictor of biological community impacts (Waller et al. 1996, de Vlaming </w:t>
      </w:r>
      <w:r w:rsidR="003C60FB">
        <w:t>and</w:t>
      </w:r>
      <w:r w:rsidR="00253CDC">
        <w:t xml:space="preserve"> Norberg-King 1999</w:t>
      </w:r>
      <w:r w:rsidR="007A749F">
        <w:t>,</w:t>
      </w:r>
      <w:r w:rsidR="00253CDC">
        <w:t xml:space="preserve"> de Vlaming et al. 2000)</w:t>
      </w:r>
    </w:p>
    <w:p w:rsidR="003C0080" w:rsidP="003C0080" w14:paraId="65A3E0B3" w14:textId="14106782">
      <w:pPr>
        <w:pStyle w:val="ListBullet"/>
      </w:pPr>
      <w:r>
        <w:t>provide</w:t>
      </w:r>
      <w:r w:rsidR="00305D65">
        <w:t>s</w:t>
      </w:r>
      <w:r>
        <w:t xml:space="preserve"> early</w:t>
      </w:r>
      <w:r w:rsidR="000A244D">
        <w:t>-</w:t>
      </w:r>
      <w:r>
        <w:t>warning</w:t>
      </w:r>
      <w:r w:rsidR="000A244D">
        <w:t xml:space="preserve"> capability</w:t>
      </w:r>
      <w:r>
        <w:t xml:space="preserve"> so management actions can be implemented to minimise ecosystem impacts (van Dam et al. 1998, de Vlaming et al. 2000)</w:t>
      </w:r>
    </w:p>
    <w:p w:rsidR="003C0080" w:rsidP="003C0080" w14:paraId="5AF01628" w14:textId="545FAB3C">
      <w:pPr>
        <w:pStyle w:val="ListBullet"/>
      </w:pPr>
      <w:r>
        <w:t xml:space="preserve">can be performed relatively quickly and at less cost compared to other biological monitoring procedures </w:t>
      </w:r>
      <w:r w:rsidR="007A749F">
        <w:t xml:space="preserve">(de Vlaming </w:t>
      </w:r>
      <w:r w:rsidR="003C60FB">
        <w:t>and</w:t>
      </w:r>
      <w:r w:rsidR="007A749F">
        <w:t xml:space="preserve"> Norberg-King 1999,</w:t>
      </w:r>
      <w:r>
        <w:t xml:space="preserve"> de Vlaming et al. 2000). </w:t>
      </w:r>
    </w:p>
    <w:p w:rsidR="009B170E" w:rsidP="003C0080" w14:paraId="478EE249" w14:textId="76D502A4">
      <w:r>
        <w:t>Even so</w:t>
      </w:r>
      <w:r w:rsidR="00EB4521">
        <w:t>, t</w:t>
      </w:r>
      <w:r>
        <w:t xml:space="preserve">he use </w:t>
      </w:r>
      <w:r w:rsidR="003E5568">
        <w:t xml:space="preserve">of </w:t>
      </w:r>
      <w:r>
        <w:t xml:space="preserve">this approach internationally is dependent upon the regulatory regime in place (Power </w:t>
      </w:r>
      <w:r w:rsidR="003C60FB">
        <w:t>and</w:t>
      </w:r>
      <w:r>
        <w:t xml:space="preserve"> Boumphrey 2004)</w:t>
      </w:r>
      <w:r w:rsidR="003E5568">
        <w:t>.</w:t>
      </w:r>
    </w:p>
    <w:p w:rsidR="00AB44A6" w:rsidP="00850E85" w14:paraId="4F8BD79F" w14:textId="77777777">
      <w:pPr>
        <w:pStyle w:val="Heading5"/>
      </w:pPr>
      <w:r w:rsidRPr="00AB44A6">
        <w:t>Limitations of direct toxicity assessment</w:t>
      </w:r>
    </w:p>
    <w:p w:rsidR="00E8080C" w:rsidP="00AB44A6" w14:paraId="42DBC514" w14:textId="45C3E8D5">
      <w:r>
        <w:t xml:space="preserve">Although </w:t>
      </w:r>
      <w:r w:rsidR="000F7D5A">
        <w:t xml:space="preserve">it is </w:t>
      </w:r>
      <w:r>
        <w:t>considered more representative of the natural environment</w:t>
      </w:r>
      <w:r w:rsidR="000F7D5A">
        <w:t xml:space="preserve"> (compared to single-chemical toxicity testing)</w:t>
      </w:r>
      <w:r>
        <w:t xml:space="preserve">, DTA also has its limitations (see </w:t>
      </w:r>
      <w:r w:rsidR="000F7D5A">
        <w:t>also</w:t>
      </w:r>
      <w:r>
        <w:t xml:space="preserve"> Chapman 2000). </w:t>
      </w:r>
      <w:r w:rsidR="00F93C16">
        <w:t>DTA</w:t>
      </w:r>
      <w:r w:rsidR="007A5ED5">
        <w:t xml:space="preserve"> can assess</w:t>
      </w:r>
      <w:r>
        <w:t xml:space="preserve"> the toxicity of a mixture as a whole </w:t>
      </w:r>
      <w:r w:rsidR="00F93C16">
        <w:t>but it</w:t>
      </w:r>
      <w:r w:rsidR="007A5ED5">
        <w:t xml:space="preserve"> does not </w:t>
      </w:r>
      <w:r>
        <w:t>identify the toxic components of a mixture (Jop et al. 1991). While the</w:t>
      </w:r>
      <w:r w:rsidR="00581A5D">
        <w:t xml:space="preserve"> toxic components</w:t>
      </w:r>
      <w:r>
        <w:t xml:space="preserve"> might be obvious for a simple waste</w:t>
      </w:r>
      <w:r w:rsidR="007448B2">
        <w:t>water</w:t>
      </w:r>
      <w:r>
        <w:t xml:space="preserve"> containing only a few well-defined contaminants, for the majority of cases there will be too many chemical components to easily identify those that are toxic. </w:t>
      </w:r>
      <w:r w:rsidR="006B1313">
        <w:t>Identifying</w:t>
      </w:r>
      <w:r>
        <w:t xml:space="preserve"> the toxic component(s) of a wastewater is an essential step in addressing a toxicity problem and improving treatment technology</w:t>
      </w:r>
      <w:r w:rsidR="00304A24">
        <w:t>.</w:t>
      </w:r>
      <w:r>
        <w:t xml:space="preserve"> DTA alone cannot provide this. DTA is only one step in an overall assessment of water quality (Chapman 1995, 2000). Specific methods for identifying the toxic components of effluent (toxicity identification evaluation</w:t>
      </w:r>
      <w:r w:rsidR="00304A24">
        <w:t xml:space="preserve"> [</w:t>
      </w:r>
      <w:r>
        <w:t>TIE</w:t>
      </w:r>
      <w:r w:rsidR="00304A24">
        <w:t>]</w:t>
      </w:r>
      <w:r>
        <w:t xml:space="preserve">) exist and are discussed briefly in </w:t>
      </w:r>
      <w:r w:rsidR="00304A24">
        <w:t>the ‘</w:t>
      </w:r>
      <w:r>
        <w:fldChar w:fldCharType="begin"/>
      </w:r>
      <w:r>
        <w:instrText xml:space="preserve"> HYPERLINK \l "_Toxicity_identification_evaluation" </w:instrText>
      </w:r>
      <w:r>
        <w:fldChar w:fldCharType="separate"/>
      </w:r>
      <w:r w:rsidRPr="003D0A63" w:rsidR="003D0A63">
        <w:rPr>
          <w:rStyle w:val="Hyperlink"/>
        </w:rPr>
        <w:t>Toxicity identification evaluation</w:t>
      </w:r>
      <w:r>
        <w:fldChar w:fldCharType="end"/>
      </w:r>
      <w:r w:rsidR="00304A24">
        <w:t>’ section</w:t>
      </w:r>
      <w:r>
        <w:t xml:space="preserve">. </w:t>
      </w:r>
    </w:p>
    <w:p w:rsidR="00AB44A6" w:rsidP="00AB44A6" w14:paraId="042473B3" w14:textId="4F8B6199">
      <w:r>
        <w:t xml:space="preserve">Due to the variable nature of wastewater and effluent, and </w:t>
      </w:r>
      <w:r w:rsidR="004D5BE5">
        <w:t>because</w:t>
      </w:r>
      <w:r>
        <w:t xml:space="preserve"> their compositions are usually unknown, it may be difficult to obtain a representative sample of the mixture (Mount 1986). Therefore, the one-off testing of a chemical mixture will give little meaningful information if the representativeness of the sample is unknown. Repeated testing or continuous monitoring is desirable but may not be cost-efficient.</w:t>
      </w:r>
    </w:p>
    <w:p w:rsidR="00AB44A6" w:rsidP="00AB44A6" w14:paraId="4D1BBD14" w14:textId="13E26BCB">
      <w:r w:rsidRPr="00A60F1C">
        <w:t>Standard protocols for</w:t>
      </w:r>
      <w:r w:rsidRPr="00A60F1C" w:rsidR="007D1868">
        <w:t xml:space="preserve"> </w:t>
      </w:r>
      <w:r w:rsidRPr="00A60F1C" w:rsidR="00552863">
        <w:t>preparing</w:t>
      </w:r>
      <w:r w:rsidRPr="00A60F1C">
        <w:t xml:space="preserve"> effluents for DTA are critical. </w:t>
      </w:r>
      <w:r w:rsidRPr="00A60F1C" w:rsidR="00552863">
        <w:t>P</w:t>
      </w:r>
      <w:r w:rsidRPr="00A60F1C">
        <w:t xml:space="preserve">rotocols have been developed in </w:t>
      </w:r>
      <w:r w:rsidR="00D956DB">
        <w:t>N</w:t>
      </w:r>
      <w:r w:rsidRPr="00A60F1C">
        <w:t xml:space="preserve">orth America (e.g. </w:t>
      </w:r>
      <w:r w:rsidR="002E05DC">
        <w:t>US EPA</w:t>
      </w:r>
      <w:r w:rsidRPr="00A60F1C">
        <w:t xml:space="preserve"> 2002</w:t>
      </w:r>
      <w:r w:rsidRPr="00A60F1C" w:rsidR="00CE371F">
        <w:t>a, 2002b</w:t>
      </w:r>
      <w:r w:rsidRPr="00A60F1C">
        <w:t xml:space="preserve">, </w:t>
      </w:r>
      <w:r w:rsidRPr="00A60F1C" w:rsidR="00CE371F">
        <w:t>2002c</w:t>
      </w:r>
      <w:r w:rsidRPr="00A60F1C" w:rsidR="007A749F">
        <w:t xml:space="preserve">, </w:t>
      </w:r>
      <w:r w:rsidRPr="00A60F1C">
        <w:t>Environment Canada 1990a,</w:t>
      </w:r>
      <w:r w:rsidRPr="00A60F1C" w:rsidR="007A749F">
        <w:t xml:space="preserve"> 1990</w:t>
      </w:r>
      <w:r w:rsidRPr="00A60F1C">
        <w:t>b</w:t>
      </w:r>
      <w:r w:rsidRPr="00A60F1C" w:rsidR="007A749F">
        <w:t>,</w:t>
      </w:r>
      <w:r w:rsidRPr="00A60F1C">
        <w:t xml:space="preserve"> 1992a,</w:t>
      </w:r>
      <w:r w:rsidRPr="00A60F1C" w:rsidR="007A749F">
        <w:t xml:space="preserve"> 1992</w:t>
      </w:r>
      <w:r w:rsidRPr="00A60F1C">
        <w:t>b,</w:t>
      </w:r>
      <w:r w:rsidRPr="00A60F1C" w:rsidR="007A749F">
        <w:t xml:space="preserve"> 1992</w:t>
      </w:r>
      <w:r w:rsidRPr="00A60F1C">
        <w:t>c,</w:t>
      </w:r>
      <w:r w:rsidRPr="00A60F1C" w:rsidR="007A749F">
        <w:t xml:space="preserve"> 1992</w:t>
      </w:r>
      <w:r w:rsidRPr="00A60F1C">
        <w:t xml:space="preserve">d) and </w:t>
      </w:r>
      <w:r w:rsidRPr="00A60F1C" w:rsidR="00477069">
        <w:t xml:space="preserve">are </w:t>
      </w:r>
      <w:r w:rsidRPr="00A60F1C">
        <w:t xml:space="preserve">in practice at several laboratories in Australia and New Zealand since the release of </w:t>
      </w:r>
      <w:r w:rsidRPr="00A60F1C" w:rsidR="00FE3443">
        <w:t>ANZECC</w:t>
      </w:r>
      <w:r w:rsidR="00BE4397">
        <w:t xml:space="preserve"> and </w:t>
      </w:r>
      <w:r w:rsidRPr="00A60F1C" w:rsidR="00FE3443">
        <w:t>ARMCANZ (2000)</w:t>
      </w:r>
      <w:r w:rsidRPr="00A60F1C">
        <w:t xml:space="preserve">. For commercial laboratories, these are often commercial-in-confidence documents, but some publicly available examples are available (e.g. Hall </w:t>
      </w:r>
      <w:r w:rsidR="003C60FB">
        <w:t>and</w:t>
      </w:r>
      <w:r w:rsidRPr="00A60F1C">
        <w:t xml:space="preserve"> Golding 1998</w:t>
      </w:r>
      <w:r w:rsidRPr="00A60F1C" w:rsidR="007A749F">
        <w:t>,</w:t>
      </w:r>
      <w:r w:rsidRPr="00A60F1C">
        <w:t xml:space="preserve"> </w:t>
      </w:r>
      <w:r w:rsidR="001D1FE3">
        <w:t>Trenfield et al. 2020</w:t>
      </w:r>
      <w:r w:rsidRPr="00A60F1C">
        <w:t>). Aspects of effluent preparation include collection, storage, filtration, dilution, adju</w:t>
      </w:r>
      <w:r>
        <w:t>stment of physico-chemical parameters and aging. Aging is particularly important, as it relates to the persistence of chemicals and</w:t>
      </w:r>
      <w:r w:rsidR="00477069">
        <w:t>,</w:t>
      </w:r>
      <w:r>
        <w:t xml:space="preserve"> </w:t>
      </w:r>
      <w:r w:rsidR="002F025F">
        <w:t>consequently</w:t>
      </w:r>
      <w:r w:rsidR="00477069">
        <w:t>,</w:t>
      </w:r>
      <w:r>
        <w:t xml:space="preserve"> toxicity (Mount 1986). In addition, chronic tests may exceed the optimum effluent holding storage time, in which case the experiment is conducted using different samples at different times. While this </w:t>
      </w:r>
      <w:r w:rsidR="00477069">
        <w:t>might</w:t>
      </w:r>
      <w:r>
        <w:t xml:space="preserve"> increase the environmental realism of the assessment, it </w:t>
      </w:r>
      <w:r w:rsidR="00477069">
        <w:t>may</w:t>
      </w:r>
      <w:r>
        <w:t xml:space="preserve"> </w:t>
      </w:r>
      <w:r w:rsidR="00EB4521">
        <w:t xml:space="preserve">also </w:t>
      </w:r>
      <w:r w:rsidR="00477069">
        <w:t>increase</w:t>
      </w:r>
      <w:r>
        <w:t xml:space="preserve"> variation and uncertainty (Pifher </w:t>
      </w:r>
      <w:r w:rsidR="003C60FB">
        <w:t>and</w:t>
      </w:r>
      <w:r>
        <w:t xml:space="preserve"> Egan 1989). Filtration is also a vital step, </w:t>
      </w:r>
      <w:r w:rsidR="00E46AAE">
        <w:t xml:space="preserve">as </w:t>
      </w:r>
      <w:r>
        <w:t xml:space="preserve">micro-organisms (e.g. bacteria) and macro-organisms (e.g. predatory copepods) </w:t>
      </w:r>
      <w:r w:rsidR="00E46AAE">
        <w:t>can</w:t>
      </w:r>
      <w:r>
        <w:t xml:space="preserve"> interfere with toxicity if effluent</w:t>
      </w:r>
      <w:r w:rsidR="00DB352A">
        <w:t xml:space="preserve"> is</w:t>
      </w:r>
      <w:r>
        <w:t xml:space="preserve"> not filtered correctly (Grothe </w:t>
      </w:r>
      <w:r w:rsidR="003C60FB">
        <w:t>and</w:t>
      </w:r>
      <w:r>
        <w:t xml:space="preserve"> Johnson 1996). However, filtration can significantly reduce the environmental realism of an effluent sample</w:t>
      </w:r>
      <w:r w:rsidR="00E46AAE">
        <w:t xml:space="preserve">. </w:t>
      </w:r>
      <w:r w:rsidR="002F025F">
        <w:t>Even so, i</w:t>
      </w:r>
      <w:r w:rsidR="00250DA0">
        <w:t>t</w:t>
      </w:r>
      <w:r>
        <w:t xml:space="preserve"> is an important step in distinguishing the physical from the </w:t>
      </w:r>
      <w:r w:rsidR="00250DA0">
        <w:t xml:space="preserve">chemical </w:t>
      </w:r>
      <w:r>
        <w:t>stressor effects of an effluent. This can be important for guiding management decisions regarding treatment of the effluent.</w:t>
      </w:r>
    </w:p>
    <w:p w:rsidR="00AB44A6" w:rsidP="00AB44A6" w14:paraId="3C318015" w14:textId="508AE5A0">
      <w:r>
        <w:t xml:space="preserve">The selection of appropriate DTA methods is </w:t>
      </w:r>
      <w:r w:rsidR="00266CC7">
        <w:t>a critical step</w:t>
      </w:r>
      <w:r>
        <w:t>. In the U</w:t>
      </w:r>
      <w:r w:rsidR="0014776A">
        <w:t>SA</w:t>
      </w:r>
      <w:r>
        <w:t>, standard methods are used to determine effluent toxicity</w:t>
      </w:r>
      <w:r w:rsidR="00581A5D">
        <w:t>. T</w:t>
      </w:r>
      <w:r>
        <w:t xml:space="preserve">his has been criticised by industry (Pifher </w:t>
      </w:r>
      <w:r w:rsidR="003C60FB">
        <w:t>and</w:t>
      </w:r>
      <w:r>
        <w:t xml:space="preserve"> Egan 1989). There has been a call for environmentally representative testing, although this </w:t>
      </w:r>
      <w:r w:rsidR="00CF2E98">
        <w:t xml:space="preserve">too </w:t>
      </w:r>
      <w:r>
        <w:t xml:space="preserve">has been subjected to criticism. The advantages of standard and site-specific DTA are discussed </w:t>
      </w:r>
      <w:r w:rsidR="00CF2E98">
        <w:t>in the following section</w:t>
      </w:r>
      <w:r>
        <w:t>.</w:t>
      </w:r>
    </w:p>
    <w:p w:rsidR="00AB44A6" w:rsidP="00850E85" w14:paraId="520B7AF9" w14:textId="15767D84">
      <w:pPr>
        <w:pStyle w:val="Heading5"/>
      </w:pPr>
      <w:bookmarkStart w:id="75" w:name="_Ref88560645"/>
      <w:r w:rsidRPr="00AB44A6">
        <w:t xml:space="preserve">Standard versus site-specific </w:t>
      </w:r>
      <w:r w:rsidR="007B0C4F">
        <w:t>direct toxicity assessment</w:t>
      </w:r>
      <w:bookmarkEnd w:id="75"/>
      <w:r w:rsidR="007B0C4F">
        <w:t xml:space="preserve"> </w:t>
      </w:r>
    </w:p>
    <w:p w:rsidR="00AB44A6" w:rsidP="00AB44A6" w14:paraId="1D797807" w14:textId="60BE08A9">
      <w:r>
        <w:t xml:space="preserve">The basic differences between standard and site-specific </w:t>
      </w:r>
      <w:r w:rsidR="008174F8">
        <w:t>DTA</w:t>
      </w:r>
      <w:r>
        <w:t xml:space="preserve"> </w:t>
      </w:r>
      <w:r w:rsidR="008174F8">
        <w:t xml:space="preserve">are </w:t>
      </w:r>
      <w:r>
        <w:t xml:space="preserve">in the methods. </w:t>
      </w:r>
      <w:r w:rsidR="008174F8">
        <w:t>S</w:t>
      </w:r>
      <w:r>
        <w:t xml:space="preserve">tandard </w:t>
      </w:r>
      <w:r w:rsidR="008174F8">
        <w:t>DTA</w:t>
      </w:r>
      <w:r>
        <w:t xml:space="preserve"> </w:t>
      </w:r>
      <w:r w:rsidR="008174F8">
        <w:t xml:space="preserve">was </w:t>
      </w:r>
      <w:r>
        <w:t xml:space="preserve">developed to standardise </w:t>
      </w:r>
      <w:r w:rsidR="008174F8">
        <w:t xml:space="preserve">ecotoxicological </w:t>
      </w:r>
      <w:r>
        <w:t>processes</w:t>
      </w:r>
      <w:r w:rsidR="008174F8">
        <w:t>,</w:t>
      </w:r>
      <w:r>
        <w:t xml:space="preserve"> enable comparison of the results of experiments conducted on different effluents from similar industries, and encourage the generation of scientifically sound data. </w:t>
      </w:r>
      <w:r w:rsidR="008174F8">
        <w:t>Standard DTA is</w:t>
      </w:r>
      <w:r>
        <w:t xml:space="preserve"> usually </w:t>
      </w:r>
      <w:r w:rsidR="008174F8">
        <w:t>conducted with</w:t>
      </w:r>
      <w:r>
        <w:t xml:space="preserve"> standard organisms, a standard synthetic water, and standard test conditions (e.g. pH, temperature, dissolved oxygen), duration and endpoints. An important criterion in the selection of suitable standard species is sensitivity to a wide range of toxicants</w:t>
      </w:r>
      <w:r w:rsidR="00BA1205">
        <w:t>. C</w:t>
      </w:r>
      <w:r>
        <w:t>ombined with the use of conservative exposure conditions</w:t>
      </w:r>
      <w:r w:rsidR="00250DA0">
        <w:t xml:space="preserve"> and application of safety factors to the results</w:t>
      </w:r>
      <w:r>
        <w:t>, this makes standardised tests more likely to be overprotective to the aquatic ecosystem of interest (Chapman 2000</w:t>
      </w:r>
      <w:r w:rsidR="008174F8">
        <w:t>,</w:t>
      </w:r>
      <w:r>
        <w:t xml:space="preserve"> Chapman et al. 1998). However, standard</w:t>
      </w:r>
      <w:r w:rsidR="00A8450A">
        <w:t xml:space="preserve"> DTA is</w:t>
      </w:r>
      <w:r>
        <w:t xml:space="preserve"> generally not representative of local environment</w:t>
      </w:r>
      <w:r w:rsidR="00250DA0">
        <w:t>al conditions</w:t>
      </w:r>
      <w:r>
        <w:t xml:space="preserve"> and</w:t>
      </w:r>
      <w:r w:rsidR="00BA1205">
        <w:t xml:space="preserve"> so</w:t>
      </w:r>
      <w:r w:rsidR="00A8450A">
        <w:t xml:space="preserve"> has</w:t>
      </w:r>
      <w:r>
        <w:t xml:space="preserve"> limited applicability for making conclusions about potential environmental effects. That is, a significant effect from a </w:t>
      </w:r>
      <w:r w:rsidR="00BB27B4">
        <w:t xml:space="preserve">standard </w:t>
      </w:r>
      <w:r w:rsidR="00A8450A">
        <w:t xml:space="preserve">DTA </w:t>
      </w:r>
      <w:r>
        <w:t xml:space="preserve">does not necessarily mean there is a problem in the receiving water (Pifher </w:t>
      </w:r>
      <w:r w:rsidR="003C60FB">
        <w:t>and</w:t>
      </w:r>
      <w:r>
        <w:t xml:space="preserve"> Egan 1989) while a negative result </w:t>
      </w:r>
      <w:r w:rsidR="00A8450A">
        <w:t xml:space="preserve">does </w:t>
      </w:r>
      <w:r>
        <w:t xml:space="preserve">not necessarily mean the wastewater is not impacting the receiving </w:t>
      </w:r>
      <w:r w:rsidR="00A8450A">
        <w:t>water</w:t>
      </w:r>
      <w:r>
        <w:t>.</w:t>
      </w:r>
    </w:p>
    <w:p w:rsidR="00AB44A6" w:rsidP="00AB44A6" w14:paraId="57FE68A7" w14:textId="7AD2807C">
      <w:r>
        <w:t>For site-specific DTA,</w:t>
      </w:r>
      <w:r w:rsidR="00253CDC">
        <w:t xml:space="preserve"> the tests are designed according to </w:t>
      </w:r>
      <w:r w:rsidR="00746AD1">
        <w:t xml:space="preserve">relevant </w:t>
      </w:r>
      <w:r w:rsidR="00253CDC">
        <w:t xml:space="preserve">environmental conditions. Organisms local to the area are chosen as test species </w:t>
      </w:r>
      <w:r w:rsidR="00C43FE7">
        <w:t>(</w:t>
      </w:r>
      <w:r w:rsidR="00253CDC">
        <w:t>preferably with already</w:t>
      </w:r>
      <w:r w:rsidR="00BA1205">
        <w:t>-</w:t>
      </w:r>
      <w:r w:rsidR="00253CDC">
        <w:t>verified test protocols</w:t>
      </w:r>
      <w:r w:rsidR="00C43FE7">
        <w:t>)</w:t>
      </w:r>
      <w:r w:rsidR="008B7DA3">
        <w:t>,</w:t>
      </w:r>
      <w:r w:rsidR="00C43FE7">
        <w:t xml:space="preserve"> and</w:t>
      </w:r>
      <w:r w:rsidR="00253CDC">
        <w:t xml:space="preserve"> the local </w:t>
      </w:r>
      <w:r w:rsidR="00752F58">
        <w:t xml:space="preserve">ambient </w:t>
      </w:r>
      <w:r w:rsidR="00253CDC">
        <w:t xml:space="preserve">water (upstream </w:t>
      </w:r>
      <w:r w:rsidR="00C43FE7">
        <w:t xml:space="preserve">of </w:t>
      </w:r>
      <w:r w:rsidR="00253CDC">
        <w:t xml:space="preserve">the effluent source or </w:t>
      </w:r>
      <w:r>
        <w:t>from an</w:t>
      </w:r>
      <w:r w:rsidR="00752F58">
        <w:t>other</w:t>
      </w:r>
      <w:r>
        <w:t xml:space="preserve"> appropriate</w:t>
      </w:r>
      <w:r w:rsidR="00253CDC">
        <w:t xml:space="preserve"> reference site</w:t>
      </w:r>
      <w:r w:rsidR="00752F58">
        <w:t>)</w:t>
      </w:r>
      <w:r w:rsidR="00253CDC">
        <w:t xml:space="preserve"> is used as the control and dilution water. In addition, conditions such as test duration and test endpoints can be manipulated to best represent the nature of exposure to a particular effluent. </w:t>
      </w:r>
      <w:r w:rsidR="00173034">
        <w:t xml:space="preserve">Compared </w:t>
      </w:r>
      <w:r w:rsidR="005F4E8E">
        <w:t>to standard DTA, s</w:t>
      </w:r>
      <w:r w:rsidR="00253CDC">
        <w:t xml:space="preserve">ite-specific </w:t>
      </w:r>
      <w:r w:rsidR="00746AD1">
        <w:t xml:space="preserve">DTA </w:t>
      </w:r>
      <w:r w:rsidR="00253CDC">
        <w:t xml:space="preserve">is more representative of the </w:t>
      </w:r>
      <w:r w:rsidR="00173034">
        <w:t xml:space="preserve">natural </w:t>
      </w:r>
      <w:r w:rsidR="00253CDC">
        <w:t xml:space="preserve">environment. However, </w:t>
      </w:r>
      <w:r w:rsidR="00653F4C">
        <w:t xml:space="preserve">site-specific DTA </w:t>
      </w:r>
      <w:r w:rsidR="00253CDC">
        <w:t xml:space="preserve">is not </w:t>
      </w:r>
      <w:r w:rsidR="00653F4C">
        <w:t>suitable for</w:t>
      </w:r>
      <w:r w:rsidR="00253CDC">
        <w:t xml:space="preserve"> comparisons with other effluents if, for example, different species are used</w:t>
      </w:r>
      <w:r w:rsidR="00653F4C">
        <w:t xml:space="preserve"> or</w:t>
      </w:r>
      <w:r w:rsidR="00253CDC">
        <w:t xml:space="preserve"> the </w:t>
      </w:r>
      <w:r w:rsidR="00752F58">
        <w:t>ambient</w:t>
      </w:r>
      <w:r w:rsidR="00653F4C">
        <w:t xml:space="preserve"> </w:t>
      </w:r>
      <w:r w:rsidR="00253CDC">
        <w:t>water chemistry differs. In addition, using upstream water as dilution water may</w:t>
      </w:r>
      <w:r w:rsidR="00653F4C">
        <w:t xml:space="preserve"> introduce </w:t>
      </w:r>
      <w:r w:rsidR="00253CDC">
        <w:t>other variables, such as background toxicity from f</w:t>
      </w:r>
      <w:r w:rsidR="00BA1205">
        <w:t>u</w:t>
      </w:r>
      <w:r w:rsidR="00253CDC">
        <w:t xml:space="preserve">rther upstream (Pifher </w:t>
      </w:r>
      <w:r w:rsidR="003C60FB">
        <w:t>and</w:t>
      </w:r>
      <w:r w:rsidR="00253CDC">
        <w:t xml:space="preserve"> Egan 1989). Finally, </w:t>
      </w:r>
      <w:r w:rsidR="002B7EC2">
        <w:t>using</w:t>
      </w:r>
      <w:r w:rsidR="00253CDC">
        <w:t xml:space="preserve"> </w:t>
      </w:r>
      <w:r w:rsidR="00752F58">
        <w:t>local ambient</w:t>
      </w:r>
      <w:r w:rsidR="000F7095">
        <w:t xml:space="preserve"> </w:t>
      </w:r>
      <w:r w:rsidR="00253CDC">
        <w:t xml:space="preserve">water as control and dilution water increases the complexity of the testing and presents problems related to background effects, </w:t>
      </w:r>
      <w:r w:rsidR="00D30C83">
        <w:t>al</w:t>
      </w:r>
      <w:r w:rsidR="002B7EC2">
        <w:t xml:space="preserve">though </w:t>
      </w:r>
      <w:r w:rsidR="00253CDC">
        <w:t>treating and filtering</w:t>
      </w:r>
      <w:r w:rsidR="002B7EC2">
        <w:t xml:space="preserve"> </w:t>
      </w:r>
      <w:r w:rsidR="000F7095">
        <w:t>the</w:t>
      </w:r>
      <w:r w:rsidR="00253CDC">
        <w:t xml:space="preserve"> water may alter the toxicity of contaminants (Ruffier 1996).</w:t>
      </w:r>
      <w:r w:rsidR="006A3315">
        <w:t xml:space="preserve"> Examples of site-specific toxicity testing protocols, including the use of local species and local water, </w:t>
      </w:r>
      <w:r w:rsidR="00385A11">
        <w:t>are</w:t>
      </w:r>
      <w:r w:rsidR="006A3315">
        <w:t xml:space="preserve"> </w:t>
      </w:r>
      <w:r w:rsidR="00C1221A">
        <w:t xml:space="preserve">provided by </w:t>
      </w:r>
      <w:r w:rsidR="006A3315">
        <w:t>Trenfield et al. (2020). An example of the incorporation of locally</w:t>
      </w:r>
      <w:r w:rsidR="00D30C83">
        <w:t xml:space="preserve"> </w:t>
      </w:r>
      <w:r w:rsidR="006A3315">
        <w:t>relevant pulse</w:t>
      </w:r>
      <w:r w:rsidR="00D30C83">
        <w:t>-</w:t>
      </w:r>
      <w:r w:rsidR="006A3315">
        <w:t>exposure conditions into site-specific toxicity tests to assess the effects of a locally</w:t>
      </w:r>
      <w:r w:rsidR="00D30C83">
        <w:t xml:space="preserve"> </w:t>
      </w:r>
      <w:r w:rsidR="006A3315">
        <w:t xml:space="preserve">relevant toxicant </w:t>
      </w:r>
      <w:r w:rsidR="0098177E">
        <w:t>is</w:t>
      </w:r>
      <w:r w:rsidR="006A3315">
        <w:t xml:space="preserve"> </w:t>
      </w:r>
      <w:r w:rsidR="006E022E">
        <w:t xml:space="preserve">provided by </w:t>
      </w:r>
      <w:r w:rsidR="006A3315">
        <w:t>Hogan et al. (2013) and Prouse et al. (2015).</w:t>
      </w:r>
    </w:p>
    <w:p w:rsidR="008248B7" w:rsidP="00AB44A6" w14:paraId="1D52A908" w14:textId="77673D82">
      <w:r>
        <w:t>The development of site-specific toxicity test methods for local species requires significant investment</w:t>
      </w:r>
      <w:r w:rsidR="000E0F14">
        <w:t>, which needs to be weighed against the demand for application of such tests (van Dam et al. 2019)</w:t>
      </w:r>
      <w:r>
        <w:t>.</w:t>
      </w:r>
      <w:r w:rsidR="000E0F14">
        <w:t xml:space="preserve"> In some cases, efficiencies can be gained by selecting local species for which standard toxicity</w:t>
      </w:r>
      <w:r w:rsidR="00581A5D">
        <w:t>-</w:t>
      </w:r>
      <w:r w:rsidR="000E0F14">
        <w:t xml:space="preserve">test methods for related species can be adapted (rather than developing </w:t>
      </w:r>
      <w:r w:rsidR="0003400F">
        <w:t xml:space="preserve">new </w:t>
      </w:r>
      <w:r w:rsidR="000E0F14">
        <w:t>methods from scratch).</w:t>
      </w:r>
      <w:r w:rsidR="002C5F61">
        <w:t xml:space="preserve"> When developing site-specific test methods, various aspects need to be considered, including species selection, endpoint selection, control</w:t>
      </w:r>
      <w:r w:rsidR="006056FF">
        <w:t xml:space="preserve"> or </w:t>
      </w:r>
      <w:r w:rsidR="002C5F61">
        <w:t xml:space="preserve">diluent water selection, experimental design, test conditions </w:t>
      </w:r>
      <w:r w:rsidR="003A6535">
        <w:t xml:space="preserve">selection and </w:t>
      </w:r>
      <w:r w:rsidR="002C5F61">
        <w:t xml:space="preserve">optimisation, statistical analysis and </w:t>
      </w:r>
      <w:r w:rsidR="006845FF">
        <w:t>QA/QC</w:t>
      </w:r>
      <w:r w:rsidR="002C5F61">
        <w:t>. It is beyond the scope of th</w:t>
      </w:r>
      <w:r w:rsidR="003A76D4">
        <w:t>is</w:t>
      </w:r>
      <w:r w:rsidR="002C5F61">
        <w:t xml:space="preserve"> report to provide detailed advice on these aspects</w:t>
      </w:r>
      <w:r w:rsidR="006845FF">
        <w:t>. H</w:t>
      </w:r>
      <w:r w:rsidR="002C5F61">
        <w:t>owever, some information can be found in ANZECC</w:t>
      </w:r>
      <w:r w:rsidR="00BE4397">
        <w:t xml:space="preserve"> and </w:t>
      </w:r>
      <w:r w:rsidR="002C5F61">
        <w:t xml:space="preserve">ARMCANZ (2000; </w:t>
      </w:r>
      <w:r w:rsidR="0003400F">
        <w:t>S</w:t>
      </w:r>
      <w:r w:rsidR="002C5F61">
        <w:t>ection</w:t>
      </w:r>
      <w:r w:rsidR="00E11B0C">
        <w:t>s</w:t>
      </w:r>
      <w:r w:rsidR="002C5F61">
        <w:t xml:space="preserve"> 8.3.6.7</w:t>
      </w:r>
      <w:r w:rsidR="00E11B0C">
        <w:t xml:space="preserve"> and 8.3.6.8</w:t>
      </w:r>
      <w:r w:rsidR="002C5F61">
        <w:t>)</w:t>
      </w:r>
      <w:r w:rsidR="003A6535">
        <w:t>.</w:t>
      </w:r>
    </w:p>
    <w:p w:rsidR="00AB44A6" w:rsidP="00AB44A6" w14:paraId="5601ACC7" w14:textId="6F798924">
      <w:r>
        <w:t xml:space="preserve">Another approach to site-specific testing is </w:t>
      </w:r>
      <w:r w:rsidRPr="00653F4C">
        <w:rPr>
          <w:rStyle w:val="Emphasis"/>
        </w:rPr>
        <w:t>in</w:t>
      </w:r>
      <w:r w:rsidR="006845FF">
        <w:rPr>
          <w:rStyle w:val="Emphasis"/>
        </w:rPr>
        <w:t>-</w:t>
      </w:r>
      <w:r w:rsidRPr="00653F4C">
        <w:rPr>
          <w:rStyle w:val="Emphasis"/>
        </w:rPr>
        <w:t>situ</w:t>
      </w:r>
      <w:r>
        <w:t xml:space="preserve"> or in-stream testing</w:t>
      </w:r>
      <w:r w:rsidR="006845FF">
        <w:t>,</w:t>
      </w:r>
      <w:r>
        <w:t xml:space="preserve"> where organisms are exposed to the receiving water or wastewater in the environment (e.g. fish kept in cages). </w:t>
      </w:r>
      <w:r w:rsidR="0094345C">
        <w:t xml:space="preserve">Examples of such approaches </w:t>
      </w:r>
      <w:r w:rsidR="004A22EA">
        <w:t>can be found</w:t>
      </w:r>
      <w:r w:rsidR="0094345C">
        <w:t xml:space="preserve"> in Supervising Scientist (2011) and Maltby et al. (2000). </w:t>
      </w:r>
      <w:r>
        <w:t>Effects are monitored</w:t>
      </w:r>
      <w:r w:rsidR="00584D3A">
        <w:t xml:space="preserve"> and compared</w:t>
      </w:r>
      <w:r>
        <w:t xml:space="preserve"> to organisms kept either upstream of the contaminant source or in a designated reference area. </w:t>
      </w:r>
      <w:r w:rsidRPr="008A7334" w:rsidR="008A7334">
        <w:rPr>
          <w:i/>
          <w:iCs/>
        </w:rPr>
        <w:t>I</w:t>
      </w:r>
      <w:r w:rsidRPr="0038216E" w:rsidR="0038216E">
        <w:rPr>
          <w:i/>
          <w:iCs/>
        </w:rPr>
        <w:t>n</w:t>
      </w:r>
      <w:r w:rsidR="00715748">
        <w:rPr>
          <w:i/>
          <w:iCs/>
        </w:rPr>
        <w:t>-</w:t>
      </w:r>
      <w:r w:rsidRPr="0038216E" w:rsidR="0038216E">
        <w:rPr>
          <w:i/>
          <w:iCs/>
        </w:rPr>
        <w:t>situ</w:t>
      </w:r>
      <w:r w:rsidR="0038216E">
        <w:t xml:space="preserve"> </w:t>
      </w:r>
      <w:r w:rsidR="008A7334">
        <w:t xml:space="preserve">toxicity </w:t>
      </w:r>
      <w:r w:rsidR="0038216E">
        <w:t xml:space="preserve">testing </w:t>
      </w:r>
      <w:r w:rsidR="008A7334">
        <w:t xml:space="preserve">more easily </w:t>
      </w:r>
      <w:r w:rsidR="0038216E">
        <w:t>account</w:t>
      </w:r>
      <w:r w:rsidR="00581A5D">
        <w:t>s</w:t>
      </w:r>
      <w:r w:rsidR="0038216E">
        <w:t xml:space="preserve"> for the temporal variability of the wastewater or receiving water</w:t>
      </w:r>
      <w:r w:rsidR="008A7334">
        <w:t xml:space="preserve"> quality, including pulse exposures, than laboratory toxicity testing</w:t>
      </w:r>
      <w:r w:rsidR="0038216E">
        <w:t xml:space="preserve">. </w:t>
      </w:r>
      <w:r w:rsidRPr="00440C77" w:rsidR="00440C77">
        <w:rPr>
          <w:rStyle w:val="Emphasis"/>
        </w:rPr>
        <w:t>In</w:t>
      </w:r>
      <w:r w:rsidR="00715748">
        <w:rPr>
          <w:rStyle w:val="Emphasis"/>
        </w:rPr>
        <w:t>-</w:t>
      </w:r>
      <w:r w:rsidRPr="00440C77" w:rsidR="00440C77">
        <w:rPr>
          <w:rStyle w:val="Emphasis"/>
        </w:rPr>
        <w:t>situ</w:t>
      </w:r>
      <w:r w:rsidR="00440C77">
        <w:t xml:space="preserve"> testing </w:t>
      </w:r>
      <w:r>
        <w:t xml:space="preserve">is useful </w:t>
      </w:r>
      <w:r w:rsidR="00440C77">
        <w:t>for</w:t>
      </w:r>
      <w:r>
        <w:t xml:space="preserve"> assessing environmental impacts and determining confidence in predicting impacts from laboratory studies. For example, Eagleson et al. (1990) document the results of 43 comparisons between laboratory DTA and </w:t>
      </w:r>
      <w:r w:rsidRPr="00440C77" w:rsidR="00440C77">
        <w:rPr>
          <w:rStyle w:val="Emphasis"/>
        </w:rPr>
        <w:t>in</w:t>
      </w:r>
      <w:r w:rsidR="00715748">
        <w:rPr>
          <w:rStyle w:val="Emphasis"/>
        </w:rPr>
        <w:t>-</w:t>
      </w:r>
      <w:r w:rsidRPr="00440C77" w:rsidR="00440C77">
        <w:rPr>
          <w:rStyle w:val="Emphasis"/>
        </w:rPr>
        <w:t>situ</w:t>
      </w:r>
      <w:r w:rsidR="00440C77">
        <w:t xml:space="preserve"> </w:t>
      </w:r>
      <w:r>
        <w:t>surveys</w:t>
      </w:r>
      <w:r w:rsidR="00E85CC7">
        <w:t>. They</w:t>
      </w:r>
      <w:r>
        <w:t xml:space="preserve"> found there was 88% agreement between the laboratory </w:t>
      </w:r>
      <w:r w:rsidR="00440C77">
        <w:t xml:space="preserve">test and </w:t>
      </w:r>
      <w:r w:rsidRPr="00440C77" w:rsidR="00440C77">
        <w:rPr>
          <w:rStyle w:val="Emphasis"/>
        </w:rPr>
        <w:t>in</w:t>
      </w:r>
      <w:r w:rsidR="00715748">
        <w:rPr>
          <w:rStyle w:val="Emphasis"/>
        </w:rPr>
        <w:t>-</w:t>
      </w:r>
      <w:r w:rsidRPr="00440C77" w:rsidR="00440C77">
        <w:rPr>
          <w:rStyle w:val="Emphasis"/>
        </w:rPr>
        <w:t>situ</w:t>
      </w:r>
      <w:r w:rsidR="00440C77">
        <w:t xml:space="preserve"> test</w:t>
      </w:r>
      <w:r>
        <w:t xml:space="preserve">. </w:t>
      </w:r>
      <w:r w:rsidR="0063645C">
        <w:t>S</w:t>
      </w:r>
      <w:r>
        <w:t xml:space="preserve">everal other </w:t>
      </w:r>
      <w:r w:rsidR="0065553E">
        <w:t>studies have concluded that DTA</w:t>
      </w:r>
      <w:r>
        <w:t xml:space="preserve">, if used properly, </w:t>
      </w:r>
      <w:r w:rsidR="00440C77">
        <w:t xml:space="preserve">is a </w:t>
      </w:r>
      <w:r>
        <w:t xml:space="preserve">reliable qualitative predictor of aquatic population impacts (Waller et al. 1996, de Vlaming </w:t>
      </w:r>
      <w:r w:rsidR="003C60FB">
        <w:t>and</w:t>
      </w:r>
      <w:r>
        <w:t xml:space="preserve"> Norberg-King 1999, van Dam et al. 2014). </w:t>
      </w:r>
      <w:r w:rsidR="0063645C">
        <w:t>O</w:t>
      </w:r>
      <w:r>
        <w:t>ther studies have demonstrated poor correlation</w:t>
      </w:r>
      <w:r w:rsidR="0003400F">
        <w:t>s</w:t>
      </w:r>
      <w:r>
        <w:t xml:space="preserve"> between </w:t>
      </w:r>
      <w:r w:rsidR="001F1D87">
        <w:t xml:space="preserve">effects measured in the </w:t>
      </w:r>
      <w:r>
        <w:t xml:space="preserve">laboratory and </w:t>
      </w:r>
      <w:r w:rsidR="00BB2591">
        <w:t xml:space="preserve">in </w:t>
      </w:r>
      <w:r w:rsidR="001F1D87">
        <w:t xml:space="preserve">the </w:t>
      </w:r>
      <w:r>
        <w:t xml:space="preserve">field (Clements </w:t>
      </w:r>
      <w:r w:rsidR="003C60FB">
        <w:t>and</w:t>
      </w:r>
      <w:r>
        <w:t xml:space="preserve"> Kiffney 1994, Sarakinos </w:t>
      </w:r>
      <w:r w:rsidR="003C60FB">
        <w:t>and</w:t>
      </w:r>
      <w:r>
        <w:t xml:space="preserve"> Rasmussen 1998), although there does not appear to be a unidirectional trend of laboratory bioassays over</w:t>
      </w:r>
      <w:r w:rsidR="0063645C">
        <w:t>estimating</w:t>
      </w:r>
      <w:r>
        <w:t xml:space="preserve"> or underestimating field effects (Chapman et al. 1998). </w:t>
      </w:r>
      <w:r w:rsidR="00715748">
        <w:t>So</w:t>
      </w:r>
      <w:r>
        <w:t>, field validation of laboratory experimentation is rarely possible (Chapman 2000).</w:t>
      </w:r>
      <w:r w:rsidR="00B04B60">
        <w:t xml:space="preserve"> Finally, with </w:t>
      </w:r>
      <w:r w:rsidRPr="00B04B60" w:rsidR="00B04B60">
        <w:rPr>
          <w:i/>
          <w:iCs/>
        </w:rPr>
        <w:t>in</w:t>
      </w:r>
      <w:r w:rsidR="00715748">
        <w:rPr>
          <w:i/>
          <w:iCs/>
        </w:rPr>
        <w:t>-</w:t>
      </w:r>
      <w:r w:rsidRPr="00B04B60" w:rsidR="00B04B60">
        <w:rPr>
          <w:i/>
          <w:iCs/>
        </w:rPr>
        <w:t>situ</w:t>
      </w:r>
      <w:r w:rsidR="00B04B60">
        <w:t xml:space="preserve"> testing, care needs to be taken to minimise </w:t>
      </w:r>
      <w:r w:rsidRPr="000917A8" w:rsidR="00B04B60">
        <w:rPr>
          <w:rFonts w:cstheme="minorHAnsi"/>
          <w:lang w:val="en-US"/>
        </w:rPr>
        <w:t>risks associated with spread of disease</w:t>
      </w:r>
      <w:r w:rsidR="00E22671">
        <w:rPr>
          <w:rFonts w:cstheme="minorHAnsi"/>
          <w:lang w:val="en-US"/>
        </w:rPr>
        <w:t xml:space="preserve">s and </w:t>
      </w:r>
      <w:r w:rsidRPr="000917A8" w:rsidR="00B04B60">
        <w:rPr>
          <w:rFonts w:cstheme="minorHAnsi"/>
          <w:lang w:val="en-US"/>
        </w:rPr>
        <w:t>parasites if introducing cultured species into natural systems</w:t>
      </w:r>
      <w:r w:rsidR="00B04B60">
        <w:rPr>
          <w:rFonts w:cstheme="minorHAnsi"/>
          <w:lang w:val="en-US"/>
        </w:rPr>
        <w:t>.</w:t>
      </w:r>
      <w:r w:rsidR="0028394A">
        <w:rPr>
          <w:rFonts w:cstheme="minorHAnsi"/>
          <w:lang w:val="en-US"/>
        </w:rPr>
        <w:t xml:space="preserve"> </w:t>
      </w:r>
      <w:r w:rsidRPr="00CF6F54" w:rsidR="0028394A">
        <w:rPr>
          <w:rFonts w:cstheme="minorHAnsi"/>
          <w:lang w:val="en-US"/>
        </w:rPr>
        <w:t>A summary of other field-based approaches for assessing site-specific impacts of physical and chemical stressors</w:t>
      </w:r>
      <w:r w:rsidR="00E22671">
        <w:rPr>
          <w:rFonts w:cstheme="minorHAnsi"/>
          <w:lang w:val="en-US"/>
        </w:rPr>
        <w:t>,</w:t>
      </w:r>
      <w:r w:rsidRPr="00CF6F54" w:rsidR="0028394A">
        <w:rPr>
          <w:rFonts w:cstheme="minorHAnsi"/>
          <w:lang w:val="en-US"/>
        </w:rPr>
        <w:t xml:space="preserve"> including toxicants</w:t>
      </w:r>
      <w:r w:rsidR="00E22671">
        <w:rPr>
          <w:rFonts w:cstheme="minorHAnsi"/>
          <w:lang w:val="en-US"/>
        </w:rPr>
        <w:t>,</w:t>
      </w:r>
      <w:r w:rsidRPr="00CF6F54" w:rsidR="0028394A">
        <w:rPr>
          <w:rFonts w:cstheme="minorHAnsi"/>
          <w:lang w:val="en-US"/>
        </w:rPr>
        <w:t xml:space="preserve"> is provided in Section </w:t>
      </w:r>
      <w:r w:rsidRPr="00CF6F54" w:rsidR="0028394A">
        <w:rPr>
          <w:rFonts w:cstheme="minorHAnsi"/>
          <w:lang w:val="en-US"/>
        </w:rPr>
        <w:fldChar w:fldCharType="begin"/>
      </w:r>
      <w:r w:rsidRPr="00CF6F54" w:rsidR="0028394A">
        <w:rPr>
          <w:rFonts w:cstheme="minorHAnsi"/>
          <w:lang w:val="en-US"/>
        </w:rPr>
        <w:instrText xml:space="preserve"> REF _Ref88561451 \r \h  \* MERGEFORMAT </w:instrText>
      </w:r>
      <w:r w:rsidRPr="00CF6F54" w:rsidR="0028394A">
        <w:rPr>
          <w:rFonts w:cstheme="minorHAnsi"/>
          <w:lang w:val="en-US"/>
        </w:rPr>
        <w:fldChar w:fldCharType="separate"/>
      </w:r>
      <w:r w:rsidR="008A285F">
        <w:rPr>
          <w:rFonts w:cstheme="minorHAnsi"/>
          <w:lang w:val="en-US"/>
        </w:rPr>
        <w:t>3.2.4</w:t>
      </w:r>
      <w:r w:rsidRPr="00CF6F54" w:rsidR="0028394A">
        <w:rPr>
          <w:rFonts w:cstheme="minorHAnsi"/>
          <w:lang w:val="en-US"/>
        </w:rPr>
        <w:fldChar w:fldCharType="end"/>
      </w:r>
      <w:r w:rsidRPr="00CF6F54" w:rsidR="0028394A">
        <w:rPr>
          <w:rFonts w:cstheme="minorHAnsi"/>
          <w:lang w:val="en-US"/>
        </w:rPr>
        <w:t>.</w:t>
      </w:r>
    </w:p>
    <w:p w:rsidR="007A3BCB" w:rsidP="00AB44A6" w14:paraId="32F8C070" w14:textId="3DF9B5A5">
      <w:r w:rsidRPr="007A3BCB">
        <w:t>In some situations, it may not be possible to collect, culture and test enough species that are truly local to the environment of interest. Where this is the case, appropriate surrogate species that are regionally</w:t>
      </w:r>
      <w:r w:rsidR="00E22671">
        <w:t xml:space="preserve"> </w:t>
      </w:r>
      <w:r w:rsidRPr="007A3BCB">
        <w:t xml:space="preserve">relevant </w:t>
      </w:r>
      <w:r w:rsidR="00E22671">
        <w:t>(</w:t>
      </w:r>
      <w:r w:rsidRPr="007A3BCB">
        <w:t>rather than locally</w:t>
      </w:r>
      <w:r w:rsidR="00E22671">
        <w:t xml:space="preserve"> </w:t>
      </w:r>
      <w:r w:rsidRPr="007A3BCB">
        <w:t>relevant</w:t>
      </w:r>
      <w:r w:rsidR="00E22671">
        <w:t>)</w:t>
      </w:r>
      <w:r w:rsidRPr="007A3BCB">
        <w:t xml:space="preserve"> or that are from a similar ecosystem and water quality are preferred over standard species. In such situations, it is recommended that </w:t>
      </w:r>
      <w:r w:rsidR="00E22671">
        <w:t>2–3</w:t>
      </w:r>
      <w:r w:rsidRPr="007A3BCB" w:rsidR="00E22671">
        <w:t xml:space="preserve"> </w:t>
      </w:r>
      <w:r w:rsidRPr="007A3BCB">
        <w:t>locally</w:t>
      </w:r>
      <w:r w:rsidR="00E22671">
        <w:t xml:space="preserve"> </w:t>
      </w:r>
      <w:r w:rsidRPr="007A3BCB">
        <w:t>relevant species that are taxonomically similar to some of the regionally</w:t>
      </w:r>
      <w:r w:rsidR="00E22671">
        <w:t xml:space="preserve"> </w:t>
      </w:r>
      <w:r w:rsidRPr="007A3BCB">
        <w:t>relevant test species are assessed alongside the regionally</w:t>
      </w:r>
      <w:r w:rsidR="00E22671">
        <w:t xml:space="preserve"> </w:t>
      </w:r>
      <w:r w:rsidRPr="007A3BCB">
        <w:t>relevant species. By comparing the results for the taxonomically</w:t>
      </w:r>
      <w:r w:rsidR="009F51E7">
        <w:t xml:space="preserve"> </w:t>
      </w:r>
      <w:r w:rsidRPr="007A3BCB">
        <w:t>similar locally</w:t>
      </w:r>
      <w:r w:rsidR="00E22671">
        <w:t xml:space="preserve"> </w:t>
      </w:r>
      <w:r w:rsidRPr="007A3BCB">
        <w:t>relevant species and regionally</w:t>
      </w:r>
      <w:r w:rsidR="00E22671">
        <w:t xml:space="preserve"> </w:t>
      </w:r>
      <w:r w:rsidRPr="007A3BCB">
        <w:t>relevant species, the appropriateness of using the regionally</w:t>
      </w:r>
      <w:r w:rsidR="00E22671">
        <w:t xml:space="preserve"> </w:t>
      </w:r>
      <w:r w:rsidRPr="007A3BCB">
        <w:t>relevant species can be determined. An example of this is described by van Dam et al. (2014) for a diamond</w:t>
      </w:r>
      <w:r w:rsidR="00E22671">
        <w:t>-</w:t>
      </w:r>
      <w:r w:rsidRPr="007A3BCB">
        <w:t>mine wastewater.</w:t>
      </w:r>
    </w:p>
    <w:p w:rsidR="009B170E" w:rsidP="00AB44A6" w14:paraId="673568B6" w14:textId="2FBA5F46">
      <w:r>
        <w:t>The adoption of standard or site-specific DTA must be determined based</w:t>
      </w:r>
      <w:r w:rsidR="00253CDC">
        <w:t xml:space="preserve"> on the objective of an investigation. For the purposes of Australian or New Zealand water managers, who generally oversee specific hydro-geographical regions and are concerned with local water quality, site-specific DTA is likely to be the most appropriate approach.</w:t>
      </w:r>
      <w:r w:rsidR="002F59FB">
        <w:t xml:space="preserve"> In some cases, a hybrid approach will be appropriate or, </w:t>
      </w:r>
      <w:r w:rsidR="00DE5A4F">
        <w:t>at least</w:t>
      </w:r>
      <w:r w:rsidR="002F59FB">
        <w:t>, the best that is achievable</w:t>
      </w:r>
      <w:r w:rsidR="00180314">
        <w:t xml:space="preserve">. </w:t>
      </w:r>
      <w:r w:rsidR="00DE5A4F">
        <w:t>Guidance on selecting d</w:t>
      </w:r>
      <w:r w:rsidR="00180314">
        <w:t>ifferent approaches for deriving water</w:t>
      </w:r>
      <w:r w:rsidR="00ED5678">
        <w:t>-</w:t>
      </w:r>
      <w:r w:rsidR="00180314">
        <w:t xml:space="preserve">quality </w:t>
      </w:r>
      <w:r w:rsidR="003C370B">
        <w:t>guideline values</w:t>
      </w:r>
      <w:r w:rsidR="00180314">
        <w:t xml:space="preserve">, </w:t>
      </w:r>
      <w:r w:rsidR="00C81944">
        <w:t xml:space="preserve">much of </w:t>
      </w:r>
      <w:r w:rsidR="00180314">
        <w:t xml:space="preserve">which </w:t>
      </w:r>
      <w:r w:rsidR="00400DD5">
        <w:t>is</w:t>
      </w:r>
      <w:r w:rsidR="00180314">
        <w:t xml:space="preserve"> transferable to DTA, </w:t>
      </w:r>
      <w:r w:rsidR="0041537B">
        <w:t>is provided</w:t>
      </w:r>
      <w:r w:rsidR="00180314">
        <w:t xml:space="preserve"> by van Dam et al. (2019).</w:t>
      </w:r>
    </w:p>
    <w:p w:rsidR="00AB44A6" w:rsidP="00850E85" w14:paraId="06FEF1B3" w14:textId="77777777">
      <w:pPr>
        <w:pStyle w:val="Heading5"/>
      </w:pPr>
      <w:bookmarkStart w:id="76" w:name="_Toxicity_identification_evaluation"/>
      <w:bookmarkStart w:id="77" w:name="_Ref48723739"/>
      <w:bookmarkEnd w:id="76"/>
      <w:r w:rsidRPr="00AB44A6">
        <w:t xml:space="preserve">Toxicity </w:t>
      </w:r>
      <w:r w:rsidRPr="00AB44A6" w:rsidR="00EA02A7">
        <w:t>identification evaluation</w:t>
      </w:r>
      <w:bookmarkEnd w:id="77"/>
    </w:p>
    <w:p w:rsidR="00AB44A6" w14:paraId="7D8B22DC" w14:textId="7A134E67">
      <w:r w:rsidRPr="00AB44A6">
        <w:t>TIE</w:t>
      </w:r>
      <w:r w:rsidR="00391CA1">
        <w:t>s</w:t>
      </w:r>
      <w:r w:rsidRPr="00AB44A6">
        <w:t xml:space="preserve"> are a set of toxicity</w:t>
      </w:r>
      <w:r w:rsidR="003A76D4">
        <w:t>-</w:t>
      </w:r>
      <w:r w:rsidRPr="00AB44A6">
        <w:t xml:space="preserve">assessment procedures developed and modified to identify toxic components of effluents or contaminated natural waters </w:t>
      </w:r>
      <w:r w:rsidR="00334232">
        <w:t>(Jop et al. 1991,</w:t>
      </w:r>
      <w:r w:rsidRPr="00AB44A6">
        <w:t xml:space="preserve"> Maltby et al. 2000). </w:t>
      </w:r>
      <w:r w:rsidR="0003400F">
        <w:t>They</w:t>
      </w:r>
      <w:r w:rsidRPr="00AB44A6" w:rsidR="0003400F">
        <w:t xml:space="preserve"> </w:t>
      </w:r>
      <w:r w:rsidRPr="00AB44A6">
        <w:t xml:space="preserve">involve manipulating and fractionating the effluent or natural water and conducting subsequent toxicity tests to separate toxic </w:t>
      </w:r>
      <w:r w:rsidR="00391CA1">
        <w:t xml:space="preserve">components </w:t>
      </w:r>
      <w:r w:rsidRPr="00AB44A6">
        <w:t>from non-toxic components (Burk</w:t>
      </w:r>
      <w:r w:rsidR="001A4868">
        <w:t>h</w:t>
      </w:r>
      <w:r w:rsidRPr="00AB44A6">
        <w:t xml:space="preserve">ard </w:t>
      </w:r>
      <w:r w:rsidR="003C60FB">
        <w:t>and</w:t>
      </w:r>
      <w:r w:rsidRPr="00AB44A6">
        <w:t xml:space="preserve"> Ankley 1989). TIE methods have been extensively developed in </w:t>
      </w:r>
      <w:r w:rsidR="00D956DB">
        <w:t>N</w:t>
      </w:r>
      <w:r w:rsidRPr="00AB44A6">
        <w:t xml:space="preserve">orth America (Jop et al. 1991, Norberg-King et al. 1991, Norberg-King et al. 1992, Durhan et al. 1993, Mount </w:t>
      </w:r>
      <w:r w:rsidR="003C60FB">
        <w:t>and</w:t>
      </w:r>
      <w:r w:rsidRPr="00AB44A6">
        <w:t xml:space="preserve"> Norberg-King 1993)</w:t>
      </w:r>
      <w:r w:rsidR="00E85CC7">
        <w:t>.</w:t>
      </w:r>
      <w:r w:rsidRPr="00AB44A6">
        <w:t xml:space="preserve"> </w:t>
      </w:r>
      <w:r w:rsidR="00E85CC7">
        <w:t>They</w:t>
      </w:r>
      <w:r w:rsidRPr="00AB44A6" w:rsidR="00E85CC7">
        <w:t xml:space="preserve"> </w:t>
      </w:r>
      <w:r w:rsidRPr="00AB44A6">
        <w:t>can be undertaken following DTA if necessary. Some TIE methods have also been developed in Australia (Manning et al. 1993, Pablo et al. 1996, Bailey et al. 2000a, 2000b</w:t>
      </w:r>
      <w:r w:rsidR="00334232">
        <w:t>,</w:t>
      </w:r>
      <w:r w:rsidRPr="00AB44A6">
        <w:t xml:space="preserve"> Strom et al. 2009) and New Zealand (Hall </w:t>
      </w:r>
      <w:r w:rsidR="003C60FB">
        <w:t>and</w:t>
      </w:r>
      <w:r w:rsidRPr="00AB44A6">
        <w:t xml:space="preserve"> Golding 1998). TIE </w:t>
      </w:r>
      <w:r w:rsidR="00A46F7D">
        <w:t>has become</w:t>
      </w:r>
      <w:r w:rsidRPr="00AB44A6">
        <w:t xml:space="preserve"> an increasingly important tool but guidance for its use is not within the scope of the </w:t>
      </w:r>
      <w:r w:rsidR="000D5884">
        <w:t>ANZG (2018) g</w:t>
      </w:r>
      <w:r w:rsidRPr="00AB44A6">
        <w:t>uidelines</w:t>
      </w:r>
      <w:r w:rsidR="00B1348D">
        <w:t>. T</w:t>
      </w:r>
      <w:r w:rsidRPr="00AB44A6">
        <w:t xml:space="preserve">he literature </w:t>
      </w:r>
      <w:r w:rsidR="000D5884">
        <w:t xml:space="preserve">should be consulted </w:t>
      </w:r>
      <w:r w:rsidRPr="00AB44A6">
        <w:t>for detailed information and guidance.</w:t>
      </w:r>
    </w:p>
    <w:p w:rsidR="00AB44A6" w:rsidP="00850E85" w14:paraId="5DC55306" w14:textId="65080088">
      <w:pPr>
        <w:pStyle w:val="Heading5"/>
      </w:pPr>
      <w:r w:rsidRPr="00AB44A6">
        <w:t xml:space="preserve">Application of </w:t>
      </w:r>
      <w:r w:rsidR="00857E03">
        <w:t>direct toxicity assessment</w:t>
      </w:r>
    </w:p>
    <w:p w:rsidR="00AB44A6" w:rsidP="00AB44A6" w14:paraId="760EE5D1" w14:textId="34231DBC">
      <w:r>
        <w:t>Ideally,</w:t>
      </w:r>
      <w:r w:rsidR="00253CDC">
        <w:t xml:space="preserve"> DTA </w:t>
      </w:r>
      <w:r>
        <w:t xml:space="preserve">should </w:t>
      </w:r>
      <w:r w:rsidR="00253CDC">
        <w:t>be carried out on every discrete mixture of chemicals that is known to enter the aquatic environment. However, this is impossible in practice. In addition, state and federal government legislation determine</w:t>
      </w:r>
      <w:r w:rsidR="0099381B">
        <w:t>s</w:t>
      </w:r>
      <w:r w:rsidR="00253CDC">
        <w:t xml:space="preserve"> the priorities and uses for testing and whether DTA can be </w:t>
      </w:r>
      <w:r w:rsidR="0099381B">
        <w:t xml:space="preserve">used </w:t>
      </w:r>
      <w:r w:rsidR="00253CDC">
        <w:t xml:space="preserve">as a regulatory tool. In the </w:t>
      </w:r>
      <w:r w:rsidR="0014776A">
        <w:t>USA</w:t>
      </w:r>
      <w:r w:rsidR="00253CDC">
        <w:t xml:space="preserve">, there </w:t>
      </w:r>
      <w:r w:rsidR="00EA0DCF">
        <w:t>was</w:t>
      </w:r>
      <w:r w:rsidR="00253CDC">
        <w:t xml:space="preserve"> considerable disagreement between government and industry as to whether WET testing, with its associated limitations</w:t>
      </w:r>
      <w:r w:rsidR="00E867B5">
        <w:t>,</w:t>
      </w:r>
      <w:r w:rsidR="00253CDC">
        <w:t xml:space="preserve"> should be used to determine compliance with </w:t>
      </w:r>
      <w:r w:rsidR="00DD29BF">
        <w:t>regulations</w:t>
      </w:r>
      <w:r w:rsidR="00253CDC">
        <w:t xml:space="preserve"> (Pifher </w:t>
      </w:r>
      <w:r w:rsidR="003C60FB">
        <w:t>and</w:t>
      </w:r>
      <w:r w:rsidR="00253CDC">
        <w:t xml:space="preserve"> Egan 1989</w:t>
      </w:r>
      <w:r w:rsidR="00334232">
        <w:t>,</w:t>
      </w:r>
      <w:r w:rsidR="00253CDC">
        <w:t xml:space="preserve"> Moore et al. 2000). However, WET testing has now become an important component of many industrial and municipal National Pollutant Discharge Elimination System permits throughout the </w:t>
      </w:r>
      <w:r w:rsidR="0014776A">
        <w:t>USA</w:t>
      </w:r>
      <w:r w:rsidR="00253CDC">
        <w:t xml:space="preserve"> (Grothe et al. 1996), Europe and Canada (Power </w:t>
      </w:r>
      <w:r w:rsidR="003C60FB">
        <w:t>and</w:t>
      </w:r>
      <w:r w:rsidR="00253CDC">
        <w:t xml:space="preserve"> Boumphrey 2004). </w:t>
      </w:r>
    </w:p>
    <w:p w:rsidR="00AB44A6" w:rsidP="00AB44A6" w14:paraId="34937E8F" w14:textId="7BD31B1F">
      <w:r>
        <w:t xml:space="preserve">Potential applications of DTA include industries or processes where discrete complex effluent or wastewater </w:t>
      </w:r>
      <w:r w:rsidR="00DC7CC0">
        <w:t>is</w:t>
      </w:r>
      <w:r>
        <w:t xml:space="preserve"> released into aquatic ecosystems. Th</w:t>
      </w:r>
      <w:r w:rsidR="00780362">
        <w:t>is</w:t>
      </w:r>
      <w:r>
        <w:t xml:space="preserve"> could include wastewater from </w:t>
      </w:r>
      <w:r w:rsidR="00B1348D">
        <w:t xml:space="preserve">industries such as </w:t>
      </w:r>
      <w:r>
        <w:t>mining</w:t>
      </w:r>
      <w:r w:rsidR="007A266B">
        <w:t xml:space="preserve"> and minerals processing</w:t>
      </w:r>
      <w:r>
        <w:t>, oil and gas, pulp and paper, sewage treatment</w:t>
      </w:r>
      <w:r w:rsidR="003546A1">
        <w:t>, seawater desalination</w:t>
      </w:r>
      <w:r>
        <w:t xml:space="preserve"> and power generation, as well as </w:t>
      </w:r>
      <w:r w:rsidR="00B1348D">
        <w:t xml:space="preserve">from </w:t>
      </w:r>
      <w:r>
        <w:t>urban runoff water. If a water</w:t>
      </w:r>
      <w:r w:rsidR="00B1348D">
        <w:t>-</w:t>
      </w:r>
      <w:r>
        <w:t>quality</w:t>
      </w:r>
      <w:r w:rsidR="00780362">
        <w:t xml:space="preserve"> </w:t>
      </w:r>
      <w:r>
        <w:t xml:space="preserve">monitoring program of a receiving water already exists, this should be carried out in conjunction with DTA of the specific discharge, as well as DTA of the receiving water. Due to the large number of chemicals likely to be present in wastewater, it is possible that some compounds could be missed if only suspected priority contaminants are measured. The use of DTA </w:t>
      </w:r>
      <w:r w:rsidR="00B16900">
        <w:t>(in conjunction with measur</w:t>
      </w:r>
      <w:r w:rsidR="00662DF8">
        <w:t>ing</w:t>
      </w:r>
      <w:r w:rsidR="00B16900">
        <w:t xml:space="preserve"> priority contaminants) </w:t>
      </w:r>
      <w:r>
        <w:t xml:space="preserve">overcomes this limitation as it integrates the toxicity of all the compounds in a complex mixture. Toxicity testing of wastewater prior to release into the aquatic environment aims to prevent contamination of a receiving water with wastewater that is toxic to aquatic life and to monitor the performance of wastewater treatment facilities. In addition, </w:t>
      </w:r>
      <w:r w:rsidR="00866627">
        <w:t xml:space="preserve">toxicity testing </w:t>
      </w:r>
      <w:r>
        <w:t xml:space="preserve">allows the determination of site-specific guidelines, such as </w:t>
      </w:r>
      <w:r w:rsidR="00476521">
        <w:t xml:space="preserve">‘safe’ </w:t>
      </w:r>
      <w:r>
        <w:t xml:space="preserve">wastewater dilution and release rates. Van Dam </w:t>
      </w:r>
      <w:r w:rsidR="00866627">
        <w:t>and</w:t>
      </w:r>
      <w:r>
        <w:t xml:space="preserve"> Chapman (2001) provide a table of potential applications of DTA as well as several, albeit relatively old, case studies of the use of DTA.</w:t>
      </w:r>
      <w:r w:rsidR="001856AB">
        <w:t xml:space="preserve"> </w:t>
      </w:r>
    </w:p>
    <w:p w:rsidR="00AB44A6" w:rsidP="00AB44A6" w14:paraId="196B02B4" w14:textId="6CC4664D">
      <w:r>
        <w:t xml:space="preserve">Where there are </w:t>
      </w:r>
      <w:r w:rsidR="00DC4ECA">
        <w:t>multiple</w:t>
      </w:r>
      <w:r>
        <w:t xml:space="preserve"> small discharges to a single receiving water</w:t>
      </w:r>
      <w:r w:rsidR="00DC4ECA">
        <w:t xml:space="preserve"> and individual sources are difficult to identify</w:t>
      </w:r>
      <w:r>
        <w:t xml:space="preserve">, it may not be economically or technically practicable to undertake DTA on all discharges. </w:t>
      </w:r>
      <w:r w:rsidR="00253CDC">
        <w:t>In such situations, DTA of the receiving water</w:t>
      </w:r>
      <w:r w:rsidR="00DC4ECA">
        <w:t xml:space="preserve"> (rather than for each discharge)</w:t>
      </w:r>
      <w:r w:rsidR="00253CDC">
        <w:t xml:space="preserve"> </w:t>
      </w:r>
      <w:r w:rsidR="00457456">
        <w:t>is</w:t>
      </w:r>
      <w:r w:rsidR="00253CDC">
        <w:t xml:space="preserve"> the most appropriate option.</w:t>
      </w:r>
      <w:r w:rsidR="00DC4ECA">
        <w:t xml:space="preserve"> </w:t>
      </w:r>
      <w:r w:rsidR="00206947">
        <w:t xml:space="preserve">Subsequently, if </w:t>
      </w:r>
      <w:r w:rsidR="00DC4ECA">
        <w:t xml:space="preserve">toxicity in a receiving water is observed, DTA of individual discharges may help to identify the source of toxicity. </w:t>
      </w:r>
    </w:p>
    <w:p w:rsidR="00AB44A6" w:rsidP="00AB44A6" w14:paraId="39536332" w14:textId="7E6AB006">
      <w:r>
        <w:t xml:space="preserve">In addition, many contaminants enter waterways over a broad spatial scale, with no particular point source, making assessment of their toxicity difficult. Again, </w:t>
      </w:r>
      <w:r w:rsidR="001D0829">
        <w:t>DTA</w:t>
      </w:r>
      <w:r>
        <w:t xml:space="preserve"> of the receiving water can be </w:t>
      </w:r>
      <w:r w:rsidR="0014443C">
        <w:t>used</w:t>
      </w:r>
      <w:r>
        <w:t xml:space="preserve">. Alternatively, experiments can be designed to catch runoff water for laboratory DTA, or mixtures such as leachates can be prepared in the laboratory, following standard methods, for laboratory testing. Essentially, if an area is suspected </w:t>
      </w:r>
      <w:r w:rsidR="00F6048C">
        <w:t>to be</w:t>
      </w:r>
      <w:r>
        <w:t xml:space="preserve"> contaminated, DTA can either be carried out </w:t>
      </w:r>
      <w:r w:rsidRPr="00B1348D">
        <w:rPr>
          <w:i/>
          <w:iCs/>
        </w:rPr>
        <w:t>in</w:t>
      </w:r>
      <w:r>
        <w:t xml:space="preserve"> </w:t>
      </w:r>
      <w:r w:rsidRPr="00F6048C">
        <w:rPr>
          <w:rStyle w:val="Emphasis"/>
        </w:rPr>
        <w:t>situ</w:t>
      </w:r>
      <w:r>
        <w:t xml:space="preserve"> or in the laboratory using collected water samples and using representative clean water from elsewhere (e.g. upstream) as dilution water.</w:t>
      </w:r>
    </w:p>
    <w:p w:rsidR="00AB44A6" w:rsidP="00AB44A6" w14:paraId="4F114AA8" w14:textId="667E6743">
      <w:r>
        <w:t xml:space="preserve">Additional applications of DTA include </w:t>
      </w:r>
      <w:r w:rsidR="00253CDC">
        <w:t xml:space="preserve">determining </w:t>
      </w:r>
      <w:r w:rsidR="00857E03">
        <w:t xml:space="preserve">if </w:t>
      </w:r>
      <w:r w:rsidR="00253CDC">
        <w:t>naturally</w:t>
      </w:r>
      <w:r w:rsidR="00FA0417">
        <w:t xml:space="preserve"> </w:t>
      </w:r>
      <w:r w:rsidR="00253CDC">
        <w:t xml:space="preserve">elevated background levels of inorganic compounds represent a risk to aquatic life or </w:t>
      </w:r>
      <w:r w:rsidR="00857E03">
        <w:t xml:space="preserve">if </w:t>
      </w:r>
      <w:r w:rsidR="00253CDC">
        <w:t>other site-specific characteristics, such as salinity, pH and dissolved organic carbon</w:t>
      </w:r>
      <w:r w:rsidR="00857E03">
        <w:t>,</w:t>
      </w:r>
      <w:r w:rsidR="00253CDC">
        <w:t xml:space="preserve"> </w:t>
      </w:r>
      <w:r w:rsidR="00FA0417">
        <w:t>change</w:t>
      </w:r>
      <w:r w:rsidR="00253CDC">
        <w:t xml:space="preserve"> the toxicity of particular compounds or mixtures of compounds.</w:t>
      </w:r>
      <w:r w:rsidR="00583A4C">
        <w:t xml:space="preserve"> DTA can</w:t>
      </w:r>
      <w:r w:rsidR="007E7576">
        <w:t xml:space="preserve"> al</w:t>
      </w:r>
      <w:r w:rsidR="00583A4C">
        <w:t>s</w:t>
      </w:r>
      <w:r w:rsidR="007E7576">
        <w:t>o</w:t>
      </w:r>
      <w:r w:rsidR="00583A4C">
        <w:t xml:space="preserve"> be</w:t>
      </w:r>
      <w:r w:rsidR="007E7576">
        <w:t xml:space="preserve"> applied to</w:t>
      </w:r>
      <w:r w:rsidR="00253CDC">
        <w:t xml:space="preserve"> assessing the bioavailability and toxicity of one or more </w:t>
      </w:r>
      <w:r>
        <w:t xml:space="preserve">toxicants </w:t>
      </w:r>
      <w:r w:rsidR="00253CDC">
        <w:t>under site-specific conditions (i.e. local species, local dilution water) to derive a site-specific guideline value</w:t>
      </w:r>
      <w:r>
        <w:t xml:space="preserve"> (see van Dam et al. 2019)</w:t>
      </w:r>
      <w:r w:rsidR="007E7576">
        <w:t>.</w:t>
      </w:r>
    </w:p>
    <w:p w:rsidR="00AB44A6" w:rsidP="00850E85" w14:paraId="6569F289" w14:textId="2EF58A61">
      <w:pPr>
        <w:pStyle w:val="Heading5"/>
      </w:pPr>
      <w:bookmarkStart w:id="78" w:name="Minimum_requirements"/>
      <w:bookmarkEnd w:id="78"/>
      <w:r w:rsidRPr="00AB44A6">
        <w:t xml:space="preserve">Minimum requirements for </w:t>
      </w:r>
      <w:r w:rsidR="00857E03">
        <w:t>using direct toxicity assessment to assess</w:t>
      </w:r>
      <w:r w:rsidRPr="00AB44A6">
        <w:t xml:space="preserve"> water quality</w:t>
      </w:r>
    </w:p>
    <w:p w:rsidR="00AB44A6" w:rsidP="001A6B2B" w14:paraId="2C8A5401" w14:textId="1A4C589F">
      <w:pPr>
        <w:spacing w:after="120"/>
      </w:pPr>
      <w:r>
        <w:t xml:space="preserve">The data requirements for deriving a site-specific ‘acceptable’ dilution for an effluent, or a site-specific </w:t>
      </w:r>
      <w:r w:rsidR="0055003D">
        <w:t xml:space="preserve">guideline value </w:t>
      </w:r>
      <w:r>
        <w:t>for a locally-relevant toxicant, based on DTA, are similar to those for DGVs for single</w:t>
      </w:r>
      <w:r w:rsidR="008E1F0C">
        <w:t xml:space="preserve"> </w:t>
      </w:r>
      <w:r>
        <w:t>chemicals (Batley et al. 2018</w:t>
      </w:r>
      <w:r w:rsidR="0055003D">
        <w:t>,</w:t>
      </w:r>
      <w:r>
        <w:t xml:space="preserve"> Warne et al. 2018). Some of the key requirements include:</w:t>
      </w:r>
    </w:p>
    <w:p w:rsidR="00AB44A6" w:rsidP="00AB44A6" w14:paraId="51C562DC" w14:textId="7DF09916">
      <w:pPr>
        <w:pStyle w:val="ListBullet"/>
      </w:pPr>
      <w:r>
        <w:t>Data must meet appropriate quality requirements.</w:t>
      </w:r>
    </w:p>
    <w:p w:rsidR="00AB44A6" w:rsidP="00AB44A6" w14:paraId="1C6E6A1D" w14:textId="122DCC38">
      <w:pPr>
        <w:pStyle w:val="ListBullet"/>
      </w:pPr>
      <w:r>
        <w:t xml:space="preserve">Chronic toxicity data are </w:t>
      </w:r>
      <w:r w:rsidR="002D1D5D">
        <w:t xml:space="preserve">typically </w:t>
      </w:r>
      <w:r>
        <w:t>preferred over acute toxicity data.</w:t>
      </w:r>
    </w:p>
    <w:p w:rsidR="00AB44A6" w:rsidP="00AB44A6" w14:paraId="52E9AC5B" w14:textId="01DE8B4A">
      <w:pPr>
        <w:pStyle w:val="ListBullet"/>
      </w:pPr>
      <w:r>
        <w:t>Toxicity estimates such as no</w:t>
      </w:r>
      <w:r w:rsidR="00DD421E">
        <w:t>-</w:t>
      </w:r>
      <w:r>
        <w:t>effect concentrations</w:t>
      </w:r>
      <w:r w:rsidR="003546A1">
        <w:t xml:space="preserve"> </w:t>
      </w:r>
      <w:r>
        <w:t>or low</w:t>
      </w:r>
      <w:r w:rsidR="00DD421E">
        <w:t>-</w:t>
      </w:r>
      <w:r>
        <w:t>effect concentration</w:t>
      </w:r>
      <w:r w:rsidR="00662DF8">
        <w:t>s</w:t>
      </w:r>
      <w:r>
        <w:t xml:space="preserve"> are preferred over no</w:t>
      </w:r>
      <w:r w:rsidR="00DD421E">
        <w:t>-</w:t>
      </w:r>
      <w:r>
        <w:t>observed</w:t>
      </w:r>
      <w:r w:rsidR="00D956DB">
        <w:t>-</w:t>
      </w:r>
      <w:r>
        <w:t>effect concentrations</w:t>
      </w:r>
      <w:r w:rsidR="00A75D82">
        <w:t>,</w:t>
      </w:r>
      <w:r w:rsidR="002D1D5D">
        <w:t xml:space="preserve"> but </w:t>
      </w:r>
      <w:r w:rsidR="00662DF8">
        <w:t>must</w:t>
      </w:r>
      <w:r w:rsidR="002D1D5D">
        <w:t xml:space="preserve"> be supported by appropriate experimental designs</w:t>
      </w:r>
      <w:r>
        <w:t>.</w:t>
      </w:r>
      <w:r w:rsidR="00A75D82">
        <w:t xml:space="preserve"> See ‘</w:t>
      </w:r>
      <w:r w:rsidR="00A75D82">
        <w:fldChar w:fldCharType="begin"/>
      </w:r>
      <w:r w:rsidR="00A75D82">
        <w:instrText xml:space="preserve"> REF _Ref136006525 \h </w:instrText>
      </w:r>
      <w:r w:rsidR="00A75D82">
        <w:fldChar w:fldCharType="separate"/>
      </w:r>
      <w:r w:rsidRPr="00BF0F90" w:rsidR="008A285F">
        <w:t>Glossary</w:t>
      </w:r>
      <w:r w:rsidR="008A285F">
        <w:t xml:space="preserve"> and acronyms</w:t>
      </w:r>
      <w:r w:rsidR="00A75D82">
        <w:fldChar w:fldCharType="end"/>
      </w:r>
      <w:r w:rsidR="00A75D82">
        <w:t>’ for definitions.</w:t>
      </w:r>
    </w:p>
    <w:p w:rsidR="00AB44A6" w:rsidP="00AB44A6" w14:paraId="69860662" w14:textId="15011230">
      <w:pPr>
        <w:pStyle w:val="ListBullet"/>
      </w:pPr>
      <w:r>
        <w:t>A suite of toxicity tests using species from a range of taxonomic groups should be used because, for a variable, complex effluent, it cannot be certain which groups of organisms will be most sensitive for any particular period of sampling.</w:t>
      </w:r>
    </w:p>
    <w:p w:rsidR="00AB44A6" w:rsidP="00AB44A6" w14:paraId="55AFC9F2" w14:textId="68FB0FCE">
      <w:r>
        <w:t xml:space="preserve">The reliability classification for toxicant </w:t>
      </w:r>
      <w:r w:rsidR="002D1D5D">
        <w:t xml:space="preserve">guideline values </w:t>
      </w:r>
      <w:r>
        <w:t xml:space="preserve">requires chronic toxicity data for at least </w:t>
      </w:r>
      <w:r w:rsidR="008E1F0C">
        <w:t>8</w:t>
      </w:r>
      <w:r w:rsidR="00C361A1">
        <w:t xml:space="preserve"> </w:t>
      </w:r>
      <w:r>
        <w:t xml:space="preserve">species (from </w:t>
      </w:r>
      <w:r w:rsidR="008E1F0C">
        <w:t>4</w:t>
      </w:r>
      <w:r w:rsidR="00C361A1">
        <w:t xml:space="preserve"> </w:t>
      </w:r>
      <w:r>
        <w:t>taxonomic groups</w:t>
      </w:r>
      <w:r w:rsidR="004142E1">
        <w:t xml:space="preserve"> and with a good fit of the SSD model</w:t>
      </w:r>
      <w:r>
        <w:t xml:space="preserve">) </w:t>
      </w:r>
      <w:r w:rsidR="008E1F0C">
        <w:t>for</w:t>
      </w:r>
      <w:r>
        <w:t xml:space="preserve"> a high reliability </w:t>
      </w:r>
      <w:r w:rsidR="002D1D5D">
        <w:t>guideline value</w:t>
      </w:r>
      <w:r>
        <w:t xml:space="preserve"> and at least 15</w:t>
      </w:r>
      <w:r w:rsidR="00C361A1">
        <w:t xml:space="preserve"> </w:t>
      </w:r>
      <w:r>
        <w:t xml:space="preserve">species (from </w:t>
      </w:r>
      <w:r w:rsidR="008E1F0C">
        <w:t>4</w:t>
      </w:r>
      <w:r w:rsidR="00C361A1">
        <w:t xml:space="preserve"> </w:t>
      </w:r>
      <w:r>
        <w:t>taxonomic groups</w:t>
      </w:r>
      <w:r w:rsidR="004142E1">
        <w:t xml:space="preserve"> and with a good fit of the SSD model</w:t>
      </w:r>
      <w:r>
        <w:t xml:space="preserve">) for a very high reliability </w:t>
      </w:r>
      <w:r w:rsidR="002D1D5D">
        <w:t>guideline value</w:t>
      </w:r>
      <w:r>
        <w:t xml:space="preserve"> (Warne et al. 2018). For DGVs, where the toxicity data are collated from the national and international literature, </w:t>
      </w:r>
      <w:r w:rsidR="001D0829">
        <w:t xml:space="preserve">a </w:t>
      </w:r>
      <w:r>
        <w:t>sample size</w:t>
      </w:r>
      <w:r w:rsidR="001D0829">
        <w:t xml:space="preserve"> of</w:t>
      </w:r>
      <w:r w:rsidR="00E85CC7">
        <w:t> </w:t>
      </w:r>
      <w:r w:rsidR="001D0829">
        <w:t>≥</w:t>
      </w:r>
      <w:r w:rsidR="00E85CC7">
        <w:t> </w:t>
      </w:r>
      <w:r w:rsidR="001D0829">
        <w:t>15</w:t>
      </w:r>
      <w:r>
        <w:t xml:space="preserve"> can often be attained. However, the toxicity testing of effluent or ambient water is often an ongoing process due to their changing characteristics over time, and the </w:t>
      </w:r>
      <w:r w:rsidR="002D1D5D">
        <w:t>regular</w:t>
      </w:r>
      <w:r>
        <w:t xml:space="preserve"> assessment of toxicity to at least </w:t>
      </w:r>
      <w:r w:rsidR="008E1F0C">
        <w:t>8</w:t>
      </w:r>
      <w:r>
        <w:t xml:space="preserve"> </w:t>
      </w:r>
      <w:r w:rsidR="008E1F0C">
        <w:t>(</w:t>
      </w:r>
      <w:r>
        <w:t>let alone 15</w:t>
      </w:r>
      <w:r w:rsidR="008E1F0C">
        <w:t>)</w:t>
      </w:r>
      <w:r>
        <w:t xml:space="preserve"> species can be difficult to achieve</w:t>
      </w:r>
      <w:r w:rsidR="00137EEE">
        <w:t xml:space="preserve"> but is nevertheless encouraged</w:t>
      </w:r>
      <w:r>
        <w:t xml:space="preserve">. </w:t>
      </w:r>
      <w:r w:rsidR="008E1F0C">
        <w:t>I</w:t>
      </w:r>
      <w:r>
        <w:t xml:space="preserve">t may not be feasible to derive a high or very high reliability </w:t>
      </w:r>
      <w:r w:rsidR="002D1D5D">
        <w:t xml:space="preserve">guideline value </w:t>
      </w:r>
      <w:r>
        <w:t>(</w:t>
      </w:r>
      <w:r w:rsidR="002D1D5D">
        <w:t xml:space="preserve">or </w:t>
      </w:r>
      <w:r>
        <w:t xml:space="preserve">a </w:t>
      </w:r>
      <w:r w:rsidR="009F44B8">
        <w:t xml:space="preserve">‘safe’ </w:t>
      </w:r>
      <w:r>
        <w:t>effluent</w:t>
      </w:r>
      <w:r w:rsidR="007D1868">
        <w:t xml:space="preserve"> </w:t>
      </w:r>
      <w:r>
        <w:t>dilution) for an effluent</w:t>
      </w:r>
      <w:r w:rsidR="00E85CC7">
        <w:t>.</w:t>
      </w:r>
      <w:r>
        <w:t xml:space="preserve"> </w:t>
      </w:r>
      <w:r w:rsidR="00E85CC7">
        <w:t>S</w:t>
      </w:r>
      <w:r>
        <w:t xml:space="preserve">takeholder expectations </w:t>
      </w:r>
      <w:r w:rsidR="001D22FD">
        <w:t>for this must be</w:t>
      </w:r>
      <w:r>
        <w:t xml:space="preserve"> appropriately aligned. </w:t>
      </w:r>
    </w:p>
    <w:p w:rsidR="000A52FA" w:rsidP="00AB44A6" w14:paraId="272AD9C3" w14:textId="7CF88FF9">
      <w:r>
        <w:t>Although Warne et al. (2018) d</w:t>
      </w:r>
      <w:r w:rsidR="00A93E86">
        <w:t>o</w:t>
      </w:r>
      <w:r>
        <w:t xml:space="preserve"> not specify types of taxonomic groups that need to be represented in a dataset for deriving guideline values, typically these might include aquatic algae, macrophytes, crustaceans, gastropods, bivalves, insects </w:t>
      </w:r>
      <w:r w:rsidR="00266B57">
        <w:t>or</w:t>
      </w:r>
      <w:r>
        <w:t xml:space="preserve"> fish. </w:t>
      </w:r>
      <w:r w:rsidR="00DA467A">
        <w:t>Although</w:t>
      </w:r>
      <w:r>
        <w:t xml:space="preserve"> the minimum requirement of </w:t>
      </w:r>
      <w:r w:rsidR="008E1F0C">
        <w:t>4</w:t>
      </w:r>
      <w:r w:rsidR="00C361A1">
        <w:t xml:space="preserve"> </w:t>
      </w:r>
      <w:r>
        <w:t xml:space="preserve">taxonomic groups will </w:t>
      </w:r>
      <w:r w:rsidR="00DA467A">
        <w:t xml:space="preserve">often </w:t>
      </w:r>
      <w:r>
        <w:t>be achievable</w:t>
      </w:r>
      <w:r w:rsidR="00DA467A">
        <w:t xml:space="preserve">, this may be more of a challenge in some situations </w:t>
      </w:r>
      <w:r w:rsidR="008E1F0C">
        <w:t>(e.g.</w:t>
      </w:r>
      <w:r w:rsidR="00DA467A">
        <w:t xml:space="preserve"> temporary water ecosystems</w:t>
      </w:r>
      <w:r w:rsidR="008E1F0C">
        <w:t>)</w:t>
      </w:r>
      <w:r w:rsidR="00DA467A">
        <w:t>. In such cases, regionally</w:t>
      </w:r>
      <w:r w:rsidR="008E1F0C">
        <w:t xml:space="preserve"> </w:t>
      </w:r>
      <w:r w:rsidR="00DA467A">
        <w:t xml:space="preserve">relevant species may be used as discussed </w:t>
      </w:r>
      <w:r w:rsidR="00A14C96">
        <w:t xml:space="preserve">in </w:t>
      </w:r>
      <w:r w:rsidR="00012CF4">
        <w:t xml:space="preserve">Section </w:t>
      </w:r>
      <w:r w:rsidR="00012CF4">
        <w:fldChar w:fldCharType="begin"/>
      </w:r>
      <w:r w:rsidR="00012CF4">
        <w:instrText xml:space="preserve"> REF _Ref48723688 \r \h </w:instrText>
      </w:r>
      <w:r w:rsidR="00012CF4">
        <w:fldChar w:fldCharType="separate"/>
      </w:r>
      <w:r w:rsidR="008A285F">
        <w:t>3.2.2</w:t>
      </w:r>
      <w:r w:rsidR="00012CF4">
        <w:fldChar w:fldCharType="end"/>
      </w:r>
      <w:r w:rsidR="00012CF4">
        <w:t xml:space="preserve"> (</w:t>
      </w:r>
      <w:r w:rsidR="00A14C96">
        <w:t>‘</w:t>
      </w:r>
      <w:r w:rsidR="00012CF4">
        <w:fldChar w:fldCharType="begin"/>
      </w:r>
      <w:r w:rsidR="00012CF4">
        <w:instrText xml:space="preserve"> REF _Ref88560645 \h </w:instrText>
      </w:r>
      <w:r w:rsidR="00012CF4">
        <w:fldChar w:fldCharType="separate"/>
      </w:r>
      <w:r w:rsidRPr="00AB44A6" w:rsidR="008A285F">
        <w:t xml:space="preserve">Standard versus site-specific </w:t>
      </w:r>
      <w:r w:rsidR="008A285F">
        <w:t>direct toxicity assessment</w:t>
      </w:r>
      <w:r w:rsidR="00012CF4">
        <w:fldChar w:fldCharType="end"/>
      </w:r>
      <w:r w:rsidR="00A14C96">
        <w:t>’</w:t>
      </w:r>
      <w:r w:rsidR="00012CF4">
        <w:t>)</w:t>
      </w:r>
      <w:r w:rsidR="008E1F0C">
        <w:t>. H</w:t>
      </w:r>
      <w:r w:rsidR="00DA467A">
        <w:t>owever, the appropriateness of this would need to be discussed with regulators beforehand.</w:t>
      </w:r>
      <w:r w:rsidR="006074A3">
        <w:t xml:space="preserve"> If there are insufficient local or even regional species for deriving site-specific guideline values, then alternative methods should be explored, as discussed </w:t>
      </w:r>
      <w:r w:rsidR="00012C63">
        <w:t xml:space="preserve">by </w:t>
      </w:r>
      <w:r w:rsidR="006074A3">
        <w:t>Smith et al. (2020).</w:t>
      </w:r>
    </w:p>
    <w:p w:rsidR="00AB44A6" w:rsidP="00AB44A6" w14:paraId="53E33BC7" w14:textId="11FC882D">
      <w:r>
        <w:t>It is important to recognise that the reliability classification was developed primarily for DGVs</w:t>
      </w:r>
      <w:r w:rsidR="008E1F0C">
        <w:t>. I</w:t>
      </w:r>
      <w:r w:rsidR="00550BEB">
        <w:t xml:space="preserve">t </w:t>
      </w:r>
      <w:r>
        <w:t>does not take into account the additional relevance of the information obtained from testing locally</w:t>
      </w:r>
      <w:r w:rsidR="008E1F0C">
        <w:t xml:space="preserve"> relevant or </w:t>
      </w:r>
      <w:r>
        <w:t>regionally</w:t>
      </w:r>
      <w:r w:rsidR="008E1F0C">
        <w:t xml:space="preserve"> </w:t>
      </w:r>
      <w:r>
        <w:t>relevant species in locally</w:t>
      </w:r>
      <w:r w:rsidR="008E1F0C">
        <w:t xml:space="preserve"> </w:t>
      </w:r>
      <w:r>
        <w:t xml:space="preserve">relevant waters. For site-specific DTA to be used to develop a </w:t>
      </w:r>
      <w:r w:rsidR="00550BEB">
        <w:t xml:space="preserve">guideline value </w:t>
      </w:r>
      <w:r>
        <w:t xml:space="preserve">for an effluent or a locally-relevant toxicant, the use of at least </w:t>
      </w:r>
      <w:r w:rsidR="008E1F0C">
        <w:t>5</w:t>
      </w:r>
      <w:r w:rsidR="00C361A1">
        <w:t xml:space="preserve"> </w:t>
      </w:r>
      <w:r>
        <w:t>locally</w:t>
      </w:r>
      <w:r w:rsidR="008E1F0C">
        <w:t xml:space="preserve"> relevant or </w:t>
      </w:r>
      <w:r>
        <w:t>regionally</w:t>
      </w:r>
      <w:r w:rsidR="008E1F0C">
        <w:t xml:space="preserve"> </w:t>
      </w:r>
      <w:r>
        <w:t xml:space="preserve">relevant species from at least </w:t>
      </w:r>
      <w:r w:rsidR="008E1F0C">
        <w:t>4</w:t>
      </w:r>
      <w:r w:rsidR="00C361A1">
        <w:t xml:space="preserve"> </w:t>
      </w:r>
      <w:r>
        <w:t xml:space="preserve">taxonomic groups is </w:t>
      </w:r>
      <w:r w:rsidR="002E4021">
        <w:t>required</w:t>
      </w:r>
      <w:r>
        <w:t xml:space="preserve">. </w:t>
      </w:r>
      <w:r w:rsidR="007D1868">
        <w:t>Initially</w:t>
      </w:r>
      <w:r w:rsidR="00550BEB">
        <w:t>, l</w:t>
      </w:r>
      <w:r>
        <w:t xml:space="preserve">ong-term DTA programs should use </w:t>
      </w:r>
      <w:r w:rsidR="00550BEB">
        <w:t xml:space="preserve">the largest </w:t>
      </w:r>
      <w:r>
        <w:t xml:space="preserve">suite of </w:t>
      </w:r>
      <w:r w:rsidR="002E4021">
        <w:t xml:space="preserve">relevant </w:t>
      </w:r>
      <w:r>
        <w:t>species possible</w:t>
      </w:r>
      <w:r w:rsidR="002E4021">
        <w:t>, preferably at least</w:t>
      </w:r>
      <w:r w:rsidR="00AB151C">
        <w:t> </w:t>
      </w:r>
      <w:r w:rsidR="008E1F0C">
        <w:t>8</w:t>
      </w:r>
      <w:r w:rsidR="002E4021">
        <w:t>. T</w:t>
      </w:r>
      <w:r w:rsidR="00550BEB">
        <w:t>he suite</w:t>
      </w:r>
      <w:r>
        <w:t xml:space="preserve"> can subsequently be refined as an understanding develops of the relative sensitivity of the species to the water being tested. </w:t>
      </w:r>
      <w:r w:rsidR="00550BEB">
        <w:t xml:space="preserve">The </w:t>
      </w:r>
      <w:r>
        <w:t>design and refinement of a DTA program would be largely guided by the objectives of the program.</w:t>
      </w:r>
      <w:r w:rsidR="001856AB">
        <w:t xml:space="preserve"> Van Dam et al. (2019) provide </w:t>
      </w:r>
      <w:r w:rsidR="002908F8">
        <w:t xml:space="preserve">additional </w:t>
      </w:r>
      <w:r w:rsidR="001856AB">
        <w:t xml:space="preserve">guidance to that in ANZG (2018) on selecting and evaluating approaches for deriving site-specific </w:t>
      </w:r>
      <w:r w:rsidR="00550BEB">
        <w:t>guideline values</w:t>
      </w:r>
      <w:r w:rsidR="001856AB">
        <w:t xml:space="preserve">, </w:t>
      </w:r>
      <w:r w:rsidR="002E4021">
        <w:t xml:space="preserve">much of </w:t>
      </w:r>
      <w:r w:rsidR="001856AB">
        <w:t xml:space="preserve">which </w:t>
      </w:r>
      <w:r w:rsidR="002E4021">
        <w:t>is</w:t>
      </w:r>
      <w:r w:rsidR="001856AB">
        <w:t xml:space="preserve"> transferable to DTA</w:t>
      </w:r>
      <w:r w:rsidR="00FD073B">
        <w:t>.</w:t>
      </w:r>
    </w:p>
    <w:p w:rsidR="00AB44A6" w:rsidP="00AB44A6" w14:paraId="4F792C97" w14:textId="4792FA0D">
      <w:r>
        <w:t xml:space="preserve">When conducting DTA on a suite of </w:t>
      </w:r>
      <w:r w:rsidR="00322B16">
        <w:t xml:space="preserve">approximately </w:t>
      </w:r>
      <w:r w:rsidR="008E1F0C">
        <w:t>8</w:t>
      </w:r>
      <w:r w:rsidR="00C361A1">
        <w:t xml:space="preserve"> </w:t>
      </w:r>
      <w:r>
        <w:t xml:space="preserve">species and, for various reasons, some species might be temporarily or permanently </w:t>
      </w:r>
      <w:r w:rsidR="00322B16">
        <w:t xml:space="preserve">removed </w:t>
      </w:r>
      <w:r>
        <w:t xml:space="preserve">from the testing suite, it </w:t>
      </w:r>
      <w:r w:rsidR="00322B16">
        <w:t>is</w:t>
      </w:r>
      <w:r>
        <w:t xml:space="preserve"> important to understand the Burrlioz 2.0 statistical distribution</w:t>
      </w:r>
      <w:r w:rsidR="00012CF4">
        <w:t>-</w:t>
      </w:r>
      <w:r>
        <w:t xml:space="preserve">fitting software for deriving </w:t>
      </w:r>
      <w:r w:rsidR="002E4021">
        <w:t>guideline values</w:t>
      </w:r>
      <w:r>
        <w:t xml:space="preserve">. Where data exist for </w:t>
      </w:r>
      <w:r w:rsidR="008E1F0C">
        <w:t xml:space="preserve">fewer </w:t>
      </w:r>
      <w:r>
        <w:t xml:space="preserve">than </w:t>
      </w:r>
      <w:r w:rsidR="00C361A1">
        <w:t xml:space="preserve">8 </w:t>
      </w:r>
      <w:r>
        <w:t>species, the software uses a 2-parameter log-logistic distribution to generate the SSD</w:t>
      </w:r>
      <w:r w:rsidR="00AB151C">
        <w:t>.</w:t>
      </w:r>
      <w:r>
        <w:t xml:space="preserve"> </w:t>
      </w:r>
      <w:r w:rsidR="00AB151C">
        <w:t>For data for 8</w:t>
      </w:r>
      <w:r w:rsidR="00C361A1">
        <w:t xml:space="preserve"> </w:t>
      </w:r>
      <w:r w:rsidR="00AB151C">
        <w:t xml:space="preserve">or more species, </w:t>
      </w:r>
      <w:r>
        <w:t>it uses a 3-parameter Burr distribution (see Batley et al. 2018</w:t>
      </w:r>
      <w:r w:rsidR="00182D6A">
        <w:t>,</w:t>
      </w:r>
      <w:r>
        <w:t xml:space="preserve"> Warne et al. 2018). This shift in the distribution between sample sizes of </w:t>
      </w:r>
      <w:r w:rsidR="008E1F0C">
        <w:t xml:space="preserve">7 </w:t>
      </w:r>
      <w:r>
        <w:t xml:space="preserve">and </w:t>
      </w:r>
      <w:r w:rsidR="008E1F0C">
        <w:t xml:space="preserve">8 </w:t>
      </w:r>
      <w:r>
        <w:t xml:space="preserve">can result in markedly different protective concentrations, especially at the tails of the distributions, from which the </w:t>
      </w:r>
      <w:r w:rsidR="002E4021">
        <w:t>guideline values</w:t>
      </w:r>
      <w:r>
        <w:t xml:space="preserve"> are estimated. This can be problematic from a discharge licencing perspective</w:t>
      </w:r>
      <w:r w:rsidR="008E5555">
        <w:t>,</w:t>
      </w:r>
      <w:r>
        <w:t xml:space="preserve"> and </w:t>
      </w:r>
      <w:r w:rsidR="008E5555">
        <w:t xml:space="preserve">it </w:t>
      </w:r>
      <w:r w:rsidR="00375842">
        <w:t xml:space="preserve">is </w:t>
      </w:r>
      <w:r>
        <w:t xml:space="preserve">a difficult situation to explain to dischargers and regulators. </w:t>
      </w:r>
      <w:r w:rsidR="008A3E55">
        <w:t xml:space="preserve">Future improvements in the statistical approach for deriving guideline values </w:t>
      </w:r>
      <w:r w:rsidR="004456CE">
        <w:t xml:space="preserve">should </w:t>
      </w:r>
      <w:r w:rsidR="008A3E55">
        <w:t>overcome this problem to some extent</w:t>
      </w:r>
      <w:r w:rsidR="00083C33">
        <w:t xml:space="preserve"> (e.g. see description of model averaging in Fox et al. 2021)</w:t>
      </w:r>
      <w:r w:rsidR="008A3E55">
        <w:t xml:space="preserve">. </w:t>
      </w:r>
      <w:r>
        <w:t xml:space="preserve">Ultimately, DTA programs should form one of several lines of evidence for assessing water quality, and best professional judgement may </w:t>
      </w:r>
      <w:r w:rsidR="00375842">
        <w:t xml:space="preserve">be </w:t>
      </w:r>
      <w:r>
        <w:t>need</w:t>
      </w:r>
      <w:r w:rsidR="00375842">
        <w:t>ed</w:t>
      </w:r>
      <w:r>
        <w:t xml:space="preserve"> where results present challenges that existing method</w:t>
      </w:r>
      <w:r w:rsidR="00262584">
        <w:t xml:space="preserve">s and guidance do not cover. </w:t>
      </w:r>
    </w:p>
    <w:p w:rsidR="00AB44A6" w:rsidP="00850E85" w14:paraId="76B07AE3" w14:textId="77777777">
      <w:pPr>
        <w:pStyle w:val="Heading5"/>
      </w:pPr>
      <w:r>
        <w:t>Frequency of assessment</w:t>
      </w:r>
    </w:p>
    <w:p w:rsidR="00AB44A6" w:rsidP="00AB44A6" w14:paraId="6B675517" w14:textId="0A101A08">
      <w:r>
        <w:t>The frequency of testing a</w:t>
      </w:r>
      <w:r w:rsidR="001F6A57">
        <w:t>n</w:t>
      </w:r>
      <w:r>
        <w:t xml:space="preserve"> </w:t>
      </w:r>
      <w:r w:rsidR="001F6A57">
        <w:t>effluent</w:t>
      </w:r>
      <w:r>
        <w:t xml:space="preserve">, or ambient water, will depend on the objective of the testing and on the nature of the </w:t>
      </w:r>
      <w:r w:rsidR="001F6A57">
        <w:t xml:space="preserve">effluent </w:t>
      </w:r>
      <w:r>
        <w:t>or receiving water</w:t>
      </w:r>
      <w:r w:rsidR="00961F6D">
        <w:t>, although some broad guidance can be offered</w:t>
      </w:r>
      <w:r>
        <w:t xml:space="preserve">. If the discharge is known to be of </w:t>
      </w:r>
      <w:r w:rsidR="00EB1230">
        <w:t xml:space="preserve">relatively </w:t>
      </w:r>
      <w:r>
        <w:t>constant composition, and the receiving water characteristics are well documented and understood, one-off testing may be appropriate</w:t>
      </w:r>
      <w:r w:rsidR="00582014">
        <w:t>, although periodic validation would be recommended</w:t>
      </w:r>
      <w:r>
        <w:t xml:space="preserve">. </w:t>
      </w:r>
      <w:r w:rsidR="00EB1230">
        <w:t xml:space="preserve">However, </w:t>
      </w:r>
      <w:r>
        <w:t xml:space="preserve">discharge composition </w:t>
      </w:r>
      <w:r w:rsidR="00EB1230">
        <w:t>is more often variable</w:t>
      </w:r>
      <w:r>
        <w:t xml:space="preserve"> </w:t>
      </w:r>
      <w:r w:rsidR="000C093A">
        <w:t>and</w:t>
      </w:r>
      <w:r w:rsidR="00EB1230">
        <w:t>,</w:t>
      </w:r>
      <w:r w:rsidR="000C093A">
        <w:t xml:space="preserve"> if DTA is determined to be an appropriate method, </w:t>
      </w:r>
      <w:r>
        <w:t xml:space="preserve">testing </w:t>
      </w:r>
      <w:r w:rsidR="001F6A57">
        <w:t xml:space="preserve">may </w:t>
      </w:r>
      <w:r>
        <w:t xml:space="preserve">be required on a </w:t>
      </w:r>
      <w:r w:rsidR="00EB1230">
        <w:t xml:space="preserve">more </w:t>
      </w:r>
      <w:r>
        <w:t>frequent basis (e.g. monthly</w:t>
      </w:r>
      <w:r w:rsidR="00EB1230">
        <w:t xml:space="preserve"> or quarterly</w:t>
      </w:r>
      <w:r>
        <w:t>). If a discharge varies according to the process undertaken but is constant within that process, or if the receiving water varies seasonally but is relatively constant within seasons, testing can be carried out whenever such a change is known to occur.</w:t>
      </w:r>
      <w:r w:rsidR="0084786D">
        <w:t xml:space="preserve"> It may be possible to refine and reduce the size of more frequent DTA programs (e.g. by reducing the number of species and focusing on the most sensitive or consistently responding species)</w:t>
      </w:r>
      <w:r w:rsidR="00723A80">
        <w:t>.</w:t>
      </w:r>
      <w:r w:rsidR="0084786D">
        <w:t xml:space="preserve"> </w:t>
      </w:r>
      <w:r w:rsidR="00723A80">
        <w:t>T</w:t>
      </w:r>
      <w:r w:rsidR="0084786D">
        <w:t xml:space="preserve">his </w:t>
      </w:r>
      <w:r w:rsidR="00723A80">
        <w:t xml:space="preserve">must be </w:t>
      </w:r>
      <w:r w:rsidR="0084786D">
        <w:t>supported by appropriate evidence and interspersed with periodic full DTAs to confirm acceptable dilution rates.</w:t>
      </w:r>
    </w:p>
    <w:p w:rsidR="00582014" w:rsidP="00AB44A6" w14:paraId="32B37495" w14:textId="251CECAC">
      <w:r>
        <w:t>Some jurisdictions require multiple DTAs of</w:t>
      </w:r>
      <w:r w:rsidR="00B55FEC">
        <w:t xml:space="preserve"> a</w:t>
      </w:r>
      <w:r>
        <w:t xml:space="preserve"> discharge during an operation’s commissioning and early operational phases (e.g. </w:t>
      </w:r>
      <w:r w:rsidR="008E1F0C">
        <w:t xml:space="preserve">3 </w:t>
      </w:r>
      <w:r>
        <w:t xml:space="preserve">DTAs within the first </w:t>
      </w:r>
      <w:r w:rsidR="008E1F0C">
        <w:t xml:space="preserve">1–2 </w:t>
      </w:r>
      <w:r>
        <w:t xml:space="preserve">years), with the aim of confirming long-term acceptable dilution rates (i.e. </w:t>
      </w:r>
      <w:r w:rsidR="00B55FEC">
        <w:t>to protect</w:t>
      </w:r>
      <w:r>
        <w:t xml:space="preserve"> a specified percentage of species). How the data are used to set the acceptable dilution rates may vary depending on the actual objectives and the DTA results. Where the DTA results are consistent, an averaging approach may be appropriate. </w:t>
      </w:r>
      <w:r w:rsidR="00A3666F">
        <w:t>W</w:t>
      </w:r>
      <w:r>
        <w:t xml:space="preserve">here the DTA results are variable, it may be necessary to adopt a conservative approach </w:t>
      </w:r>
      <w:r w:rsidR="00A7508F">
        <w:t>and use</w:t>
      </w:r>
      <w:r>
        <w:t xml:space="preserve"> the </w:t>
      </w:r>
      <w:r w:rsidRPr="00582014">
        <w:t xml:space="preserve">most sensitive of the </w:t>
      </w:r>
      <w:r>
        <w:t>DTA</w:t>
      </w:r>
      <w:r w:rsidRPr="00582014">
        <w:t xml:space="preserve"> results (i.e. th</w:t>
      </w:r>
      <w:r>
        <w:t>at resulting in the</w:t>
      </w:r>
      <w:r w:rsidRPr="00582014">
        <w:t xml:space="preserve"> highest acceptable dilution rate) to set the receiving water dilution rate</w:t>
      </w:r>
      <w:r>
        <w:t xml:space="preserve">s. </w:t>
      </w:r>
      <w:r w:rsidR="003D6864">
        <w:t xml:space="preserve">Also, periodic DTA-based validation of the dilution rates </w:t>
      </w:r>
      <w:r w:rsidR="00A3666F">
        <w:t>is</w:t>
      </w:r>
      <w:r w:rsidR="003D6864">
        <w:t xml:space="preserve"> recommended. </w:t>
      </w:r>
      <w:r>
        <w:t>These are suggestions only</w:t>
      </w:r>
      <w:r w:rsidR="00A3666F">
        <w:t>. D</w:t>
      </w:r>
      <w:r>
        <w:t xml:space="preserve">etailed guidance on how to use DTA results to make regulatory and management decisions is outside the scope of </w:t>
      </w:r>
      <w:r w:rsidR="00D65376">
        <w:t>this</w:t>
      </w:r>
      <w:r>
        <w:t xml:space="preserve"> report, </w:t>
      </w:r>
      <w:r w:rsidR="004971F7">
        <w:t>although</w:t>
      </w:r>
      <w:r>
        <w:t xml:space="preserve"> could potentially be developed in the future.</w:t>
      </w:r>
    </w:p>
    <w:p w:rsidR="00DB3330" w:rsidP="00AB44A6" w14:paraId="629BEFB7" w14:textId="2FED13BF">
      <w:pPr>
        <w:rPr>
          <w:lang w:val="en-GB"/>
        </w:rPr>
      </w:pPr>
      <w:r>
        <w:t xml:space="preserve">Detailed guidance on how to best </w:t>
      </w:r>
      <w:r w:rsidR="00A065CE">
        <w:t>assess the effects of</w:t>
      </w:r>
      <w:r>
        <w:t xml:space="preserve"> pulse exposures </w:t>
      </w:r>
      <w:r w:rsidR="00A065CE">
        <w:t xml:space="preserve">is </w:t>
      </w:r>
      <w:r w:rsidR="00582014">
        <w:t xml:space="preserve">also </w:t>
      </w:r>
      <w:r w:rsidR="00A065CE">
        <w:t>outside</w:t>
      </w:r>
      <w:r w:rsidR="004C31BF">
        <w:t xml:space="preserve"> the scope of </w:t>
      </w:r>
      <w:r w:rsidR="00D65376">
        <w:t>this</w:t>
      </w:r>
      <w:r w:rsidR="004C31BF">
        <w:t xml:space="preserve"> report</w:t>
      </w:r>
      <w:r>
        <w:t xml:space="preserve">, but a good overview is provided by </w:t>
      </w:r>
      <w:r w:rsidRPr="004B1CCA">
        <w:rPr>
          <w:lang w:eastAsia="ja-JP"/>
        </w:rPr>
        <w:t xml:space="preserve">Chèvre </w:t>
      </w:r>
      <w:r w:rsidR="003C60FB">
        <w:rPr>
          <w:lang w:eastAsia="ja-JP"/>
        </w:rPr>
        <w:t>and</w:t>
      </w:r>
      <w:r w:rsidRPr="004B1CCA">
        <w:rPr>
          <w:lang w:eastAsia="ja-JP"/>
        </w:rPr>
        <w:t xml:space="preserve"> Vallotton </w:t>
      </w:r>
      <w:r>
        <w:rPr>
          <w:lang w:eastAsia="ja-JP"/>
        </w:rPr>
        <w:t>(</w:t>
      </w:r>
      <w:r w:rsidRPr="004B1CCA">
        <w:rPr>
          <w:lang w:eastAsia="ja-JP"/>
        </w:rPr>
        <w:t>2013</w:t>
      </w:r>
      <w:r>
        <w:rPr>
          <w:lang w:eastAsia="ja-JP"/>
        </w:rPr>
        <w:t>)</w:t>
      </w:r>
      <w:r w:rsidR="00D65376">
        <w:rPr>
          <w:lang w:eastAsia="ja-JP"/>
        </w:rPr>
        <w:t xml:space="preserve">. </w:t>
      </w:r>
      <w:r w:rsidR="00D65376">
        <w:t>T</w:t>
      </w:r>
      <w:r>
        <w:t xml:space="preserve">here are </w:t>
      </w:r>
      <w:r w:rsidR="00A7508F">
        <w:t>numerous</w:t>
      </w:r>
      <w:r>
        <w:t xml:space="preserve"> </w:t>
      </w:r>
      <w:r w:rsidR="00D65376">
        <w:t xml:space="preserve">other </w:t>
      </w:r>
      <w:r>
        <w:t xml:space="preserve">studies that may </w:t>
      </w:r>
      <w:r w:rsidR="00A3666F">
        <w:t xml:space="preserve">also </w:t>
      </w:r>
      <w:r>
        <w:t xml:space="preserve">be </w:t>
      </w:r>
      <w:r w:rsidR="00A3666F">
        <w:t>useful</w:t>
      </w:r>
      <w:r>
        <w:t xml:space="preserve"> (e.g. </w:t>
      </w:r>
      <w:r w:rsidRPr="0094345C">
        <w:rPr>
          <w:lang w:val="en-GB"/>
        </w:rPr>
        <w:t xml:space="preserve">Ashauer et al. 2006, </w:t>
      </w:r>
      <w:r>
        <w:t>Hogan et al. 2013</w:t>
      </w:r>
      <w:r w:rsidR="00D65376">
        <w:t>,</w:t>
      </w:r>
      <w:r>
        <w:t xml:space="preserve"> Sinclair et al. 201</w:t>
      </w:r>
      <w:r w:rsidR="00744967">
        <w:t>4</w:t>
      </w:r>
      <w:r w:rsidR="006B086E">
        <w:t>,</w:t>
      </w:r>
      <w:r>
        <w:t xml:space="preserve"> </w:t>
      </w:r>
      <w:r w:rsidRPr="0094345C">
        <w:rPr>
          <w:lang w:val="en-GB"/>
        </w:rPr>
        <w:t>Angel et al. 201</w:t>
      </w:r>
      <w:r>
        <w:rPr>
          <w:lang w:val="en-GB"/>
        </w:rPr>
        <w:t>5</w:t>
      </w:r>
      <w:r w:rsidR="006B086E">
        <w:rPr>
          <w:lang w:val="en-GB"/>
        </w:rPr>
        <w:t xml:space="preserve">, </w:t>
      </w:r>
      <w:r w:rsidRPr="0094345C" w:rsidR="00EE5B35">
        <w:rPr>
          <w:lang w:val="en-GB"/>
        </w:rPr>
        <w:t>Angel et al. 201</w:t>
      </w:r>
      <w:r w:rsidR="00EE5B35">
        <w:rPr>
          <w:lang w:val="en-GB"/>
        </w:rPr>
        <w:t xml:space="preserve">7, </w:t>
      </w:r>
      <w:r w:rsidR="006B086E">
        <w:rPr>
          <w:lang w:val="en-GB"/>
        </w:rPr>
        <w:t>Hamer et al. 2019</w:t>
      </w:r>
      <w:r>
        <w:rPr>
          <w:lang w:val="en-GB"/>
        </w:rPr>
        <w:t xml:space="preserve">). Also, Smith et al. (2020) consider </w:t>
      </w:r>
      <w:r w:rsidR="00A065CE">
        <w:rPr>
          <w:lang w:val="en-GB"/>
        </w:rPr>
        <w:t xml:space="preserve">the assessment of </w:t>
      </w:r>
      <w:r>
        <w:rPr>
          <w:lang w:val="en-GB"/>
        </w:rPr>
        <w:t>pulse exposures in the context of temporary waters.</w:t>
      </w:r>
    </w:p>
    <w:p w:rsidR="00AB44A6" w:rsidP="00850E85" w14:paraId="763852A8" w14:textId="77777777">
      <w:pPr>
        <w:pStyle w:val="Heading4"/>
      </w:pPr>
      <w:bookmarkStart w:id="79" w:name="_Toc88566482"/>
      <w:bookmarkStart w:id="80" w:name="_Toc88726894"/>
      <w:bookmarkStart w:id="81" w:name="_Toc138332261"/>
      <w:bookmarkEnd w:id="79"/>
      <w:bookmarkEnd w:id="80"/>
      <w:r>
        <w:t xml:space="preserve">Toxicity </w:t>
      </w:r>
      <w:r w:rsidR="00EA02A7">
        <w:t>testing in sediments</w:t>
      </w:r>
      <w:bookmarkEnd w:id="81"/>
    </w:p>
    <w:p w:rsidR="00AB44A6" w:rsidP="00AB44A6" w14:paraId="69C7E83F" w14:textId="0B65BFCA">
      <w:r>
        <w:t>Over the past decade</w:t>
      </w:r>
      <w:r w:rsidR="00386522">
        <w:t>,</w:t>
      </w:r>
      <w:r w:rsidR="00253CDC">
        <w:t xml:space="preserve"> there have been significant advances in sediment ecotoxicology. In particular</w:t>
      </w:r>
      <w:r w:rsidR="00386522">
        <w:t>,</w:t>
      </w:r>
      <w:r w:rsidR="00253CDC">
        <w:t xml:space="preserve"> there are now both chronic and acute whole</w:t>
      </w:r>
      <w:r w:rsidR="008A2C5C">
        <w:t>-</w:t>
      </w:r>
      <w:r w:rsidR="00253CDC">
        <w:t>sediment toxicity tests for amphipods, benthic algae, mysids, copepods, bivalves</w:t>
      </w:r>
      <w:r w:rsidR="008A2C5C">
        <w:t xml:space="preserve"> and</w:t>
      </w:r>
      <w:r w:rsidR="00253CDC">
        <w:t xml:space="preserve"> polychaete worms in marine sediments</w:t>
      </w:r>
      <w:r w:rsidR="00386522">
        <w:t>,</w:t>
      </w:r>
      <w:r w:rsidR="00253CDC">
        <w:t xml:space="preserve"> and </w:t>
      </w:r>
      <w:r w:rsidR="009060D3">
        <w:t xml:space="preserve">for </w:t>
      </w:r>
      <w:r w:rsidR="00253CDC">
        <w:t xml:space="preserve">amphipods, nematodes, oligochaete worms, bivalves, chironomids, mayflies, snails and water fleas in freshwater sediments (Simpson </w:t>
      </w:r>
      <w:r w:rsidR="003C60FB">
        <w:t>and</w:t>
      </w:r>
      <w:r w:rsidR="00386522">
        <w:t xml:space="preserve"> </w:t>
      </w:r>
      <w:r w:rsidR="00253CDC">
        <w:t xml:space="preserve">Batley 2016). </w:t>
      </w:r>
      <w:r w:rsidR="00386522">
        <w:t>D</w:t>
      </w:r>
      <w:r w:rsidR="00253CDC">
        <w:t>etails for some of these have been provided</w:t>
      </w:r>
      <w:r w:rsidR="00262584">
        <w:t xml:space="preserve"> by Simpson and Batley (2016)</w:t>
      </w:r>
      <w:r w:rsidR="00386522">
        <w:t xml:space="preserve"> and </w:t>
      </w:r>
      <w:r w:rsidR="00253CDC">
        <w:t>have been used for sediment DTA and the deriv</w:t>
      </w:r>
      <w:r w:rsidR="00675C6D">
        <w:t>ation of sediment</w:t>
      </w:r>
      <w:r w:rsidR="008A2C5C">
        <w:t>-</w:t>
      </w:r>
      <w:r w:rsidR="00675C6D">
        <w:t xml:space="preserve">quality </w:t>
      </w:r>
      <w:r w:rsidR="006A3315">
        <w:t>guideline values</w:t>
      </w:r>
      <w:r w:rsidR="00675C6D">
        <w:t xml:space="preserve">. </w:t>
      </w:r>
      <w:r w:rsidR="008A2C5C">
        <w:t>Refer</w:t>
      </w:r>
      <w:r w:rsidR="00C737B5">
        <w:t xml:space="preserve"> to Simpson et al. (2013) and Simpson and Batley (2016) for </w:t>
      </w:r>
      <w:r w:rsidR="00713FBE">
        <w:t xml:space="preserve">detailed </w:t>
      </w:r>
      <w:r w:rsidR="00C737B5">
        <w:t>guidance on the</w:t>
      </w:r>
      <w:r w:rsidR="004941EC">
        <w:t xml:space="preserve"> use of toxicity testing for sediments.</w:t>
      </w:r>
    </w:p>
    <w:p w:rsidR="004326E0" w:rsidRPr="00CF6F54" w:rsidP="004326E0" w14:paraId="2E910974" w14:textId="0F27AC6B">
      <w:pPr>
        <w:pStyle w:val="Heading4"/>
      </w:pPr>
      <w:bookmarkStart w:id="82" w:name="_Ref88561451"/>
      <w:bookmarkStart w:id="83" w:name="_Toc138332262"/>
      <w:r w:rsidRPr="00CF6F54">
        <w:t>Semi</w:t>
      </w:r>
      <w:r w:rsidRPr="00CF6F54" w:rsidR="00E87EBD">
        <w:t>-</w:t>
      </w:r>
      <w:r w:rsidRPr="00CF6F54">
        <w:t>field-based assessments of toxicity</w:t>
      </w:r>
      <w:bookmarkEnd w:id="82"/>
      <w:bookmarkEnd w:id="83"/>
    </w:p>
    <w:p w:rsidR="004326E0" w:rsidRPr="00CF6F54" w:rsidP="004326E0" w14:paraId="0D2461AA" w14:textId="2C7CB1CE">
      <w:pPr>
        <w:rPr>
          <w:lang w:val="en-GB"/>
        </w:rPr>
      </w:pPr>
      <w:r w:rsidRPr="00CF6F54">
        <w:rPr>
          <w:lang w:val="en-GB"/>
        </w:rPr>
        <w:t>Much of the preceding guidance on toxicity assessment has focused on laboratory-based approaches. It is also worth providing some guidance for field-based assessments</w:t>
      </w:r>
      <w:r w:rsidRPr="00CF6F54" w:rsidR="00603FF3">
        <w:rPr>
          <w:lang w:val="en-GB"/>
        </w:rPr>
        <w:t xml:space="preserve"> of toxicity</w:t>
      </w:r>
      <w:r w:rsidRPr="00CF6F54">
        <w:rPr>
          <w:lang w:val="en-GB"/>
        </w:rPr>
        <w:t>, which have their own sets of strengths and limitations. Only a summary is provided here</w:t>
      </w:r>
      <w:r w:rsidR="00393446">
        <w:rPr>
          <w:lang w:val="en-GB"/>
        </w:rPr>
        <w:t>.</w:t>
      </w:r>
      <w:r w:rsidR="008A2C5C">
        <w:rPr>
          <w:lang w:val="en-GB"/>
        </w:rPr>
        <w:t xml:space="preserve"> </w:t>
      </w:r>
      <w:r w:rsidR="00393446">
        <w:rPr>
          <w:lang w:val="en-GB"/>
        </w:rPr>
        <w:t>R</w:t>
      </w:r>
      <w:r w:rsidRPr="00CF6F54">
        <w:rPr>
          <w:lang w:val="en-GB"/>
        </w:rPr>
        <w:t xml:space="preserve">efer to ANZG (2018) for more detailed information. Although the information in ANZG (2018) is focused on the use of field-based approaches for deriving guideline values, it is equally applicable for assessments that have objectives of assessing direct and indirect effects of physical or chemical (including toxicants) stressors. </w:t>
      </w:r>
    </w:p>
    <w:p w:rsidR="004326E0" w:rsidRPr="00CF6F54" w:rsidP="004326E0" w14:paraId="47C364EA" w14:textId="256F6A4B">
      <w:pPr>
        <w:rPr>
          <w:lang w:val="en-GB"/>
        </w:rPr>
      </w:pPr>
      <w:r w:rsidRPr="00CF6F54">
        <w:rPr>
          <w:lang w:val="en-GB"/>
        </w:rPr>
        <w:t xml:space="preserve">Field-based assessments can be separated into </w:t>
      </w:r>
      <w:r w:rsidR="008A2C5C">
        <w:rPr>
          <w:lang w:val="en-GB"/>
        </w:rPr>
        <w:t>2</w:t>
      </w:r>
      <w:r w:rsidRPr="00CF6F54" w:rsidR="008A2C5C">
        <w:rPr>
          <w:lang w:val="en-GB"/>
        </w:rPr>
        <w:t xml:space="preserve"> </w:t>
      </w:r>
      <w:r w:rsidRPr="00CF6F54">
        <w:rPr>
          <w:lang w:val="en-GB"/>
        </w:rPr>
        <w:t xml:space="preserve">broad types: semi-field assessments and field assessments. </w:t>
      </w:r>
      <w:r w:rsidR="00012CF4">
        <w:rPr>
          <w:lang w:val="en-GB"/>
        </w:rPr>
        <w:t>Field assessments</w:t>
      </w:r>
      <w:r w:rsidRPr="00CF6F54" w:rsidR="00C52358">
        <w:rPr>
          <w:lang w:val="en-GB"/>
        </w:rPr>
        <w:t xml:space="preserve"> include experimental manipulations in whole ecosystems or observations from ecosystems across existing gradients of physical or chemical stressor levels</w:t>
      </w:r>
      <w:r w:rsidR="008A2C5C">
        <w:rPr>
          <w:lang w:val="en-GB"/>
        </w:rPr>
        <w:t xml:space="preserve"> or </w:t>
      </w:r>
      <w:r w:rsidRPr="00CF6F54" w:rsidR="00C52358">
        <w:rPr>
          <w:lang w:val="en-GB"/>
        </w:rPr>
        <w:t>concentrations</w:t>
      </w:r>
      <w:r w:rsidR="00012CF4">
        <w:rPr>
          <w:lang w:val="en-GB"/>
        </w:rPr>
        <w:t>.</w:t>
      </w:r>
      <w:r w:rsidRPr="00CF6F54" w:rsidR="00C52358">
        <w:rPr>
          <w:lang w:val="en-GB"/>
        </w:rPr>
        <w:t xml:space="preserve"> </w:t>
      </w:r>
      <w:r w:rsidR="00012CF4">
        <w:rPr>
          <w:lang w:val="en-GB"/>
        </w:rPr>
        <w:t>These</w:t>
      </w:r>
      <w:r w:rsidRPr="00CF6F54" w:rsidR="00012CF4">
        <w:rPr>
          <w:lang w:val="en-GB"/>
        </w:rPr>
        <w:t xml:space="preserve"> </w:t>
      </w:r>
      <w:r w:rsidRPr="00CF6F54" w:rsidR="00C52358">
        <w:rPr>
          <w:lang w:val="en-GB"/>
        </w:rPr>
        <w:t>are part of the biodiversity line of evidence</w:t>
      </w:r>
      <w:r w:rsidRPr="00CF6F54" w:rsidR="0026399E">
        <w:rPr>
          <w:lang w:val="en-GB"/>
        </w:rPr>
        <w:t xml:space="preserve"> for which detailed guidance is provided</w:t>
      </w:r>
      <w:r w:rsidRPr="00CF6F54" w:rsidR="00C52358">
        <w:rPr>
          <w:lang w:val="en-GB"/>
        </w:rPr>
        <w:t xml:space="preserve"> in Section </w:t>
      </w:r>
      <w:r w:rsidRPr="00CF6F54" w:rsidR="00C52358">
        <w:rPr>
          <w:lang w:val="en-GB"/>
        </w:rPr>
        <w:fldChar w:fldCharType="begin"/>
      </w:r>
      <w:r w:rsidRPr="00CF6F54" w:rsidR="00C52358">
        <w:rPr>
          <w:lang w:val="en-GB"/>
        </w:rPr>
        <w:instrText xml:space="preserve"> REF _Ref88562622 \r \h </w:instrText>
      </w:r>
      <w:r w:rsidRPr="00CF6F54" w:rsidR="00A77695">
        <w:rPr>
          <w:lang w:val="en-GB"/>
        </w:rPr>
        <w:instrText xml:space="preserve"> \* MERGEFORMAT </w:instrText>
      </w:r>
      <w:r w:rsidRPr="00CF6F54" w:rsidR="00C52358">
        <w:rPr>
          <w:lang w:val="en-GB"/>
        </w:rPr>
        <w:fldChar w:fldCharType="separate"/>
      </w:r>
      <w:r w:rsidR="008A285F">
        <w:rPr>
          <w:lang w:val="en-GB"/>
        </w:rPr>
        <w:t>3.1</w:t>
      </w:r>
      <w:r w:rsidRPr="00CF6F54" w:rsidR="00C52358">
        <w:rPr>
          <w:lang w:val="en-GB"/>
        </w:rPr>
        <w:fldChar w:fldCharType="end"/>
      </w:r>
      <w:r w:rsidRPr="00CF6F54" w:rsidR="00C52358">
        <w:rPr>
          <w:lang w:val="en-GB"/>
        </w:rPr>
        <w:t xml:space="preserve">. </w:t>
      </w:r>
      <w:r w:rsidRPr="00CF6F54">
        <w:rPr>
          <w:lang w:val="en-GB"/>
        </w:rPr>
        <w:t xml:space="preserve">Semi-field assessments </w:t>
      </w:r>
      <w:r w:rsidRPr="00CF6F54" w:rsidR="00010DDE">
        <w:rPr>
          <w:lang w:val="en-GB"/>
        </w:rPr>
        <w:t xml:space="preserve">can </w:t>
      </w:r>
      <w:r w:rsidRPr="00CF6F54">
        <w:rPr>
          <w:lang w:val="en-GB"/>
        </w:rPr>
        <w:t xml:space="preserve">include </w:t>
      </w:r>
      <w:r w:rsidRPr="00CF6F54">
        <w:rPr>
          <w:i/>
          <w:iCs/>
          <w:lang w:val="en-GB"/>
        </w:rPr>
        <w:t>in</w:t>
      </w:r>
      <w:r w:rsidR="008A2C5C">
        <w:rPr>
          <w:i/>
          <w:iCs/>
          <w:lang w:val="en-GB"/>
        </w:rPr>
        <w:t>-</w:t>
      </w:r>
      <w:r w:rsidRPr="00CF6F54">
        <w:rPr>
          <w:i/>
          <w:iCs/>
          <w:lang w:val="en-GB"/>
        </w:rPr>
        <w:t>situ</w:t>
      </w:r>
      <w:r w:rsidRPr="00CF6F54">
        <w:rPr>
          <w:lang w:val="en-GB"/>
        </w:rPr>
        <w:t xml:space="preserve"> toxicity testing</w:t>
      </w:r>
      <w:r w:rsidRPr="00CF6F54" w:rsidR="00F109C0">
        <w:rPr>
          <w:lang w:val="en-GB"/>
        </w:rPr>
        <w:t xml:space="preserve">, </w:t>
      </w:r>
      <w:r w:rsidRPr="00CF6F54">
        <w:rPr>
          <w:lang w:val="en-GB"/>
        </w:rPr>
        <w:t xml:space="preserve">as discussed in Section </w:t>
      </w:r>
      <w:r w:rsidRPr="00CF6F54">
        <w:rPr>
          <w:lang w:val="en-GB"/>
        </w:rPr>
        <w:fldChar w:fldCharType="begin"/>
      </w:r>
      <w:r w:rsidRPr="00CF6F54">
        <w:rPr>
          <w:lang w:val="en-GB"/>
        </w:rPr>
        <w:instrText xml:space="preserve"> REF _Ref48723688 \r \h </w:instrText>
      </w:r>
      <w:r w:rsidRPr="00CF6F54" w:rsidR="00A77695">
        <w:rPr>
          <w:lang w:val="en-GB"/>
        </w:rPr>
        <w:instrText xml:space="preserve"> \* MERGEFORMAT </w:instrText>
      </w:r>
      <w:r w:rsidRPr="00CF6F54">
        <w:rPr>
          <w:lang w:val="en-GB"/>
        </w:rPr>
        <w:fldChar w:fldCharType="separate"/>
      </w:r>
      <w:r w:rsidR="008A285F">
        <w:rPr>
          <w:lang w:val="en-GB"/>
        </w:rPr>
        <w:t>3.2.2</w:t>
      </w:r>
      <w:r w:rsidRPr="00CF6F54">
        <w:rPr>
          <w:lang w:val="en-GB"/>
        </w:rPr>
        <w:fldChar w:fldCharType="end"/>
      </w:r>
      <w:r w:rsidRPr="00CF6F54">
        <w:rPr>
          <w:lang w:val="en-GB"/>
        </w:rPr>
        <w:t xml:space="preserve"> </w:t>
      </w:r>
      <w:r w:rsidRPr="00CF6F54" w:rsidR="00F109C0">
        <w:rPr>
          <w:lang w:val="en-GB"/>
        </w:rPr>
        <w:t>(</w:t>
      </w:r>
      <w:r w:rsidR="008A2C5C">
        <w:rPr>
          <w:lang w:val="en-GB"/>
        </w:rPr>
        <w:t>‘</w:t>
      </w:r>
      <w:r w:rsidRPr="008A2C5C">
        <w:rPr>
          <w:lang w:val="en-GB"/>
        </w:rPr>
        <w:fldChar w:fldCharType="begin"/>
      </w:r>
      <w:r w:rsidRPr="008A2C5C">
        <w:rPr>
          <w:lang w:val="en-GB"/>
        </w:rPr>
        <w:instrText xml:space="preserve"> REF _Ref88560645 \h </w:instrText>
      </w:r>
      <w:r w:rsidRPr="008A2C5C" w:rsidR="00F109C0">
        <w:rPr>
          <w:lang w:val="en-GB"/>
        </w:rPr>
        <w:instrText xml:space="preserve"> \* MERGEFORMAT </w:instrText>
      </w:r>
      <w:r w:rsidRPr="008A2C5C">
        <w:rPr>
          <w:lang w:val="en-GB"/>
        </w:rPr>
        <w:fldChar w:fldCharType="separate"/>
      </w:r>
      <w:r w:rsidRPr="00AB44A6" w:rsidR="008A285F">
        <w:t xml:space="preserve">Standard versus site-specific </w:t>
      </w:r>
      <w:r w:rsidR="008A285F">
        <w:t>direct toxicity assessment</w:t>
      </w:r>
      <w:r w:rsidRPr="008A2C5C">
        <w:rPr>
          <w:lang w:val="en-GB"/>
        </w:rPr>
        <w:fldChar w:fldCharType="end"/>
      </w:r>
      <w:r w:rsidR="008A2C5C">
        <w:rPr>
          <w:lang w:val="en-GB"/>
        </w:rPr>
        <w:t>’</w:t>
      </w:r>
      <w:r w:rsidRPr="00CF6F54" w:rsidR="00F109C0">
        <w:rPr>
          <w:lang w:val="en-GB"/>
        </w:rPr>
        <w:t>)</w:t>
      </w:r>
      <w:r w:rsidRPr="00CF6F54" w:rsidR="0026399E">
        <w:rPr>
          <w:lang w:val="en-GB"/>
        </w:rPr>
        <w:t xml:space="preserve">, </w:t>
      </w:r>
      <w:r w:rsidRPr="00CF6F54">
        <w:rPr>
          <w:lang w:val="en-GB"/>
        </w:rPr>
        <w:t>and microcosm and mesocosm studies</w:t>
      </w:r>
      <w:r w:rsidRPr="00CF6F54" w:rsidR="00C52358">
        <w:rPr>
          <w:lang w:val="en-GB"/>
        </w:rPr>
        <w:t>.</w:t>
      </w:r>
      <w:r w:rsidRPr="00CF6F54" w:rsidR="00603FF3">
        <w:rPr>
          <w:lang w:val="en-GB"/>
        </w:rPr>
        <w:t xml:space="preserve"> The remainder of this section focuses on mesocosm studies.</w:t>
      </w:r>
    </w:p>
    <w:p w:rsidR="008E6D64" w:rsidRPr="00CF6F54" w:rsidP="008E6D64" w14:paraId="2B013713" w14:textId="22141EE8">
      <w:pPr>
        <w:rPr>
          <w:lang w:val="en-GB"/>
        </w:rPr>
      </w:pPr>
      <w:r w:rsidRPr="00CF6F54">
        <w:t xml:space="preserve">Mesocosms are artificial systems containing complex and self-sustaining populations or communities set in natural (or semi-natural) environmental conditions. For assessing the impacts of </w:t>
      </w:r>
      <w:r w:rsidRPr="00CF6F54" w:rsidR="00E563F0">
        <w:t xml:space="preserve">physical and chemical stressors, mesocosms </w:t>
      </w:r>
      <w:r w:rsidRPr="00CF6F54">
        <w:t xml:space="preserve">can represent a useful middle ground between laboratory </w:t>
      </w:r>
      <w:r w:rsidR="00393446">
        <w:t xml:space="preserve">studies </w:t>
      </w:r>
      <w:r w:rsidRPr="00CF6F54">
        <w:t xml:space="preserve">and full field </w:t>
      </w:r>
      <w:r w:rsidRPr="00CF6F54" w:rsidR="00E563F0">
        <w:t>studies</w:t>
      </w:r>
      <w:r w:rsidRPr="00CF6F54">
        <w:t xml:space="preserve"> by combining advantages of both (Buchwalter et al. 2017). </w:t>
      </w:r>
      <w:r w:rsidRPr="00CF6F54" w:rsidR="00774DFF">
        <w:t xml:space="preserve">Unlike laboratory studies, mesocosm studies </w:t>
      </w:r>
      <w:r w:rsidRPr="00CF6F54" w:rsidR="00205785">
        <w:t>can account for complex local interactions among the aquatic community, stressors and local environmental conditions</w:t>
      </w:r>
      <w:r w:rsidRPr="00CF6F54" w:rsidR="00774DFF">
        <w:t xml:space="preserve"> (depending on mesocosm size and complexity)</w:t>
      </w:r>
      <w:r w:rsidR="002A3686">
        <w:t>. I</w:t>
      </w:r>
      <w:r w:rsidRPr="00CF6F54" w:rsidR="00AA2129">
        <w:t>n doing so, they can capture both direct and indirect effects</w:t>
      </w:r>
      <w:r w:rsidRPr="00CF6F54" w:rsidR="00774DFF">
        <w:t xml:space="preserve"> across multiple taxonomic communities</w:t>
      </w:r>
      <w:r w:rsidRPr="00CF6F54">
        <w:t xml:space="preserve"> (van Dam et al. 2019)</w:t>
      </w:r>
      <w:r w:rsidRPr="00CF6F54" w:rsidR="00AA2129">
        <w:t xml:space="preserve">. </w:t>
      </w:r>
      <w:r w:rsidR="00EC6705">
        <w:t>T</w:t>
      </w:r>
      <w:r w:rsidRPr="00CF6F54" w:rsidR="00205785">
        <w:t xml:space="preserve">hey can </w:t>
      </w:r>
      <w:r w:rsidR="00EC6705">
        <w:t xml:space="preserve">also </w:t>
      </w:r>
      <w:r w:rsidRPr="00CF6F54" w:rsidR="00205785">
        <w:t xml:space="preserve">assess effects to </w:t>
      </w:r>
      <w:r w:rsidRPr="00CF6F54" w:rsidR="00C52358">
        <w:t>a</w:t>
      </w:r>
      <w:r w:rsidRPr="00CF6F54" w:rsidR="00B322E8">
        <w:t xml:space="preserve"> greater number and</w:t>
      </w:r>
      <w:r w:rsidRPr="00CF6F54" w:rsidR="00C52358">
        <w:t xml:space="preserve"> </w:t>
      </w:r>
      <w:r w:rsidRPr="00CF6F54" w:rsidR="00205785">
        <w:t>broader range of taxa, including sensitive taxa that may be difficult to culture and assess under laboratory conditions</w:t>
      </w:r>
      <w:r w:rsidRPr="00CF6F54" w:rsidR="00AA2129">
        <w:t xml:space="preserve"> (e.g. many aquatic insect species)</w:t>
      </w:r>
      <w:r w:rsidRPr="00CF6F54">
        <w:t xml:space="preserve"> (ANZG 2018)</w:t>
      </w:r>
      <w:r w:rsidRPr="00CF6F54" w:rsidR="00205785">
        <w:t xml:space="preserve">. </w:t>
      </w:r>
      <w:r w:rsidRPr="00CF6F54" w:rsidR="00774DFF">
        <w:t xml:space="preserve">Mesocosms also offer the capacity for experimental replication </w:t>
      </w:r>
      <w:r w:rsidRPr="00CF6F54" w:rsidR="005C493F">
        <w:t xml:space="preserve">and greater control of confounding factors </w:t>
      </w:r>
      <w:r w:rsidRPr="00CF6F54" w:rsidR="00774DFF">
        <w:t>not often possible in field studies in natural settings</w:t>
      </w:r>
      <w:r w:rsidRPr="00CF6F54">
        <w:t xml:space="preserve"> (Buchwalter et al. 2017, ANZG 2018, van Dam et al. 2019)</w:t>
      </w:r>
      <w:r w:rsidRPr="00CF6F54" w:rsidR="00774DFF">
        <w:t xml:space="preserve">. </w:t>
      </w:r>
      <w:r w:rsidRPr="00CF6F54" w:rsidR="0015432F">
        <w:t>M</w:t>
      </w:r>
      <w:r w:rsidRPr="00CF6F54" w:rsidR="005C493F">
        <w:t xml:space="preserve">esocosms also have their limitations, </w:t>
      </w:r>
      <w:r w:rsidRPr="00CF6F54" w:rsidR="00E820C7">
        <w:t>i</w:t>
      </w:r>
      <w:r w:rsidRPr="00CF6F54" w:rsidR="005C493F">
        <w:rPr>
          <w:lang w:val="en-GB"/>
        </w:rPr>
        <w:t xml:space="preserve">ncluding </w:t>
      </w:r>
      <w:r w:rsidRPr="00CF6F54" w:rsidR="00E820C7">
        <w:rPr>
          <w:lang w:val="en-GB"/>
        </w:rPr>
        <w:t>potentially</w:t>
      </w:r>
      <w:r w:rsidRPr="00CF6F54" w:rsidR="005C493F">
        <w:rPr>
          <w:lang w:val="en-GB"/>
        </w:rPr>
        <w:t xml:space="preserve"> high variability, </w:t>
      </w:r>
      <w:r w:rsidRPr="00CF6F54" w:rsidR="0015432F">
        <w:rPr>
          <w:lang w:val="en-GB"/>
        </w:rPr>
        <w:t xml:space="preserve">enclosure biases, </w:t>
      </w:r>
      <w:r w:rsidRPr="00CF6F54" w:rsidR="005C493F">
        <w:rPr>
          <w:lang w:val="en-GB"/>
        </w:rPr>
        <w:t>expense and being logistically complex</w:t>
      </w:r>
      <w:r w:rsidR="00393446">
        <w:rPr>
          <w:lang w:val="en-GB"/>
        </w:rPr>
        <w:t>.</w:t>
      </w:r>
      <w:r w:rsidRPr="00CF6F54" w:rsidR="005C493F">
        <w:rPr>
          <w:lang w:val="en-GB"/>
        </w:rPr>
        <w:t xml:space="preserve"> </w:t>
      </w:r>
      <w:r w:rsidR="00393446">
        <w:rPr>
          <w:lang w:val="en-GB"/>
        </w:rPr>
        <w:t>This</w:t>
      </w:r>
      <w:r w:rsidRPr="00CF6F54" w:rsidR="00393446">
        <w:rPr>
          <w:lang w:val="en-GB"/>
        </w:rPr>
        <w:t xml:space="preserve"> </w:t>
      </w:r>
      <w:r w:rsidRPr="00CF6F54" w:rsidR="005C493F">
        <w:rPr>
          <w:lang w:val="en-GB"/>
        </w:rPr>
        <w:t>often results in only a few exposure concentrations being tested</w:t>
      </w:r>
      <w:r w:rsidRPr="00CF6F54" w:rsidR="0015432F">
        <w:rPr>
          <w:lang w:val="en-GB"/>
        </w:rPr>
        <w:t xml:space="preserve"> (Perceval et al. 20</w:t>
      </w:r>
      <w:r w:rsidR="00004142">
        <w:rPr>
          <w:lang w:val="en-GB"/>
        </w:rPr>
        <w:t>11</w:t>
      </w:r>
      <w:r w:rsidRPr="00CF6F54" w:rsidR="0015432F">
        <w:rPr>
          <w:lang w:val="en-GB"/>
        </w:rPr>
        <w:t xml:space="preserve">, </w:t>
      </w:r>
      <w:r w:rsidRPr="00CF6F54" w:rsidR="0015432F">
        <w:t>Buchwalter et al. 2017, van Dam et al. 2019).</w:t>
      </w:r>
      <w:r w:rsidRPr="00CF6F54" w:rsidR="00B95AF4">
        <w:t xml:space="preserve"> </w:t>
      </w:r>
      <w:r w:rsidR="00EC6705">
        <w:rPr>
          <w:lang w:val="en-GB"/>
        </w:rPr>
        <w:t>However</w:t>
      </w:r>
      <w:r w:rsidRPr="00CF6F54" w:rsidR="00C77022">
        <w:rPr>
          <w:lang w:val="en-GB"/>
        </w:rPr>
        <w:t xml:space="preserve">, </w:t>
      </w:r>
      <w:r w:rsidRPr="00CF6F54" w:rsidR="00B95AF4">
        <w:rPr>
          <w:lang w:val="en-GB"/>
        </w:rPr>
        <w:t>data from</w:t>
      </w:r>
      <w:r w:rsidRPr="00CF6F54" w:rsidR="00D441BB">
        <w:rPr>
          <w:lang w:val="en-GB"/>
        </w:rPr>
        <w:t xml:space="preserve"> </w:t>
      </w:r>
      <w:r w:rsidRPr="00CF6F54">
        <w:rPr>
          <w:lang w:val="en-GB"/>
        </w:rPr>
        <w:t>mesocosm stud</w:t>
      </w:r>
      <w:r w:rsidRPr="00CF6F54" w:rsidR="00D441BB">
        <w:rPr>
          <w:lang w:val="en-GB"/>
        </w:rPr>
        <w:t xml:space="preserve">ies </w:t>
      </w:r>
      <w:r w:rsidRPr="00CF6F54" w:rsidR="00B95AF4">
        <w:rPr>
          <w:lang w:val="en-GB"/>
        </w:rPr>
        <w:t>are considered appropriate to use</w:t>
      </w:r>
      <w:r w:rsidRPr="00CF6F54">
        <w:rPr>
          <w:lang w:val="en-GB"/>
        </w:rPr>
        <w:t xml:space="preserve"> in a weight</w:t>
      </w:r>
      <w:r w:rsidR="00EC6705">
        <w:rPr>
          <w:lang w:val="en-GB"/>
        </w:rPr>
        <w:t>-</w:t>
      </w:r>
      <w:r w:rsidRPr="00CF6F54">
        <w:rPr>
          <w:lang w:val="en-GB"/>
        </w:rPr>
        <w:t>of</w:t>
      </w:r>
      <w:r w:rsidR="00EC6705">
        <w:rPr>
          <w:lang w:val="en-GB"/>
        </w:rPr>
        <w:t>-</w:t>
      </w:r>
      <w:r w:rsidRPr="00CF6F54">
        <w:rPr>
          <w:lang w:val="en-GB"/>
        </w:rPr>
        <w:t xml:space="preserve">evidence </w:t>
      </w:r>
      <w:r w:rsidRPr="00CF6F54" w:rsidR="00B95AF4">
        <w:rPr>
          <w:lang w:val="en-GB"/>
        </w:rPr>
        <w:t>assessment</w:t>
      </w:r>
      <w:r w:rsidRPr="00CF6F54">
        <w:rPr>
          <w:lang w:val="en-GB"/>
        </w:rPr>
        <w:t xml:space="preserve">, to </w:t>
      </w:r>
      <w:r w:rsidRPr="00CF6F54" w:rsidR="007669CB">
        <w:rPr>
          <w:lang w:val="en-GB"/>
        </w:rPr>
        <w:t xml:space="preserve">represent or </w:t>
      </w:r>
      <w:r w:rsidRPr="00CF6F54">
        <w:rPr>
          <w:lang w:val="en-GB"/>
        </w:rPr>
        <w:t xml:space="preserve">support </w:t>
      </w:r>
      <w:r w:rsidRPr="00CF6F54" w:rsidR="007669CB">
        <w:rPr>
          <w:lang w:val="en-GB"/>
        </w:rPr>
        <w:t xml:space="preserve">other </w:t>
      </w:r>
      <w:r w:rsidRPr="00CF6F54">
        <w:rPr>
          <w:lang w:val="en-GB"/>
        </w:rPr>
        <w:t xml:space="preserve">data </w:t>
      </w:r>
      <w:r w:rsidRPr="00CF6F54" w:rsidR="00C77022">
        <w:rPr>
          <w:lang w:val="en-GB"/>
        </w:rPr>
        <w:t xml:space="preserve">from </w:t>
      </w:r>
      <w:r w:rsidRPr="00CF6F54" w:rsidR="007669CB">
        <w:rPr>
          <w:lang w:val="en-GB"/>
        </w:rPr>
        <w:t xml:space="preserve">the toxicity line of evidence </w:t>
      </w:r>
      <w:r w:rsidRPr="00CF6F54">
        <w:rPr>
          <w:lang w:val="en-GB"/>
        </w:rPr>
        <w:t xml:space="preserve">in </w:t>
      </w:r>
      <w:r w:rsidRPr="00CF6F54" w:rsidR="00D441BB">
        <w:rPr>
          <w:lang w:val="en-GB"/>
        </w:rPr>
        <w:t>guideline value</w:t>
      </w:r>
      <w:r w:rsidRPr="00CF6F54">
        <w:rPr>
          <w:lang w:val="en-GB"/>
        </w:rPr>
        <w:t xml:space="preserve"> derivation</w:t>
      </w:r>
      <w:r w:rsidR="002A3686">
        <w:rPr>
          <w:lang w:val="en-GB"/>
        </w:rPr>
        <w:t>,</w:t>
      </w:r>
      <w:r w:rsidRPr="00CF6F54">
        <w:rPr>
          <w:lang w:val="en-GB"/>
        </w:rPr>
        <w:t xml:space="preserve"> and, more broadly, in </w:t>
      </w:r>
      <w:r w:rsidRPr="00CF6F54" w:rsidR="007669CB">
        <w:rPr>
          <w:lang w:val="en-GB"/>
        </w:rPr>
        <w:t>water or sediment quality</w:t>
      </w:r>
      <w:r w:rsidRPr="00CF6F54">
        <w:rPr>
          <w:lang w:val="en-GB"/>
        </w:rPr>
        <w:t xml:space="preserve"> assessments (</w:t>
      </w:r>
      <w:r w:rsidRPr="00CF6F54" w:rsidR="00D441BB">
        <w:rPr>
          <w:lang w:val="en-GB"/>
        </w:rPr>
        <w:t xml:space="preserve">e.g. </w:t>
      </w:r>
      <w:r w:rsidRPr="00CF6F54">
        <w:rPr>
          <w:lang w:val="en-GB"/>
        </w:rPr>
        <w:t>European Commission 201</w:t>
      </w:r>
      <w:r w:rsidR="00D223A2">
        <w:rPr>
          <w:lang w:val="en-GB"/>
        </w:rPr>
        <w:t>8</w:t>
      </w:r>
      <w:r w:rsidRPr="00CF6F54" w:rsidR="00D441BB">
        <w:rPr>
          <w:lang w:val="en-GB"/>
        </w:rPr>
        <w:t>, ANZG 2018)</w:t>
      </w:r>
      <w:r w:rsidRPr="00CF6F54" w:rsidR="00E820C7">
        <w:rPr>
          <w:lang w:val="en-GB"/>
        </w:rPr>
        <w:t>.</w:t>
      </w:r>
    </w:p>
    <w:p w:rsidR="00C4249A" w:rsidRPr="008E6D64" w:rsidP="008E6D64" w14:paraId="68308CC2" w14:textId="5705A6B3">
      <w:r w:rsidRPr="00CF6F54">
        <w:rPr>
          <w:lang w:val="en-GB"/>
        </w:rPr>
        <w:t>For further details on the use of mesocosm studies and other forms of semi</w:t>
      </w:r>
      <w:r w:rsidRPr="00CF6F54" w:rsidR="00E87EBD">
        <w:rPr>
          <w:lang w:val="en-GB"/>
        </w:rPr>
        <w:t>-</w:t>
      </w:r>
      <w:r w:rsidRPr="00CF6F54">
        <w:rPr>
          <w:lang w:val="en-GB"/>
        </w:rPr>
        <w:t>field toxicity assessments, refer to Perceval et al. (20</w:t>
      </w:r>
      <w:r w:rsidR="00004142">
        <w:rPr>
          <w:lang w:val="en-GB"/>
        </w:rPr>
        <w:t>11</w:t>
      </w:r>
      <w:r w:rsidRPr="00CF6F54">
        <w:rPr>
          <w:lang w:val="en-GB"/>
        </w:rPr>
        <w:t xml:space="preserve">), </w:t>
      </w:r>
      <w:r w:rsidRPr="00CF6F54">
        <w:t>Buchwalter et al. (2017), ANZG (2018) and van Dam et al. (2019).</w:t>
      </w:r>
    </w:p>
    <w:p w:rsidR="00AB44A6" w:rsidP="00850E85" w14:paraId="3525A469" w14:textId="77777777">
      <w:pPr>
        <w:pStyle w:val="Heading3"/>
      </w:pPr>
      <w:bookmarkStart w:id="84" w:name="_Toc138332263"/>
      <w:r w:rsidRPr="00AB44A6">
        <w:t>Bioaccumulation</w:t>
      </w:r>
      <w:bookmarkEnd w:id="84"/>
    </w:p>
    <w:p w:rsidR="00AB44A6" w:rsidP="00AB44A6" w14:paraId="00211CBA" w14:textId="1DC17F70">
      <w:r>
        <w:t>The b</w:t>
      </w:r>
      <w:r w:rsidR="00253CDC">
        <w:t xml:space="preserve">ioaccumulation </w:t>
      </w:r>
      <w:r>
        <w:t xml:space="preserve">line of evidence includes </w:t>
      </w:r>
      <w:r w:rsidR="00253CDC">
        <w:t xml:space="preserve">indicators </w:t>
      </w:r>
      <w:r>
        <w:t xml:space="preserve">that </w:t>
      </w:r>
      <w:r w:rsidR="00253CDC">
        <w:t>are measured concentrations of contaminants accumulated by aquatic biota from water or sediment. These are compared with concentrations in the same spe</w:t>
      </w:r>
      <w:r w:rsidR="00262584">
        <w:t xml:space="preserve">cies from a reference site(s). </w:t>
      </w:r>
      <w:r w:rsidR="00253CDC">
        <w:t xml:space="preserve">The measurements indicate whether the contaminants are </w:t>
      </w:r>
      <w:r>
        <w:t xml:space="preserve">present </w:t>
      </w:r>
      <w:r w:rsidR="00253CDC">
        <w:t>in forms that are bioavailable</w:t>
      </w:r>
      <w:r w:rsidR="001557B9">
        <w:t xml:space="preserve">, </w:t>
      </w:r>
      <w:r w:rsidR="00253CDC">
        <w:t>complement</w:t>
      </w:r>
      <w:r w:rsidR="00EC6705">
        <w:t>ing</w:t>
      </w:r>
      <w:r w:rsidR="00253CDC">
        <w:t xml:space="preserve"> measurements of chemical concentrations in water and sediment. Bioaccumulation is traditionally considered in relation to food standards and the consumption of toxicant-containing biota. While this might be a management concern, bioaccumulation can have an important function in relation to ecological assessments</w:t>
      </w:r>
      <w:r w:rsidR="00EA359F">
        <w:t>:</w:t>
      </w:r>
      <w:r w:rsidR="00253CDC">
        <w:t xml:space="preserve"> </w:t>
      </w:r>
      <w:r w:rsidR="00EA359F">
        <w:t xml:space="preserve">it indicates </w:t>
      </w:r>
      <w:r>
        <w:t xml:space="preserve">exposure to </w:t>
      </w:r>
      <w:r w:rsidR="00EA359F">
        <w:t xml:space="preserve">bioavailable contaminants and </w:t>
      </w:r>
      <w:r w:rsidR="00253CDC">
        <w:t>also provides a clear link between ecological and human</w:t>
      </w:r>
      <w:r w:rsidR="0040644B">
        <w:t>-</w:t>
      </w:r>
      <w:r w:rsidR="00253CDC">
        <w:t>health asse</w:t>
      </w:r>
      <w:r w:rsidR="00675C6D">
        <w:t>ssments of water</w:t>
      </w:r>
      <w:r w:rsidR="00EC6705">
        <w:t>-</w:t>
      </w:r>
      <w:r w:rsidR="00675C6D">
        <w:t xml:space="preserve">quality risk. </w:t>
      </w:r>
      <w:r w:rsidR="00253CDC">
        <w:t>Measurements can involve the collection of field organisms, the use of caged bioaccumulators (</w:t>
      </w:r>
      <w:r w:rsidR="00EC6705">
        <w:t xml:space="preserve">e.g. </w:t>
      </w:r>
      <w:r w:rsidR="00253CDC">
        <w:t>mussels, oysters), transplanted organisms or biomimetic devices.</w:t>
      </w:r>
    </w:p>
    <w:p w:rsidR="00E023ED" w:rsidP="00AB44A6" w14:paraId="5AB9BADB" w14:textId="2FA108C3">
      <w:r>
        <w:t xml:space="preserve">Commonly used measures of bioaccumulation include the bioconcentration factor (BCF) and the bioaccumulation factor (BAF). </w:t>
      </w:r>
      <w:r w:rsidR="00137D04">
        <w:t xml:space="preserve">For aquatic </w:t>
      </w:r>
      <w:r w:rsidR="00096CA2">
        <w:t>biota</w:t>
      </w:r>
      <w:r w:rsidR="00137D04">
        <w:t xml:space="preserve">, </w:t>
      </w:r>
      <w:r>
        <w:t>BCF is the ratio of the concentration of contaminant in the biota sample (</w:t>
      </w:r>
      <w:r w:rsidR="00911981">
        <w:t xml:space="preserve">e.g. </w:t>
      </w:r>
      <w:r>
        <w:t>whole tissue</w:t>
      </w:r>
      <w:r w:rsidR="0040644B">
        <w:t>,</w:t>
      </w:r>
      <w:r>
        <w:t xml:space="preserve"> organ-specific) to the concentration of contaminant in the water column</w:t>
      </w:r>
      <w:r w:rsidR="00EC6705">
        <w:t>.</w:t>
      </w:r>
      <w:r w:rsidR="00D509A6">
        <w:t xml:space="preserve"> </w:t>
      </w:r>
      <w:r>
        <w:t>BAF is the ratio of the concentration of contaminant in the biota sample to the concentration of contaminant in both the water and dietary sources (McGeer et al. 2003).</w:t>
      </w:r>
      <w:r w:rsidR="00CD3C89">
        <w:t xml:space="preserve"> </w:t>
      </w:r>
      <w:r w:rsidR="00EC6705">
        <w:t>So</w:t>
      </w:r>
      <w:r w:rsidR="00CD3C89">
        <w:t xml:space="preserve">, high BCFs and BAFs </w:t>
      </w:r>
      <w:r w:rsidR="00ED7E9D">
        <w:t>equate to</w:t>
      </w:r>
      <w:r w:rsidR="00CD3C89">
        <w:t xml:space="preserve"> high internal concentrations relative to </w:t>
      </w:r>
      <w:r w:rsidR="00911981">
        <w:t>the exposure media (</w:t>
      </w:r>
      <w:r w:rsidR="00EC6705">
        <w:t xml:space="preserve">e.g. </w:t>
      </w:r>
      <w:r w:rsidR="00911981">
        <w:t>water, diet), which indicates that bioaccumulation is occurring.</w:t>
      </w:r>
      <w:r w:rsidR="00D5728B">
        <w:t xml:space="preserve"> </w:t>
      </w:r>
    </w:p>
    <w:p w:rsidR="00AB44A6" w:rsidP="00AB44A6" w14:paraId="1157B11D" w14:textId="751ADE51">
      <w:r>
        <w:t>Bioaccumulation indicators provide information on the behaviour of contaminants in aquatic environments</w:t>
      </w:r>
      <w:r w:rsidR="00EC6705">
        <w:t>,</w:t>
      </w:r>
      <w:r>
        <w:t xml:space="preserve"> exposure of aquatic biota to bioavailable contaminants</w:t>
      </w:r>
      <w:r w:rsidR="00EC6705">
        <w:t>,</w:t>
      </w:r>
      <w:r>
        <w:t xml:space="preserve"> sources of contaminants in the environment</w:t>
      </w:r>
      <w:r w:rsidR="00EC6705">
        <w:t>,</w:t>
      </w:r>
      <w:r w:rsidR="008D0E42">
        <w:t xml:space="preserve"> and </w:t>
      </w:r>
      <w:r>
        <w:t>causes of toxicity to aquatic biota (</w:t>
      </w:r>
      <w:r w:rsidR="00E20788">
        <w:t xml:space="preserve">van der Oost et al. 2003, </w:t>
      </w:r>
      <w:r w:rsidR="008F4A00">
        <w:t xml:space="preserve">Luoma </w:t>
      </w:r>
      <w:r w:rsidR="003C60FB">
        <w:t>and</w:t>
      </w:r>
      <w:r w:rsidR="008F4A00">
        <w:t xml:space="preserve"> Rainbow 2005</w:t>
      </w:r>
      <w:r>
        <w:t xml:space="preserve">). However, bioaccumulation is not an effective indicator of biological effects, </w:t>
      </w:r>
      <w:r w:rsidR="004B4274">
        <w:t>and</w:t>
      </w:r>
      <w:r>
        <w:t xml:space="preserve"> field measurements of bioaccumulation can be difficult to interpret due to multiple confounding factors (</w:t>
      </w:r>
      <w:r w:rsidR="004B4274">
        <w:t xml:space="preserve">Luoma </w:t>
      </w:r>
      <w:r w:rsidR="003C60FB">
        <w:t>and</w:t>
      </w:r>
      <w:r w:rsidR="004B4274">
        <w:t xml:space="preserve"> Rainbow 2005, </w:t>
      </w:r>
      <w:r>
        <w:t xml:space="preserve">Arnot </w:t>
      </w:r>
      <w:r w:rsidR="003C60FB">
        <w:t>and</w:t>
      </w:r>
      <w:r>
        <w:t xml:space="preserve"> Gobas 2006). Therefore, it is important that bioaccumulation indicators are used alongside stressor and other ecosystem receptor indicators in a weight</w:t>
      </w:r>
      <w:r w:rsidR="00EC6705">
        <w:t>-</w:t>
      </w:r>
      <w:r>
        <w:t>of</w:t>
      </w:r>
      <w:r w:rsidR="00EC6705">
        <w:t>-</w:t>
      </w:r>
      <w:r>
        <w:t>evidence approach.</w:t>
      </w:r>
      <w:r w:rsidR="00262584">
        <w:t xml:space="preserve"> </w:t>
      </w:r>
      <w:r w:rsidR="002F025F">
        <w:t>Even so</w:t>
      </w:r>
      <w:r w:rsidR="00253CDC">
        <w:t>, for some substances</w:t>
      </w:r>
      <w:r w:rsidR="00946726">
        <w:t xml:space="preserve"> (e.g.</w:t>
      </w:r>
      <w:r w:rsidR="00253CDC">
        <w:t xml:space="preserve"> selenium</w:t>
      </w:r>
      <w:r w:rsidR="00946726">
        <w:t>)</w:t>
      </w:r>
      <w:r w:rsidR="00253CDC">
        <w:t xml:space="preserve">, bioaccumulation data can better assess water quality than </w:t>
      </w:r>
      <w:r w:rsidR="005D1A04">
        <w:t xml:space="preserve">by </w:t>
      </w:r>
      <w:r w:rsidR="00253CDC">
        <w:t>measur</w:t>
      </w:r>
      <w:r w:rsidR="005D1A04">
        <w:t>ing</w:t>
      </w:r>
      <w:r w:rsidR="00253CDC">
        <w:t xml:space="preserve"> </w:t>
      </w:r>
      <w:r w:rsidR="005D1A04">
        <w:t xml:space="preserve">these </w:t>
      </w:r>
      <w:r w:rsidR="00253CDC">
        <w:t>substances in water or sediment alone (e.g. Hamilton 2002</w:t>
      </w:r>
      <w:r w:rsidR="00970656">
        <w:t xml:space="preserve">, </w:t>
      </w:r>
      <w:r w:rsidR="00253CDC">
        <w:t xml:space="preserve">Brix et </w:t>
      </w:r>
      <w:r w:rsidR="00970656">
        <w:t>al.</w:t>
      </w:r>
      <w:r w:rsidR="00262584">
        <w:t xml:space="preserve"> 2005</w:t>
      </w:r>
      <w:r w:rsidR="00970656">
        <w:t>,</w:t>
      </w:r>
      <w:r w:rsidR="00262584">
        <w:t xml:space="preserve"> Toll et al. 2005</w:t>
      </w:r>
      <w:r w:rsidR="009823A1">
        <w:t xml:space="preserve">, </w:t>
      </w:r>
      <w:r w:rsidR="002E05DC">
        <w:t>US EPA</w:t>
      </w:r>
      <w:r w:rsidR="009823A1">
        <w:t xml:space="preserve"> 2016</w:t>
      </w:r>
      <w:r w:rsidR="00262584">
        <w:t>).</w:t>
      </w:r>
      <w:r w:rsidR="00A13158">
        <w:t xml:space="preserve"> </w:t>
      </w:r>
    </w:p>
    <w:p w:rsidR="00AB44A6" w:rsidP="00AB44A6" w14:paraId="6C325916" w14:textId="617B7E6B">
      <w:r>
        <w:t xml:space="preserve">Care must be taken when using bioaccumulation, as the extent to which a substance accumulates depends on its inherent propensity to partition into biological tissues </w:t>
      </w:r>
      <w:r w:rsidR="004B02F0">
        <w:t>(</w:t>
      </w:r>
      <w:r>
        <w:t>particularly for xenobiotic substances</w:t>
      </w:r>
      <w:r w:rsidR="004B02F0">
        <w:t>)</w:t>
      </w:r>
      <w:r>
        <w:t xml:space="preserve"> and on the ability of the organism to regulate uptake and excretion of the substance. Some groups of organisms detoxify toxins by sequestering them into biologically inert forms. Other groups detoxify by breaking the toxin into component parts and excreting it. </w:t>
      </w:r>
      <w:r w:rsidR="00917C90">
        <w:t>Organisms that detoxify by excretion</w:t>
      </w:r>
      <w:r>
        <w:t xml:space="preserve"> tend to bioaccumulate the toxin to a lesser degree than </w:t>
      </w:r>
      <w:r w:rsidR="00917C90">
        <w:t>organisms that detoxify by sequestration</w:t>
      </w:r>
      <w:r>
        <w:t>.</w:t>
      </w:r>
      <w:r w:rsidR="001F41B2">
        <w:t xml:space="preserve"> </w:t>
      </w:r>
      <w:r>
        <w:t xml:space="preserve">For some substances, different organs within an organism may fall into either of these groups. As a general rule, organisms that detoxify by sequestration </w:t>
      </w:r>
      <w:r w:rsidR="001F41B2">
        <w:t xml:space="preserve">are </w:t>
      </w:r>
      <w:r>
        <w:t xml:space="preserve">better monitors of substance bioavailability than the </w:t>
      </w:r>
      <w:r w:rsidR="00917C90">
        <w:t xml:space="preserve">organisms that </w:t>
      </w:r>
      <w:r>
        <w:t>detoxify</w:t>
      </w:r>
      <w:r w:rsidR="00917C90">
        <w:t xml:space="preserve"> by </w:t>
      </w:r>
      <w:r>
        <w:t>excreti</w:t>
      </w:r>
      <w:r w:rsidR="00917C90">
        <w:t>on</w:t>
      </w:r>
      <w:r>
        <w:t xml:space="preserve">. Relevant reviews should be consulted before selecting what organisms or parts of organisms are selected for </w:t>
      </w:r>
      <w:r w:rsidR="001F41B2">
        <w:t xml:space="preserve">bioaccumulation </w:t>
      </w:r>
      <w:r>
        <w:t>monitoring (e.g. van der Oost et al.</w:t>
      </w:r>
      <w:r w:rsidR="001F41B2">
        <w:t xml:space="preserve"> </w:t>
      </w:r>
      <w:r>
        <w:t>2003</w:t>
      </w:r>
      <w:r w:rsidR="001F41B2">
        <w:t xml:space="preserve">, </w:t>
      </w:r>
      <w:r>
        <w:t>DeForest et al. 2007).</w:t>
      </w:r>
    </w:p>
    <w:p w:rsidR="00AB44A6" w:rsidP="00AB44A6" w14:paraId="62908800" w14:textId="0E3DCB92">
      <w:r>
        <w:t>The</w:t>
      </w:r>
      <w:r w:rsidR="00DF5260">
        <w:t xml:space="preserve"> ANZG (2018)</w:t>
      </w:r>
      <w:r>
        <w:t xml:space="preserve"> list of </w:t>
      </w:r>
      <w:r w:rsidRPr="007F5A17" w:rsidR="00DF5260">
        <w:t>D</w:t>
      </w:r>
      <w:r w:rsidRPr="007F5A17">
        <w:t>GVs for toxicants</w:t>
      </w:r>
      <w:r>
        <w:t xml:space="preserve"> provides </w:t>
      </w:r>
      <w:r w:rsidR="0068580F">
        <w:t>cautionary notes</w:t>
      </w:r>
      <w:r>
        <w:t xml:space="preserve"> on the use of the </w:t>
      </w:r>
      <w:r w:rsidR="00DF5260">
        <w:t>D</w:t>
      </w:r>
      <w:r>
        <w:t xml:space="preserve">GVs for </w:t>
      </w:r>
      <w:r w:rsidR="00DF5260">
        <w:t xml:space="preserve">at least </w:t>
      </w:r>
      <w:r>
        <w:t>90</w:t>
      </w:r>
      <w:r w:rsidR="00F87870">
        <w:t> </w:t>
      </w:r>
      <w:r>
        <w:t>substances that are known to bioaccumulate in some species or are expected to have a high potential for bioaccumulation due to having log</w:t>
      </w:r>
      <w:r w:rsidR="00F56835">
        <w:t>-</w:t>
      </w:r>
      <w:r>
        <w:t>K</w:t>
      </w:r>
      <w:r w:rsidRPr="00AB44A6">
        <w:rPr>
          <w:vertAlign w:val="subscript"/>
        </w:rPr>
        <w:t>ow</w:t>
      </w:r>
      <w:r>
        <w:t xml:space="preserve"> (octanol-water partition coefficient) values greater than 4. </w:t>
      </w:r>
      <w:r w:rsidRPr="0068580F" w:rsidR="0068580F">
        <w:rPr>
          <w:lang w:val="en-GB"/>
        </w:rPr>
        <w:t xml:space="preserve">The </w:t>
      </w:r>
      <w:r>
        <w:fldChar w:fldCharType="begin"/>
      </w:r>
      <w:r>
        <w:instrText xml:space="preserve"> HYPERLINK "https://www.waterquality.gov.au/anz-guidelines/guideline-values/default/water-quality-toxicants/search" </w:instrText>
      </w:r>
      <w:r>
        <w:fldChar w:fldCharType="separate"/>
      </w:r>
      <w:r w:rsidRPr="0068580F" w:rsidR="0068580F">
        <w:rPr>
          <w:rStyle w:val="Hyperlink"/>
          <w:lang w:val="en-GB"/>
        </w:rPr>
        <w:t>ANZG (2018) toxicants search tool</w:t>
      </w:r>
      <w:r>
        <w:fldChar w:fldCharType="end"/>
      </w:r>
      <w:r w:rsidRPr="0068580F" w:rsidR="0068580F">
        <w:rPr>
          <w:lang w:val="en-GB"/>
        </w:rPr>
        <w:t xml:space="preserve"> can be used to obtain details on whether a substance meets this criterion</w:t>
      </w:r>
      <w:r w:rsidR="0068580F">
        <w:rPr>
          <w:lang w:val="en-GB"/>
        </w:rPr>
        <w:t xml:space="preserve">. </w:t>
      </w:r>
      <w:r>
        <w:t xml:space="preserve">If one or more of those substances are potential stressors of concern, or if a substance of potential concern does not have a </w:t>
      </w:r>
      <w:r w:rsidR="00DB791C">
        <w:t>D</w:t>
      </w:r>
      <w:r>
        <w:t xml:space="preserve">GV but is known to have </w:t>
      </w:r>
      <w:r w:rsidR="00DB791C">
        <w:t xml:space="preserve">a </w:t>
      </w:r>
      <w:r>
        <w:t>log</w:t>
      </w:r>
      <w:r w:rsidR="00F56835">
        <w:t>-</w:t>
      </w:r>
      <w:r>
        <w:t>K</w:t>
      </w:r>
      <w:r w:rsidRPr="00AB44A6">
        <w:rPr>
          <w:vertAlign w:val="subscript"/>
        </w:rPr>
        <w:t>ow</w:t>
      </w:r>
      <w:r>
        <w:t xml:space="preserve"> </w:t>
      </w:r>
      <w:r w:rsidR="00DB791C">
        <w:t>value</w:t>
      </w:r>
      <w:r>
        <w:t xml:space="preserve"> greater than 4</w:t>
      </w:r>
      <w:r w:rsidR="00DF68F2">
        <w:t xml:space="preserve"> (which would need to be determined from a literature review)</w:t>
      </w:r>
      <w:r>
        <w:t xml:space="preserve">, the use of bioaccumulation as part of a </w:t>
      </w:r>
      <w:r w:rsidR="00DB791C">
        <w:t>weight</w:t>
      </w:r>
      <w:r w:rsidR="00F56835">
        <w:t>-</w:t>
      </w:r>
      <w:r w:rsidR="00DB791C">
        <w:t>of</w:t>
      </w:r>
      <w:r w:rsidR="00F56835">
        <w:t>-</w:t>
      </w:r>
      <w:r w:rsidR="00DB791C">
        <w:t xml:space="preserve">evidence </w:t>
      </w:r>
      <w:r>
        <w:t xml:space="preserve">assessment should be considered. </w:t>
      </w:r>
      <w:r w:rsidR="0068580F">
        <w:rPr>
          <w:lang w:val="en-GB"/>
        </w:rPr>
        <w:t xml:space="preserve">ANZG (2018) </w:t>
      </w:r>
      <w:r w:rsidR="00DF68F2">
        <w:rPr>
          <w:lang w:val="en-GB"/>
        </w:rPr>
        <w:t xml:space="preserve">also </w:t>
      </w:r>
      <w:r w:rsidR="0068580F">
        <w:rPr>
          <w:lang w:val="en-GB"/>
        </w:rPr>
        <w:t xml:space="preserve">provides </w:t>
      </w:r>
      <w:r w:rsidRPr="0068580F" w:rsidR="0068580F">
        <w:rPr>
          <w:lang w:val="en-GB"/>
        </w:rPr>
        <w:t xml:space="preserve">guidance on </w:t>
      </w:r>
      <w:r>
        <w:fldChar w:fldCharType="begin"/>
      </w:r>
      <w:r>
        <w:instrText xml:space="preserve"> HYPERLINK "https://www.waterquality.gov.au/anz-guidelines/guideline-values/default/water-quality-toxicants/local-conditions" \l "bioaccumulation" </w:instrText>
      </w:r>
      <w:r>
        <w:fldChar w:fldCharType="separate"/>
      </w:r>
      <w:r w:rsidRPr="00DF68F2" w:rsidR="0068580F">
        <w:rPr>
          <w:rStyle w:val="Hyperlink"/>
          <w:lang w:val="en-GB"/>
        </w:rPr>
        <w:t>how to apply DGVs for toxicants that bioaccumulate</w:t>
      </w:r>
      <w:r>
        <w:fldChar w:fldCharType="end"/>
      </w:r>
      <w:r w:rsidR="0068580F">
        <w:rPr>
          <w:lang w:val="en-GB"/>
        </w:rPr>
        <w:t>.</w:t>
      </w:r>
    </w:p>
    <w:p w:rsidR="002D4E06" w:rsidP="00AB44A6" w14:paraId="5DBE4057" w14:textId="75B119A3">
      <w:r>
        <w:t xml:space="preserve">The following example </w:t>
      </w:r>
      <w:r w:rsidR="00253CDC">
        <w:t xml:space="preserve">is provided to demonstrate how bioaccumulation data can be a valuable component of a </w:t>
      </w:r>
      <w:r>
        <w:t>weight</w:t>
      </w:r>
      <w:r w:rsidR="00F56835">
        <w:t>-</w:t>
      </w:r>
      <w:r>
        <w:t>of</w:t>
      </w:r>
      <w:r w:rsidR="00F56835">
        <w:t>-</w:t>
      </w:r>
      <w:r>
        <w:t xml:space="preserve">evidence </w:t>
      </w:r>
      <w:r w:rsidR="00253CDC">
        <w:t>assessment when used with insight from the conceptual model and with reference to the literature on the ecotoxicology and organism</w:t>
      </w:r>
      <w:r w:rsidR="005C5629">
        <w:t xml:space="preserve"> regulation of that substance. </w:t>
      </w:r>
    </w:p>
    <w:p w:rsidR="00AB44A6" w:rsidP="00F56835" w14:paraId="66B7295D" w14:textId="011E8451">
      <w:pPr>
        <w:pStyle w:val="Quote"/>
        <w:ind w:left="0" w:right="423"/>
      </w:pPr>
      <w:r>
        <w:t>Copper is a very</w:t>
      </w:r>
      <w:r w:rsidR="005C5629">
        <w:t xml:space="preserve"> well-studied essential metal. </w:t>
      </w:r>
      <w:r>
        <w:t xml:space="preserve">Because it is required for a number of enzymatic processes but is toxic in excess, organisms have developed strategies to regulate their internal concentrations </w:t>
      </w:r>
      <w:r w:rsidR="00334232">
        <w:t xml:space="preserve">of copper (e.g. White </w:t>
      </w:r>
      <w:r w:rsidR="003C60FB">
        <w:t>and</w:t>
      </w:r>
      <w:r w:rsidR="00334232">
        <w:t xml:space="preserve"> Rainbow</w:t>
      </w:r>
      <w:r>
        <w:t xml:space="preserve"> 19</w:t>
      </w:r>
      <w:r w:rsidR="00334232">
        <w:t>85,</w:t>
      </w:r>
      <w:r w:rsidR="005C5629">
        <w:t xml:space="preserve"> Phillips </w:t>
      </w:r>
      <w:r w:rsidR="003C60FB">
        <w:t>and</w:t>
      </w:r>
      <w:r w:rsidR="005C5629">
        <w:t xml:space="preserve"> Rainbow 1989). </w:t>
      </w:r>
      <w:r>
        <w:t>Copper, as part of haemocyanin, plays a particularly important role in oxygen transport for crustaceans, in addition to its role in other enzyme systems common to ot</w:t>
      </w:r>
      <w:r w:rsidR="00675C6D">
        <w:t xml:space="preserve">her organisms. </w:t>
      </w:r>
      <w:r w:rsidR="00305D52">
        <w:t>Even so</w:t>
      </w:r>
      <w:r>
        <w:t>, very different strategies for regulation of copper burdens have developed within groups of crustaceans. For example, in decapods, copper tends to be well regulated in general body tissues by sequestration or binding to metallothionines in the hepatopancreas and excretion via the antennal gland. However, in barnacles</w:t>
      </w:r>
      <w:r w:rsidR="00F56835">
        <w:t>,</w:t>
      </w:r>
      <w:r>
        <w:t xml:space="preserve"> copper is sequestered through binding into organic granules within the general body tissues, to the extent that excretion typically only occurs via the release of gametes (Rainbow </w:t>
      </w:r>
      <w:r w:rsidR="003C60FB">
        <w:t>and</w:t>
      </w:r>
      <w:r>
        <w:t xml:space="preserve"> White 1989</w:t>
      </w:r>
      <w:r w:rsidR="00334232">
        <w:t>, Rainbow</w:t>
      </w:r>
      <w:r>
        <w:t xml:space="preserve"> 2002). Therefore, in practice, biomonitoring of copper concentrations in populations of barnacles often provide</w:t>
      </w:r>
      <w:r w:rsidR="00151BF3">
        <w:t>s</w:t>
      </w:r>
      <w:r>
        <w:t xml:space="preserve"> information on lifetime exposure to bioavailable copper (for annually spawning species, effectively integrating exposure over the course of a year). In contrast, in populations of decapod crustaceans</w:t>
      </w:r>
      <w:r w:rsidR="00F56835">
        <w:t>,</w:t>
      </w:r>
      <w:r>
        <w:t xml:space="preserve"> it provide</w:t>
      </w:r>
      <w:r w:rsidR="00151BF3">
        <w:t>s</w:t>
      </w:r>
      <w:r>
        <w:t xml:space="preserve"> evidence of shorter-term exposure</w:t>
      </w:r>
      <w:r w:rsidR="001E3E27">
        <w:t xml:space="preserve"> but</w:t>
      </w:r>
      <w:r>
        <w:t xml:space="preserve"> only via measurements in the hepatopancreas and antennal gland and not, for example, </w:t>
      </w:r>
      <w:r w:rsidR="001E3E27">
        <w:t xml:space="preserve">in </w:t>
      </w:r>
      <w:r>
        <w:t>abdominal flesh</w:t>
      </w:r>
      <w:r w:rsidR="001E3E27">
        <w:t>,</w:t>
      </w:r>
      <w:r>
        <w:t xml:space="preserve"> which tends to have highly regulated copper concentrations (that are very sensitive to haemolymph lo</w:t>
      </w:r>
      <w:r w:rsidR="005C5629">
        <w:t xml:space="preserve">ss during sample preparation). </w:t>
      </w:r>
    </w:p>
    <w:p w:rsidR="001E3E27" w:rsidP="00F56835" w14:paraId="1BBAB3DF" w14:textId="21C80CAD">
      <w:pPr>
        <w:pStyle w:val="Quote"/>
        <w:ind w:left="0" w:right="423"/>
      </w:pPr>
      <w:r>
        <w:t>Consideration must be given to t</w:t>
      </w:r>
      <w:r w:rsidRPr="00040036">
        <w:t xml:space="preserve">he </w:t>
      </w:r>
      <w:r w:rsidR="00EB349B">
        <w:t xml:space="preserve">selection of </w:t>
      </w:r>
      <w:r w:rsidRPr="00040036">
        <w:t xml:space="preserve">organisms (and parts of organisms) to be measured for bioaccumulation of copper </w:t>
      </w:r>
      <w:r>
        <w:t>and to</w:t>
      </w:r>
      <w:r w:rsidRPr="00040036">
        <w:t xml:space="preserve"> the duration of the exposure of the organisms to elevated copper concentrations.</w:t>
      </w:r>
      <w:r w:rsidR="00253CDC">
        <w:t xml:space="preserve"> It is well established that the acute toxicity of copper is not caused by bioaccumulation of copper but</w:t>
      </w:r>
      <w:r w:rsidR="00642D96">
        <w:t xml:space="preserve"> is</w:t>
      </w:r>
      <w:r w:rsidR="00253CDC">
        <w:t xml:space="preserve"> due to interference in sodium regulation and the associated loss of plasma sodium, at least for freshwater species (Grosell</w:t>
      </w:r>
      <w:r w:rsidR="00642D96">
        <w:t xml:space="preserve"> et al.</w:t>
      </w:r>
      <w:r w:rsidR="00334232">
        <w:t xml:space="preserve"> 2002, </w:t>
      </w:r>
      <w:r w:rsidR="00642D96">
        <w:t xml:space="preserve">Niyogi </w:t>
      </w:r>
      <w:r w:rsidR="003C60FB">
        <w:t>and</w:t>
      </w:r>
      <w:r w:rsidR="00642D96">
        <w:t xml:space="preserve"> Wood 2004, </w:t>
      </w:r>
      <w:r w:rsidR="00334232">
        <w:t>Grosell et al.</w:t>
      </w:r>
      <w:r w:rsidR="00253CDC">
        <w:t xml:space="preserve"> 2007</w:t>
      </w:r>
      <w:r w:rsidR="00334232">
        <w:t>,</w:t>
      </w:r>
      <w:r w:rsidR="00253CDC">
        <w:t xml:space="preserve"> Alsop </w:t>
      </w:r>
      <w:r w:rsidR="003C60FB">
        <w:t>and</w:t>
      </w:r>
      <w:r w:rsidR="00253CDC">
        <w:t xml:space="preserve"> Wood 2011). Therefore, </w:t>
      </w:r>
      <w:r w:rsidR="00A5548B">
        <w:t xml:space="preserve">tissue </w:t>
      </w:r>
      <w:r w:rsidR="00253CDC">
        <w:t xml:space="preserve">copper concentrations </w:t>
      </w:r>
      <w:r w:rsidR="00A5548B">
        <w:t xml:space="preserve">associated with acute exposures </w:t>
      </w:r>
      <w:r w:rsidR="00253CDC">
        <w:t>can be poorly correlated with exposure to</w:t>
      </w:r>
      <w:r w:rsidR="000A244D">
        <w:t xml:space="preserve"> copper</w:t>
      </w:r>
      <w:r w:rsidR="00253CDC">
        <w:t xml:space="preserve"> and </w:t>
      </w:r>
      <w:r w:rsidR="000A244D">
        <w:t xml:space="preserve">its </w:t>
      </w:r>
      <w:r w:rsidR="00253CDC">
        <w:t xml:space="preserve">toxicity. </w:t>
      </w:r>
      <w:r w:rsidR="00A5548B">
        <w:t xml:space="preserve">In contrast, tissue </w:t>
      </w:r>
      <w:r w:rsidR="00253CDC">
        <w:t xml:space="preserve">copper concentrations </w:t>
      </w:r>
      <w:r w:rsidR="00A5548B">
        <w:t xml:space="preserve">associated with chronic exposures </w:t>
      </w:r>
      <w:r w:rsidR="00253CDC">
        <w:t>can be more reliably related to copper toxicity</w:t>
      </w:r>
      <w:r w:rsidR="00526243">
        <w:t>. H</w:t>
      </w:r>
      <w:r w:rsidR="00A5548B">
        <w:t>owever,</w:t>
      </w:r>
      <w:r w:rsidR="00253CDC">
        <w:t xml:space="preserve"> in fishes</w:t>
      </w:r>
      <w:r w:rsidR="00E87EBD">
        <w:t>,</w:t>
      </w:r>
      <w:r w:rsidR="00253CDC">
        <w:t xml:space="preserve"> </w:t>
      </w:r>
      <w:r w:rsidR="00A5548B">
        <w:t xml:space="preserve">copper </w:t>
      </w:r>
      <w:r w:rsidR="00253CDC">
        <w:t>will typically remain well</w:t>
      </w:r>
      <w:r w:rsidR="00EB349B">
        <w:t xml:space="preserve"> </w:t>
      </w:r>
      <w:r w:rsidR="00253CDC">
        <w:t xml:space="preserve">regulated in body parts such as flesh and plasma and </w:t>
      </w:r>
      <w:r w:rsidR="00A5548B">
        <w:t xml:space="preserve">can </w:t>
      </w:r>
      <w:r w:rsidR="00253CDC">
        <w:t xml:space="preserve">be more meaningfully monitored in the organs involved in uptake and regulation, such as the gills and liver. </w:t>
      </w:r>
    </w:p>
    <w:p w:rsidR="00E023ED" w:rsidP="00AB44A6" w14:paraId="73395566" w14:textId="75E16F55">
      <w:r>
        <w:t xml:space="preserve">Bioaccumulation can be a very useful part of a </w:t>
      </w:r>
      <w:r w:rsidR="00E11CFC">
        <w:t>weight</w:t>
      </w:r>
      <w:r>
        <w:t>-</w:t>
      </w:r>
      <w:r w:rsidR="00E11CFC">
        <w:t>of</w:t>
      </w:r>
      <w:r>
        <w:t>-</w:t>
      </w:r>
      <w:r w:rsidR="00E11CFC">
        <w:t xml:space="preserve">evidence </w:t>
      </w:r>
      <w:r>
        <w:t xml:space="preserve">assessment, but care must be taken to consider the likely nature of the exposure (from the conceptual model), as well as the groups of organisms and the parts of those organisms to use – even for a well-understood toxicant like copper. </w:t>
      </w:r>
      <w:r w:rsidRPr="000C2F66" w:rsidR="000C2F66">
        <w:t xml:space="preserve">For this line of evidence, the literature must be used to design programs and select </w:t>
      </w:r>
      <w:r w:rsidRPr="00E023ED" w:rsidR="000C2F66">
        <w:t>indicator</w:t>
      </w:r>
      <w:r>
        <w:t xml:space="preserve">s. </w:t>
      </w:r>
    </w:p>
    <w:p w:rsidR="00B32511" w:rsidRPr="00CD3C89" w:rsidP="00CD3C89" w14:paraId="6F899854" w14:textId="21F815BC">
      <w:r>
        <w:t xml:space="preserve">Finally, a cautionary note </w:t>
      </w:r>
      <w:r w:rsidR="00CD3C89">
        <w:t xml:space="preserve">is provided </w:t>
      </w:r>
      <w:r>
        <w:t xml:space="preserve">on the use of bioaccumulation for assessing metals in aquatic environments. It has been well documented that </w:t>
      </w:r>
      <w:r w:rsidR="00CD3C89">
        <w:t>BCFs and BAFs exhibit an inverse relationship for metals</w:t>
      </w:r>
      <w:r w:rsidR="00C428E0">
        <w:t>.</w:t>
      </w:r>
      <w:r w:rsidR="00CD3C89">
        <w:t xml:space="preserve"> </w:t>
      </w:r>
      <w:r w:rsidR="00C428E0">
        <w:t>T</w:t>
      </w:r>
      <w:r w:rsidRPr="00CD3C89" w:rsidR="00CD3C89">
        <w:t>hey are highest (indicating hazard) at low exposure concentrations and are lowest (indicating no hazard) at high exposure concentrations, where impacts are likely</w:t>
      </w:r>
      <w:r w:rsidR="00CD3C89">
        <w:t xml:space="preserve"> (McGeer et a</w:t>
      </w:r>
      <w:r w:rsidR="009046C1">
        <w:t>l</w:t>
      </w:r>
      <w:r w:rsidR="00CD3C89">
        <w:t>. 2003</w:t>
      </w:r>
      <w:r w:rsidR="00D72FC5">
        <w:t>,</w:t>
      </w:r>
      <w:r w:rsidR="00CD3C89">
        <w:t xml:space="preserve"> DeForest et al. 2007</w:t>
      </w:r>
      <w:r w:rsidR="00D72FC5">
        <w:t>,</w:t>
      </w:r>
      <w:r w:rsidR="00CD3C89">
        <w:t xml:space="preserve"> Fairbrother et al. 2007).</w:t>
      </w:r>
      <w:r>
        <w:t xml:space="preserve"> </w:t>
      </w:r>
      <w:r w:rsidR="00526243">
        <w:t>So</w:t>
      </w:r>
      <w:r>
        <w:t>, using these metrics for metals can lead to conclusions that are inconsistent with the toxicological data (McGeer et al. 2003). Consequently, the</w:t>
      </w:r>
      <w:r w:rsidRPr="002E05DC" w:rsidR="002E05DC">
        <w:t xml:space="preserve"> </w:t>
      </w:r>
      <w:r w:rsidR="002E05DC">
        <w:t>metals risk</w:t>
      </w:r>
      <w:r w:rsidR="00526243">
        <w:t>-</w:t>
      </w:r>
      <w:r w:rsidR="002E05DC">
        <w:t>assessment framework of the</w:t>
      </w:r>
      <w:r>
        <w:t xml:space="preserve"> </w:t>
      </w:r>
      <w:r w:rsidR="002E05DC">
        <w:t>United States Environmental Protection Agency</w:t>
      </w:r>
      <w:r>
        <w:t xml:space="preserve"> state</w:t>
      </w:r>
      <w:r w:rsidR="000A244D">
        <w:t>s</w:t>
      </w:r>
      <w:r>
        <w:t xml:space="preserve"> that the science does not </w:t>
      </w:r>
      <w:r w:rsidRPr="00B32511">
        <w:rPr>
          <w:lang w:val="en-GB"/>
        </w:rPr>
        <w:t>support the use of a single, generic threshold BCF</w:t>
      </w:r>
      <w:r>
        <w:t xml:space="preserve"> </w:t>
      </w:r>
      <w:r w:rsidRPr="00B32511">
        <w:rPr>
          <w:lang w:val="en-GB"/>
        </w:rPr>
        <w:t>or BAF value as an indicator of metal hazard</w:t>
      </w:r>
      <w:r>
        <w:rPr>
          <w:lang w:val="en-GB"/>
        </w:rPr>
        <w:t xml:space="preserve"> (Fairbrother et al. 2007). Where BCF and BAF values are being calculated, it is critical that they are interpreted in the context of the exposure concentration and what that means for potential impacts</w:t>
      </w:r>
      <w:r w:rsidR="009046C1">
        <w:rPr>
          <w:lang w:val="en-GB"/>
        </w:rPr>
        <w:t xml:space="preserve"> (DeForest et al. 2007)</w:t>
      </w:r>
      <w:r>
        <w:rPr>
          <w:lang w:val="en-GB"/>
        </w:rPr>
        <w:t>.</w:t>
      </w:r>
    </w:p>
    <w:p w:rsidR="00AB44A6" w:rsidP="00850E85" w14:paraId="7EF4BCD7" w14:textId="77777777">
      <w:pPr>
        <w:pStyle w:val="Heading3"/>
      </w:pPr>
      <w:bookmarkStart w:id="85" w:name="_Toc138332264"/>
      <w:r w:rsidRPr="00AB44A6">
        <w:t>Biomarkers</w:t>
      </w:r>
      <w:bookmarkEnd w:id="85"/>
    </w:p>
    <w:p w:rsidR="008A1B1B" w:rsidP="008A1B1B" w14:paraId="0DFD92EC" w14:textId="3428D93E">
      <w:r>
        <w:t>A biomarker is a measurable indicator of a sub-organism</w:t>
      </w:r>
      <w:r w:rsidR="004A2F84">
        <w:t>al</w:t>
      </w:r>
      <w:r>
        <w:t xml:space="preserve"> biological </w:t>
      </w:r>
      <w:r w:rsidR="00D70790">
        <w:t>response or</w:t>
      </w:r>
      <w:r>
        <w:t xml:space="preserve"> condi</w:t>
      </w:r>
      <w:r w:rsidR="005C5629">
        <w:t>tion</w:t>
      </w:r>
      <w:r w:rsidR="00CD7AC1">
        <w:t xml:space="preserve"> </w:t>
      </w:r>
      <w:r w:rsidRPr="00012C63" w:rsidR="004240EA">
        <w:rPr>
          <w:rFonts w:cstheme="minorHAnsi"/>
          <w:lang w:eastAsia="ja-JP"/>
        </w:rPr>
        <w:t xml:space="preserve">(e.g. enzymatic or histopathological) </w:t>
      </w:r>
      <w:r w:rsidRPr="00012C63" w:rsidR="00CD7AC1">
        <w:t>as a result of exposure to a stressor</w:t>
      </w:r>
      <w:r w:rsidR="005C5629">
        <w:t xml:space="preserve">. </w:t>
      </w:r>
      <w:r w:rsidR="004A2F84">
        <w:t>The b</w:t>
      </w:r>
      <w:r>
        <w:t xml:space="preserve">iomarkers </w:t>
      </w:r>
      <w:r w:rsidR="004A2F84">
        <w:t xml:space="preserve">line of evidence includes sub-organismal </w:t>
      </w:r>
      <w:r>
        <w:t xml:space="preserve">indicators of either exposure to or effects </w:t>
      </w:r>
      <w:r w:rsidR="004A2F84">
        <w:t>of</w:t>
      </w:r>
      <w:r>
        <w:t xml:space="preserve"> contaminants in water and sediment. Biomarkers have been equally applied worldwide in both freshwater and marine ecosystems. Molecular biomarkers are characteristic signatures of pollution expressed in enzymes, cell constituents or metabolism products within organs of animals and plants. Organisms respond to stress by invoking molecular responses, and these can be expressed as physiological or other changes. The molecular responses to contaminant stress are likely to be the earliest form of organism response</w:t>
      </w:r>
      <w:r w:rsidR="00BD3B1D">
        <w:t>.</w:t>
      </w:r>
      <w:r>
        <w:t xml:space="preserve"> </w:t>
      </w:r>
      <w:r w:rsidR="00BD3B1D">
        <w:t>These</w:t>
      </w:r>
      <w:r>
        <w:t xml:space="preserve"> </w:t>
      </w:r>
      <w:r w:rsidR="009C6D2D">
        <w:t>could be</w:t>
      </w:r>
      <w:r>
        <w:t xml:space="preserve"> used as early</w:t>
      </w:r>
      <w:r w:rsidR="000A244D">
        <w:t>-</w:t>
      </w:r>
      <w:r>
        <w:t>warning indicator</w:t>
      </w:r>
      <w:r w:rsidR="00C428E0">
        <w:t>s</w:t>
      </w:r>
      <w:r>
        <w:t xml:space="preserve"> of changes induced by contaminants and in a weight</w:t>
      </w:r>
      <w:r w:rsidR="00BD3B1D">
        <w:t>-</w:t>
      </w:r>
      <w:r>
        <w:t>of</w:t>
      </w:r>
      <w:r w:rsidR="00BD3B1D">
        <w:t>-</w:t>
      </w:r>
      <w:r>
        <w:t>evidence assessment as indicator</w:t>
      </w:r>
      <w:r w:rsidR="00C428E0">
        <w:t>s</w:t>
      </w:r>
      <w:r>
        <w:t xml:space="preserve"> of organism exposure to that contaminant(s). Of course, changes at the molecular level in an organism may not necessarily reduce its ecological fitness</w:t>
      </w:r>
      <w:r w:rsidR="00BD3B1D">
        <w:t xml:space="preserve"> (</w:t>
      </w:r>
      <w:r>
        <w:t>its ability to function normally</w:t>
      </w:r>
      <w:r w:rsidR="00BD3B1D">
        <w:t xml:space="preserve">) </w:t>
      </w:r>
      <w:r>
        <w:t xml:space="preserve">because of various compensatory factors. </w:t>
      </w:r>
      <w:r w:rsidR="00305D52">
        <w:t>Even so</w:t>
      </w:r>
      <w:r>
        <w:t>, molecular responses to various contaminants have been sought in a broad range of species, and many site</w:t>
      </w:r>
      <w:r w:rsidR="009C6D2D">
        <w:t>-specific</w:t>
      </w:r>
      <w:r>
        <w:t xml:space="preserve"> and host-specific responses have been detected </w:t>
      </w:r>
      <w:r w:rsidR="00DE6672">
        <w:t xml:space="preserve">for </w:t>
      </w:r>
      <w:r>
        <w:t xml:space="preserve">biomarkers based on the activity of specific enzymes in </w:t>
      </w:r>
      <w:r w:rsidR="009C6D2D">
        <w:t xml:space="preserve">the </w:t>
      </w:r>
      <w:r>
        <w:t>liver, kidney</w:t>
      </w:r>
      <w:r w:rsidR="00DE6672">
        <w:t>,</w:t>
      </w:r>
      <w:r>
        <w:t xml:space="preserve"> blood</w:t>
      </w:r>
      <w:r w:rsidR="00DE6672">
        <w:t xml:space="preserve"> and other tissues</w:t>
      </w:r>
      <w:r>
        <w:t xml:space="preserve">. </w:t>
      </w:r>
    </w:p>
    <w:p w:rsidR="00A61F51" w:rsidP="001A6B2B" w14:paraId="2B80BD7C" w14:textId="141C38CA">
      <w:pPr>
        <w:spacing w:after="120"/>
      </w:pPr>
      <w:r>
        <w:t>Attributes of ideal biomarkers include the following (van Dam et al. 1998, Walker 1999)</w:t>
      </w:r>
      <w:r w:rsidR="00166B83">
        <w:t>.</w:t>
      </w:r>
    </w:p>
    <w:p w:rsidR="00A61F51" w:rsidP="009140D6" w14:paraId="30075739" w14:textId="18CA2479">
      <w:pPr>
        <w:pStyle w:val="ListBullet"/>
      </w:pPr>
      <w:r>
        <w:t>sensitiv</w:t>
      </w:r>
      <w:r w:rsidR="00BE270F">
        <w:t>e</w:t>
      </w:r>
      <w:r w:rsidR="00166B83">
        <w:t>:</w:t>
      </w:r>
      <w:r>
        <w:t xml:space="preserve"> </w:t>
      </w:r>
      <w:r w:rsidR="007809D1">
        <w:t xml:space="preserve">responsive to exposure to a </w:t>
      </w:r>
      <w:r w:rsidR="002A6A09">
        <w:t>contaminant</w:t>
      </w:r>
      <w:r w:rsidR="007809D1">
        <w:t xml:space="preserve"> or contaminants, </w:t>
      </w:r>
      <w:r>
        <w:t>providing early</w:t>
      </w:r>
      <w:r w:rsidR="000A244D">
        <w:t>-</w:t>
      </w:r>
      <w:r>
        <w:t xml:space="preserve">warning capability for </w:t>
      </w:r>
      <w:r w:rsidR="00A81448">
        <w:t xml:space="preserve">the potential onset of </w:t>
      </w:r>
      <w:r>
        <w:t>effe</w:t>
      </w:r>
      <w:r w:rsidR="00A81448">
        <w:t>c</w:t>
      </w:r>
      <w:r>
        <w:t>ts at higher levels of biological organisation</w:t>
      </w:r>
    </w:p>
    <w:p w:rsidR="00A81448" w:rsidP="009140D6" w14:paraId="2B221816" w14:textId="726D97D1">
      <w:pPr>
        <w:pStyle w:val="ListBullet"/>
      </w:pPr>
      <w:r>
        <w:t>correlated to toxicity at the whole organism level (or higher)</w:t>
      </w:r>
      <w:r w:rsidR="00166B83">
        <w:t>:</w:t>
      </w:r>
      <w:r>
        <w:t xml:space="preserve"> knowledge that </w:t>
      </w:r>
      <w:r>
        <w:rPr>
          <w:lang w:val="en-GB"/>
        </w:rPr>
        <w:t>the</w:t>
      </w:r>
      <w:r w:rsidRPr="00A81448">
        <w:rPr>
          <w:lang w:val="en-GB"/>
        </w:rPr>
        <w:t xml:space="preserve"> manifestation of </w:t>
      </w:r>
      <w:r>
        <w:rPr>
          <w:lang w:val="en-GB"/>
        </w:rPr>
        <w:t>a biomarker</w:t>
      </w:r>
      <w:r w:rsidRPr="00A81448">
        <w:rPr>
          <w:lang w:val="en-GB"/>
        </w:rPr>
        <w:t xml:space="preserve"> response lead</w:t>
      </w:r>
      <w:r>
        <w:rPr>
          <w:lang w:val="en-GB"/>
        </w:rPr>
        <w:t>s</w:t>
      </w:r>
      <w:r w:rsidRPr="00A81448">
        <w:rPr>
          <w:lang w:val="en-GB"/>
        </w:rPr>
        <w:t xml:space="preserve"> to </w:t>
      </w:r>
      <w:r>
        <w:rPr>
          <w:lang w:val="en-GB"/>
        </w:rPr>
        <w:t xml:space="preserve">effects on </w:t>
      </w:r>
      <w:r w:rsidR="007809D1">
        <w:rPr>
          <w:lang w:val="en-GB"/>
        </w:rPr>
        <w:t>whole</w:t>
      </w:r>
      <w:r>
        <w:rPr>
          <w:lang w:val="en-GB"/>
        </w:rPr>
        <w:t>-</w:t>
      </w:r>
      <w:r w:rsidR="007809D1">
        <w:rPr>
          <w:lang w:val="en-GB"/>
        </w:rPr>
        <w:t xml:space="preserve">organism </w:t>
      </w:r>
      <w:r>
        <w:rPr>
          <w:lang w:val="en-GB"/>
        </w:rPr>
        <w:t xml:space="preserve">processes such as growth, development, reproduction </w:t>
      </w:r>
      <w:r w:rsidR="009F0B53">
        <w:rPr>
          <w:lang w:val="en-GB"/>
        </w:rPr>
        <w:t xml:space="preserve">or </w:t>
      </w:r>
      <w:r>
        <w:rPr>
          <w:lang w:val="en-GB"/>
        </w:rPr>
        <w:t>survival</w:t>
      </w:r>
    </w:p>
    <w:p w:rsidR="00A81448" w:rsidP="009140D6" w14:paraId="5E5B6B9D" w14:textId="1F2C5C1E">
      <w:pPr>
        <w:pStyle w:val="ListBullet"/>
      </w:pPr>
      <w:r>
        <w:t>specific</w:t>
      </w:r>
      <w:r w:rsidR="00166B83">
        <w:t>:</w:t>
      </w:r>
      <w:r>
        <w:t xml:space="preserve"> provid</w:t>
      </w:r>
      <w:r w:rsidR="00166B83">
        <w:t>es</w:t>
      </w:r>
      <w:r>
        <w:t xml:space="preserve"> a diagnostic capability for identifying the cause of </w:t>
      </w:r>
      <w:r w:rsidR="00BE270F">
        <w:t>an organism’s</w:t>
      </w:r>
      <w:r>
        <w:t xml:space="preserve"> response to contamination</w:t>
      </w:r>
    </w:p>
    <w:p w:rsidR="00A14B74" w:rsidP="009140D6" w14:paraId="1F44D14D" w14:textId="3FFF10B1">
      <w:pPr>
        <w:pStyle w:val="ListBullet"/>
      </w:pPr>
      <w:r>
        <w:t>stab</w:t>
      </w:r>
      <w:r w:rsidR="00BE270F">
        <w:t>le</w:t>
      </w:r>
      <w:r w:rsidR="00166B83">
        <w:t>:</w:t>
      </w:r>
      <w:r>
        <w:t xml:space="preserve"> useful, particularly in field studies</w:t>
      </w:r>
    </w:p>
    <w:p w:rsidR="00A14B74" w:rsidP="009140D6" w14:paraId="2B326FFD" w14:textId="1E237C48">
      <w:pPr>
        <w:pStyle w:val="ListBullet"/>
      </w:pPr>
      <w:r>
        <w:t>simpl</w:t>
      </w:r>
      <w:r w:rsidR="00BE270F">
        <w:t>e</w:t>
      </w:r>
      <w:r w:rsidR="00DE6672">
        <w:t>:</w:t>
      </w:r>
      <w:r w:rsidR="00B0159F">
        <w:t xml:space="preserve"> </w:t>
      </w:r>
      <w:r w:rsidR="00166B83">
        <w:t>has</w:t>
      </w:r>
      <w:r>
        <w:t xml:space="preserve"> a simple, rapid and cost-effective method</w:t>
      </w:r>
    </w:p>
    <w:p w:rsidR="00A81448" w:rsidP="009140D6" w14:paraId="26AFD8E0" w14:textId="526392C6">
      <w:pPr>
        <w:pStyle w:val="ListBullet"/>
      </w:pPr>
      <w:r>
        <w:t>non-destructive</w:t>
      </w:r>
      <w:r w:rsidR="00166B83">
        <w:t>:</w:t>
      </w:r>
      <w:r>
        <w:t xml:space="preserve"> reduc</w:t>
      </w:r>
      <w:r w:rsidR="00166B83">
        <w:t>es</w:t>
      </w:r>
      <w:r>
        <w:t xml:space="preserve"> the number of animals</w:t>
      </w:r>
      <w:r w:rsidR="00173028">
        <w:t xml:space="preserve"> used</w:t>
      </w:r>
      <w:r>
        <w:t xml:space="preserve"> and also allowing for serial sampling</w:t>
      </w:r>
      <w:r w:rsidR="00166B83">
        <w:t>.</w:t>
      </w:r>
    </w:p>
    <w:p w:rsidR="001666B0" w:rsidP="008A1B1B" w14:paraId="3E292A53" w14:textId="5089B480">
      <w:r>
        <w:t>No single biomarker is likely to possess all these attributes (van Dam e</w:t>
      </w:r>
      <w:r w:rsidR="00166B83">
        <w:t>t</w:t>
      </w:r>
      <w:r>
        <w:t xml:space="preserve"> al. 1998, Walker 1999). </w:t>
      </w:r>
      <w:r w:rsidRPr="00250829" w:rsidR="00253CDC">
        <w:t>A biomarker might provide an excellent indication of exposure to a particular contaminant but might</w:t>
      </w:r>
      <w:r w:rsidR="00253CDC">
        <w:t xml:space="preserve"> not be correlated to effects at higher levels of biological organisation (e.g. </w:t>
      </w:r>
      <w:r w:rsidR="005F1062">
        <w:t xml:space="preserve">individual, population, </w:t>
      </w:r>
      <w:r w:rsidR="006D0F6E">
        <w:t xml:space="preserve">community, </w:t>
      </w:r>
      <w:r w:rsidR="00253CDC">
        <w:t xml:space="preserve">ecosystem). </w:t>
      </w:r>
      <w:r w:rsidR="00BC0649">
        <w:t>A</w:t>
      </w:r>
      <w:r w:rsidR="00253CDC">
        <w:t xml:space="preserve"> biomarker may be very specific to a particular substance or group of chemicals (e.g. Matozzo et al. 2008) and</w:t>
      </w:r>
      <w:r w:rsidR="00715000">
        <w:t xml:space="preserve"> may</w:t>
      </w:r>
      <w:r w:rsidR="00253CDC">
        <w:t xml:space="preserve"> not </w:t>
      </w:r>
      <w:r w:rsidR="00715000">
        <w:t xml:space="preserve">be </w:t>
      </w:r>
      <w:r w:rsidR="00253CDC">
        <w:t>applicable to other contaminants. Similarly, a long</w:t>
      </w:r>
      <w:r w:rsidR="00715000">
        <w:t>-</w:t>
      </w:r>
      <w:r w:rsidR="00253CDC">
        <w:t xml:space="preserve">term monitoring program might provide excellent baseline data from which small perturbations will be obvious, but </w:t>
      </w:r>
      <w:r w:rsidR="008B6CF9">
        <w:t xml:space="preserve">such a program </w:t>
      </w:r>
      <w:r w:rsidR="00253CDC">
        <w:t>may be neither time-</w:t>
      </w:r>
      <w:r w:rsidR="00715000">
        <w:t>efficient</w:t>
      </w:r>
      <w:r w:rsidR="00253CDC">
        <w:t xml:space="preserve"> nor cost-efficient. Therefore, </w:t>
      </w:r>
      <w:r w:rsidR="00715000">
        <w:t xml:space="preserve">appropriate and achievable attributes for a particular purpose must be selected so that </w:t>
      </w:r>
      <w:r w:rsidR="008366D5">
        <w:t xml:space="preserve">biomarker </w:t>
      </w:r>
      <w:r w:rsidR="00715000">
        <w:t>indicators can be chosen based on these</w:t>
      </w:r>
      <w:r>
        <w:t>.</w:t>
      </w:r>
    </w:p>
    <w:p w:rsidR="007809D1" w:rsidP="007809D1" w14:paraId="1D09E5CA" w14:textId="5C0BDE63">
      <w:r>
        <w:t xml:space="preserve">The most intensively studied group of organisms in relation to biomarkers is fish, both freshwater and marine. </w:t>
      </w:r>
      <w:r w:rsidR="0017737F">
        <w:t>Numerous</w:t>
      </w:r>
      <w:r>
        <w:t xml:space="preserve"> studies </w:t>
      </w:r>
      <w:r w:rsidR="00012C63">
        <w:t>ha</w:t>
      </w:r>
      <w:r w:rsidR="0017737F">
        <w:t>ve</w:t>
      </w:r>
      <w:r w:rsidR="00533ABF">
        <w:t xml:space="preserve"> </w:t>
      </w:r>
      <w:r>
        <w:t xml:space="preserve">examined the </w:t>
      </w:r>
      <w:r w:rsidR="008B6CF9">
        <w:t xml:space="preserve">usefulness </w:t>
      </w:r>
      <w:r>
        <w:t>of sub-cellular biomarkers to respond effectively to and generally indicate the effects of a number of pollutants. The most promising use of biomarkers is as screening tools for detecting pollution via unusual patterns in a suite of biomarkers (</w:t>
      </w:r>
      <w:r w:rsidR="00173028">
        <w:t xml:space="preserve">Gunther et al. 1997, </w:t>
      </w:r>
      <w:r>
        <w:t xml:space="preserve">van der Oost et al. 2003, Viarengo et al. 2007, Hook et al. 2014, Kroon et al. 2017). Several reviews have highlighted the potential </w:t>
      </w:r>
      <w:r w:rsidR="008B6CF9">
        <w:t xml:space="preserve">usefulness </w:t>
      </w:r>
      <w:r>
        <w:t>of such approaches in environmental risk assessment (e.g. Behnisch et al. 2001, van der Oost et al. 2003).</w:t>
      </w:r>
    </w:p>
    <w:p w:rsidR="00AB44A6" w14:paraId="07BB07E5" w14:textId="2A91FF0A">
      <w:r>
        <w:t>A</w:t>
      </w:r>
      <w:r w:rsidR="00253CDC">
        <w:t xml:space="preserve">s part of a </w:t>
      </w:r>
      <w:r w:rsidRPr="000F4B70" w:rsidR="00253CDC">
        <w:t>weight</w:t>
      </w:r>
      <w:r w:rsidR="008B6CF9">
        <w:t>-</w:t>
      </w:r>
      <w:r w:rsidRPr="000F4B70" w:rsidR="00253CDC">
        <w:t>of</w:t>
      </w:r>
      <w:r w:rsidR="008B6CF9">
        <w:t>-</w:t>
      </w:r>
      <w:r w:rsidRPr="000F4B70" w:rsidR="00253CDC">
        <w:t>evidence assessment</w:t>
      </w:r>
      <w:r w:rsidR="00253CDC">
        <w:t xml:space="preserve">, biomarkers can play an important and cost-effective role in diagnostics and identifying contaminant sources. This has been recognised for </w:t>
      </w:r>
      <w:r>
        <w:t xml:space="preserve">the </w:t>
      </w:r>
      <w:r w:rsidR="00253CDC">
        <w:t>assessment of sedimen</w:t>
      </w:r>
      <w:r w:rsidR="00675C6D">
        <w:t xml:space="preserve">t (Martín-Díaz et al. 2008). </w:t>
      </w:r>
      <w:r w:rsidR="00253CDC">
        <w:t>Hook et al. (2014) provide a review of the general application of biomarkers, including application of exposure biomarkers and effect biomarkers, and provide a list of commonly used biomarkers according to different toxicant classes.</w:t>
      </w:r>
      <w:r w:rsidR="001B5FAC">
        <w:t xml:space="preserve"> </w:t>
      </w:r>
    </w:p>
    <w:p w:rsidR="001C0D1C" w:rsidRPr="00AF492F" w14:paraId="2D2AA134" w14:textId="77777777">
      <w:pPr>
        <w:pStyle w:val="Heading2"/>
      </w:pPr>
      <w:bookmarkStart w:id="86" w:name="_Toc138332265"/>
      <w:r w:rsidRPr="00AF492F">
        <w:t>Summary</w:t>
      </w:r>
      <w:bookmarkEnd w:id="86"/>
    </w:p>
    <w:p w:rsidR="00147E84" w:rsidP="00AF492F" w14:paraId="466DD147" w14:textId="46CA1C50">
      <w:r>
        <w:t>The ecosystem receptor line of evidence is a critical part of the weight</w:t>
      </w:r>
      <w:r w:rsidR="008B6CF9">
        <w:t>-</w:t>
      </w:r>
      <w:r>
        <w:t>of</w:t>
      </w:r>
      <w:r w:rsidR="008B6CF9">
        <w:t>-</w:t>
      </w:r>
      <w:r>
        <w:t xml:space="preserve">evidence process for assessing water and sediment quality. Ecosystem receptors represent the components (species, populations, communities, habitats) of the ecosystem that may be exposed to and impacted by pressures and their associated stressors. Consequently, in addition to assessing water chemistry against </w:t>
      </w:r>
      <w:r w:rsidR="008B6CF9">
        <w:t xml:space="preserve">guideline values for </w:t>
      </w:r>
      <w:r>
        <w:t xml:space="preserve">water and sediment quality, assessing and understanding the responses of ecosystem receptors to stressors is critical to quantifying impacts to water and sediment quality. </w:t>
      </w:r>
      <w:r w:rsidR="008B6CF9">
        <w:t>Additionally</w:t>
      </w:r>
      <w:r w:rsidR="003E6B71">
        <w:t>, e</w:t>
      </w:r>
      <w:r>
        <w:t xml:space="preserve">cosystem receptors </w:t>
      </w:r>
      <w:r w:rsidR="003E6B71">
        <w:t xml:space="preserve">are typically more </w:t>
      </w:r>
      <w:r w:rsidR="00012C63">
        <w:t>acceptable</w:t>
      </w:r>
      <w:r w:rsidR="003E6B71">
        <w:t xml:space="preserve"> to the general public than water chemistry</w:t>
      </w:r>
      <w:r w:rsidR="00BC0649">
        <w:t>. T</w:t>
      </w:r>
      <w:r w:rsidR="003E6B71">
        <w:t xml:space="preserve">heir inclusion in monitoring programs </w:t>
      </w:r>
      <w:r>
        <w:t xml:space="preserve">provides greater confidence in concluding </w:t>
      </w:r>
      <w:r w:rsidR="003E6B71">
        <w:t xml:space="preserve">whether </w:t>
      </w:r>
      <w:r>
        <w:t>ecosystems are being impacted or protected</w:t>
      </w:r>
      <w:r w:rsidR="003E6B71">
        <w:t>.</w:t>
      </w:r>
    </w:p>
    <w:p w:rsidR="00FC759A" w:rsidRPr="00AF492F" w:rsidP="00AF492F" w14:paraId="57770688" w14:textId="66EEFC57">
      <w:r>
        <w:t>E</w:t>
      </w:r>
      <w:r w:rsidR="00762679">
        <w:t>cosystem receptor indicators</w:t>
      </w:r>
      <w:r>
        <w:t xml:space="preserve"> must be appropriate</w:t>
      </w:r>
      <w:r w:rsidR="001E6CB6">
        <w:t>,</w:t>
      </w:r>
      <w:r>
        <w:t xml:space="preserve"> and </w:t>
      </w:r>
      <w:r w:rsidR="001E6CB6">
        <w:t xml:space="preserve">they </w:t>
      </w:r>
      <w:r>
        <w:t>must be selected</w:t>
      </w:r>
      <w:r w:rsidR="00762679">
        <w:t xml:space="preserve"> based on numerous factors</w:t>
      </w:r>
      <w:r w:rsidR="00DE6672">
        <w:t xml:space="preserve"> that are typically considered in</w:t>
      </w:r>
      <w:r w:rsidR="00762679">
        <w:t xml:space="preserve"> </w:t>
      </w:r>
      <w:r>
        <w:fldChar w:fldCharType="begin"/>
      </w:r>
      <w:r>
        <w:instrText xml:space="preserve"> HYPERLINK "https://www.waterquality.gov.au/anz-guidelines/framework/general" \l "examine-current-understanding" </w:instrText>
      </w:r>
      <w:r>
        <w:fldChar w:fldCharType="separate"/>
      </w:r>
      <w:r w:rsidRPr="008919B8">
        <w:t>S</w:t>
      </w:r>
      <w:r w:rsidRPr="008919B8" w:rsidR="00762679">
        <w:t>tep</w:t>
      </w:r>
      <w:r w:rsidRPr="008919B8">
        <w:t> </w:t>
      </w:r>
      <w:r w:rsidRPr="008919B8" w:rsidR="00762679">
        <w:t>1</w:t>
      </w:r>
      <w:r>
        <w:fldChar w:fldCharType="end"/>
      </w:r>
      <w:r w:rsidR="00762679">
        <w:t xml:space="preserve"> and </w:t>
      </w:r>
      <w:r>
        <w:fldChar w:fldCharType="begin"/>
      </w:r>
      <w:r>
        <w:instrText xml:space="preserve"> HYPERLINK "https://www.waterquality.gov.au/anz-guidelines/framework/general" \l "define-community-values-and-management-goals" </w:instrText>
      </w:r>
      <w:r>
        <w:fldChar w:fldCharType="separate"/>
      </w:r>
      <w:r w:rsidRPr="008919B8">
        <w:t>Step </w:t>
      </w:r>
      <w:r w:rsidRPr="008919B8" w:rsidR="00762679">
        <w:t>2</w:t>
      </w:r>
      <w:r>
        <w:fldChar w:fldCharType="end"/>
      </w:r>
      <w:r w:rsidR="00762679">
        <w:t xml:space="preserve"> of the WQMF and the associated monitoring requirements.</w:t>
      </w:r>
      <w:r w:rsidR="007B1B38">
        <w:t xml:space="preserve"> Additional information on the selection of indicators for different lines of evidence across the pressure, stressor and ecosystem receptor causal pathway elements is provided in </w:t>
      </w:r>
      <w:r w:rsidRPr="007F5A17" w:rsidR="007B1B38">
        <w:t>ANZG (2018)</w:t>
      </w:r>
      <w:r w:rsidR="007B1B38">
        <w:t>.</w:t>
      </w:r>
    </w:p>
    <w:p w:rsidR="00220195" w:rsidP="00884C9B" w14:paraId="0C42638E" w14:textId="77777777">
      <w:pPr>
        <w:rPr>
          <w:lang w:eastAsia="ja-JP"/>
        </w:rPr>
      </w:pPr>
    </w:p>
    <w:p w:rsidR="00C751F5" w:rsidP="00F50A20" w14:paraId="69F1F163" w14:textId="77777777">
      <w:pPr>
        <w:rPr>
          <w:highlight w:val="yellow"/>
          <w:lang w:eastAsia="ja-JP"/>
        </w:rPr>
        <w:sectPr>
          <w:headerReference w:type="default" r:id="rId19"/>
          <w:headerReference w:type="first" r:id="rId20"/>
          <w:footerReference w:type="first" r:id="rId21"/>
          <w:pgSz w:w="11906" w:h="16838"/>
          <w:pgMar w:top="1418" w:right="1418" w:bottom="1418" w:left="1418" w:header="567" w:footer="283" w:gutter="0"/>
          <w:cols w:space="708"/>
          <w:titlePg/>
          <w:docGrid w:linePitch="360"/>
        </w:sectPr>
      </w:pPr>
    </w:p>
    <w:p w:rsidR="00F16BEF" w:rsidRPr="00263C50" w:rsidP="00F16BEF" w14:paraId="01C642A7" w14:textId="5DE0B1C2">
      <w:pPr>
        <w:pStyle w:val="Heading2"/>
        <w:numPr>
          <w:ilvl w:val="0"/>
          <w:numId w:val="0"/>
        </w:numPr>
        <w:ind w:left="680" w:hanging="680"/>
      </w:pPr>
      <w:bookmarkStart w:id="87" w:name="_Ref48722763"/>
      <w:bookmarkStart w:id="88" w:name="_Ref66975515"/>
      <w:bookmarkStart w:id="89" w:name="_Toc138332266"/>
      <w:r>
        <w:t>Appendix</w:t>
      </w:r>
      <w:r w:rsidR="001C5CEE">
        <w:t> </w:t>
      </w:r>
      <w:r>
        <w:t>A</w:t>
      </w:r>
      <w:r w:rsidR="001C5CEE">
        <w:t>:</w:t>
      </w:r>
      <w:r>
        <w:t xml:space="preserve"> Additional guidance for matching </w:t>
      </w:r>
      <w:r w:rsidR="00EE2414">
        <w:t xml:space="preserve">biodiversity </w:t>
      </w:r>
      <w:r>
        <w:t>indicators to problems</w:t>
      </w:r>
      <w:bookmarkEnd w:id="87"/>
      <w:bookmarkEnd w:id="88"/>
      <w:bookmarkEnd w:id="89"/>
    </w:p>
    <w:p w:rsidR="00C751F5" w:rsidRPr="009E4B46" w:rsidP="00850E85" w14:paraId="2DF7B26C" w14:textId="579D79EE">
      <w:pPr>
        <w:pStyle w:val="Caption"/>
      </w:pPr>
      <w:bookmarkStart w:id="90" w:name="_Toc138332279"/>
      <w:r>
        <w:t>Table A</w:t>
      </w:r>
      <w:r w:rsidR="00BA655D">
        <w:fldChar w:fldCharType="begin"/>
      </w:r>
      <w:r>
        <w:instrText xml:space="preserve"> SEQ Table_A \* ARABIC </w:instrText>
      </w:r>
      <w:r w:rsidR="00BA655D">
        <w:fldChar w:fldCharType="separate"/>
      </w:r>
      <w:r w:rsidR="008A285F">
        <w:rPr>
          <w:noProof/>
        </w:rPr>
        <w:t>1</w:t>
      </w:r>
      <w:r w:rsidR="00BA655D">
        <w:fldChar w:fldCharType="end"/>
      </w:r>
      <w:r w:rsidRPr="009E4B46" w:rsidR="00253CDC">
        <w:t xml:space="preserve"> Ma</w:t>
      </w:r>
      <w:r w:rsidR="00340FED">
        <w:t xml:space="preserve">tching </w:t>
      </w:r>
      <w:r w:rsidR="00EE2414">
        <w:t xml:space="preserve">biodiversity </w:t>
      </w:r>
      <w:r w:rsidR="00340FED">
        <w:t>indicators to a problem</w:t>
      </w:r>
      <w:bookmarkEnd w:id="90"/>
    </w:p>
    <w:tbl>
      <w:tblPr>
        <w:tblCaption w:val="Matching biodiversity indicators to a problem"/>
        <w:tblDescription w:val="Table presents biodiversity indicators and measured responses for a variety of problems, and their advantages and disadvantages are described."/>
        <w:tblW w:w="5000" w:type="pct"/>
        <w:tblBorders>
          <w:top w:val="single" w:sz="4" w:space="0" w:color="000000"/>
          <w:bottom w:val="single" w:sz="6" w:space="0" w:color="000000"/>
          <w:insideH w:val="single" w:sz="6" w:space="0" w:color="000000"/>
        </w:tblBorders>
        <w:tblCellMar>
          <w:left w:w="0" w:type="dxa"/>
          <w:right w:w="0" w:type="dxa"/>
        </w:tblCellMar>
        <w:tblLook w:val="01E0"/>
      </w:tblPr>
      <w:tblGrid>
        <w:gridCol w:w="1709"/>
        <w:gridCol w:w="6423"/>
        <w:gridCol w:w="6423"/>
        <w:gridCol w:w="6423"/>
      </w:tblGrid>
      <w:tr w14:paraId="0626E6DB" w14:textId="21D2130D" w:rsidTr="0044386B">
        <w:tblPrEx>
          <w:tblW w:w="5000" w:type="pct"/>
          <w:tblBorders>
            <w:top w:val="single" w:sz="4" w:space="0" w:color="000000"/>
            <w:bottom w:val="single" w:sz="6" w:space="0" w:color="000000"/>
            <w:insideH w:val="single" w:sz="6" w:space="0" w:color="000000"/>
          </w:tblBorders>
          <w:tblCellMar>
            <w:left w:w="0" w:type="dxa"/>
            <w:right w:w="0" w:type="dxa"/>
          </w:tblCellMar>
          <w:tblLook w:val="01E0"/>
        </w:tblPrEx>
        <w:trPr>
          <w:cantSplit/>
          <w:trHeight w:val="438"/>
          <w:tblHeader/>
        </w:trPr>
        <w:tc>
          <w:tcPr>
            <w:tcW w:w="407" w:type="pct"/>
          </w:tcPr>
          <w:p w:rsidR="00D139E7" w:rsidRPr="009E4B46" w:rsidP="002A7C96" w14:paraId="1284A418" w14:textId="77777777">
            <w:pPr>
              <w:pStyle w:val="TableHeading"/>
              <w:ind w:left="57"/>
            </w:pPr>
            <w:r w:rsidRPr="009E4B46">
              <w:t>Problem</w:t>
            </w:r>
          </w:p>
        </w:tc>
        <w:tc>
          <w:tcPr>
            <w:tcW w:w="1531" w:type="pct"/>
          </w:tcPr>
          <w:p w:rsidR="00D139E7" w:rsidRPr="009E4B46" w:rsidP="0044386B" w14:paraId="0597E272" w14:textId="610C532A">
            <w:pPr>
              <w:pStyle w:val="TableHeading"/>
              <w:ind w:left="57" w:right="196"/>
            </w:pPr>
            <w:r w:rsidRPr="009E4B46">
              <w:t xml:space="preserve">Potentially suitable </w:t>
            </w:r>
            <w:r>
              <w:t>biodiversity</w:t>
            </w:r>
            <w:r w:rsidRPr="009E4B46">
              <w:t xml:space="preserve"> indicators and measured responses</w:t>
            </w:r>
          </w:p>
        </w:tc>
        <w:tc>
          <w:tcPr>
            <w:tcW w:w="1531" w:type="pct"/>
          </w:tcPr>
          <w:p w:rsidR="00D139E7" w:rsidRPr="009E4B46" w:rsidP="0044386B" w14:paraId="2ED6EBF5" w14:textId="29F974B0">
            <w:pPr>
              <w:pStyle w:val="TableHeading"/>
              <w:ind w:right="236"/>
            </w:pPr>
            <w:r w:rsidRPr="009E4B46">
              <w:t>Advantages</w:t>
            </w:r>
          </w:p>
        </w:tc>
        <w:tc>
          <w:tcPr>
            <w:tcW w:w="1531" w:type="pct"/>
          </w:tcPr>
          <w:p w:rsidR="00D139E7" w:rsidRPr="009E4B46" w:rsidP="0044386B" w14:paraId="1331A4BB" w14:textId="22F8D0EF">
            <w:pPr>
              <w:pStyle w:val="TableHeading"/>
              <w:ind w:right="134"/>
            </w:pPr>
            <w:r>
              <w:t>Disadvantages</w:t>
            </w:r>
          </w:p>
        </w:tc>
      </w:tr>
      <w:tr w14:paraId="243EE780" w14:textId="72894697" w:rsidTr="0044386B">
        <w:tblPrEx>
          <w:tblW w:w="5000" w:type="pct"/>
          <w:tblCellMar>
            <w:left w:w="0" w:type="dxa"/>
            <w:right w:w="0" w:type="dxa"/>
          </w:tblCellMar>
          <w:tblLook w:val="01E0"/>
        </w:tblPrEx>
        <w:trPr>
          <w:cantSplit/>
          <w:trHeight w:val="1082"/>
        </w:trPr>
        <w:tc>
          <w:tcPr>
            <w:tcW w:w="407" w:type="pct"/>
            <w:vMerge w:val="restart"/>
          </w:tcPr>
          <w:p w:rsidR="00D139E7" w:rsidRPr="009E4B46" w:rsidP="002A7C96" w14:paraId="1D7312AA" w14:textId="06BB7454">
            <w:pPr>
              <w:pStyle w:val="TableText"/>
              <w:keepNext/>
              <w:ind w:left="57" w:right="57"/>
            </w:pPr>
            <w:r w:rsidRPr="009E4B46">
              <w:t>Nutrients, herbicides: early detection</w:t>
            </w:r>
            <w:r w:rsidR="00ED7C0E">
              <w:t xml:space="preserve">, </w:t>
            </w:r>
            <w:r w:rsidRPr="009E4B46">
              <w:t>changes to biodiversity</w:t>
            </w:r>
            <w:r>
              <w:t>.</w:t>
            </w:r>
          </w:p>
        </w:tc>
        <w:tc>
          <w:tcPr>
            <w:tcW w:w="1531" w:type="pct"/>
          </w:tcPr>
          <w:p w:rsidR="00D139E7" w:rsidRPr="009E4B46" w:rsidP="0044386B" w14:paraId="629FB296" w14:textId="77777777">
            <w:pPr>
              <w:pStyle w:val="TableText"/>
              <w:keepNext/>
              <w:ind w:left="57" w:right="196"/>
            </w:pPr>
            <w:r w:rsidRPr="009E4B46">
              <w:t>Periphytic (benthic or epiphytic) algae</w:t>
            </w:r>
            <w:r>
              <w:t>:</w:t>
            </w:r>
          </w:p>
          <w:p w:rsidR="00D139E7" w:rsidRPr="009E4B46" w:rsidP="001562CF" w14:paraId="2393127D" w14:textId="606A7F13">
            <w:pPr>
              <w:pStyle w:val="TableBullet"/>
              <w:ind w:left="341" w:right="196" w:hanging="205"/>
            </w:pPr>
            <w:r w:rsidRPr="009E4B46">
              <w:t>biomass (chlorophyll</w:t>
            </w:r>
            <w:r w:rsidR="008C6329">
              <w:rPr>
                <w:spacing w:val="3"/>
              </w:rPr>
              <w:t xml:space="preserve"> </w:t>
            </w:r>
            <w:r w:rsidRPr="008C6329">
              <w:rPr>
                <w:rStyle w:val="Emphasis"/>
                <w:iCs w:val="0"/>
              </w:rPr>
              <w:t>a</w:t>
            </w:r>
            <w:r w:rsidRPr="009E4B46">
              <w:t>)</w:t>
            </w:r>
          </w:p>
          <w:p w:rsidR="00D139E7" w:rsidRPr="009E4B46" w:rsidP="001562CF" w14:paraId="5C3911C3" w14:textId="77777777">
            <w:pPr>
              <w:pStyle w:val="TableBullet"/>
              <w:ind w:left="341" w:right="196" w:hanging="205"/>
            </w:pPr>
            <w:r w:rsidRPr="009E4B46">
              <w:t>community structure (e.g. diatoms)</w:t>
            </w:r>
          </w:p>
          <w:p w:rsidR="00D139E7" w:rsidRPr="009E4B46" w:rsidP="001562CF" w14:paraId="146B4334" w14:textId="59D1BE60">
            <w:pPr>
              <w:pStyle w:val="TableBullet"/>
              <w:ind w:left="341" w:right="196" w:hanging="205"/>
            </w:pPr>
            <w:r w:rsidRPr="009E4B46">
              <w:t>presence</w:t>
            </w:r>
            <w:r w:rsidR="006056FF">
              <w:t xml:space="preserve"> or </w:t>
            </w:r>
            <w:r w:rsidRPr="009E4B46">
              <w:t>absence</w:t>
            </w:r>
            <w:r w:rsidR="006056FF">
              <w:t>,</w:t>
            </w:r>
            <w:r w:rsidRPr="009E4B46">
              <w:t xml:space="preserve"> abundance categories</w:t>
            </w:r>
            <w:r w:rsidRPr="009E4B46">
              <w:rPr>
                <w:spacing w:val="1"/>
              </w:rPr>
              <w:t xml:space="preserve"> </w:t>
            </w:r>
            <w:r w:rsidRPr="009E4B46">
              <w:t>(macroalgae)</w:t>
            </w:r>
            <w:r>
              <w:t>.</w:t>
            </w:r>
          </w:p>
        </w:tc>
        <w:tc>
          <w:tcPr>
            <w:tcW w:w="1531" w:type="pct"/>
          </w:tcPr>
          <w:p w:rsidR="00D139E7" w:rsidRPr="009E4B46" w:rsidP="0044386B" w14:paraId="71FDE1CD" w14:textId="5E813FDD">
            <w:pPr>
              <w:pStyle w:val="TableBullet"/>
              <w:ind w:right="236"/>
            </w:pPr>
            <w:r>
              <w:t>There is a d</w:t>
            </w:r>
            <w:r w:rsidRPr="009E4B46">
              <w:t>irect and rapid response to nutrients.</w:t>
            </w:r>
          </w:p>
          <w:p w:rsidR="00D139E7" w:rsidRPr="009E4B46" w:rsidP="0044386B" w14:paraId="33CC735A" w14:textId="1F7BFD12">
            <w:pPr>
              <w:pStyle w:val="TableBullet"/>
              <w:ind w:right="236"/>
            </w:pPr>
            <w:r w:rsidRPr="009E4B46">
              <w:t xml:space="preserve">Techniques </w:t>
            </w:r>
            <w:r w:rsidR="004839FD">
              <w:t xml:space="preserve">are </w:t>
            </w:r>
            <w:r w:rsidRPr="009E4B46">
              <w:t>well developed</w:t>
            </w:r>
            <w:r w:rsidR="008C6329">
              <w:t xml:space="preserve"> and g</w:t>
            </w:r>
            <w:r w:rsidRPr="009E4B46">
              <w:t>enerally applicable to most inland waters.</w:t>
            </w:r>
          </w:p>
          <w:p w:rsidR="00D139E7" w:rsidRPr="009E4B46" w:rsidP="0044386B" w14:paraId="4873F9B1" w14:textId="168A3F4F">
            <w:pPr>
              <w:pStyle w:val="TableBullet"/>
              <w:ind w:right="236"/>
            </w:pPr>
            <w:r w:rsidRPr="009E4B46">
              <w:t xml:space="preserve">Diatoms preserved in sediments may be useful for </w:t>
            </w:r>
            <w:r w:rsidRPr="009E4B46" w:rsidR="009555F4">
              <w:t>paleolimnological</w:t>
            </w:r>
            <w:r w:rsidRPr="009E4B46">
              <w:t xml:space="preserve"> monitoring</w:t>
            </w:r>
            <w:r>
              <w:t>.</w:t>
            </w:r>
          </w:p>
        </w:tc>
        <w:tc>
          <w:tcPr>
            <w:tcW w:w="1531" w:type="pct"/>
          </w:tcPr>
          <w:p w:rsidR="00D139E7" w:rsidP="0044386B" w14:paraId="25FEA114" w14:textId="72A851B6">
            <w:pPr>
              <w:pStyle w:val="TableBullet"/>
              <w:ind w:right="134"/>
            </w:pPr>
            <w:r>
              <w:t>Periphytic algae</w:t>
            </w:r>
            <w:r w:rsidR="004839FD">
              <w:t xml:space="preserve"> m</w:t>
            </w:r>
            <w:r w:rsidRPr="009E4B46">
              <w:t>ay not be useful in deep, highly turbid waters or in coloured (high gilvin content) wetlands</w:t>
            </w:r>
            <w:r>
              <w:t>.</w:t>
            </w:r>
          </w:p>
          <w:p w:rsidR="00D139E7" w:rsidRPr="009E4B46" w:rsidP="0044386B" w14:paraId="1765F296" w14:textId="48467612">
            <w:pPr>
              <w:pStyle w:val="TableBullet"/>
              <w:ind w:right="134"/>
            </w:pPr>
            <w:r w:rsidRPr="009E4B46">
              <w:t>Spatial and temporal variations in community structure may be very high (low power to detect effects)</w:t>
            </w:r>
            <w:r>
              <w:t>.</w:t>
            </w:r>
          </w:p>
        </w:tc>
      </w:tr>
      <w:tr w14:paraId="6B590D8D" w14:textId="3D183557" w:rsidTr="0044386B">
        <w:tblPrEx>
          <w:tblW w:w="5000" w:type="pct"/>
          <w:tblCellMar>
            <w:left w:w="0" w:type="dxa"/>
            <w:right w:w="0" w:type="dxa"/>
          </w:tblCellMar>
          <w:tblLook w:val="01E0"/>
        </w:tblPrEx>
        <w:trPr>
          <w:cantSplit/>
          <w:trHeight w:val="2039"/>
        </w:trPr>
        <w:tc>
          <w:tcPr>
            <w:tcW w:w="407" w:type="pct"/>
            <w:vMerge/>
          </w:tcPr>
          <w:p w:rsidR="00D139E7" w:rsidRPr="009E4B46" w:rsidP="00C751F5" w14:paraId="1C43D811" w14:textId="77777777">
            <w:pPr>
              <w:pStyle w:val="TableParagraph"/>
              <w:rPr>
                <w:rFonts w:ascii="Times New Roman"/>
                <w:sz w:val="16"/>
                <w:lang w:val="en-AU"/>
              </w:rPr>
            </w:pPr>
          </w:p>
        </w:tc>
        <w:tc>
          <w:tcPr>
            <w:tcW w:w="1531" w:type="pct"/>
          </w:tcPr>
          <w:p w:rsidR="00D139E7" w:rsidRPr="009E4B46" w:rsidP="0044386B" w14:paraId="71C4D159" w14:textId="77777777">
            <w:pPr>
              <w:pStyle w:val="TableText"/>
              <w:keepNext/>
              <w:ind w:left="57" w:right="196"/>
            </w:pPr>
            <w:r w:rsidRPr="009E4B46">
              <w:t>Phytoplankton</w:t>
            </w:r>
            <w:r>
              <w:t>:</w:t>
            </w:r>
          </w:p>
          <w:p w:rsidR="00D139E7" w:rsidRPr="009E4B46" w:rsidP="001562CF" w14:paraId="26A046FC" w14:textId="3E539978">
            <w:pPr>
              <w:pStyle w:val="TableBullet"/>
              <w:ind w:left="341" w:right="196" w:hanging="205"/>
            </w:pPr>
            <w:r w:rsidRPr="009E4B46">
              <w:t>biomass (chlorophyll</w:t>
            </w:r>
            <w:r w:rsidR="00ED7C0E">
              <w:rPr>
                <w:spacing w:val="3"/>
              </w:rPr>
              <w:t xml:space="preserve"> </w:t>
            </w:r>
            <w:r w:rsidRPr="00ED7C0E">
              <w:rPr>
                <w:i/>
                <w:iCs/>
              </w:rPr>
              <w:t>a</w:t>
            </w:r>
            <w:r w:rsidRPr="009E4B46">
              <w:rPr>
                <w:i/>
              </w:rPr>
              <w:t xml:space="preserve"> </w:t>
            </w:r>
            <w:r w:rsidRPr="009E4B46">
              <w:t>as surrogate)</w:t>
            </w:r>
          </w:p>
          <w:p w:rsidR="00D139E7" w:rsidRPr="009E4B46" w:rsidP="001562CF" w14:paraId="6DCFEA91" w14:textId="77777777">
            <w:pPr>
              <w:pStyle w:val="TableBullet"/>
              <w:ind w:left="341" w:right="196" w:hanging="205"/>
            </w:pPr>
            <w:r w:rsidRPr="009E4B46">
              <w:t>frequency of algal</w:t>
            </w:r>
            <w:r w:rsidRPr="009E4B46">
              <w:rPr>
                <w:spacing w:val="2"/>
              </w:rPr>
              <w:t xml:space="preserve"> </w:t>
            </w:r>
            <w:r w:rsidRPr="009E4B46">
              <w:t>blooms</w:t>
            </w:r>
          </w:p>
          <w:p w:rsidR="00D139E7" w:rsidRPr="009E4B46" w:rsidP="001562CF" w14:paraId="5C669F48" w14:textId="77777777">
            <w:pPr>
              <w:pStyle w:val="TableBullet"/>
              <w:ind w:left="341" w:right="196" w:hanging="205"/>
            </w:pPr>
            <w:r w:rsidRPr="009E4B46">
              <w:t>community structure</w:t>
            </w:r>
            <w:r>
              <w:t>.</w:t>
            </w:r>
          </w:p>
        </w:tc>
        <w:tc>
          <w:tcPr>
            <w:tcW w:w="1531" w:type="pct"/>
          </w:tcPr>
          <w:p w:rsidR="00D139E7" w:rsidRPr="009E4B46" w:rsidP="0044386B" w14:paraId="67F9687E" w14:textId="28336F3B">
            <w:pPr>
              <w:pStyle w:val="TableBullet"/>
              <w:ind w:right="236"/>
            </w:pPr>
            <w:r>
              <w:t>There is a d</w:t>
            </w:r>
            <w:r w:rsidRPr="009E4B46">
              <w:t>irect and rapid response to nutrients</w:t>
            </w:r>
            <w:r>
              <w:t>.</w:t>
            </w:r>
          </w:p>
          <w:p w:rsidR="00D139E7" w:rsidRPr="009E4B46" w:rsidP="0044386B" w14:paraId="662A93B8" w14:textId="0AE614C0">
            <w:pPr>
              <w:pStyle w:val="TableBullet"/>
              <w:ind w:right="236"/>
            </w:pPr>
            <w:r>
              <w:t>M</w:t>
            </w:r>
            <w:r w:rsidRPr="009E4B46">
              <w:t>ethod</w:t>
            </w:r>
            <w:r>
              <w:t>s are s</w:t>
            </w:r>
            <w:r w:rsidRPr="009E4B46">
              <w:t>imple</w:t>
            </w:r>
            <w:r>
              <w:t>.</w:t>
            </w:r>
          </w:p>
          <w:p w:rsidR="00D139E7" w:rsidRPr="009E4B46" w:rsidP="0044386B" w14:paraId="0A71F3E8" w14:textId="59AC35B3">
            <w:pPr>
              <w:pStyle w:val="TableBullet"/>
              <w:ind w:right="236"/>
            </w:pPr>
            <w:r w:rsidRPr="009E4B46">
              <w:t xml:space="preserve">Techniques </w:t>
            </w:r>
            <w:r w:rsidR="004839FD">
              <w:t xml:space="preserve">are </w:t>
            </w:r>
            <w:r w:rsidRPr="009E4B46">
              <w:t>well developed and documented</w:t>
            </w:r>
            <w:r>
              <w:t>.</w:t>
            </w:r>
          </w:p>
          <w:p w:rsidR="00D139E7" w:rsidRPr="009E4B46" w:rsidP="0044386B" w14:paraId="50A6BAA3" w14:textId="44B6EE69">
            <w:pPr>
              <w:pStyle w:val="TableBullet"/>
              <w:ind w:right="236"/>
            </w:pPr>
            <w:r w:rsidRPr="009E4B46">
              <w:t xml:space="preserve">Some freshwater taxa </w:t>
            </w:r>
            <w:r>
              <w:t xml:space="preserve">are </w:t>
            </w:r>
            <w:r w:rsidRPr="009E4B46">
              <w:t>sensitive indicators of trophic state</w:t>
            </w:r>
            <w:r>
              <w:t>.</w:t>
            </w:r>
          </w:p>
          <w:p w:rsidR="00D139E7" w:rsidRPr="009E4B46" w:rsidP="0044386B" w14:paraId="3F1D8A8D" w14:textId="4093F7EB">
            <w:pPr>
              <w:pStyle w:val="TableBullet"/>
              <w:ind w:right="236"/>
            </w:pPr>
            <w:r w:rsidRPr="009E4B46">
              <w:t>Algal blooms may be localised</w:t>
            </w:r>
            <w:r w:rsidR="009F0B53">
              <w:t xml:space="preserve">, </w:t>
            </w:r>
            <w:r w:rsidRPr="009E4B46">
              <w:t>enabling identification of source of effects</w:t>
            </w:r>
            <w:r>
              <w:t>.</w:t>
            </w:r>
          </w:p>
        </w:tc>
        <w:tc>
          <w:tcPr>
            <w:tcW w:w="1531" w:type="pct"/>
          </w:tcPr>
          <w:p w:rsidR="00D139E7" w:rsidRPr="009E4B46" w:rsidP="0044386B" w14:paraId="16677990" w14:textId="32B084F7">
            <w:pPr>
              <w:pStyle w:val="TableBullet"/>
              <w:ind w:right="134"/>
            </w:pPr>
            <w:r>
              <w:t>Phytoplankton is</w:t>
            </w:r>
            <w:r w:rsidR="004839FD">
              <w:t xml:space="preserve"> n</w:t>
            </w:r>
            <w:r w:rsidRPr="009E4B46">
              <w:t>ot</w:t>
            </w:r>
            <w:r>
              <w:t xml:space="preserve"> an</w:t>
            </w:r>
            <w:r w:rsidRPr="009E4B46">
              <w:t xml:space="preserve"> applicable</w:t>
            </w:r>
            <w:r>
              <w:t xml:space="preserve"> indicator for</w:t>
            </w:r>
            <w:r w:rsidRPr="009E4B46">
              <w:t xml:space="preserve"> swift-flowing upland streams</w:t>
            </w:r>
            <w:r>
              <w:t>.</w:t>
            </w:r>
          </w:p>
          <w:p w:rsidR="00D139E7" w:rsidRPr="009E4B46" w:rsidP="0044386B" w14:paraId="1AAF42B6" w14:textId="38E9BE50">
            <w:pPr>
              <w:pStyle w:val="TableBullet"/>
              <w:ind w:right="134"/>
            </w:pPr>
            <w:r>
              <w:t>The</w:t>
            </w:r>
            <w:r w:rsidR="00136B90">
              <w:t>re is p</w:t>
            </w:r>
            <w:r w:rsidRPr="009E4B46">
              <w:t xml:space="preserve">oor background knowledge of </w:t>
            </w:r>
            <w:r w:rsidR="00136B90">
              <w:t xml:space="preserve">phytoplankton </w:t>
            </w:r>
            <w:r w:rsidRPr="009E4B46">
              <w:t>ecology</w:t>
            </w:r>
            <w:r>
              <w:t>.</w:t>
            </w:r>
          </w:p>
          <w:p w:rsidR="00D139E7" w:rsidRPr="009E4B46" w:rsidP="0044386B" w14:paraId="509EF8D6" w14:textId="7A36E0F2">
            <w:pPr>
              <w:pStyle w:val="TableBullet"/>
              <w:ind w:right="134"/>
            </w:pPr>
            <w:r>
              <w:t>Phytoplankton</w:t>
            </w:r>
            <w:r w:rsidR="000E0444">
              <w:t xml:space="preserve"> </w:t>
            </w:r>
            <w:r w:rsidR="004839FD">
              <w:t>m</w:t>
            </w:r>
            <w:r w:rsidRPr="009E4B46">
              <w:t>ay not be useful in deep, high</w:t>
            </w:r>
            <w:r>
              <w:t>ly</w:t>
            </w:r>
            <w:r w:rsidRPr="009E4B46">
              <w:t xml:space="preserve"> turbid waters or in coloured (high gilvin content) wetlands</w:t>
            </w:r>
            <w:r>
              <w:t>.</w:t>
            </w:r>
          </w:p>
          <w:p w:rsidR="00D139E7" w:rsidRPr="009E4B46" w:rsidP="0044386B" w14:paraId="7DBD16D6" w14:textId="3DFEDCFD">
            <w:pPr>
              <w:pStyle w:val="TableBullet"/>
              <w:ind w:right="134"/>
            </w:pPr>
            <w:r w:rsidRPr="009E4B46">
              <w:t xml:space="preserve">Algal blooms </w:t>
            </w:r>
            <w:r w:rsidR="004839FD">
              <w:t xml:space="preserve">are </w:t>
            </w:r>
            <w:r w:rsidRPr="009E4B46">
              <w:t xml:space="preserve">difficult to quantify and may not always be obvious at </w:t>
            </w:r>
            <w:r w:rsidR="00560FF5">
              <w:t xml:space="preserve">the </w:t>
            </w:r>
            <w:r w:rsidRPr="009E4B46">
              <w:t>surface</w:t>
            </w:r>
            <w:r>
              <w:t>.</w:t>
            </w:r>
          </w:p>
          <w:p w:rsidR="00D139E7" w:rsidRPr="009E4B46" w:rsidP="0044386B" w14:paraId="5A21FB90" w14:textId="34A26B9B">
            <w:pPr>
              <w:pStyle w:val="TableBullet"/>
              <w:ind w:right="134"/>
            </w:pPr>
            <w:r w:rsidRPr="009E4B46">
              <w:t xml:space="preserve">Algal blooms </w:t>
            </w:r>
            <w:r w:rsidR="004839FD">
              <w:t xml:space="preserve">are </w:t>
            </w:r>
            <w:r w:rsidRPr="009E4B46">
              <w:t>not always directly linked to nutrients</w:t>
            </w:r>
            <w:r>
              <w:t xml:space="preserve">, as blooms </w:t>
            </w:r>
            <w:r w:rsidR="00560FF5">
              <w:t xml:space="preserve">are </w:t>
            </w:r>
            <w:r>
              <w:t>often</w:t>
            </w:r>
            <w:r w:rsidRPr="009E4B46">
              <w:t xml:space="preserve">  </w:t>
            </w:r>
            <w:r w:rsidR="00D6792A">
              <w:t>associated with</w:t>
            </w:r>
            <w:r w:rsidR="00F04FB7">
              <w:t xml:space="preserve"> </w:t>
            </w:r>
            <w:r w:rsidRPr="009E4B46" w:rsidR="00DE1C1C">
              <w:t>dissolved nutrient</w:t>
            </w:r>
            <w:r w:rsidR="00DE1C1C">
              <w:t xml:space="preserve"> forms</w:t>
            </w:r>
            <w:r w:rsidRPr="009E4B46" w:rsidR="00DE1C1C">
              <w:t xml:space="preserve"> </w:t>
            </w:r>
            <w:r w:rsidR="00DE1C1C">
              <w:t xml:space="preserve">stripped from the water column </w:t>
            </w:r>
            <w:r w:rsidR="00D6792A">
              <w:t xml:space="preserve">(i.e. at or near detection limit) </w:t>
            </w:r>
            <w:r w:rsidR="00DE1C1C">
              <w:t>and an interplay amongst</w:t>
            </w:r>
            <w:r w:rsidR="00C84207">
              <w:t xml:space="preserve"> nutrients,</w:t>
            </w:r>
            <w:r w:rsidRPr="009E4B46">
              <w:t xml:space="preserve"> </w:t>
            </w:r>
            <w:r w:rsidR="00F04FB7">
              <w:t xml:space="preserve">water flow (in streams), </w:t>
            </w:r>
            <w:r w:rsidRPr="009E4B46">
              <w:t>light and temperature (and hence season)</w:t>
            </w:r>
            <w:r>
              <w:t>.</w:t>
            </w:r>
          </w:p>
          <w:p w:rsidR="00D139E7" w:rsidP="0044386B" w14:paraId="1EF3CE11" w14:textId="38508101">
            <w:pPr>
              <w:pStyle w:val="TableBullet"/>
              <w:ind w:right="134"/>
            </w:pPr>
            <w:r w:rsidRPr="009E4B46">
              <w:t>Spatial and temporal variations in community structure may be very high</w:t>
            </w:r>
            <w:r>
              <w:t>.</w:t>
            </w:r>
          </w:p>
          <w:p w:rsidR="00D139E7" w:rsidRPr="009E4B46" w:rsidP="0044386B" w14:paraId="64C32411" w14:textId="701A1DFF">
            <w:pPr>
              <w:pStyle w:val="TableBullet"/>
              <w:ind w:right="134"/>
            </w:pPr>
            <w:r>
              <w:t>Mobility of algal blooms under certain conditions (e.g. due to currents</w:t>
            </w:r>
            <w:r w:rsidR="00535E9D">
              <w:t xml:space="preserve"> especially in marine environments</w:t>
            </w:r>
            <w:r>
              <w:t>) will hamper identification of source of effects.</w:t>
            </w:r>
          </w:p>
        </w:tc>
      </w:tr>
      <w:tr w14:paraId="156AA435" w14:textId="2D4B9BBC" w:rsidTr="0044386B">
        <w:tblPrEx>
          <w:tblW w:w="5000" w:type="pct"/>
          <w:tblCellMar>
            <w:left w:w="0" w:type="dxa"/>
            <w:right w:w="0" w:type="dxa"/>
          </w:tblCellMar>
          <w:tblLook w:val="01E0"/>
        </w:tblPrEx>
        <w:trPr>
          <w:cantSplit/>
          <w:trHeight w:val="1067"/>
        </w:trPr>
        <w:tc>
          <w:tcPr>
            <w:tcW w:w="407" w:type="pct"/>
            <w:vMerge/>
          </w:tcPr>
          <w:p w:rsidR="00D139E7" w:rsidRPr="009E4B46" w:rsidP="00C751F5" w14:paraId="5269BB41" w14:textId="77777777">
            <w:pPr>
              <w:pStyle w:val="TableParagraph"/>
              <w:rPr>
                <w:rFonts w:ascii="Times New Roman"/>
                <w:sz w:val="16"/>
                <w:lang w:val="en-AU"/>
              </w:rPr>
            </w:pPr>
          </w:p>
        </w:tc>
        <w:tc>
          <w:tcPr>
            <w:tcW w:w="1531" w:type="pct"/>
          </w:tcPr>
          <w:p w:rsidR="00D139E7" w:rsidRPr="009E4B46" w:rsidP="0044386B" w14:paraId="3D418F25" w14:textId="77777777">
            <w:pPr>
              <w:pStyle w:val="TableText"/>
              <w:keepNext/>
              <w:ind w:left="57" w:right="196"/>
            </w:pPr>
            <w:r w:rsidRPr="009E4B46">
              <w:t>Macrophytes</w:t>
            </w:r>
            <w:r>
              <w:t>:</w:t>
            </w:r>
          </w:p>
          <w:p w:rsidR="00D139E7" w:rsidRPr="009E4B46" w:rsidP="001562CF" w14:paraId="171D52D0" w14:textId="77777777">
            <w:pPr>
              <w:pStyle w:val="TableBullet"/>
              <w:ind w:left="341" w:right="196" w:hanging="205"/>
            </w:pPr>
            <w:r w:rsidRPr="009E4B46">
              <w:t>emergent or submersed</w:t>
            </w:r>
            <w:r w:rsidRPr="009E4B46">
              <w:rPr>
                <w:spacing w:val="2"/>
              </w:rPr>
              <w:t xml:space="preserve"> </w:t>
            </w:r>
            <w:r w:rsidRPr="009E4B46">
              <w:t>vegetation</w:t>
            </w:r>
          </w:p>
          <w:p w:rsidR="00D139E7" w:rsidRPr="009E4B46" w:rsidP="001562CF" w14:paraId="5AFEBD44" w14:textId="77777777">
            <w:pPr>
              <w:pStyle w:val="TableBullet"/>
              <w:ind w:left="341" w:right="196" w:hanging="205"/>
            </w:pPr>
            <w:r w:rsidRPr="009E4B46">
              <w:t>seagrass depth</w:t>
            </w:r>
            <w:r w:rsidRPr="009E4B46">
              <w:rPr>
                <w:spacing w:val="2"/>
              </w:rPr>
              <w:t xml:space="preserve"> </w:t>
            </w:r>
            <w:r w:rsidRPr="009E4B46">
              <w:t>limits</w:t>
            </w:r>
            <w:r>
              <w:t>.</w:t>
            </w:r>
          </w:p>
        </w:tc>
        <w:tc>
          <w:tcPr>
            <w:tcW w:w="1531" w:type="pct"/>
          </w:tcPr>
          <w:p w:rsidR="00D139E7" w:rsidP="0044386B" w14:paraId="79AFD362" w14:textId="10D7D112">
            <w:pPr>
              <w:pStyle w:val="TableBullet"/>
              <w:ind w:right="236"/>
            </w:pPr>
            <w:r>
              <w:t>Macrophytes</w:t>
            </w:r>
            <w:r w:rsidR="00DE1C1C">
              <w:t xml:space="preserve"> can be</w:t>
            </w:r>
            <w:r w:rsidR="000E0444">
              <w:t xml:space="preserve"> u</w:t>
            </w:r>
            <w:r w:rsidRPr="009E4B46">
              <w:t xml:space="preserve">seful indicators of water and sediment quality, depending </w:t>
            </w:r>
            <w:r w:rsidR="00DE1C1C">
              <w:t>up</w:t>
            </w:r>
            <w:r w:rsidRPr="009E4B46">
              <w:t xml:space="preserve">on </w:t>
            </w:r>
            <w:r>
              <w:t xml:space="preserve">the </w:t>
            </w:r>
            <w:r w:rsidR="00DE1C1C">
              <w:t>taxon</w:t>
            </w:r>
            <w:r>
              <w:t>.</w:t>
            </w:r>
          </w:p>
          <w:p w:rsidR="00D139E7" w:rsidRPr="009E4B46" w:rsidP="0044386B" w14:paraId="694D5634" w14:textId="1E95CCE5">
            <w:pPr>
              <w:pStyle w:val="TableBullet"/>
              <w:ind w:right="236"/>
            </w:pPr>
            <w:r w:rsidRPr="009E4B46">
              <w:t>Ground</w:t>
            </w:r>
            <w:r w:rsidR="00C76831">
              <w:t>-</w:t>
            </w:r>
            <w:r w:rsidRPr="009E4B46">
              <w:t xml:space="preserve">survey techniques </w:t>
            </w:r>
            <w:r w:rsidR="000E0444">
              <w:t xml:space="preserve">are </w:t>
            </w:r>
            <w:r w:rsidRPr="009E4B46">
              <w:t>easily applied</w:t>
            </w:r>
            <w:r w:rsidR="000E0444">
              <w:t>, and</w:t>
            </w:r>
            <w:r w:rsidRPr="009E4B46">
              <w:t xml:space="preserve"> GIS</w:t>
            </w:r>
            <w:r w:rsidR="008C6329">
              <w:t xml:space="preserve"> (geographic information systems)</w:t>
            </w:r>
            <w:r w:rsidRPr="009E4B46">
              <w:t xml:space="preserve"> approaches </w:t>
            </w:r>
            <w:r w:rsidR="000E0444">
              <w:t xml:space="preserve">are </w:t>
            </w:r>
            <w:r w:rsidRPr="009E4B46">
              <w:t>established</w:t>
            </w:r>
            <w:r>
              <w:t>.</w:t>
            </w:r>
          </w:p>
          <w:p w:rsidR="00D139E7" w:rsidP="0044386B" w14:paraId="56F0EF9E" w14:textId="62B03E76">
            <w:pPr>
              <w:pStyle w:val="TableBullet"/>
              <w:ind w:right="236"/>
            </w:pPr>
            <w:r w:rsidRPr="009E4B46">
              <w:t>Many species are habitat-forming (changes may cascade through system)</w:t>
            </w:r>
            <w:r>
              <w:t>.</w:t>
            </w:r>
          </w:p>
          <w:p w:rsidR="00D139E7" w:rsidRPr="009E4B46" w:rsidP="0044386B" w14:paraId="582EC5E4" w14:textId="47EBF0AF">
            <w:pPr>
              <w:pStyle w:val="TableBullet"/>
              <w:ind w:right="236"/>
            </w:pPr>
            <w:r>
              <w:t xml:space="preserve">Drone-based methods </w:t>
            </w:r>
            <w:r w:rsidR="000E0444">
              <w:t xml:space="preserve">are </w:t>
            </w:r>
            <w:r>
              <w:t>being developed.</w:t>
            </w:r>
          </w:p>
        </w:tc>
        <w:tc>
          <w:tcPr>
            <w:tcW w:w="1531" w:type="pct"/>
          </w:tcPr>
          <w:p w:rsidR="00D139E7" w:rsidP="0044386B" w14:paraId="68A1AE45" w14:textId="69993319">
            <w:pPr>
              <w:pStyle w:val="TableBullet"/>
              <w:ind w:right="134"/>
            </w:pPr>
            <w:r>
              <w:t>There is a l</w:t>
            </w:r>
            <w:r w:rsidRPr="009E4B46">
              <w:t xml:space="preserve">ack of knowledge about population dynamics and </w:t>
            </w:r>
            <w:r>
              <w:t>about</w:t>
            </w:r>
            <w:r w:rsidRPr="009E4B46">
              <w:t xml:space="preserve"> how factors other than water quality affect distribution and growth</w:t>
            </w:r>
            <w:r>
              <w:t>.</w:t>
            </w:r>
            <w:r w:rsidR="00BD5DC9">
              <w:t xml:space="preserve"> Hydrology can be a major determinant of </w:t>
            </w:r>
            <w:r w:rsidRPr="009E4B46" w:rsidR="00BD5DC9">
              <w:t>distribution and growth</w:t>
            </w:r>
            <w:r w:rsidR="00BD5DC9">
              <w:t>.</w:t>
            </w:r>
          </w:p>
          <w:p w:rsidR="009E5FD8" w:rsidP="0044386B" w14:paraId="389DACB9" w14:textId="413C4DCE">
            <w:pPr>
              <w:pStyle w:val="TableBullet"/>
              <w:ind w:right="134"/>
            </w:pPr>
            <w:r w:rsidRPr="009E4B46">
              <w:t>Spatial and temporal variations in community structure may be very high</w:t>
            </w:r>
            <w:r w:rsidR="001E0B8D">
              <w:t>.</w:t>
            </w:r>
          </w:p>
          <w:p w:rsidR="001E0B8D" w:rsidRPr="009E4B46" w:rsidP="0044386B" w14:paraId="48A242EE" w14:textId="55D1E7D6">
            <w:pPr>
              <w:pStyle w:val="TableBullet"/>
              <w:ind w:right="134"/>
            </w:pPr>
            <w:r>
              <w:t xml:space="preserve">Macrophytes are less useful </w:t>
            </w:r>
            <w:r w:rsidRPr="001E0B8D" w:rsidR="003B398F">
              <w:t xml:space="preserve">in </w:t>
            </w:r>
            <w:r w:rsidR="008C6329">
              <w:t>systems with</w:t>
            </w:r>
            <w:r w:rsidRPr="001E0B8D" w:rsidR="008C6329">
              <w:t xml:space="preserve"> </w:t>
            </w:r>
            <w:r w:rsidRPr="001E0B8D" w:rsidR="003B398F">
              <w:t xml:space="preserve">naturally low </w:t>
            </w:r>
            <w:r w:rsidR="008C6329">
              <w:t xml:space="preserve">numbers of </w:t>
            </w:r>
            <w:r w:rsidRPr="001E0B8D" w:rsidR="003B398F">
              <w:t>taxa (e.g. much of south-west W</w:t>
            </w:r>
            <w:r w:rsidR="008C6329">
              <w:t xml:space="preserve">estern </w:t>
            </w:r>
            <w:r w:rsidRPr="001E0B8D" w:rsidR="003B398F">
              <w:t>A</w:t>
            </w:r>
            <w:r w:rsidR="008C6329">
              <w:t>ustralia</w:t>
            </w:r>
            <w:r w:rsidRPr="001E0B8D" w:rsidR="003B398F">
              <w:t xml:space="preserve"> and temporary systems)</w:t>
            </w:r>
            <w:r w:rsidR="003B398F">
              <w:t>.</w:t>
            </w:r>
          </w:p>
        </w:tc>
      </w:tr>
      <w:tr w14:paraId="48774F4B" w14:textId="13EE70D1" w:rsidTr="0044386B">
        <w:tblPrEx>
          <w:tblW w:w="5000" w:type="pct"/>
          <w:tblCellMar>
            <w:left w:w="0" w:type="dxa"/>
            <w:right w:w="0" w:type="dxa"/>
          </w:tblCellMar>
          <w:tblLook w:val="01E0"/>
        </w:tblPrEx>
        <w:trPr>
          <w:cantSplit/>
          <w:trHeight w:val="877"/>
        </w:trPr>
        <w:tc>
          <w:tcPr>
            <w:tcW w:w="407" w:type="pct"/>
          </w:tcPr>
          <w:p w:rsidR="00D139E7" w:rsidRPr="009E4B46" w:rsidP="002A7C96" w14:paraId="372A39B4" w14:textId="7567F7F4">
            <w:pPr>
              <w:pStyle w:val="TableText"/>
              <w:keepNext/>
              <w:ind w:left="57" w:right="57"/>
            </w:pPr>
            <w:r w:rsidRPr="009E4B46">
              <w:t>Nutrients:</w:t>
            </w:r>
            <w:r>
              <w:t xml:space="preserve"> </w:t>
            </w:r>
            <w:r w:rsidRPr="009E4B46">
              <w:t>early detection</w:t>
            </w:r>
            <w:r w:rsidR="00ED7C0E">
              <w:t xml:space="preserve">, </w:t>
            </w:r>
            <w:r w:rsidRPr="009E4B46">
              <w:t>changes to biodiversity</w:t>
            </w:r>
            <w:r>
              <w:t>.</w:t>
            </w:r>
          </w:p>
        </w:tc>
        <w:tc>
          <w:tcPr>
            <w:tcW w:w="1531" w:type="pct"/>
          </w:tcPr>
          <w:p w:rsidR="00D139E7" w:rsidRPr="009E4B46" w:rsidP="0044386B" w14:paraId="69F48DEC" w14:textId="77777777">
            <w:pPr>
              <w:pStyle w:val="TableText"/>
              <w:keepNext/>
              <w:ind w:left="57" w:right="196"/>
            </w:pPr>
            <w:r w:rsidRPr="009E4B46">
              <w:t>Stream metabolism</w:t>
            </w:r>
            <w:r>
              <w:t>:</w:t>
            </w:r>
          </w:p>
          <w:p w:rsidR="00D139E7" w:rsidRPr="009E4B46" w:rsidP="001562CF" w14:paraId="65F58746" w14:textId="2D91995E">
            <w:pPr>
              <w:pStyle w:val="TableBullet"/>
              <w:ind w:left="341" w:right="196" w:hanging="205"/>
            </w:pPr>
            <w:r>
              <w:t>gross primary productivity (</w:t>
            </w:r>
            <w:r w:rsidRPr="009E4B46">
              <w:t>GPP</w:t>
            </w:r>
            <w:r>
              <w:t>)</w:t>
            </w:r>
            <w:r w:rsidRPr="009E4B46">
              <w:t xml:space="preserve">, </w:t>
            </w:r>
            <w:r>
              <w:t>respiration (</w:t>
            </w:r>
            <w:r w:rsidRPr="009E4B46">
              <w:t>R</w:t>
            </w:r>
            <w:r>
              <w:t>)</w:t>
            </w:r>
            <w:r w:rsidRPr="009E4B46">
              <w:t xml:space="preserve">, </w:t>
            </w:r>
            <w:r w:rsidR="00C84207">
              <w:t>gross primary production</w:t>
            </w:r>
            <w:r w:rsidRPr="00715FB4">
              <w:t>:respiration ratio (P:R) and</w:t>
            </w:r>
            <w:r w:rsidRPr="00715FB4">
              <w:rPr>
                <w:spacing w:val="4"/>
              </w:rPr>
              <w:t xml:space="preserve"> net daily metabolism</w:t>
            </w:r>
            <w:r w:rsidRPr="00715FB4">
              <w:t>.</w:t>
            </w:r>
          </w:p>
        </w:tc>
        <w:tc>
          <w:tcPr>
            <w:tcW w:w="1531" w:type="pct"/>
          </w:tcPr>
          <w:p w:rsidR="00D139E7" w:rsidRPr="009E4B46" w:rsidP="0044386B" w14:paraId="0837319F" w14:textId="08E7811A">
            <w:pPr>
              <w:pStyle w:val="TableBullet"/>
              <w:ind w:right="236"/>
            </w:pPr>
            <w:r>
              <w:t>Stream metabolism</w:t>
            </w:r>
            <w:r w:rsidR="000E0444">
              <w:t xml:space="preserve"> </w:t>
            </w:r>
            <w:r w:rsidRPr="009E4B46">
              <w:t>may provide inexpensive, advanced warning of nutrient enrichment</w:t>
            </w:r>
            <w:r w:rsidR="008C6329">
              <w:t xml:space="preserve"> i</w:t>
            </w:r>
            <w:r w:rsidRPr="009E4B46" w:rsidR="008C6329">
              <w:t>n some nutrient-poor forest streams</w:t>
            </w:r>
            <w:r>
              <w:t>.</w:t>
            </w:r>
          </w:p>
        </w:tc>
        <w:tc>
          <w:tcPr>
            <w:tcW w:w="1531" w:type="pct"/>
          </w:tcPr>
          <w:p w:rsidR="00D139E7" w:rsidRPr="009E4B46" w:rsidP="0044386B" w14:paraId="5D5D3207" w14:textId="5F955119">
            <w:pPr>
              <w:pStyle w:val="TableBullet"/>
              <w:ind w:right="134"/>
            </w:pPr>
            <w:r w:rsidRPr="009E4B46">
              <w:t xml:space="preserve">Unless correlated with structure changes of aquatic ecosystem components, </w:t>
            </w:r>
            <w:r w:rsidR="00CD040D">
              <w:t>stream metabolism</w:t>
            </w:r>
            <w:r w:rsidR="0020263E">
              <w:t xml:space="preserve"> </w:t>
            </w:r>
            <w:r w:rsidRPr="009E4B46">
              <w:t>may lack information about ecological relevance and importance</w:t>
            </w:r>
            <w:r>
              <w:t>.</w:t>
            </w:r>
          </w:p>
          <w:p w:rsidR="00D139E7" w:rsidRPr="009E4B46" w:rsidP="0044386B" w14:paraId="5B552EF4" w14:textId="3D363923">
            <w:pPr>
              <w:pStyle w:val="TableBullet"/>
              <w:ind w:right="134"/>
            </w:pPr>
            <w:r>
              <w:t>It can be d</w:t>
            </w:r>
            <w:r w:rsidRPr="009E4B46">
              <w:t>ifficult to obtain consistent results</w:t>
            </w:r>
            <w:r>
              <w:t>.</w:t>
            </w:r>
          </w:p>
          <w:p w:rsidR="00D139E7" w:rsidRPr="009E4B46" w:rsidP="0044386B" w14:paraId="6DF71C82" w14:textId="18121A92">
            <w:pPr>
              <w:pStyle w:val="TableBullet"/>
              <w:ind w:right="134"/>
            </w:pPr>
            <w:r w:rsidRPr="009E4B46">
              <w:t>Closed systems may</w:t>
            </w:r>
            <w:r>
              <w:t xml:space="preserve"> not</w:t>
            </w:r>
            <w:r w:rsidRPr="009E4B46">
              <w:t xml:space="preserve"> </w:t>
            </w:r>
            <w:r w:rsidRPr="009E4B46" w:rsidR="0020263E">
              <w:t xml:space="preserve">reliably </w:t>
            </w:r>
            <w:r w:rsidRPr="003179B8">
              <w:t xml:space="preserve">simulate </w:t>
            </w:r>
            <w:r w:rsidRPr="009E4B46">
              <w:rPr>
                <w:i/>
              </w:rPr>
              <w:t>in</w:t>
            </w:r>
            <w:r w:rsidR="008C6329">
              <w:rPr>
                <w:i/>
              </w:rPr>
              <w:t>-</w:t>
            </w:r>
            <w:r w:rsidRPr="009E4B46">
              <w:rPr>
                <w:i/>
              </w:rPr>
              <w:t xml:space="preserve">situ </w:t>
            </w:r>
            <w:r w:rsidRPr="009E4B46">
              <w:t>substrata and metabolism</w:t>
            </w:r>
            <w:r>
              <w:t>.</w:t>
            </w:r>
          </w:p>
          <w:p w:rsidR="00D139E7" w:rsidRPr="009E4B46" w:rsidP="0044386B" w14:paraId="3D6AB8EC" w14:textId="1969E5C6">
            <w:pPr>
              <w:pStyle w:val="TableBullet"/>
              <w:ind w:right="134"/>
            </w:pPr>
            <w:r w:rsidRPr="009E4B46">
              <w:t>Open</w:t>
            </w:r>
            <w:r w:rsidR="008C6329">
              <w:t>-</w:t>
            </w:r>
            <w:r w:rsidRPr="009E4B46">
              <w:t>channel methods can be unreliable</w:t>
            </w:r>
            <w:r w:rsidR="00ED7C0E">
              <w:t xml:space="preserve"> or </w:t>
            </w:r>
            <w:r w:rsidRPr="009E4B46">
              <w:t>in</w:t>
            </w:r>
            <w:r w:rsidR="008C6329">
              <w:t>con</w:t>
            </w:r>
            <w:r w:rsidRPr="009E4B46">
              <w:t>sistent in turbulent</w:t>
            </w:r>
            <w:r w:rsidR="00ED7C0E">
              <w:t xml:space="preserve"> (</w:t>
            </w:r>
            <w:r w:rsidRPr="009E4B46">
              <w:t>fast</w:t>
            </w:r>
            <w:r w:rsidR="008C6329">
              <w:t>-</w:t>
            </w:r>
            <w:r w:rsidRPr="009E4B46">
              <w:t>flowing</w:t>
            </w:r>
            <w:r w:rsidR="00ED7C0E">
              <w:t>)</w:t>
            </w:r>
            <w:r w:rsidRPr="009E4B46">
              <w:t xml:space="preserve"> </w:t>
            </w:r>
            <w:r>
              <w:t>water.</w:t>
            </w:r>
          </w:p>
        </w:tc>
      </w:tr>
      <w:tr w14:paraId="279B9D23" w14:textId="42451C03" w:rsidTr="0044386B">
        <w:tblPrEx>
          <w:tblW w:w="5000" w:type="pct"/>
          <w:tblCellMar>
            <w:left w:w="0" w:type="dxa"/>
            <w:right w:w="0" w:type="dxa"/>
          </w:tblCellMar>
          <w:tblLook w:val="01E0"/>
        </w:tblPrEx>
        <w:trPr>
          <w:cantSplit/>
          <w:trHeight w:val="2087"/>
        </w:trPr>
        <w:tc>
          <w:tcPr>
            <w:tcW w:w="407" w:type="pct"/>
          </w:tcPr>
          <w:p w:rsidR="00D139E7" w:rsidRPr="009E4B46" w:rsidP="002A7C96" w14:paraId="2429C25F" w14:textId="51D6D91E">
            <w:pPr>
              <w:pStyle w:val="TableText"/>
              <w:ind w:left="57" w:right="57"/>
            </w:pPr>
            <w:r w:rsidRPr="009E4B46">
              <w:t>Nutrients:</w:t>
            </w:r>
            <w:r>
              <w:t xml:space="preserve"> </w:t>
            </w:r>
            <w:r w:rsidRPr="009E4B46">
              <w:t>changes to biodiversity</w:t>
            </w:r>
            <w:r>
              <w:t>.</w:t>
            </w:r>
          </w:p>
        </w:tc>
        <w:tc>
          <w:tcPr>
            <w:tcW w:w="1531" w:type="pct"/>
          </w:tcPr>
          <w:p w:rsidR="00D139E7" w:rsidRPr="008C35F2" w:rsidP="0044386B" w14:paraId="71126CFB" w14:textId="77777777">
            <w:pPr>
              <w:pStyle w:val="TableText"/>
              <w:keepNext/>
              <w:ind w:left="57" w:right="196"/>
            </w:pPr>
            <w:r w:rsidRPr="008C35F2">
              <w:t>Macroinvertebrates:</w:t>
            </w:r>
          </w:p>
          <w:p w:rsidR="00D139E7" w:rsidRPr="008C35F2" w:rsidP="001562CF" w14:paraId="6AEBDB68" w14:textId="3683D6A9">
            <w:pPr>
              <w:pStyle w:val="TableBullet"/>
              <w:ind w:left="341" w:right="196" w:hanging="205"/>
            </w:pPr>
            <w:r w:rsidRPr="008C35F2">
              <w:t>community structure (</w:t>
            </w:r>
            <w:r>
              <w:t>quantitative assessment</w:t>
            </w:r>
            <w:r w:rsidRPr="008C35F2">
              <w:t>,</w:t>
            </w:r>
            <w:r w:rsidRPr="008C35F2">
              <w:rPr>
                <w:spacing w:val="2"/>
              </w:rPr>
              <w:t xml:space="preserve"> rapid biological assessment </w:t>
            </w:r>
            <w:r w:rsidR="008E7001">
              <w:rPr>
                <w:spacing w:val="2"/>
              </w:rPr>
              <w:t>[</w:t>
            </w:r>
            <w:r w:rsidRPr="008C35F2">
              <w:t>RBA</w:t>
            </w:r>
            <w:r w:rsidR="008E7001">
              <w:t>]</w:t>
            </w:r>
            <w:r w:rsidRPr="008C35F2">
              <w:t>).</w:t>
            </w:r>
          </w:p>
        </w:tc>
        <w:tc>
          <w:tcPr>
            <w:tcW w:w="1531" w:type="pct"/>
          </w:tcPr>
          <w:p w:rsidR="00D139E7" w:rsidRPr="008C35F2" w:rsidP="0044386B" w14:paraId="754D194B" w14:textId="199F8E01">
            <w:pPr>
              <w:pStyle w:val="TableBullet"/>
              <w:ind w:right="236"/>
            </w:pPr>
            <w:r>
              <w:t>Macroinvertebrates</w:t>
            </w:r>
            <w:r w:rsidR="000E0444">
              <w:t xml:space="preserve"> are f</w:t>
            </w:r>
            <w:r w:rsidRPr="008C35F2">
              <w:t>ound in most habitats.</w:t>
            </w:r>
          </w:p>
          <w:p w:rsidR="00D139E7" w:rsidRPr="008C35F2" w:rsidP="0044386B" w14:paraId="29D03D78" w14:textId="198AC485">
            <w:pPr>
              <w:pStyle w:val="TableBullet"/>
              <w:ind w:right="236"/>
            </w:pPr>
            <w:r>
              <w:t>A l</w:t>
            </w:r>
            <w:r w:rsidRPr="008C35F2">
              <w:t>arge number of taxa offers a wide range of responses (diagnostic value).</w:t>
            </w:r>
          </w:p>
          <w:p w:rsidR="00D139E7" w:rsidRPr="008C35F2" w:rsidP="0044386B" w14:paraId="34D2FBBD" w14:textId="220EDBCE">
            <w:pPr>
              <w:pStyle w:val="TableBullet"/>
              <w:ind w:right="236"/>
            </w:pPr>
            <w:r>
              <w:t>The l</w:t>
            </w:r>
            <w:r w:rsidRPr="008C35F2">
              <w:t xml:space="preserve">imited mobility of </w:t>
            </w:r>
            <w:r>
              <w:t xml:space="preserve">the </w:t>
            </w:r>
            <w:r w:rsidRPr="008C35F2">
              <w:t xml:space="preserve">aquatic </w:t>
            </w:r>
            <w:r w:rsidR="00F36B97">
              <w:t>larval stages</w:t>
            </w:r>
            <w:r w:rsidRPr="008C35F2">
              <w:t xml:space="preserve"> allows effective spatial analyses of disturbance effects.</w:t>
            </w:r>
          </w:p>
          <w:p w:rsidR="00D139E7" w:rsidRPr="008C35F2" w:rsidP="0044386B" w14:paraId="1D103EA7" w14:textId="59BF6CD8">
            <w:pPr>
              <w:pStyle w:val="TableBullet"/>
              <w:ind w:right="236"/>
            </w:pPr>
            <w:r w:rsidRPr="008C35F2">
              <w:t>Larval stages often extend up to and beyond one month, integrat</w:t>
            </w:r>
            <w:r w:rsidR="008E7001">
              <w:t>ing</w:t>
            </w:r>
            <w:r w:rsidRPr="008C35F2">
              <w:t xml:space="preserve"> effects of prolonged or intermittent exposure.</w:t>
            </w:r>
          </w:p>
          <w:p w:rsidR="00D139E7" w:rsidRPr="008C35F2" w:rsidP="0044386B" w14:paraId="134060F7" w14:textId="53CE81C0">
            <w:pPr>
              <w:pStyle w:val="TableBullet"/>
              <w:ind w:right="236"/>
            </w:pPr>
            <w:r w:rsidRPr="008C35F2">
              <w:t xml:space="preserve">Identification </w:t>
            </w:r>
            <w:r w:rsidR="0020263E">
              <w:t xml:space="preserve">is </w:t>
            </w:r>
            <w:r w:rsidRPr="008C35F2">
              <w:t xml:space="preserve">relatively easy at </w:t>
            </w:r>
            <w:r w:rsidR="0020263E">
              <w:t xml:space="preserve">the </w:t>
            </w:r>
            <w:r w:rsidRPr="008C35F2">
              <w:t>family level</w:t>
            </w:r>
            <w:r w:rsidR="00560FF5">
              <w:t>. M</w:t>
            </w:r>
            <w:r w:rsidRPr="008C35F2">
              <w:t xml:space="preserve">ethods </w:t>
            </w:r>
            <w:r w:rsidR="0020263E">
              <w:t xml:space="preserve">are </w:t>
            </w:r>
            <w:r w:rsidRPr="008C35F2">
              <w:t>well established and ecological knowledge base</w:t>
            </w:r>
            <w:r w:rsidR="0020263E">
              <w:t xml:space="preserve"> is </w:t>
            </w:r>
            <w:r w:rsidRPr="008C35F2" w:rsidR="0020263E">
              <w:t>improving</w:t>
            </w:r>
            <w:r w:rsidRPr="008C35F2">
              <w:t>.</w:t>
            </w:r>
          </w:p>
          <w:p w:rsidR="00D139E7" w:rsidRPr="008C35F2" w:rsidP="0044386B" w14:paraId="23B6670A" w14:textId="3A0A22A9">
            <w:pPr>
              <w:pStyle w:val="TableBullet"/>
              <w:ind w:right="236"/>
            </w:pPr>
            <w:r w:rsidRPr="008C35F2">
              <w:t xml:space="preserve">RBA methods </w:t>
            </w:r>
            <w:r w:rsidR="0020263E">
              <w:t>are faster</w:t>
            </w:r>
            <w:r w:rsidR="00E15164">
              <w:t>, allowing for greater geographical coverage,</w:t>
            </w:r>
            <w:r w:rsidRPr="008C35F2">
              <w:t xml:space="preserve"> </w:t>
            </w:r>
            <w:r w:rsidR="00E15164">
              <w:t xml:space="preserve">while </w:t>
            </w:r>
            <w:r w:rsidRPr="008C35F2" w:rsidR="00E15164">
              <w:t xml:space="preserve">quantitative methods </w:t>
            </w:r>
            <w:r w:rsidR="00E15164">
              <w:t xml:space="preserve">are </w:t>
            </w:r>
            <w:r w:rsidRPr="008C35F2" w:rsidR="00E15164">
              <w:t>slower</w:t>
            </w:r>
            <w:r w:rsidR="00E15164">
              <w:t xml:space="preserve"> </w:t>
            </w:r>
            <w:r w:rsidRPr="008C35F2" w:rsidR="00E15164">
              <w:t xml:space="preserve">but more sensitive </w:t>
            </w:r>
            <w:r w:rsidR="00E15164">
              <w:t xml:space="preserve">which can benefit site-specific assessments. </w:t>
            </w:r>
            <w:r w:rsidRPr="008C35F2">
              <w:t>.</w:t>
            </w:r>
          </w:p>
        </w:tc>
        <w:tc>
          <w:tcPr>
            <w:tcW w:w="1531" w:type="pct"/>
          </w:tcPr>
          <w:p w:rsidR="00D139E7" w:rsidP="0044386B" w14:paraId="03D3A8E7" w14:textId="4DABC99E">
            <w:pPr>
              <w:pStyle w:val="TableBullet"/>
              <w:ind w:right="134"/>
            </w:pPr>
            <w:r>
              <w:t>If direct responses to nutrient enrichment are sought, then a</w:t>
            </w:r>
            <w:r w:rsidRPr="008C35F2" w:rsidR="003B398F">
              <w:t xml:space="preserve">quatic flora </w:t>
            </w:r>
            <w:r>
              <w:t>would be a preferred indicator</w:t>
            </w:r>
            <w:r w:rsidRPr="008C35F2" w:rsidR="003B398F">
              <w:t xml:space="preserve"> and may be less expensive to sample.</w:t>
            </w:r>
          </w:p>
          <w:p w:rsidR="00EA4721" w:rsidP="0044386B" w14:paraId="7B4B317A" w14:textId="77777777">
            <w:pPr>
              <w:pStyle w:val="TableBullet"/>
              <w:ind w:right="134"/>
            </w:pPr>
            <w:r>
              <w:t>There c</w:t>
            </w:r>
            <w:r w:rsidRPr="001E0B8D">
              <w:t xml:space="preserve">an be difficulties </w:t>
            </w:r>
            <w:r>
              <w:t>with</w:t>
            </w:r>
            <w:r w:rsidRPr="001E0B8D">
              <w:t xml:space="preserve"> diagnosis</w:t>
            </w:r>
            <w:r>
              <w:t xml:space="preserve">, </w:t>
            </w:r>
            <w:r w:rsidRPr="001E0B8D">
              <w:t xml:space="preserve">as nutrients elicit both a positive and negative response in </w:t>
            </w:r>
            <w:r>
              <w:t xml:space="preserve">macroinvertebrate </w:t>
            </w:r>
            <w:r w:rsidRPr="001E0B8D">
              <w:t xml:space="preserve">species at different levels (increasing and decreasing with phytoplankton levels and associated </w:t>
            </w:r>
            <w:r>
              <w:t>changes in water quality</w:t>
            </w:r>
            <w:r w:rsidRPr="001E0B8D">
              <w:t>)</w:t>
            </w:r>
            <w:r>
              <w:t>.</w:t>
            </w:r>
          </w:p>
          <w:p w:rsidR="00007BB8" w:rsidRPr="008C35F2" w:rsidP="0044386B" w14:paraId="6A035E7D" w14:textId="7AADDED9">
            <w:pPr>
              <w:pStyle w:val="TableBullet"/>
              <w:ind w:right="134"/>
            </w:pPr>
            <w:r w:rsidRPr="008C35F2">
              <w:t xml:space="preserve">Identification </w:t>
            </w:r>
            <w:r w:rsidR="0020263E">
              <w:t xml:space="preserve">is </w:t>
            </w:r>
            <w:r w:rsidR="009073BC">
              <w:t>difficult</w:t>
            </w:r>
            <w:r w:rsidRPr="008C35F2">
              <w:t xml:space="preserve"> at </w:t>
            </w:r>
            <w:r w:rsidR="009073BC">
              <w:t xml:space="preserve">the </w:t>
            </w:r>
            <w:r w:rsidRPr="008C35F2">
              <w:t>species level</w:t>
            </w:r>
            <w:r w:rsidR="001E0B8D">
              <w:t xml:space="preserve">, which can be important given </w:t>
            </w:r>
            <w:r w:rsidR="0020263E">
              <w:t xml:space="preserve">the </w:t>
            </w:r>
            <w:r w:rsidR="001E0B8D">
              <w:t>variability in species responses within families (particularly in systems with low number of families)</w:t>
            </w:r>
            <w:r w:rsidRPr="008C35F2">
              <w:t>.</w:t>
            </w:r>
          </w:p>
          <w:p w:rsidR="00007BB8" w:rsidP="0044386B" w14:paraId="42EBB2DA" w14:textId="13E35D81">
            <w:pPr>
              <w:pStyle w:val="TableBullet"/>
              <w:ind w:right="134"/>
            </w:pPr>
            <w:r w:rsidRPr="008C35F2">
              <w:t xml:space="preserve">RBA methods </w:t>
            </w:r>
            <w:r w:rsidR="00E15164">
              <w:t>incur</w:t>
            </w:r>
            <w:r w:rsidRPr="008C35F2">
              <w:t xml:space="preserve"> some loss of information</w:t>
            </w:r>
            <w:r w:rsidR="00E15164">
              <w:t xml:space="preserve">, while </w:t>
            </w:r>
            <w:r w:rsidRPr="008C35F2">
              <w:t xml:space="preserve">quantitative methods </w:t>
            </w:r>
            <w:r w:rsidR="0020263E">
              <w:t xml:space="preserve">are </w:t>
            </w:r>
            <w:r w:rsidRPr="008C35F2">
              <w:t>more expensive.</w:t>
            </w:r>
          </w:p>
          <w:p w:rsidR="001E0B8D" w:rsidRPr="008C35F2" w:rsidP="001562CF" w14:paraId="7050769A" w14:textId="66838CD3">
            <w:pPr>
              <w:pStyle w:val="TableBullet"/>
            </w:pPr>
            <w:r w:rsidRPr="009E4B46">
              <w:t>Adult stages may be very mobile and air breathing, masking passage</w:t>
            </w:r>
            <w:r>
              <w:t>-</w:t>
            </w:r>
            <w:r w:rsidRPr="009E4B46">
              <w:t>barrier impacts</w:t>
            </w:r>
            <w:r>
              <w:t>,</w:t>
            </w:r>
            <w:r w:rsidRPr="009E4B46">
              <w:t xml:space="preserve"> and may be very insensitive to toxicants if not identified separately from larval phases</w:t>
            </w:r>
            <w:r>
              <w:t>.</w:t>
            </w:r>
          </w:p>
        </w:tc>
      </w:tr>
      <w:tr w14:paraId="3990333E" w14:textId="59E2F824" w:rsidTr="0044386B">
        <w:tblPrEx>
          <w:tblW w:w="5000" w:type="pct"/>
          <w:tblCellMar>
            <w:left w:w="0" w:type="dxa"/>
            <w:right w:w="0" w:type="dxa"/>
          </w:tblCellMar>
          <w:tblLook w:val="01E0"/>
        </w:tblPrEx>
        <w:trPr>
          <w:cantSplit/>
          <w:trHeight w:val="2614"/>
        </w:trPr>
        <w:tc>
          <w:tcPr>
            <w:tcW w:w="407" w:type="pct"/>
          </w:tcPr>
          <w:p w:rsidR="00D139E7" w:rsidRPr="009E4B46" w:rsidP="002A7C96" w14:paraId="17E80B87" w14:textId="755FF027">
            <w:pPr>
              <w:pStyle w:val="TableText"/>
              <w:ind w:left="57" w:right="57"/>
            </w:pPr>
            <w:r w:rsidRPr="009E4B46">
              <w:t>General organic and inorganic contaminants (including metals, pesticides):</w:t>
            </w:r>
            <w:r>
              <w:t xml:space="preserve"> </w:t>
            </w:r>
            <w:r w:rsidRPr="009E4B46">
              <w:t xml:space="preserve">early detection of changes (water column </w:t>
            </w:r>
            <w:r>
              <w:t>and</w:t>
            </w:r>
            <w:r w:rsidRPr="009E4B46">
              <w:t xml:space="preserve"> sediments)</w:t>
            </w:r>
            <w:r>
              <w:t>.</w:t>
            </w:r>
          </w:p>
        </w:tc>
        <w:tc>
          <w:tcPr>
            <w:tcW w:w="1531" w:type="pct"/>
          </w:tcPr>
          <w:p w:rsidR="00D139E7" w:rsidRPr="009E4B46" w:rsidP="0044386B" w14:paraId="3C0EFC48" w14:textId="58EF511D">
            <w:pPr>
              <w:pStyle w:val="TableText"/>
              <w:keepNext/>
              <w:ind w:left="57" w:right="196"/>
            </w:pPr>
            <w:r>
              <w:t>Generic biodiversity</w:t>
            </w:r>
            <w:r w:rsidR="008E7001">
              <w:t>-</w:t>
            </w:r>
            <w:r>
              <w:t>based ind</w:t>
            </w:r>
            <w:r w:rsidR="00816B5A">
              <w:t>ic</w:t>
            </w:r>
            <w:r>
              <w:t>es</w:t>
            </w:r>
            <w:r w:rsidR="00FD5E09">
              <w:t xml:space="preserve"> (excluding similarity indices)</w:t>
            </w:r>
            <w:r w:rsidR="00B74999">
              <w:t xml:space="preserve"> </w:t>
            </w:r>
          </w:p>
        </w:tc>
        <w:tc>
          <w:tcPr>
            <w:tcW w:w="1531" w:type="pct"/>
          </w:tcPr>
          <w:p w:rsidR="00FD5E09" w:rsidP="0044386B" w14:paraId="0FEBD878" w14:textId="06F34993">
            <w:pPr>
              <w:pStyle w:val="TableBullet"/>
              <w:ind w:right="236"/>
            </w:pPr>
            <w:r>
              <w:t xml:space="preserve">Responses for a number of </w:t>
            </w:r>
            <w:r w:rsidRPr="009E4B46">
              <w:t>indicator</w:t>
            </w:r>
            <w:r>
              <w:t>s have been linked to particular</w:t>
            </w:r>
            <w:r w:rsidRPr="009E4B46">
              <w:t xml:space="preserve"> stressor</w:t>
            </w:r>
            <w:r>
              <w:t>s</w:t>
            </w:r>
            <w:r w:rsidRPr="009E4B46">
              <w:t xml:space="preserve"> and system</w:t>
            </w:r>
            <w:r>
              <w:t>s</w:t>
            </w:r>
            <w:r w:rsidR="00B74999">
              <w:t xml:space="preserve"> and so have diagnostic value</w:t>
            </w:r>
            <w:r>
              <w:t>.</w:t>
            </w:r>
          </w:p>
          <w:p w:rsidR="00D139E7" w:rsidRPr="009E4B46" w:rsidP="00757FE3" w14:paraId="3505C62B" w14:textId="2DB91BDE">
            <w:pPr>
              <w:pStyle w:val="TableBullet"/>
              <w:ind w:right="236"/>
            </w:pPr>
            <w:r>
              <w:t xml:space="preserve"> </w:t>
            </w:r>
            <w:r w:rsidR="009A07D5">
              <w:t>Where the r</w:t>
            </w:r>
            <w:r w:rsidRPr="009E4B46" w:rsidR="009A07D5">
              <w:t xml:space="preserve">esponse </w:t>
            </w:r>
            <w:r>
              <w:t>has been shown to be</w:t>
            </w:r>
            <w:r w:rsidRPr="009E4B46" w:rsidR="009A07D5">
              <w:t xml:space="preserve"> highly specific for particular contaminants</w:t>
            </w:r>
            <w:r>
              <w:t>, b</w:t>
            </w:r>
            <w:r w:rsidR="003B398F">
              <w:t>iodiversity-based i</w:t>
            </w:r>
            <w:r w:rsidR="005B78BE">
              <w:t>ndices have h</w:t>
            </w:r>
            <w:r w:rsidRPr="009E4B46" w:rsidR="003B398F">
              <w:t>igh sensitivity</w:t>
            </w:r>
            <w:r w:rsidR="005B78BE">
              <w:t>, allowing</w:t>
            </w:r>
            <w:r w:rsidRPr="009E4B46" w:rsidR="003B398F">
              <w:t xml:space="preserve"> timely detection of </w:t>
            </w:r>
            <w:r w:rsidR="005B78BE">
              <w:t xml:space="preserve">the </w:t>
            </w:r>
            <w:r w:rsidRPr="009E4B46" w:rsidR="003B398F">
              <w:t xml:space="preserve">effects of particular substances at specific sites </w:t>
            </w:r>
            <w:r w:rsidR="003B398F">
              <w:t>(</w:t>
            </w:r>
            <w:r w:rsidRPr="009E4B46" w:rsidR="003B398F">
              <w:t>i.e. prior to or indicating the onset of environmental impacts</w:t>
            </w:r>
            <w:r w:rsidR="003B398F">
              <w:t>).</w:t>
            </w:r>
          </w:p>
        </w:tc>
        <w:tc>
          <w:tcPr>
            <w:tcW w:w="1531" w:type="pct"/>
          </w:tcPr>
          <w:p w:rsidR="0001401E" w:rsidP="0044386B" w14:paraId="57511E15" w14:textId="5D2E1161">
            <w:pPr>
              <w:pStyle w:val="TableBullet"/>
              <w:ind w:right="134"/>
            </w:pPr>
            <w:r>
              <w:t xml:space="preserve">The outputs for indices that lack </w:t>
            </w:r>
            <w:r>
              <w:t xml:space="preserve">contaminant specificity or reference to the </w:t>
            </w:r>
            <w:r>
              <w:t>identity of taxa can be difficult to interpret.</w:t>
            </w:r>
          </w:p>
          <w:p w:rsidR="00757FE3" w:rsidRPr="009E4B46" w:rsidP="00757FE3" w14:paraId="6ED687C6" w14:textId="77777777">
            <w:pPr>
              <w:pStyle w:val="TableBullet"/>
              <w:ind w:right="134"/>
            </w:pPr>
            <w:r>
              <w:t>Biodiversity-based indices m</w:t>
            </w:r>
            <w:r w:rsidRPr="009E4B46">
              <w:t>ay lack ecological relevance: very few responses have been linked to effects at higher levels of biological organisation (e.g. ecosystems)</w:t>
            </w:r>
            <w:r>
              <w:t xml:space="preserve">. The </w:t>
            </w:r>
            <w:r w:rsidRPr="009E4B46">
              <w:t>sensitivity of the selected test species in single-species tests</w:t>
            </w:r>
            <w:r>
              <w:t xml:space="preserve"> or </w:t>
            </w:r>
            <w:r w:rsidRPr="009E4B46">
              <w:t>studies may be unrepresentative of the wider assemblage of organisms in the</w:t>
            </w:r>
            <w:r w:rsidRPr="009E4B46">
              <w:rPr>
                <w:spacing w:val="4"/>
              </w:rPr>
              <w:t xml:space="preserve"> </w:t>
            </w:r>
            <w:r w:rsidRPr="009E4B46">
              <w:t>field.</w:t>
            </w:r>
          </w:p>
          <w:p w:rsidR="00007BB8" w:rsidRPr="009E4B46" w:rsidP="0044386B" w14:paraId="05A531CA" w14:textId="1488988D">
            <w:pPr>
              <w:pStyle w:val="TableBullet"/>
              <w:ind w:right="134"/>
            </w:pPr>
            <w:r w:rsidRPr="009E4B46">
              <w:t xml:space="preserve">Timeliness may be compromised by </w:t>
            </w:r>
            <w:r w:rsidR="001F75A7">
              <w:t xml:space="preserve">the </w:t>
            </w:r>
            <w:r w:rsidRPr="009E4B46">
              <w:t>need for adequate baseline</w:t>
            </w:r>
            <w:r>
              <w:t xml:space="preserve"> data</w:t>
            </w:r>
            <w:r w:rsidRPr="009E4B46">
              <w:t xml:space="preserve"> </w:t>
            </w:r>
            <w:r w:rsidRPr="00DF4473">
              <w:t>and</w:t>
            </w:r>
            <w:r w:rsidRPr="009E4B46">
              <w:t xml:space="preserve"> post-disturbance data from the field, and (usually) dose</w:t>
            </w:r>
            <w:r w:rsidR="006056FF">
              <w:t xml:space="preserve">-response or </w:t>
            </w:r>
            <w:r w:rsidRPr="009E4B46">
              <w:t>exposure-response relationships from laboratory studies, to interpret results and strengthen</w:t>
            </w:r>
            <w:r w:rsidRPr="009E4B46">
              <w:rPr>
                <w:spacing w:val="6"/>
              </w:rPr>
              <w:t xml:space="preserve"> </w:t>
            </w:r>
            <w:r w:rsidRPr="009E4B46">
              <w:t>inferences</w:t>
            </w:r>
            <w:r>
              <w:t>.</w:t>
            </w:r>
          </w:p>
          <w:p w:rsidR="00007BB8" w:rsidRPr="009E4B46" w:rsidP="0044386B" w14:paraId="2D73BC6B" w14:textId="213F60A1">
            <w:pPr>
              <w:pStyle w:val="TableBullet"/>
              <w:ind w:right="134"/>
            </w:pPr>
            <w:r w:rsidRPr="009E4B46">
              <w:t>Site-specific assessments may be difficult with mobile species depending on site connectivity</w:t>
            </w:r>
            <w:r w:rsidR="00911036">
              <w:t>,</w:t>
            </w:r>
            <w:r w:rsidRPr="009E4B46">
              <w:t xml:space="preserve"> species habits</w:t>
            </w:r>
            <w:r w:rsidR="00911036">
              <w:t xml:space="preserve"> and </w:t>
            </w:r>
            <w:r w:rsidRPr="009E4B46">
              <w:t>life stage present (e.g. fish,</w:t>
            </w:r>
            <w:r w:rsidRPr="009E4B46">
              <w:rPr>
                <w:spacing w:val="15"/>
              </w:rPr>
              <w:t xml:space="preserve"> </w:t>
            </w:r>
            <w:r w:rsidRPr="009E4B46">
              <w:t>frogs)</w:t>
            </w:r>
            <w:r>
              <w:t>.</w:t>
            </w:r>
          </w:p>
          <w:p w:rsidR="00007BB8" w:rsidRPr="009E4B46" w:rsidP="0001401E" w14:paraId="73566334" w14:textId="1A207C17">
            <w:pPr>
              <w:pStyle w:val="TableBullet"/>
              <w:ind w:right="134"/>
            </w:pPr>
            <w:r>
              <w:t>The b</w:t>
            </w:r>
            <w:r w:rsidRPr="009E4B46">
              <w:t xml:space="preserve">iology of </w:t>
            </w:r>
            <w:r w:rsidR="0001401E">
              <w:t xml:space="preserve">the </w:t>
            </w:r>
            <w:r w:rsidRPr="009E4B46">
              <w:t xml:space="preserve">organism </w:t>
            </w:r>
            <w:r w:rsidR="001F75A7">
              <w:t xml:space="preserve">being </w:t>
            </w:r>
            <w:r w:rsidRPr="009E4B46">
              <w:t>measured must be</w:t>
            </w:r>
            <w:r w:rsidRPr="009E4B46">
              <w:rPr>
                <w:spacing w:val="8"/>
              </w:rPr>
              <w:t xml:space="preserve"> </w:t>
            </w:r>
            <w:r w:rsidRPr="009E4B46">
              <w:t>understood</w:t>
            </w:r>
            <w:r>
              <w:t>.</w:t>
            </w:r>
          </w:p>
        </w:tc>
      </w:tr>
      <w:tr w14:paraId="690E2230" w14:textId="5428B1D5" w:rsidTr="0044386B">
        <w:tblPrEx>
          <w:tblW w:w="5000" w:type="pct"/>
          <w:tblCellMar>
            <w:left w:w="0" w:type="dxa"/>
            <w:right w:w="0" w:type="dxa"/>
          </w:tblCellMar>
          <w:tblLook w:val="01E0"/>
        </w:tblPrEx>
        <w:trPr>
          <w:cantSplit/>
          <w:trHeight w:val="555"/>
        </w:trPr>
        <w:tc>
          <w:tcPr>
            <w:tcW w:w="407" w:type="pct"/>
            <w:vMerge w:val="restart"/>
          </w:tcPr>
          <w:p w:rsidR="00D139E7" w:rsidRPr="009E4B46" w:rsidP="002A7C96" w14:paraId="6C0AA045" w14:textId="49FFB0D4">
            <w:pPr>
              <w:pStyle w:val="TableText"/>
              <w:ind w:left="57" w:right="57"/>
            </w:pPr>
            <w:r w:rsidRPr="009E4B46">
              <w:t>General organic and inorganic contaminants (including metals, pesticides):</w:t>
            </w:r>
            <w:r>
              <w:t xml:space="preserve"> </w:t>
            </w:r>
            <w:r w:rsidRPr="009E4B46">
              <w:t>early detection of changes (water column)</w:t>
            </w:r>
            <w:r>
              <w:t>.</w:t>
            </w:r>
          </w:p>
        </w:tc>
        <w:tc>
          <w:tcPr>
            <w:tcW w:w="1531" w:type="pct"/>
          </w:tcPr>
          <w:p w:rsidR="00D139E7" w:rsidRPr="009E4B46" w:rsidP="0044386B" w14:paraId="6EB37398" w14:textId="4EDFBE59">
            <w:pPr>
              <w:pStyle w:val="TableText"/>
              <w:keepNext/>
              <w:ind w:left="57" w:right="196"/>
            </w:pPr>
            <w:r w:rsidRPr="009E4B46">
              <w:t>Physiological or biochemical (sub-organism</w:t>
            </w:r>
            <w:r>
              <w:t>al</w:t>
            </w:r>
            <w:r w:rsidRPr="009E4B46">
              <w:t>) changes</w:t>
            </w:r>
            <w:r w:rsidR="009502B4">
              <w:t xml:space="preserve"> in organisms</w:t>
            </w:r>
          </w:p>
        </w:tc>
        <w:tc>
          <w:tcPr>
            <w:tcW w:w="1531" w:type="pct"/>
          </w:tcPr>
          <w:p w:rsidR="00D139E7" w:rsidRPr="009E4B46" w:rsidP="0044386B" w14:paraId="75668A39" w14:textId="28C03AAD">
            <w:pPr>
              <w:pStyle w:val="TableText"/>
              <w:ind w:left="57" w:right="236"/>
            </w:pPr>
            <w:r>
              <w:t>In addition to the a</w:t>
            </w:r>
            <w:r w:rsidRPr="009E4B46">
              <w:t xml:space="preserve">dvantages </w:t>
            </w:r>
            <w:r>
              <w:t xml:space="preserve">listed under </w:t>
            </w:r>
            <w:r w:rsidR="00B13361">
              <w:t>‘</w:t>
            </w:r>
            <w:r w:rsidRPr="00B13361">
              <w:rPr>
                <w:rStyle w:val="Emphasis"/>
                <w:i w:val="0"/>
                <w:iCs w:val="0"/>
              </w:rPr>
              <w:t>General</w:t>
            </w:r>
            <w:r w:rsidR="00B13361">
              <w:rPr>
                <w:rStyle w:val="Emphasis"/>
                <w:i w:val="0"/>
                <w:iCs w:val="0"/>
              </w:rPr>
              <w:t xml:space="preserve"> </w:t>
            </w:r>
            <w:r w:rsidR="001F75A7">
              <w:rPr>
                <w:rStyle w:val="Emphasis"/>
                <w:i w:val="0"/>
                <w:iCs w:val="0"/>
              </w:rPr>
              <w:t>organic and inorganic contaminants (including metals, pesticides): early detection of changes</w:t>
            </w:r>
            <w:r w:rsidR="00B13361">
              <w:rPr>
                <w:rStyle w:val="Emphasis"/>
                <w:i w:val="0"/>
                <w:iCs w:val="0"/>
              </w:rPr>
              <w:t xml:space="preserve"> (water column and sediments)’</w:t>
            </w:r>
            <w:r>
              <w:t>:</w:t>
            </w:r>
          </w:p>
          <w:p w:rsidR="00D139E7" w:rsidRPr="009E4B46" w:rsidP="0044386B" w14:paraId="79AFD1BC" w14:textId="3701F823">
            <w:pPr>
              <w:pStyle w:val="TableBullet"/>
              <w:ind w:right="236"/>
            </w:pPr>
            <w:r>
              <w:t xml:space="preserve">Physiological or biochemical changes in organisms can </w:t>
            </w:r>
            <w:r w:rsidR="00C96AC5">
              <w:t>i</w:t>
            </w:r>
            <w:r>
              <w:t>ndicate the</w:t>
            </w:r>
            <w:r w:rsidRPr="009E4B46">
              <w:t xml:space="preserve"> bioavailability of </w:t>
            </w:r>
            <w:r>
              <w:t xml:space="preserve">a </w:t>
            </w:r>
            <w:r w:rsidRPr="009E4B46">
              <w:t>contaminant</w:t>
            </w:r>
            <w:r>
              <w:t>.</w:t>
            </w:r>
          </w:p>
        </w:tc>
        <w:tc>
          <w:tcPr>
            <w:tcW w:w="1531" w:type="pct"/>
          </w:tcPr>
          <w:p w:rsidR="00007BB8" w:rsidP="0044386B" w14:paraId="3F47E987" w14:textId="61993473">
            <w:pPr>
              <w:pStyle w:val="TableText"/>
              <w:ind w:left="57" w:right="134"/>
            </w:pPr>
            <w:r>
              <w:t>In addition to the</w:t>
            </w:r>
            <w:r w:rsidRPr="009E4B46">
              <w:t xml:space="preserve"> disadvantages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1F75A7">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D139E7" w:rsidRPr="009E4B46" w:rsidP="0044386B" w14:paraId="383B2075" w14:textId="4D7E0288">
            <w:pPr>
              <w:pStyle w:val="TableBullet"/>
              <w:ind w:right="134"/>
            </w:pPr>
            <w:r>
              <w:t>This indicator m</w:t>
            </w:r>
            <w:r w:rsidRPr="009E4B46">
              <w:t>ay not be specific to particular contaminants</w:t>
            </w:r>
            <w:r>
              <w:t>.</w:t>
            </w:r>
          </w:p>
        </w:tc>
      </w:tr>
      <w:tr w14:paraId="3038DA92" w14:textId="4F58E771" w:rsidTr="0044386B">
        <w:tblPrEx>
          <w:tblW w:w="5000" w:type="pct"/>
          <w:tblCellMar>
            <w:left w:w="0" w:type="dxa"/>
            <w:right w:w="0" w:type="dxa"/>
          </w:tblCellMar>
          <w:tblLook w:val="01E0"/>
        </w:tblPrEx>
        <w:trPr>
          <w:cantSplit/>
          <w:trHeight w:val="622"/>
        </w:trPr>
        <w:tc>
          <w:tcPr>
            <w:tcW w:w="407" w:type="pct"/>
            <w:vMerge/>
          </w:tcPr>
          <w:p w:rsidR="00D139E7" w:rsidRPr="009E4B46" w:rsidP="00C751F5" w14:paraId="5E42863E" w14:textId="77777777">
            <w:pPr>
              <w:pStyle w:val="TableParagraph"/>
              <w:rPr>
                <w:rFonts w:ascii="Times New Roman"/>
                <w:sz w:val="16"/>
                <w:lang w:val="en-AU"/>
              </w:rPr>
            </w:pPr>
          </w:p>
        </w:tc>
        <w:tc>
          <w:tcPr>
            <w:tcW w:w="1531" w:type="pct"/>
          </w:tcPr>
          <w:p w:rsidR="00D139E7" w:rsidRPr="009E4B46" w:rsidP="0044386B" w14:paraId="3924ED90" w14:textId="763404AD">
            <w:pPr>
              <w:pStyle w:val="TableText"/>
              <w:keepNext/>
              <w:ind w:left="57" w:right="196"/>
            </w:pPr>
            <w:r w:rsidRPr="009E4B46">
              <w:t>Whole-body responses of organisms (field and laboratory toxicological assessments of ambient water or effluent): includes lethality, growth, reproduction</w:t>
            </w:r>
          </w:p>
        </w:tc>
        <w:tc>
          <w:tcPr>
            <w:tcW w:w="1531" w:type="pct"/>
            <w:tcBorders>
              <w:bottom w:val="single" w:sz="6" w:space="0" w:color="000000"/>
            </w:tcBorders>
          </w:tcPr>
          <w:p w:rsidR="00C561B8" w:rsidRPr="009E4B46" w:rsidP="0044386B" w14:paraId="4AEA5792" w14:textId="26DDED08">
            <w:pPr>
              <w:pStyle w:val="TableText"/>
              <w:ind w:left="57" w:right="236"/>
            </w:pPr>
            <w:r>
              <w:t>In addition to the a</w:t>
            </w:r>
            <w:r w:rsidRPr="009E4B46">
              <w:t xml:space="preserve">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1F75A7">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D139E7" w:rsidRPr="009E4B46" w:rsidP="0044386B" w14:paraId="241AB906" w14:textId="2ADB126A">
            <w:pPr>
              <w:pStyle w:val="TableBullet"/>
              <w:ind w:right="236"/>
            </w:pPr>
            <w:r>
              <w:t>E</w:t>
            </w:r>
            <w:r w:rsidRPr="009E4B46">
              <w:t xml:space="preserve">ndpoints </w:t>
            </w:r>
            <w:r w:rsidR="00C96AC5">
              <w:t xml:space="preserve">are </w:t>
            </w:r>
            <w:r w:rsidRPr="009E4B46">
              <w:t>regarded as being of greater ecolog</w:t>
            </w:r>
            <w:r>
              <w:t>ical relevance than many other ‘</w:t>
            </w:r>
            <w:r w:rsidRPr="009E4B46">
              <w:t>early</w:t>
            </w:r>
            <w:r w:rsidR="00ED7C0E">
              <w:t>-</w:t>
            </w:r>
            <w:r w:rsidRPr="009E4B46">
              <w:t>detection</w:t>
            </w:r>
            <w:r>
              <w:t>’</w:t>
            </w:r>
            <w:r w:rsidRPr="009E4B46">
              <w:t xml:space="preserve"> methods</w:t>
            </w:r>
            <w:r>
              <w:t>.</w:t>
            </w:r>
          </w:p>
        </w:tc>
        <w:tc>
          <w:tcPr>
            <w:tcW w:w="1531" w:type="pct"/>
            <w:tcBorders>
              <w:bottom w:val="single" w:sz="6" w:space="0" w:color="000000"/>
            </w:tcBorders>
          </w:tcPr>
          <w:p w:rsidR="00431530" w:rsidP="0044386B" w14:paraId="6DCD6E38" w14:textId="315E436D">
            <w:pPr>
              <w:pStyle w:val="TableText"/>
              <w:ind w:left="57" w:right="134"/>
            </w:pPr>
            <w:r>
              <w:t>In addition to the</w:t>
            </w:r>
            <w:r w:rsidRPr="009E4B46">
              <w:t xml:space="preserve"> disadvantages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1F75A7">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D139E7" w:rsidRPr="009E4B46" w:rsidP="0044386B" w14:paraId="20B3CA12" w14:textId="0B7A1849">
            <w:pPr>
              <w:pStyle w:val="TableBullet"/>
              <w:ind w:right="134"/>
            </w:pPr>
            <w:r w:rsidRPr="009E4B46">
              <w:t>Field application</w:t>
            </w:r>
            <w:r w:rsidR="00CB356E">
              <w:t xml:space="preserve"> of this indicator</w:t>
            </w:r>
            <w:r w:rsidRPr="009E4B46">
              <w:t xml:space="preserve"> can be expensive (non</w:t>
            </w:r>
            <w:r w:rsidR="00344122">
              <w:t>-</w:t>
            </w:r>
            <w:r w:rsidRPr="008A0346">
              <w:rPr>
                <w:rStyle w:val="Emphasis"/>
              </w:rPr>
              <w:t>in</w:t>
            </w:r>
            <w:r w:rsidR="00344122">
              <w:rPr>
                <w:rStyle w:val="Emphasis"/>
              </w:rPr>
              <w:t>-</w:t>
            </w:r>
            <w:r w:rsidRPr="008A0346">
              <w:rPr>
                <w:rStyle w:val="Emphasis"/>
              </w:rPr>
              <w:t>situ</w:t>
            </w:r>
            <w:r w:rsidRPr="009E4B46">
              <w:rPr>
                <w:i/>
              </w:rPr>
              <w:t xml:space="preserve"> </w:t>
            </w:r>
            <w:r w:rsidRPr="009E4B46">
              <w:t>methods)</w:t>
            </w:r>
            <w:r>
              <w:t>.</w:t>
            </w:r>
          </w:p>
        </w:tc>
      </w:tr>
      <w:tr w14:paraId="60C06186" w14:textId="2C5BDD39" w:rsidTr="0044386B">
        <w:tblPrEx>
          <w:tblW w:w="5000" w:type="pct"/>
          <w:tblCellMar>
            <w:left w:w="0" w:type="dxa"/>
            <w:right w:w="0" w:type="dxa"/>
          </w:tblCellMar>
          <w:tblLook w:val="01E0"/>
        </w:tblPrEx>
        <w:trPr>
          <w:cantSplit/>
          <w:trHeight w:val="260"/>
        </w:trPr>
        <w:tc>
          <w:tcPr>
            <w:tcW w:w="407" w:type="pct"/>
            <w:vMerge/>
          </w:tcPr>
          <w:p w:rsidR="00D139E7" w:rsidRPr="009E4B46" w:rsidP="00C751F5" w14:paraId="1025E025" w14:textId="77777777">
            <w:pPr>
              <w:pStyle w:val="TableParagraph"/>
              <w:rPr>
                <w:rFonts w:ascii="Times New Roman"/>
                <w:sz w:val="16"/>
                <w:lang w:val="en-AU"/>
              </w:rPr>
            </w:pPr>
          </w:p>
        </w:tc>
        <w:tc>
          <w:tcPr>
            <w:tcW w:w="1531" w:type="pct"/>
            <w:vMerge w:val="restart"/>
          </w:tcPr>
          <w:p w:rsidR="00D139E7" w:rsidRPr="009E4B46" w:rsidP="0044386B" w14:paraId="18149B66" w14:textId="66025F97">
            <w:pPr>
              <w:pStyle w:val="TableText"/>
              <w:keepNext/>
              <w:ind w:left="57" w:right="196"/>
            </w:pPr>
            <w:r w:rsidRPr="009E4B46">
              <w:t>Whole-body responses of organisms (field surveys): abnormalities</w:t>
            </w:r>
          </w:p>
        </w:tc>
        <w:tc>
          <w:tcPr>
            <w:tcW w:w="1531" w:type="pct"/>
            <w:tcBorders>
              <w:top w:val="single" w:sz="6" w:space="0" w:color="000000"/>
              <w:bottom w:val="nil"/>
            </w:tcBorders>
          </w:tcPr>
          <w:p w:rsidR="00D139E7" w:rsidRPr="009E4B46" w:rsidP="0044386B" w14:paraId="699A551E" w14:textId="5BF5E218">
            <w:pPr>
              <w:pStyle w:val="TableText"/>
              <w:ind w:left="57" w:right="236"/>
              <w:rPr>
                <w:i/>
              </w:rPr>
            </w:pPr>
            <w:r>
              <w:t>In addition to the a</w:t>
            </w:r>
            <w:r w:rsidRPr="009E4B46">
              <w:t xml:space="preserve">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1F75A7">
              <w:rPr>
                <w:rStyle w:val="Emphasis"/>
                <w:i w:val="0"/>
                <w:iCs w:val="0"/>
              </w:rPr>
              <w:t xml:space="preserve"> organic and inorganic contaminants (including metals, pesticides): early detection of changes </w:t>
            </w:r>
            <w:r w:rsidR="00C76831">
              <w:rPr>
                <w:rStyle w:val="Emphasis"/>
                <w:i w:val="0"/>
                <w:iCs w:val="0"/>
              </w:rPr>
              <w:t>(water column and sediments)’</w:t>
            </w:r>
            <w:r>
              <w:t>:</w:t>
            </w:r>
          </w:p>
        </w:tc>
        <w:tc>
          <w:tcPr>
            <w:tcW w:w="1531" w:type="pct"/>
            <w:tcBorders>
              <w:top w:val="single" w:sz="6" w:space="0" w:color="000000"/>
              <w:bottom w:val="nil"/>
            </w:tcBorders>
          </w:tcPr>
          <w:p w:rsidR="00D139E7" w:rsidRPr="009E4B46" w:rsidP="0044386B" w14:paraId="5B428E86" w14:textId="65691DED">
            <w:pPr>
              <w:pStyle w:val="TableText"/>
              <w:ind w:left="57" w:right="134"/>
            </w:pPr>
            <w:r>
              <w:t>In addition to the</w:t>
            </w:r>
            <w:r w:rsidRPr="009E4B46">
              <w:t xml:space="preserve"> disadvantages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1F75A7">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tc>
      </w:tr>
      <w:tr w14:paraId="34BDCDB9" w14:textId="23629B13" w:rsidTr="0044386B">
        <w:tblPrEx>
          <w:tblW w:w="5000" w:type="pct"/>
          <w:tblCellMar>
            <w:left w:w="0" w:type="dxa"/>
            <w:right w:w="0" w:type="dxa"/>
          </w:tblCellMar>
          <w:tblLook w:val="01E0"/>
        </w:tblPrEx>
        <w:trPr>
          <w:cantSplit/>
          <w:trHeight w:val="839"/>
        </w:trPr>
        <w:tc>
          <w:tcPr>
            <w:tcW w:w="407" w:type="pct"/>
            <w:vMerge/>
          </w:tcPr>
          <w:p w:rsidR="00D139E7" w:rsidRPr="009E4B46" w:rsidP="00C751F5" w14:paraId="4F6A34A9" w14:textId="77777777">
            <w:pPr>
              <w:pStyle w:val="TableParagraph"/>
              <w:rPr>
                <w:rFonts w:ascii="Times New Roman"/>
                <w:sz w:val="16"/>
                <w:lang w:val="en-AU"/>
              </w:rPr>
            </w:pPr>
          </w:p>
        </w:tc>
        <w:tc>
          <w:tcPr>
            <w:tcW w:w="1531" w:type="pct"/>
            <w:vMerge/>
          </w:tcPr>
          <w:p w:rsidR="00D139E7" w:rsidRPr="009E4B46" w:rsidP="0044386B" w14:paraId="38730F36" w14:textId="77777777">
            <w:pPr>
              <w:pStyle w:val="TableText"/>
              <w:ind w:right="196"/>
              <w:rPr>
                <w:rFonts w:ascii="Times New Roman"/>
              </w:rPr>
            </w:pPr>
          </w:p>
        </w:tc>
        <w:tc>
          <w:tcPr>
            <w:tcW w:w="1531" w:type="pct"/>
            <w:tcBorders>
              <w:top w:val="nil"/>
              <w:bottom w:val="nil"/>
            </w:tcBorders>
          </w:tcPr>
          <w:p w:rsidR="00D139E7" w:rsidRPr="00344122" w:rsidP="0044386B" w14:paraId="311B5FF6" w14:textId="77777777">
            <w:pPr>
              <w:pStyle w:val="TableText"/>
              <w:ind w:left="57" w:right="236"/>
              <w:rPr>
                <w:rStyle w:val="Emphasis"/>
                <w:i w:val="0"/>
                <w:iCs w:val="0"/>
              </w:rPr>
            </w:pPr>
            <w:r w:rsidRPr="00344122">
              <w:rPr>
                <w:rStyle w:val="Emphasis"/>
                <w:i w:val="0"/>
                <w:iCs w:val="0"/>
              </w:rPr>
              <w:t>Frogs</w:t>
            </w:r>
          </w:p>
          <w:p w:rsidR="00D139E7" w:rsidRPr="009E4B46" w:rsidP="0044386B" w14:paraId="023D35F0" w14:textId="1013DF74">
            <w:pPr>
              <w:pStyle w:val="TableBullet"/>
              <w:ind w:right="236"/>
            </w:pPr>
            <w:r w:rsidRPr="009E4B46">
              <w:t xml:space="preserve">Skeletal abnormalities </w:t>
            </w:r>
            <w:r w:rsidR="00C96AC5">
              <w:t xml:space="preserve">are </w:t>
            </w:r>
            <w:r w:rsidRPr="009E4B46">
              <w:t>purported to indicate exposure to low concentrations of contaminants, including metals and radionuclides</w:t>
            </w:r>
            <w:r>
              <w:t>.</w:t>
            </w:r>
          </w:p>
          <w:p w:rsidR="00D139E7" w:rsidRPr="009E4B46" w:rsidP="0044386B" w14:paraId="014AFC4D" w14:textId="5EF6A521">
            <w:pPr>
              <w:pStyle w:val="TableBullet"/>
              <w:ind w:right="236"/>
            </w:pPr>
            <w:r>
              <w:t>See a</w:t>
            </w:r>
            <w:r w:rsidRPr="007B682A">
              <w:t>lso</w:t>
            </w:r>
            <w:r>
              <w:t>:</w:t>
            </w:r>
            <w:r w:rsidR="0060244E">
              <w:t xml:space="preserve"> advantages listed for frogs </w:t>
            </w:r>
            <w:r>
              <w:t>in</w:t>
            </w:r>
            <w:r w:rsidRPr="007B682A">
              <w:t xml:space="preserve"> </w:t>
            </w:r>
            <w:r w:rsidRPr="00344122" w:rsidR="00344122">
              <w:rPr>
                <w:i/>
                <w:iCs/>
              </w:rPr>
              <w:t>‘</w:t>
            </w:r>
            <w:r w:rsidRPr="00344122" w:rsidR="0060244E">
              <w:rPr>
                <w:rStyle w:val="Emphasis"/>
                <w:i w:val="0"/>
                <w:iCs w:val="0"/>
              </w:rPr>
              <w:t>General organic and inorganic contaminants (including metals, pesticides): changes to biodiversity</w:t>
            </w:r>
            <w:r w:rsidRPr="00344122" w:rsidR="00344122">
              <w:rPr>
                <w:rStyle w:val="Emphasis"/>
                <w:i w:val="0"/>
                <w:iCs w:val="0"/>
              </w:rPr>
              <w:t>’</w:t>
            </w:r>
            <w:r w:rsidRPr="0060244E" w:rsidR="0060244E">
              <w:t>.</w:t>
            </w:r>
          </w:p>
        </w:tc>
        <w:tc>
          <w:tcPr>
            <w:tcW w:w="1531" w:type="pct"/>
            <w:tcBorders>
              <w:top w:val="nil"/>
              <w:bottom w:val="nil"/>
            </w:tcBorders>
          </w:tcPr>
          <w:p w:rsidR="00D139E7" w:rsidRPr="00344122" w:rsidP="0044386B" w14:paraId="77B7B3EC" w14:textId="77777777">
            <w:pPr>
              <w:pStyle w:val="TableText"/>
              <w:ind w:left="57" w:right="134"/>
              <w:rPr>
                <w:rStyle w:val="Emphasis"/>
                <w:i w:val="0"/>
                <w:iCs w:val="0"/>
              </w:rPr>
            </w:pPr>
            <w:r w:rsidRPr="00344122">
              <w:rPr>
                <w:rStyle w:val="Emphasis"/>
                <w:i w:val="0"/>
                <w:iCs w:val="0"/>
              </w:rPr>
              <w:t>Frogs</w:t>
            </w:r>
          </w:p>
          <w:p w:rsidR="00007BB8" w:rsidRPr="00007BB8" w:rsidP="0044386B" w14:paraId="18E3ED10" w14:textId="70193E50">
            <w:pPr>
              <w:pStyle w:val="TableBullet"/>
              <w:ind w:right="134"/>
              <w:rPr>
                <w:rStyle w:val="Emphasis"/>
                <w:i w:val="0"/>
              </w:rPr>
            </w:pPr>
            <w:r>
              <w:t>See a</w:t>
            </w:r>
            <w:r w:rsidRPr="007B682A">
              <w:t>lso</w:t>
            </w:r>
            <w:r>
              <w:t>: disadvantages listed for frogs in</w:t>
            </w:r>
            <w:r w:rsidRPr="007B682A">
              <w:t xml:space="preserve"> </w:t>
            </w:r>
            <w:r w:rsidRPr="00344122" w:rsidR="00344122">
              <w:rPr>
                <w:i/>
                <w:iCs/>
              </w:rPr>
              <w:t>‘</w:t>
            </w:r>
            <w:r w:rsidRPr="00344122">
              <w:rPr>
                <w:rStyle w:val="Emphasis"/>
                <w:i w:val="0"/>
                <w:iCs w:val="0"/>
              </w:rPr>
              <w:t>General organic and inorganic contaminants (including metals, pesticides): changes to biodiversity</w:t>
            </w:r>
            <w:r w:rsidRPr="00344122" w:rsidR="00344122">
              <w:rPr>
                <w:rStyle w:val="Emphasis"/>
                <w:i w:val="0"/>
                <w:iCs w:val="0"/>
              </w:rPr>
              <w:t>’</w:t>
            </w:r>
            <w:r w:rsidRPr="0060244E">
              <w:t>.</w:t>
            </w:r>
          </w:p>
        </w:tc>
      </w:tr>
      <w:tr w14:paraId="2F05BE5E" w14:textId="7B0A4B63" w:rsidTr="0044386B">
        <w:tblPrEx>
          <w:tblW w:w="5000" w:type="pct"/>
          <w:tblCellMar>
            <w:left w:w="0" w:type="dxa"/>
            <w:right w:w="0" w:type="dxa"/>
          </w:tblCellMar>
          <w:tblLook w:val="01E0"/>
        </w:tblPrEx>
        <w:trPr>
          <w:cantSplit/>
          <w:trHeight w:val="981"/>
        </w:trPr>
        <w:tc>
          <w:tcPr>
            <w:tcW w:w="407" w:type="pct"/>
            <w:vMerge/>
          </w:tcPr>
          <w:p w:rsidR="00D139E7" w:rsidRPr="009E4B46" w:rsidP="00C751F5" w14:paraId="708A0212" w14:textId="77777777">
            <w:pPr>
              <w:pStyle w:val="TableParagraph"/>
              <w:rPr>
                <w:rFonts w:ascii="Times New Roman"/>
                <w:sz w:val="14"/>
                <w:lang w:val="en-AU"/>
              </w:rPr>
            </w:pPr>
          </w:p>
        </w:tc>
        <w:tc>
          <w:tcPr>
            <w:tcW w:w="1531" w:type="pct"/>
            <w:vMerge/>
          </w:tcPr>
          <w:p w:rsidR="00D139E7" w:rsidRPr="009E4B46" w:rsidP="0044386B" w14:paraId="797E71B9" w14:textId="77777777">
            <w:pPr>
              <w:pStyle w:val="TableText"/>
              <w:ind w:right="196"/>
              <w:rPr>
                <w:rFonts w:ascii="Times New Roman"/>
                <w:sz w:val="14"/>
              </w:rPr>
            </w:pPr>
          </w:p>
        </w:tc>
        <w:tc>
          <w:tcPr>
            <w:tcW w:w="1531" w:type="pct"/>
            <w:tcBorders>
              <w:top w:val="nil"/>
              <w:bottom w:val="nil"/>
            </w:tcBorders>
          </w:tcPr>
          <w:p w:rsidR="00D139E7" w:rsidRPr="00344122" w:rsidP="0044386B" w14:paraId="02DDAE23" w14:textId="0CAE06A3">
            <w:pPr>
              <w:pStyle w:val="TableText"/>
              <w:ind w:left="57" w:right="236"/>
              <w:rPr>
                <w:rStyle w:val="Emphasis"/>
                <w:i w:val="0"/>
                <w:iCs w:val="0"/>
              </w:rPr>
            </w:pPr>
            <w:r w:rsidRPr="00344122">
              <w:rPr>
                <w:rStyle w:val="Emphasis"/>
                <w:i w:val="0"/>
                <w:iCs w:val="0"/>
              </w:rPr>
              <w:t>Birds (eggshell thinning)</w:t>
            </w:r>
          </w:p>
          <w:p w:rsidR="00D139E7" w:rsidRPr="00577DBF" w:rsidP="0044386B" w14:paraId="5DC022D9" w14:textId="18EF754D">
            <w:pPr>
              <w:pStyle w:val="TableBullet"/>
              <w:ind w:right="236"/>
              <w:rPr>
                <w:rStyle w:val="Emphasis"/>
              </w:rPr>
            </w:pPr>
            <w:r>
              <w:t>Responses linked to specific</w:t>
            </w:r>
            <w:r w:rsidRPr="009E4B46" w:rsidR="003B398F">
              <w:t xml:space="preserve"> contaminants</w:t>
            </w:r>
            <w:r w:rsidR="003B398F">
              <w:t>.</w:t>
            </w:r>
          </w:p>
        </w:tc>
        <w:tc>
          <w:tcPr>
            <w:tcW w:w="1531" w:type="pct"/>
            <w:tcBorders>
              <w:top w:val="nil"/>
              <w:bottom w:val="nil"/>
            </w:tcBorders>
          </w:tcPr>
          <w:p w:rsidR="00007BB8" w:rsidRPr="00344122" w:rsidP="0044386B" w14:paraId="4AC62FB4" w14:textId="6147070F">
            <w:pPr>
              <w:pStyle w:val="TableText"/>
              <w:ind w:left="57" w:right="134"/>
              <w:rPr>
                <w:rStyle w:val="Emphasis"/>
                <w:i w:val="0"/>
                <w:iCs w:val="0"/>
              </w:rPr>
            </w:pPr>
            <w:r w:rsidRPr="00344122">
              <w:rPr>
                <w:rStyle w:val="Emphasis"/>
                <w:i w:val="0"/>
                <w:iCs w:val="0"/>
              </w:rPr>
              <w:t>Birds (eggshell thinning)</w:t>
            </w:r>
          </w:p>
          <w:p w:rsidR="004D5497" w:rsidRPr="009E4B46" w:rsidP="0044386B" w14:paraId="0814FC42" w14:textId="3BFC45B9">
            <w:pPr>
              <w:pStyle w:val="TableBullet"/>
              <w:ind w:right="134"/>
            </w:pPr>
            <w:r>
              <w:t xml:space="preserve">Effects </w:t>
            </w:r>
            <w:r w:rsidR="0099548F">
              <w:t>are</w:t>
            </w:r>
            <w:r>
              <w:t xml:space="preserve"> s</w:t>
            </w:r>
            <w:r w:rsidRPr="009E4B46">
              <w:t>ub</w:t>
            </w:r>
            <w:r>
              <w:t>-</w:t>
            </w:r>
            <w:r w:rsidRPr="009E4B46">
              <w:t xml:space="preserve">lethal but </w:t>
            </w:r>
            <w:r w:rsidR="0099548F">
              <w:t>may</w:t>
            </w:r>
            <w:r>
              <w:t xml:space="preserve"> show a</w:t>
            </w:r>
            <w:r w:rsidRPr="009E4B46">
              <w:t xml:space="preserve"> slow</w:t>
            </w:r>
            <w:r>
              <w:t xml:space="preserve"> or </w:t>
            </w:r>
            <w:r w:rsidRPr="009E4B46">
              <w:t>lagged response</w:t>
            </w:r>
            <w:r>
              <w:t>.</w:t>
            </w:r>
          </w:p>
          <w:p w:rsidR="00D139E7" w:rsidP="0044386B" w14:paraId="048B3FE9" w14:textId="0AF82B00">
            <w:pPr>
              <w:pStyle w:val="TableBullet"/>
              <w:ind w:right="134"/>
            </w:pPr>
            <w:r>
              <w:t>Birds are highly mobile, so</w:t>
            </w:r>
            <w:r w:rsidR="00C96AC5">
              <w:t xml:space="preserve"> </w:t>
            </w:r>
            <w:r w:rsidRPr="009E4B46">
              <w:t>site-specific assessments may not be possible</w:t>
            </w:r>
            <w:r>
              <w:t>.</w:t>
            </w:r>
          </w:p>
          <w:p w:rsidR="004D5497" w:rsidRPr="00007BB8" w:rsidP="0044386B" w14:paraId="54FB073B" w14:textId="36499D56">
            <w:pPr>
              <w:pStyle w:val="TableBullet"/>
              <w:ind w:right="134"/>
              <w:rPr>
                <w:rStyle w:val="Emphasis"/>
                <w:i w:val="0"/>
                <w:u w:val="single"/>
              </w:rPr>
            </w:pPr>
            <w:r>
              <w:t>High specificity to contaminant classes limits applicability</w:t>
            </w:r>
            <w:r w:rsidR="003B398F">
              <w:t>.</w:t>
            </w:r>
          </w:p>
        </w:tc>
      </w:tr>
      <w:tr w14:paraId="1B219183" w14:textId="3D513C6C" w:rsidTr="0044386B">
        <w:tblPrEx>
          <w:tblW w:w="5000" w:type="pct"/>
          <w:tblCellMar>
            <w:left w:w="0" w:type="dxa"/>
            <w:right w:w="0" w:type="dxa"/>
          </w:tblCellMar>
          <w:tblLook w:val="01E0"/>
        </w:tblPrEx>
        <w:trPr>
          <w:cantSplit/>
          <w:trHeight w:val="763"/>
        </w:trPr>
        <w:tc>
          <w:tcPr>
            <w:tcW w:w="407" w:type="pct"/>
            <w:vMerge/>
          </w:tcPr>
          <w:p w:rsidR="00D139E7" w:rsidRPr="009E4B46" w:rsidP="00C751F5" w14:paraId="0A64E655" w14:textId="77777777">
            <w:pPr>
              <w:pStyle w:val="TableParagraph"/>
              <w:rPr>
                <w:rFonts w:ascii="Times New Roman"/>
                <w:sz w:val="14"/>
                <w:lang w:val="en-AU"/>
              </w:rPr>
            </w:pPr>
          </w:p>
        </w:tc>
        <w:tc>
          <w:tcPr>
            <w:tcW w:w="1531" w:type="pct"/>
            <w:vMerge/>
          </w:tcPr>
          <w:p w:rsidR="00D139E7" w:rsidRPr="009E4B46" w:rsidP="0044386B" w14:paraId="5BE4F79C" w14:textId="77777777">
            <w:pPr>
              <w:pStyle w:val="TableText"/>
              <w:ind w:right="196"/>
              <w:rPr>
                <w:rFonts w:ascii="Times New Roman"/>
                <w:sz w:val="14"/>
              </w:rPr>
            </w:pPr>
          </w:p>
        </w:tc>
        <w:tc>
          <w:tcPr>
            <w:tcW w:w="1531" w:type="pct"/>
            <w:tcBorders>
              <w:top w:val="nil"/>
            </w:tcBorders>
          </w:tcPr>
          <w:p w:rsidR="00D139E7" w:rsidRPr="00344122" w:rsidP="0044386B" w14:paraId="79FC065E" w14:textId="77777777">
            <w:pPr>
              <w:pStyle w:val="TableText"/>
              <w:ind w:left="57" w:right="236"/>
              <w:rPr>
                <w:rStyle w:val="Emphasis"/>
                <w:i w:val="0"/>
                <w:iCs w:val="0"/>
              </w:rPr>
            </w:pPr>
            <w:r w:rsidRPr="00344122">
              <w:rPr>
                <w:rStyle w:val="Emphasis"/>
                <w:i w:val="0"/>
                <w:iCs w:val="0"/>
              </w:rPr>
              <w:t>Imposex in gastropods</w:t>
            </w:r>
          </w:p>
          <w:p w:rsidR="00D139E7" w:rsidRPr="009E4B46" w:rsidP="0044386B" w14:paraId="548D372A" w14:textId="3BF41EB7">
            <w:pPr>
              <w:pStyle w:val="TableBullet"/>
              <w:ind w:right="236"/>
            </w:pPr>
            <w:r>
              <w:t>There is a d</w:t>
            </w:r>
            <w:r w:rsidRPr="009E4B46">
              <w:t xml:space="preserve">irect relationship </w:t>
            </w:r>
            <w:r w:rsidR="00B63BF6">
              <w:t>between</w:t>
            </w:r>
            <w:r w:rsidRPr="009E4B46">
              <w:t xml:space="preserve"> exposure </w:t>
            </w:r>
            <w:r w:rsidR="00B63BF6">
              <w:t>and</w:t>
            </w:r>
            <w:r w:rsidRPr="009E4B46">
              <w:t xml:space="preserve"> organotins</w:t>
            </w:r>
            <w:r>
              <w:t>.</w:t>
            </w:r>
          </w:p>
          <w:p w:rsidR="00D139E7" w:rsidRPr="009E4B46" w:rsidP="0044386B" w14:paraId="488A1934" w14:textId="07C94AB4">
            <w:pPr>
              <w:pStyle w:val="TableBullet"/>
              <w:ind w:right="236"/>
            </w:pPr>
            <w:r>
              <w:t>Gastropods have l</w:t>
            </w:r>
            <w:r w:rsidRPr="009E4B46">
              <w:t>imited mobility</w:t>
            </w:r>
            <w:r>
              <w:t>,</w:t>
            </w:r>
            <w:r w:rsidRPr="009E4B46">
              <w:t xml:space="preserve"> allowing</w:t>
            </w:r>
            <w:r>
              <w:t xml:space="preserve"> for</w:t>
            </w:r>
            <w:r w:rsidRPr="009E4B46">
              <w:t xml:space="preserve"> effective spatial analyses of disturbance effects</w:t>
            </w:r>
            <w:r>
              <w:t>.</w:t>
            </w:r>
          </w:p>
          <w:p w:rsidR="00D139E7" w:rsidRPr="00577DBF" w:rsidP="0044386B" w14:paraId="12532791" w14:textId="2437E4D0">
            <w:pPr>
              <w:pStyle w:val="TableBullet"/>
              <w:ind w:right="236"/>
              <w:rPr>
                <w:rStyle w:val="Emphasis"/>
              </w:rPr>
            </w:pPr>
            <w:r w:rsidRPr="009E4B46">
              <w:t>Robust models</w:t>
            </w:r>
            <w:r w:rsidR="00911036">
              <w:t xml:space="preserve"> and </w:t>
            </w:r>
            <w:r w:rsidRPr="009E4B46">
              <w:t>concepts</w:t>
            </w:r>
            <w:r w:rsidR="00B63BF6">
              <w:t xml:space="preserve"> are available</w:t>
            </w:r>
            <w:r w:rsidR="00C96AC5">
              <w:t xml:space="preserve"> for this indicator</w:t>
            </w:r>
            <w:r>
              <w:t>.</w:t>
            </w:r>
          </w:p>
        </w:tc>
        <w:tc>
          <w:tcPr>
            <w:tcW w:w="1531" w:type="pct"/>
            <w:tcBorders>
              <w:top w:val="nil"/>
            </w:tcBorders>
          </w:tcPr>
          <w:p w:rsidR="00007BB8" w:rsidRPr="00344122" w:rsidP="0044386B" w14:paraId="7BAB5A64" w14:textId="77777777">
            <w:pPr>
              <w:pStyle w:val="TableText"/>
              <w:ind w:left="57" w:right="134"/>
              <w:rPr>
                <w:rStyle w:val="Emphasis"/>
                <w:i w:val="0"/>
                <w:iCs w:val="0"/>
              </w:rPr>
            </w:pPr>
            <w:r w:rsidRPr="00344122">
              <w:rPr>
                <w:rStyle w:val="Emphasis"/>
                <w:i w:val="0"/>
                <w:iCs w:val="0"/>
              </w:rPr>
              <w:t>Imposex in gastropods</w:t>
            </w:r>
          </w:p>
          <w:p w:rsidR="00D139E7" w:rsidRPr="00007BB8" w:rsidP="0044386B" w14:paraId="7087DAD7" w14:textId="502E9FC5">
            <w:pPr>
              <w:pStyle w:val="TableBullet"/>
              <w:ind w:right="134"/>
              <w:rPr>
                <w:rStyle w:val="Emphasis"/>
                <w:i w:val="0"/>
              </w:rPr>
            </w:pPr>
            <w:r>
              <w:t>The o</w:t>
            </w:r>
            <w:r w:rsidRPr="009E4B46">
              <w:t>bserved effects require laboratory verification of response thresholds for the species concerned</w:t>
            </w:r>
            <w:r>
              <w:t>.</w:t>
            </w:r>
          </w:p>
        </w:tc>
      </w:tr>
      <w:tr w14:paraId="62D6B7D1" w14:textId="26E3619E" w:rsidTr="0044386B">
        <w:tblPrEx>
          <w:tblW w:w="5000" w:type="pct"/>
          <w:tblCellMar>
            <w:left w:w="0" w:type="dxa"/>
            <w:right w:w="0" w:type="dxa"/>
          </w:tblCellMar>
          <w:tblLook w:val="01E0"/>
        </w:tblPrEx>
        <w:trPr>
          <w:cantSplit/>
          <w:trHeight w:val="668"/>
        </w:trPr>
        <w:tc>
          <w:tcPr>
            <w:tcW w:w="407" w:type="pct"/>
            <w:vMerge/>
          </w:tcPr>
          <w:p w:rsidR="00D139E7" w:rsidRPr="009E4B46" w:rsidP="00C751F5" w14:paraId="71D80C07" w14:textId="77777777">
            <w:pPr>
              <w:pStyle w:val="TableParagraph"/>
              <w:rPr>
                <w:rFonts w:ascii="Times New Roman"/>
                <w:sz w:val="16"/>
                <w:lang w:val="en-AU"/>
              </w:rPr>
            </w:pPr>
          </w:p>
        </w:tc>
        <w:tc>
          <w:tcPr>
            <w:tcW w:w="1531" w:type="pct"/>
          </w:tcPr>
          <w:p w:rsidR="00D139E7" w:rsidRPr="009E4B46" w:rsidP="0044386B" w14:paraId="085266A7" w14:textId="27B43510">
            <w:pPr>
              <w:pStyle w:val="TableText"/>
              <w:keepNext/>
              <w:ind w:left="57" w:right="196"/>
            </w:pPr>
            <w:r w:rsidRPr="009E4B46">
              <w:t>Sentinel organisms (bioaccumulation, body burdens): includes macrophytes, long-lived invertebrates (molluscs, crustaceans), fish</w:t>
            </w:r>
          </w:p>
        </w:tc>
        <w:tc>
          <w:tcPr>
            <w:tcW w:w="1531" w:type="pct"/>
          </w:tcPr>
          <w:p w:rsidR="00D139E7" w:rsidRPr="009E4B46" w:rsidP="0044386B" w14:paraId="5C38BCC1" w14:textId="7A5A002C">
            <w:pPr>
              <w:pStyle w:val="TableBullet"/>
              <w:ind w:right="236"/>
            </w:pPr>
            <w:r>
              <w:t>The s</w:t>
            </w:r>
            <w:r w:rsidRPr="009E4B46">
              <w:t>pecies selected can absorb or adsorb high concentrations of contaminants without direct toxicity</w:t>
            </w:r>
            <w:r>
              <w:t>.</w:t>
            </w:r>
          </w:p>
          <w:p w:rsidR="00D139E7" w:rsidRPr="009E4B46" w:rsidP="0044386B" w14:paraId="07AE18C6" w14:textId="786F8842">
            <w:pPr>
              <w:pStyle w:val="TableBullet"/>
              <w:ind w:right="236"/>
            </w:pPr>
            <w:r>
              <w:t>Sentinel organisms p</w:t>
            </w:r>
            <w:r w:rsidRPr="009E4B46">
              <w:t>rovide</w:t>
            </w:r>
            <w:r>
              <w:t xml:space="preserve"> an</w:t>
            </w:r>
            <w:r w:rsidRPr="009E4B46">
              <w:t xml:space="preserve"> indication of </w:t>
            </w:r>
            <w:r>
              <w:t xml:space="preserve">the </w:t>
            </w:r>
            <w:r w:rsidRPr="009E4B46">
              <w:t>bioavailability of contaminants</w:t>
            </w:r>
            <w:r>
              <w:t>.</w:t>
            </w:r>
          </w:p>
          <w:p w:rsidR="00D139E7" w:rsidRPr="009E4B46" w:rsidP="0044386B" w14:paraId="3CD56D81" w14:textId="1909141E">
            <w:pPr>
              <w:pStyle w:val="TableBullet"/>
              <w:ind w:right="236"/>
            </w:pPr>
            <w:r w:rsidRPr="009E4B46">
              <w:t>Method</w:t>
            </w:r>
            <w:r>
              <w:t>s</w:t>
            </w:r>
            <w:r w:rsidRPr="009E4B46">
              <w:t xml:space="preserve"> </w:t>
            </w:r>
            <w:r w:rsidR="00CB356E">
              <w:t xml:space="preserve">for sentinel organisms are </w:t>
            </w:r>
            <w:r w:rsidRPr="009E4B46">
              <w:t>well established.</w:t>
            </w:r>
          </w:p>
        </w:tc>
        <w:tc>
          <w:tcPr>
            <w:tcW w:w="1531" w:type="pct"/>
          </w:tcPr>
          <w:p w:rsidR="00D139E7" w:rsidP="0044386B" w14:paraId="10D73794" w14:textId="77777777">
            <w:pPr>
              <w:pStyle w:val="TableBullet"/>
              <w:ind w:right="134"/>
            </w:pPr>
            <w:r w:rsidRPr="009E4B46">
              <w:t xml:space="preserve">Some </w:t>
            </w:r>
            <w:r>
              <w:t>waters</w:t>
            </w:r>
            <w:r w:rsidRPr="009E4B46">
              <w:t xml:space="preserve"> may lack </w:t>
            </w:r>
            <w:r w:rsidR="00CB356E">
              <w:t xml:space="preserve">an </w:t>
            </w:r>
            <w:r w:rsidRPr="009E4B46">
              <w:t xml:space="preserve">indicator </w:t>
            </w:r>
            <w:r w:rsidR="00CB356E">
              <w:t xml:space="preserve">organism </w:t>
            </w:r>
            <w:r w:rsidRPr="009E4B46">
              <w:t>of sufficiently large size or age.</w:t>
            </w:r>
          </w:p>
          <w:p w:rsidR="00C205F8" w:rsidRPr="009E4B46" w:rsidP="0044386B" w14:paraId="7C24B972" w14:textId="414072D8">
            <w:pPr>
              <w:pStyle w:val="TableBullet"/>
              <w:ind w:right="134"/>
            </w:pPr>
            <w:r>
              <w:t>For correct interpretation, knowledge on whether or not the contaminant bioaccumulates and the retention time in the organism must be determined.</w:t>
            </w:r>
          </w:p>
        </w:tc>
      </w:tr>
      <w:tr w14:paraId="4239A737" w14:textId="27EB3C75" w:rsidTr="0044386B">
        <w:tblPrEx>
          <w:tblW w:w="5000" w:type="pct"/>
          <w:tblCellMar>
            <w:left w:w="0" w:type="dxa"/>
            <w:right w:w="0" w:type="dxa"/>
          </w:tblCellMar>
          <w:tblLook w:val="01E0"/>
        </w:tblPrEx>
        <w:trPr>
          <w:cantSplit/>
          <w:trHeight w:val="865"/>
        </w:trPr>
        <w:tc>
          <w:tcPr>
            <w:tcW w:w="407" w:type="pct"/>
            <w:vMerge w:val="restart"/>
          </w:tcPr>
          <w:p w:rsidR="00D139E7" w:rsidRPr="009E4B46" w:rsidP="002A7C96" w14:paraId="6256B17A" w14:textId="77777777">
            <w:pPr>
              <w:pStyle w:val="TableText"/>
              <w:ind w:left="57" w:right="57"/>
            </w:pPr>
            <w:r w:rsidRPr="009E4B46">
              <w:t>General organic and inorganic contaminants (including metals, pesticides):</w:t>
            </w:r>
            <w:r>
              <w:t xml:space="preserve"> </w:t>
            </w:r>
            <w:r w:rsidRPr="009E4B46">
              <w:t>early detection of changes (sediments)</w:t>
            </w:r>
            <w:r>
              <w:t>.</w:t>
            </w:r>
          </w:p>
        </w:tc>
        <w:tc>
          <w:tcPr>
            <w:tcW w:w="1531" w:type="pct"/>
          </w:tcPr>
          <w:p w:rsidR="00D139E7" w:rsidRPr="009E4B46" w:rsidP="0044386B" w14:paraId="32E38C62" w14:textId="5BD29D4A">
            <w:pPr>
              <w:pStyle w:val="TableText"/>
              <w:keepNext/>
              <w:ind w:left="57" w:right="196"/>
            </w:pPr>
            <w:r>
              <w:t>‘</w:t>
            </w:r>
            <w:r w:rsidRPr="009E4B46">
              <w:t>Whole-sediment</w:t>
            </w:r>
            <w:r>
              <w:t>’</w:t>
            </w:r>
            <w:r w:rsidRPr="009E4B46">
              <w:t xml:space="preserve"> laboratory toxicity assessment</w:t>
            </w:r>
          </w:p>
        </w:tc>
        <w:tc>
          <w:tcPr>
            <w:tcW w:w="1531" w:type="pct"/>
          </w:tcPr>
          <w:p w:rsidR="00DE378C" w:rsidP="0044386B" w14:paraId="6304C242" w14:textId="39E915D2">
            <w:pPr>
              <w:pStyle w:val="TableText"/>
              <w:ind w:left="57" w:right="236"/>
            </w:pPr>
            <w:r>
              <w:t>In addition to the a</w:t>
            </w:r>
            <w:r w:rsidRPr="009E4B46">
              <w:t xml:space="preserve">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6D4FEA">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D139E7" w:rsidRPr="009E4B46" w:rsidP="0044386B" w14:paraId="1863A83B" w14:textId="3DF6EF62">
            <w:pPr>
              <w:pStyle w:val="TableBullet"/>
              <w:ind w:right="236"/>
            </w:pPr>
            <w:r>
              <w:t>The e</w:t>
            </w:r>
            <w:r w:rsidRPr="009E4B46">
              <w:t>ndpoints of lethality, growth, reproduction</w:t>
            </w:r>
            <w:r>
              <w:t xml:space="preserve"> have</w:t>
            </w:r>
            <w:r w:rsidRPr="009E4B46">
              <w:t xml:space="preserve"> ecological importance</w:t>
            </w:r>
            <w:r>
              <w:t>.</w:t>
            </w:r>
          </w:p>
        </w:tc>
        <w:tc>
          <w:tcPr>
            <w:tcW w:w="1531" w:type="pct"/>
          </w:tcPr>
          <w:p w:rsidR="00DE378C" w:rsidP="0044386B" w14:paraId="28CC165F" w14:textId="454A5120">
            <w:pPr>
              <w:pStyle w:val="TableText"/>
              <w:ind w:left="57" w:right="134"/>
            </w:pPr>
            <w:r>
              <w:t>In addition to the</w:t>
            </w:r>
            <w:r w:rsidRPr="009E4B46">
              <w:t xml:space="preserve"> disadvantages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6D4FEA">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FF161E" w:rsidRPr="009E4B46" w:rsidP="0044386B" w14:paraId="447F7051" w14:textId="755AA65D">
            <w:pPr>
              <w:pStyle w:val="TableBullet"/>
              <w:ind w:right="134"/>
            </w:pPr>
            <w:r>
              <w:t xml:space="preserve">There are </w:t>
            </w:r>
            <w:r w:rsidR="00BB7D42">
              <w:t>a limited number of</w:t>
            </w:r>
            <w:r w:rsidRPr="009E4B46">
              <w:t xml:space="preserve"> sediment tests available in Australia</w:t>
            </w:r>
            <w:r w:rsidR="00DF68F2">
              <w:t xml:space="preserve"> (see Simpson &amp; Batley 2016)</w:t>
            </w:r>
            <w:r w:rsidR="00C205F8">
              <w:t>.</w:t>
            </w:r>
          </w:p>
          <w:p w:rsidR="00FF161E" w:rsidRPr="009E4B46" w:rsidP="0044386B" w14:paraId="067B1984" w14:textId="04EA8564">
            <w:pPr>
              <w:pStyle w:val="TableBullet"/>
              <w:ind w:right="134"/>
            </w:pPr>
            <w:r w:rsidRPr="009E4B46">
              <w:t>Laboratory results might not accurately reflect effects that can occur at the ecosystem level (i.e. test conditions may not simulate actual environmental conditions</w:t>
            </w:r>
            <w:r>
              <w:t>).</w:t>
            </w:r>
          </w:p>
        </w:tc>
      </w:tr>
      <w:tr w14:paraId="34D41ADC" w14:textId="3B8E9B98" w:rsidTr="0044386B">
        <w:tblPrEx>
          <w:tblW w:w="5000" w:type="pct"/>
          <w:tblCellMar>
            <w:left w:w="0" w:type="dxa"/>
            <w:right w:w="0" w:type="dxa"/>
          </w:tblCellMar>
          <w:tblLook w:val="01E0"/>
        </w:tblPrEx>
        <w:trPr>
          <w:cantSplit/>
          <w:trHeight w:val="571"/>
        </w:trPr>
        <w:tc>
          <w:tcPr>
            <w:tcW w:w="407" w:type="pct"/>
            <w:vMerge/>
          </w:tcPr>
          <w:p w:rsidR="00D139E7" w:rsidRPr="009E4B46" w:rsidP="00C751F5" w14:paraId="38D0C345" w14:textId="77777777">
            <w:pPr>
              <w:pStyle w:val="TableParagraph"/>
              <w:rPr>
                <w:rFonts w:ascii="Times New Roman"/>
                <w:sz w:val="16"/>
                <w:lang w:val="en-AU"/>
              </w:rPr>
            </w:pPr>
          </w:p>
        </w:tc>
        <w:tc>
          <w:tcPr>
            <w:tcW w:w="1531" w:type="pct"/>
          </w:tcPr>
          <w:p w:rsidR="00D139E7" w:rsidRPr="009E4B46" w:rsidP="0044386B" w14:paraId="3BE0032F" w14:textId="53F90330">
            <w:pPr>
              <w:pStyle w:val="TableText"/>
              <w:keepNext/>
              <w:ind w:left="57" w:right="196"/>
            </w:pPr>
            <w:r w:rsidRPr="009E4B46">
              <w:t>Morphological deformities of sediment-dwelling organisms</w:t>
            </w:r>
          </w:p>
        </w:tc>
        <w:tc>
          <w:tcPr>
            <w:tcW w:w="1531" w:type="pct"/>
          </w:tcPr>
          <w:p w:rsidR="00DE378C" w:rsidP="0044386B" w14:paraId="52C6A09A" w14:textId="12FC353D">
            <w:pPr>
              <w:pStyle w:val="TableText"/>
              <w:ind w:left="57" w:right="236"/>
            </w:pPr>
            <w:r>
              <w:t>In addition to the a</w:t>
            </w:r>
            <w:r w:rsidRPr="009E4B46">
              <w:t xml:space="preserve">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6D4FEA">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D139E7" w:rsidRPr="009E4B46" w:rsidP="00111F7F" w14:paraId="1C2AE65C" w14:textId="54A987F5">
            <w:pPr>
              <w:pStyle w:val="TableBullet"/>
              <w:ind w:left="714" w:right="238" w:hanging="357"/>
            </w:pPr>
            <w:r w:rsidRPr="009E4B46">
              <w:t>Method</w:t>
            </w:r>
            <w:r>
              <w:t>s</w:t>
            </w:r>
            <w:r w:rsidRPr="009E4B46">
              <w:t xml:space="preserve"> </w:t>
            </w:r>
            <w:r w:rsidRPr="009E4B46" w:rsidR="00EB1196">
              <w:t xml:space="preserve">for specific groups </w:t>
            </w:r>
            <w:r w:rsidR="00EB1196">
              <w:t xml:space="preserve">are </w:t>
            </w:r>
            <w:r w:rsidRPr="009E4B46">
              <w:t>well established (e.g. chironomids)</w:t>
            </w:r>
            <w:r>
              <w:t>.</w:t>
            </w:r>
          </w:p>
        </w:tc>
        <w:tc>
          <w:tcPr>
            <w:tcW w:w="1531" w:type="pct"/>
          </w:tcPr>
          <w:p w:rsidR="00DE378C" w:rsidP="0044386B" w14:paraId="1D392A64" w14:textId="06D1A271">
            <w:pPr>
              <w:pStyle w:val="TableText"/>
              <w:ind w:left="57" w:right="134"/>
            </w:pPr>
            <w:r>
              <w:t>In addition to the</w:t>
            </w:r>
            <w:r w:rsidRPr="009E4B46">
              <w:t xml:space="preserve"> disadvantages </w:t>
            </w:r>
            <w:r>
              <w:t xml:space="preserve">listed under </w:t>
            </w:r>
            <w:r w:rsidR="00C76831">
              <w:t>‘</w:t>
            </w:r>
            <w:r w:rsidRPr="00B13361" w:rsidR="00C76831">
              <w:rPr>
                <w:rStyle w:val="Emphasis"/>
                <w:i w:val="0"/>
                <w:iCs w:val="0"/>
              </w:rPr>
              <w:t>General</w:t>
            </w:r>
            <w:r w:rsidR="00C76831">
              <w:rPr>
                <w:rStyle w:val="Emphasis"/>
                <w:i w:val="0"/>
                <w:iCs w:val="0"/>
              </w:rPr>
              <w:t xml:space="preserve"> </w:t>
            </w:r>
            <w:r w:rsidR="006D4FEA">
              <w:rPr>
                <w:rStyle w:val="Emphasis"/>
                <w:i w:val="0"/>
                <w:iCs w:val="0"/>
              </w:rPr>
              <w:t>organic and inorganic contaminants (including metals, pesticides): early detection of changes</w:t>
            </w:r>
            <w:r w:rsidR="00C76831">
              <w:rPr>
                <w:rStyle w:val="Emphasis"/>
                <w:i w:val="0"/>
                <w:iCs w:val="0"/>
              </w:rPr>
              <w:t xml:space="preserve"> (water column and sediments)’</w:t>
            </w:r>
            <w:r>
              <w:t>:</w:t>
            </w:r>
          </w:p>
          <w:p w:rsidR="00FF161E" w:rsidRPr="009E4B46" w:rsidP="0044386B" w14:paraId="68F3EA5C" w14:textId="3AF5BF92">
            <w:pPr>
              <w:pStyle w:val="TableBullet"/>
              <w:ind w:right="134"/>
            </w:pPr>
            <w:r>
              <w:t xml:space="preserve">The </w:t>
            </w:r>
            <w:r w:rsidRPr="009E4B46">
              <w:t xml:space="preserve">degree of applicability to specific stressors </w:t>
            </w:r>
            <w:r>
              <w:t>n</w:t>
            </w:r>
            <w:r w:rsidRPr="009E4B46">
              <w:t>eed</w:t>
            </w:r>
            <w:r>
              <w:t>s</w:t>
            </w:r>
            <w:r w:rsidRPr="009E4B46">
              <w:t xml:space="preserve"> to</w:t>
            </w:r>
            <w:r>
              <w:t xml:space="preserve"> be</w:t>
            </w:r>
            <w:r w:rsidRPr="009E4B46">
              <w:t xml:space="preserve"> ascertain</w:t>
            </w:r>
            <w:r>
              <w:t>ed.</w:t>
            </w:r>
          </w:p>
        </w:tc>
      </w:tr>
      <w:tr w14:paraId="7724D9AE" w14:textId="7072CAF2" w:rsidTr="0044386B">
        <w:tblPrEx>
          <w:tblW w:w="5000" w:type="pct"/>
          <w:tblCellMar>
            <w:left w:w="0" w:type="dxa"/>
            <w:right w:w="0" w:type="dxa"/>
          </w:tblCellMar>
          <w:tblLook w:val="01E0"/>
        </w:tblPrEx>
        <w:trPr>
          <w:cantSplit/>
          <w:trHeight w:val="779"/>
        </w:trPr>
        <w:tc>
          <w:tcPr>
            <w:tcW w:w="407" w:type="pct"/>
            <w:vMerge w:val="restart"/>
          </w:tcPr>
          <w:p w:rsidR="00D139E7" w:rsidRPr="009E4B46" w:rsidP="002A7C96" w14:paraId="48172FAE" w14:textId="77777777">
            <w:pPr>
              <w:pStyle w:val="TableText"/>
              <w:ind w:left="57" w:right="57"/>
            </w:pPr>
            <w:r w:rsidRPr="009E4B46">
              <w:t>General organic and inorganic contaminants (including metals, pesticides):</w:t>
            </w:r>
            <w:r>
              <w:t xml:space="preserve"> </w:t>
            </w:r>
            <w:r w:rsidRPr="009E4B46">
              <w:t>changes to biodiversity</w:t>
            </w:r>
            <w:r>
              <w:t>.</w:t>
            </w:r>
          </w:p>
        </w:tc>
        <w:tc>
          <w:tcPr>
            <w:tcW w:w="1531" w:type="pct"/>
          </w:tcPr>
          <w:p w:rsidR="00D139E7" w:rsidRPr="009E4B46" w:rsidP="0044386B" w14:paraId="3C8D042C" w14:textId="00C31E8E">
            <w:pPr>
              <w:pStyle w:val="TableText"/>
              <w:keepNext/>
              <w:ind w:left="57" w:right="196"/>
            </w:pPr>
            <w:r w:rsidRPr="009E4B46">
              <w:t>Algae</w:t>
            </w:r>
          </w:p>
        </w:tc>
        <w:tc>
          <w:tcPr>
            <w:tcW w:w="1531" w:type="pct"/>
          </w:tcPr>
          <w:p w:rsidR="00111F7F" w:rsidP="00111F7F" w14:paraId="3BD4A6AD" w14:textId="77777777">
            <w:pPr>
              <w:pStyle w:val="TableText"/>
              <w:numPr>
                <w:ilvl w:val="0"/>
                <w:numId w:val="15"/>
              </w:numPr>
              <w:ind w:left="714" w:right="238" w:hanging="357"/>
            </w:pPr>
            <w:r>
              <w:t>Other than useful indicators of nutrient enrichment, attached or planktonic algae may be sensitive to salinity, dissolved oxygen, pH</w:t>
            </w:r>
            <w:r w:rsidR="00430C17">
              <w:t xml:space="preserve">, </w:t>
            </w:r>
            <w:r w:rsidR="00545404">
              <w:t xml:space="preserve">suspended solids, </w:t>
            </w:r>
            <w:r w:rsidR="00430C17">
              <w:t>a number of metals, and general contaminant classes including pesticides.</w:t>
            </w:r>
          </w:p>
          <w:p w:rsidR="00111F7F" w:rsidP="00111F7F" w14:paraId="70FD77C9" w14:textId="77777777">
            <w:pPr>
              <w:pStyle w:val="TableText"/>
              <w:numPr>
                <w:ilvl w:val="0"/>
                <w:numId w:val="15"/>
              </w:numPr>
              <w:ind w:left="714" w:right="238" w:hanging="357"/>
            </w:pPr>
            <w:r>
              <w:t>Databases on physiological optima or tolerance to water-quality constituents</w:t>
            </w:r>
            <w:r w:rsidR="00430C17">
              <w:t xml:space="preserve"> of algal species are available.</w:t>
            </w:r>
          </w:p>
          <w:p w:rsidR="00430C17" w:rsidRPr="009E4B46" w:rsidP="00111F7F" w14:paraId="09149F03" w14:textId="0F0C96AF">
            <w:pPr>
              <w:pStyle w:val="TableText"/>
              <w:numPr>
                <w:ilvl w:val="0"/>
                <w:numId w:val="15"/>
              </w:numPr>
              <w:ind w:left="714" w:right="238" w:hanging="357"/>
            </w:pPr>
            <w:r>
              <w:t xml:space="preserve">Algae form the base of many food chains, respond quickly to water quality stressors, are relatively cheap and easy to measure, while attached forms </w:t>
            </w:r>
            <w:r w:rsidRPr="008C35F2">
              <w:t>allow effective spatial analyses of disturbance effects</w:t>
            </w:r>
            <w:r>
              <w:t>.</w:t>
            </w:r>
          </w:p>
        </w:tc>
        <w:tc>
          <w:tcPr>
            <w:tcW w:w="1531" w:type="pct"/>
          </w:tcPr>
          <w:p w:rsidR="00A64DE8" w:rsidRPr="00B524EA" w:rsidP="0044386B" w14:paraId="2E1A79C8" w14:textId="596A0D5F">
            <w:pPr>
              <w:pStyle w:val="TableBullet"/>
              <w:ind w:right="134"/>
            </w:pPr>
            <w:r>
              <w:t>Planktonic forms may be too ‘dilute’</w:t>
            </w:r>
            <w:r w:rsidRPr="00B524EA">
              <w:t xml:space="preserve"> and transported readily in upland portions of streams</w:t>
            </w:r>
            <w:r>
              <w:t>.</w:t>
            </w:r>
          </w:p>
          <w:p w:rsidR="00D139E7" w:rsidP="0044386B" w14:paraId="2B52F33A" w14:textId="77777777">
            <w:pPr>
              <w:pStyle w:val="TableBullet"/>
              <w:ind w:right="134"/>
            </w:pPr>
            <w:r w:rsidRPr="00B524EA">
              <w:t>Spatial and temporal variations in community structure may be very high</w:t>
            </w:r>
            <w:r>
              <w:t>.</w:t>
            </w:r>
          </w:p>
          <w:p w:rsidR="00545404" w:rsidRPr="00B524EA" w:rsidP="0044386B" w14:paraId="7EE0ABF5" w14:textId="7EF960C5">
            <w:pPr>
              <w:pStyle w:val="TableBullet"/>
              <w:ind w:right="134"/>
            </w:pPr>
            <w:r>
              <w:t>Field studies require measurement of nutrients and other indicators of organic enrichment if the effects of other contaminant classes are the subject of investigation</w:t>
            </w:r>
            <w:r w:rsidR="00511FB6">
              <w:t xml:space="preserve"> (i.e. to eliminate or quantify the contribution of these other stressors as causes of effects) </w:t>
            </w:r>
            <w:r>
              <w:t xml:space="preserve">. </w:t>
            </w:r>
          </w:p>
        </w:tc>
      </w:tr>
      <w:tr w14:paraId="6D5C676A" w14:textId="0C31D490" w:rsidTr="0044386B">
        <w:tblPrEx>
          <w:tblW w:w="5000" w:type="pct"/>
          <w:tblCellMar>
            <w:left w:w="0" w:type="dxa"/>
            <w:right w:w="0" w:type="dxa"/>
          </w:tblCellMar>
          <w:tblLook w:val="01E0"/>
        </w:tblPrEx>
        <w:trPr>
          <w:cantSplit/>
          <w:trHeight w:val="805"/>
        </w:trPr>
        <w:tc>
          <w:tcPr>
            <w:tcW w:w="407" w:type="pct"/>
            <w:vMerge/>
          </w:tcPr>
          <w:p w:rsidR="00D139E7" w:rsidRPr="009E4B46" w:rsidP="00C751F5" w14:paraId="5BBFCCC3" w14:textId="77777777">
            <w:pPr>
              <w:rPr>
                <w:sz w:val="2"/>
                <w:szCs w:val="2"/>
              </w:rPr>
            </w:pPr>
          </w:p>
        </w:tc>
        <w:tc>
          <w:tcPr>
            <w:tcW w:w="1531" w:type="pct"/>
          </w:tcPr>
          <w:p w:rsidR="00D139E7" w:rsidRPr="009E4B46" w:rsidP="0044386B" w14:paraId="681F4C0C" w14:textId="42A498EC">
            <w:pPr>
              <w:pStyle w:val="TableText"/>
              <w:keepNext/>
              <w:ind w:left="57" w:right="196"/>
            </w:pPr>
            <w:r w:rsidRPr="009E4B46">
              <w:t>Macrophytes</w:t>
            </w:r>
          </w:p>
        </w:tc>
        <w:tc>
          <w:tcPr>
            <w:tcW w:w="1531" w:type="pct"/>
          </w:tcPr>
          <w:p w:rsidR="00D139E7" w:rsidRPr="009E4B46" w:rsidP="00111F7F" w14:paraId="13B56831" w14:textId="3F8B7DBC">
            <w:pPr>
              <w:pStyle w:val="TableBullet"/>
              <w:ind w:left="372" w:right="236" w:firstLine="0"/>
            </w:pPr>
            <w:r w:rsidRPr="009E4B46">
              <w:t xml:space="preserve">Many species </w:t>
            </w:r>
            <w:r w:rsidR="00EB1196">
              <w:t xml:space="preserve">are </w:t>
            </w:r>
            <w:r w:rsidRPr="009E4B46">
              <w:t>habitat-forming (changes may cascade through system)</w:t>
            </w:r>
            <w:r>
              <w:t>.</w:t>
            </w:r>
          </w:p>
          <w:p w:rsidR="00D139E7" w:rsidRPr="009E4B46" w:rsidP="00111F7F" w14:paraId="316ACEA2" w14:textId="3357DBA1">
            <w:pPr>
              <w:pStyle w:val="TableBullet"/>
            </w:pPr>
            <w:r w:rsidRPr="009E4B46">
              <w:t>Ground</w:t>
            </w:r>
            <w:r w:rsidR="00C76831">
              <w:t>-</w:t>
            </w:r>
            <w:r w:rsidRPr="009E4B46">
              <w:t xml:space="preserve">survey techniques </w:t>
            </w:r>
            <w:r w:rsidR="00EB1196">
              <w:t xml:space="preserve">are </w:t>
            </w:r>
            <w:r w:rsidRPr="009E4B46">
              <w:t>easily applied</w:t>
            </w:r>
            <w:r w:rsidR="00EB1196">
              <w:t>, and</w:t>
            </w:r>
            <w:r w:rsidRPr="009E4B46">
              <w:t xml:space="preserve"> GIS approaches </w:t>
            </w:r>
            <w:r w:rsidR="00EB1196">
              <w:t xml:space="preserve">are </w:t>
            </w:r>
            <w:r w:rsidRPr="009E4B46">
              <w:t>established (emergents)</w:t>
            </w:r>
            <w:r>
              <w:t>.</w:t>
            </w:r>
          </w:p>
          <w:p w:rsidR="00D139E7" w:rsidRPr="009E4B46" w:rsidP="00111F7F" w14:paraId="509B3566" w14:textId="7C510B42">
            <w:pPr>
              <w:pStyle w:val="TableBullet"/>
            </w:pPr>
            <w:r>
              <w:t>U</w:t>
            </w:r>
            <w:r w:rsidRPr="009E4B46">
              <w:t xml:space="preserve">seful </w:t>
            </w:r>
            <w:r w:rsidR="00CD040D">
              <w:t>as indicators of</w:t>
            </w:r>
            <w:r w:rsidRPr="009E4B46" w:rsidR="00CD040D">
              <w:t xml:space="preserve"> </w:t>
            </w:r>
            <w:r w:rsidRPr="009E4B46">
              <w:t>herbicides, suspended solids</w:t>
            </w:r>
            <w:r w:rsidR="00FA3C97">
              <w:t>,</w:t>
            </w:r>
            <w:r w:rsidRPr="009E4B46">
              <w:t xml:space="preserve"> acidification and as</w:t>
            </w:r>
            <w:r w:rsidRPr="009E4B46">
              <w:rPr>
                <w:spacing w:val="2"/>
              </w:rPr>
              <w:t xml:space="preserve"> </w:t>
            </w:r>
            <w:r w:rsidRPr="009E4B46">
              <w:t>bioaccumulators</w:t>
            </w:r>
            <w:r>
              <w:t>.</w:t>
            </w:r>
          </w:p>
        </w:tc>
        <w:tc>
          <w:tcPr>
            <w:tcW w:w="1531" w:type="pct"/>
          </w:tcPr>
          <w:p w:rsidR="00D139E7" w:rsidP="0044386B" w14:paraId="58111B7B" w14:textId="485254F4">
            <w:pPr>
              <w:pStyle w:val="TableBullet"/>
              <w:ind w:right="134"/>
            </w:pPr>
            <w:r>
              <w:t>There is a l</w:t>
            </w:r>
            <w:r w:rsidRPr="009E4B46">
              <w:t>ack of knowledge about population dynamics and how factors other than water quality affect distribution and</w:t>
            </w:r>
            <w:r w:rsidRPr="009E4B46">
              <w:rPr>
                <w:spacing w:val="1"/>
              </w:rPr>
              <w:t xml:space="preserve"> </w:t>
            </w:r>
            <w:r w:rsidRPr="009E4B46">
              <w:t>growth</w:t>
            </w:r>
            <w:r>
              <w:t>.</w:t>
            </w:r>
          </w:p>
          <w:p w:rsidR="00A64DE8" w:rsidRPr="009E4B46" w:rsidP="0044386B" w14:paraId="6EB443D8" w14:textId="0D51F5DA">
            <w:pPr>
              <w:pStyle w:val="TableBullet"/>
              <w:ind w:right="134"/>
            </w:pPr>
            <w:r w:rsidRPr="009E4B46">
              <w:t xml:space="preserve">Few </w:t>
            </w:r>
            <w:r w:rsidR="00925415">
              <w:t>macrophytes</w:t>
            </w:r>
            <w:r w:rsidRPr="009E4B46" w:rsidR="00925415">
              <w:t xml:space="preserve"> </w:t>
            </w:r>
            <w:r w:rsidR="00925415">
              <w:t xml:space="preserve">are </w:t>
            </w:r>
            <w:r w:rsidRPr="009E4B46">
              <w:t>directly sensitive to metals</w:t>
            </w:r>
            <w:r w:rsidR="00925415">
              <w:t xml:space="preserve">, so </w:t>
            </w:r>
            <w:r w:rsidR="006A5664">
              <w:t xml:space="preserve">they are </w:t>
            </w:r>
            <w:r w:rsidR="00FA3C97">
              <w:t>not likely to be</w:t>
            </w:r>
            <w:r w:rsidR="006A5664">
              <w:t xml:space="preserve"> good indicators of metal contamination.</w:t>
            </w:r>
          </w:p>
        </w:tc>
      </w:tr>
      <w:tr w14:paraId="6C6BF83C" w14:textId="149BA3C4" w:rsidTr="0044386B">
        <w:tblPrEx>
          <w:tblW w:w="5000" w:type="pct"/>
          <w:tblCellMar>
            <w:left w:w="0" w:type="dxa"/>
            <w:right w:w="0" w:type="dxa"/>
          </w:tblCellMar>
          <w:tblLook w:val="01E0"/>
        </w:tblPrEx>
        <w:trPr>
          <w:cantSplit/>
          <w:trHeight w:val="581"/>
        </w:trPr>
        <w:tc>
          <w:tcPr>
            <w:tcW w:w="407" w:type="pct"/>
            <w:vMerge/>
          </w:tcPr>
          <w:p w:rsidR="00D139E7" w:rsidRPr="009E4B46" w:rsidP="00C751F5" w14:paraId="0CF833CA" w14:textId="77777777">
            <w:pPr>
              <w:rPr>
                <w:sz w:val="2"/>
                <w:szCs w:val="2"/>
              </w:rPr>
            </w:pPr>
          </w:p>
        </w:tc>
        <w:tc>
          <w:tcPr>
            <w:tcW w:w="1531" w:type="pct"/>
          </w:tcPr>
          <w:p w:rsidR="00D139E7" w:rsidRPr="009E4B46" w:rsidP="0044386B" w14:paraId="28E77D9D" w14:textId="6C105B12">
            <w:pPr>
              <w:pStyle w:val="TableText"/>
              <w:keepNext/>
              <w:ind w:left="57" w:right="196"/>
            </w:pPr>
            <w:r w:rsidRPr="009E4B46">
              <w:t>Zooplankton</w:t>
            </w:r>
            <w:r w:rsidR="00911036">
              <w:t xml:space="preserve"> and other </w:t>
            </w:r>
            <w:r w:rsidRPr="009E4B46">
              <w:t>microfauna</w:t>
            </w:r>
          </w:p>
        </w:tc>
        <w:tc>
          <w:tcPr>
            <w:tcW w:w="1531" w:type="pct"/>
          </w:tcPr>
          <w:p w:rsidR="00D139E7" w:rsidRPr="009E4B46" w:rsidP="00111F7F" w14:paraId="4DF934D0" w14:textId="4A82B6A7">
            <w:pPr>
              <w:pStyle w:val="TableBullet"/>
            </w:pPr>
            <w:r>
              <w:t>Microfauna</w:t>
            </w:r>
            <w:r w:rsidR="00991668">
              <w:t xml:space="preserve"> are s</w:t>
            </w:r>
            <w:r w:rsidRPr="009E4B46">
              <w:t>ensitive to wide range of contaminants with well</w:t>
            </w:r>
            <w:r>
              <w:t>-</w:t>
            </w:r>
            <w:r w:rsidRPr="009E4B46">
              <w:t>established response thresholds from laboratory testing available for some species</w:t>
            </w:r>
            <w:r>
              <w:t>.</w:t>
            </w:r>
          </w:p>
        </w:tc>
        <w:tc>
          <w:tcPr>
            <w:tcW w:w="1531" w:type="pct"/>
          </w:tcPr>
          <w:p w:rsidR="00A64DE8" w:rsidRPr="009E4B46" w:rsidP="0044386B" w14:paraId="0137EB57" w14:textId="13BA2743">
            <w:pPr>
              <w:pStyle w:val="TableBullet"/>
              <w:ind w:right="134"/>
            </w:pPr>
            <w:r w:rsidRPr="009E4B46">
              <w:t>Spatial and temporal variations in community structure may be very</w:t>
            </w:r>
            <w:r w:rsidRPr="009E4B46">
              <w:rPr>
                <w:spacing w:val="4"/>
              </w:rPr>
              <w:t xml:space="preserve"> </w:t>
            </w:r>
            <w:r w:rsidRPr="009E4B46">
              <w:t>high</w:t>
            </w:r>
            <w:r w:rsidR="00615739">
              <w:t>.</w:t>
            </w:r>
          </w:p>
          <w:p w:rsidR="00D139E7" w:rsidRPr="009E4B46" w:rsidP="0044386B" w14:paraId="31E65811" w14:textId="35F514CD">
            <w:pPr>
              <w:pStyle w:val="TableBullet"/>
              <w:ind w:right="134"/>
            </w:pPr>
            <w:r>
              <w:t>Microfauna may be too ‘dilute’</w:t>
            </w:r>
            <w:r w:rsidRPr="009E4B46">
              <w:t xml:space="preserve"> and transported readily in upland portions of</w:t>
            </w:r>
            <w:r w:rsidRPr="009E4B46">
              <w:rPr>
                <w:spacing w:val="1"/>
              </w:rPr>
              <w:t xml:space="preserve"> </w:t>
            </w:r>
            <w:r w:rsidRPr="009E4B46">
              <w:t>streams</w:t>
            </w:r>
            <w:r>
              <w:t>.</w:t>
            </w:r>
          </w:p>
        </w:tc>
      </w:tr>
      <w:tr w14:paraId="4C70DAA1" w14:textId="6CCD510D" w:rsidTr="0044386B">
        <w:tblPrEx>
          <w:tblW w:w="5000" w:type="pct"/>
          <w:tblCellMar>
            <w:left w:w="0" w:type="dxa"/>
            <w:right w:w="0" w:type="dxa"/>
          </w:tblCellMar>
          <w:tblLook w:val="01E0"/>
        </w:tblPrEx>
        <w:trPr>
          <w:cantSplit/>
          <w:trHeight w:val="696"/>
        </w:trPr>
        <w:tc>
          <w:tcPr>
            <w:tcW w:w="407" w:type="pct"/>
            <w:vMerge w:val="restart"/>
          </w:tcPr>
          <w:p w:rsidR="00D139E7" w:rsidRPr="009E4B46" w:rsidP="00076B05" w14:paraId="051F0C7D" w14:textId="77777777">
            <w:pPr>
              <w:pStyle w:val="TableText"/>
              <w:keepNext/>
              <w:keepLines/>
              <w:ind w:left="57" w:right="57"/>
            </w:pPr>
            <w:r w:rsidRPr="009E4B46">
              <w:t>General organic and inorganic contaminants (including metals, pesticides):</w:t>
            </w:r>
            <w:r>
              <w:t xml:space="preserve"> </w:t>
            </w:r>
            <w:r w:rsidRPr="009E4B46">
              <w:t>changes to biodiversity</w:t>
            </w:r>
            <w:r>
              <w:t>.</w:t>
            </w:r>
          </w:p>
        </w:tc>
        <w:tc>
          <w:tcPr>
            <w:tcW w:w="1531" w:type="pct"/>
          </w:tcPr>
          <w:p w:rsidR="00D139E7" w:rsidRPr="009E4B46" w:rsidP="0044386B" w14:paraId="132EC019" w14:textId="77777777">
            <w:pPr>
              <w:pStyle w:val="TableText"/>
              <w:keepNext/>
              <w:keepLines/>
              <w:ind w:left="57" w:right="196"/>
            </w:pPr>
            <w:r w:rsidRPr="009E4B46">
              <w:t>Macroinvertebrates</w:t>
            </w:r>
            <w:r>
              <w:t>:</w:t>
            </w:r>
          </w:p>
          <w:p w:rsidR="00D139E7" w:rsidRPr="009E4B46" w:rsidP="001562CF" w14:paraId="038C4AC3" w14:textId="77777777">
            <w:pPr>
              <w:pStyle w:val="TableBullet"/>
              <w:keepNext/>
              <w:keepLines/>
              <w:ind w:left="341" w:right="196" w:hanging="205"/>
            </w:pPr>
            <w:r w:rsidRPr="009E4B46">
              <w:t>community structure</w:t>
            </w:r>
            <w:r>
              <w:t>.</w:t>
            </w:r>
            <w:r w:rsidRPr="009E4B46">
              <w:t xml:space="preserve"> </w:t>
            </w:r>
          </w:p>
        </w:tc>
        <w:tc>
          <w:tcPr>
            <w:tcW w:w="1531" w:type="pct"/>
          </w:tcPr>
          <w:p w:rsidR="00D139E7" w:rsidRPr="009E4B46" w:rsidP="0044386B" w14:paraId="789021E2" w14:textId="1DDBD02A">
            <w:pPr>
              <w:pStyle w:val="TableBullet"/>
              <w:keepNext/>
              <w:keepLines/>
              <w:ind w:right="236"/>
            </w:pPr>
            <w:r>
              <w:t xml:space="preserve">See advantages listed for macroinvertebrates in </w:t>
            </w:r>
            <w:r w:rsidR="00C76831">
              <w:t>‘</w:t>
            </w:r>
            <w:r w:rsidRPr="00C76831">
              <w:rPr>
                <w:rStyle w:val="Emphasis"/>
                <w:i w:val="0"/>
                <w:iCs w:val="0"/>
              </w:rPr>
              <w:t>Nutrients: changes to biodiversity</w:t>
            </w:r>
            <w:r w:rsidRPr="00C76831" w:rsidR="00C76831">
              <w:rPr>
                <w:rStyle w:val="Emphasis"/>
                <w:i w:val="0"/>
                <w:iCs w:val="0"/>
              </w:rPr>
              <w:t>’</w:t>
            </w:r>
            <w:r>
              <w:t>.</w:t>
            </w:r>
          </w:p>
        </w:tc>
        <w:tc>
          <w:tcPr>
            <w:tcW w:w="1531" w:type="pct"/>
          </w:tcPr>
          <w:p w:rsidR="00A64DE8" w:rsidRPr="009E4B46" w:rsidP="0044386B" w14:paraId="5D9A5BFA" w14:textId="737F42DF">
            <w:pPr>
              <w:pStyle w:val="TableBullet"/>
              <w:keepNext/>
              <w:keepLines/>
              <w:ind w:right="134"/>
            </w:pPr>
            <w:r w:rsidRPr="009E4B46">
              <w:t>Sample processing and identification of samples</w:t>
            </w:r>
            <w:r w:rsidR="00C76831">
              <w:t xml:space="preserve"> is</w:t>
            </w:r>
            <w:r w:rsidRPr="009E4B46">
              <w:t xml:space="preserve"> labour intensive</w:t>
            </w:r>
            <w:r>
              <w:t>.</w:t>
            </w:r>
          </w:p>
          <w:p w:rsidR="00D139E7" w:rsidRPr="009E4B46" w:rsidP="0044386B" w14:paraId="1BAB4780" w14:textId="162BD6C4">
            <w:pPr>
              <w:pStyle w:val="TableBullet"/>
              <w:keepNext/>
              <w:keepLines/>
              <w:ind w:right="134"/>
            </w:pPr>
            <w:r w:rsidRPr="009E4B46">
              <w:t>Adult stages may be very mobile and air breathing, masking passage</w:t>
            </w:r>
            <w:r w:rsidR="00925415">
              <w:t>-</w:t>
            </w:r>
            <w:r w:rsidRPr="009E4B46">
              <w:t>barrier impacts</w:t>
            </w:r>
            <w:r>
              <w:t>,</w:t>
            </w:r>
            <w:r w:rsidRPr="009E4B46">
              <w:t xml:space="preserve"> and may be very insensitive to toxicants if not identified separately from larval phases</w:t>
            </w:r>
            <w:r>
              <w:t>.</w:t>
            </w:r>
          </w:p>
        </w:tc>
      </w:tr>
      <w:tr w14:paraId="31695FC0" w14:textId="14E2C302" w:rsidTr="0044386B">
        <w:tblPrEx>
          <w:tblW w:w="5000" w:type="pct"/>
          <w:tblCellMar>
            <w:left w:w="0" w:type="dxa"/>
            <w:right w:w="0" w:type="dxa"/>
          </w:tblCellMar>
          <w:tblLook w:val="01E0"/>
        </w:tblPrEx>
        <w:trPr>
          <w:cantSplit/>
          <w:trHeight w:val="2367"/>
        </w:trPr>
        <w:tc>
          <w:tcPr>
            <w:tcW w:w="407" w:type="pct"/>
            <w:vMerge/>
          </w:tcPr>
          <w:p w:rsidR="00D139E7" w:rsidRPr="009E4B46" w:rsidP="00076B05" w14:paraId="20803253" w14:textId="77777777">
            <w:pPr>
              <w:pStyle w:val="TableParagraph"/>
              <w:keepNext/>
              <w:keepLines/>
              <w:rPr>
                <w:rFonts w:ascii="Times New Roman"/>
                <w:sz w:val="16"/>
                <w:lang w:val="en-AU"/>
              </w:rPr>
            </w:pPr>
          </w:p>
        </w:tc>
        <w:tc>
          <w:tcPr>
            <w:tcW w:w="1531" w:type="pct"/>
          </w:tcPr>
          <w:p w:rsidR="00D139E7" w:rsidRPr="009E4B46" w:rsidP="0044386B" w14:paraId="711759D7" w14:textId="2ADACBF6">
            <w:pPr>
              <w:pStyle w:val="TableText"/>
              <w:keepNext/>
              <w:keepLines/>
              <w:ind w:left="57" w:right="196"/>
            </w:pPr>
            <w:r w:rsidRPr="009E4B46">
              <w:t>Fish</w:t>
            </w:r>
          </w:p>
        </w:tc>
        <w:tc>
          <w:tcPr>
            <w:tcW w:w="1531" w:type="pct"/>
          </w:tcPr>
          <w:p w:rsidR="00D139E7" w:rsidRPr="009E4B46" w:rsidP="0044386B" w14:paraId="27DE7615" w14:textId="26CF5D08">
            <w:pPr>
              <w:pStyle w:val="TableBullet"/>
              <w:keepNext/>
              <w:keepLines/>
              <w:ind w:right="236"/>
            </w:pPr>
            <w:r>
              <w:t>Fish have a h</w:t>
            </w:r>
            <w:r w:rsidRPr="009E4B46">
              <w:t>igh public profile</w:t>
            </w:r>
            <w:r>
              <w:t>.</w:t>
            </w:r>
          </w:p>
          <w:p w:rsidR="00D139E7" w:rsidP="0044386B" w14:paraId="1C64C98A" w14:textId="60DCF748">
            <w:pPr>
              <w:pStyle w:val="TableBullet"/>
              <w:keepNext/>
              <w:keepLines/>
              <w:ind w:right="236"/>
            </w:pPr>
            <w:r>
              <w:t>Fish are s</w:t>
            </w:r>
            <w:r w:rsidRPr="009E4B46">
              <w:t xml:space="preserve">ensitive to </w:t>
            </w:r>
            <w:r w:rsidR="00FA3C97">
              <w:t xml:space="preserve">a </w:t>
            </w:r>
            <w:r w:rsidRPr="009E4B46">
              <w:t>wide range of contaminants</w:t>
            </w:r>
            <w:r>
              <w:t>.</w:t>
            </w:r>
          </w:p>
          <w:p w:rsidR="009502B4" w:rsidRPr="009E4B46" w:rsidP="0044386B" w14:paraId="22840CAB" w14:textId="1FC18759">
            <w:pPr>
              <w:pStyle w:val="TableBullet"/>
              <w:keepNext/>
              <w:keepLines/>
              <w:ind w:right="236"/>
            </w:pPr>
            <w:r>
              <w:t xml:space="preserve">Fish are long-lived </w:t>
            </w:r>
            <w:r w:rsidR="003F08E5">
              <w:t xml:space="preserve">and </w:t>
            </w:r>
            <w:r>
              <w:t xml:space="preserve">so </w:t>
            </w:r>
            <w:r w:rsidR="00FA3C97">
              <w:t xml:space="preserve">exposures can be </w:t>
            </w:r>
            <w:r>
              <w:t xml:space="preserve">long-term. </w:t>
            </w:r>
          </w:p>
          <w:p w:rsidR="00D139E7" w:rsidRPr="009E4B46" w:rsidP="0044386B" w14:paraId="619478AA" w14:textId="7DC8EE0C">
            <w:pPr>
              <w:pStyle w:val="TableBullet"/>
              <w:keepNext/>
              <w:keepLines/>
              <w:ind w:right="236"/>
            </w:pPr>
            <w:r w:rsidRPr="009E4B46">
              <w:t xml:space="preserve">Taxonomy </w:t>
            </w:r>
            <w:r w:rsidR="00925415">
              <w:t xml:space="preserve">is </w:t>
            </w:r>
            <w:r w:rsidRPr="009E4B46">
              <w:t>usually simple; sampl</w:t>
            </w:r>
            <w:r>
              <w:t>e processing costs generally ‘small’.</w:t>
            </w:r>
          </w:p>
          <w:p w:rsidR="00D139E7" w:rsidRPr="009E4B46" w:rsidP="0044386B" w14:paraId="17E6012E" w14:textId="14CDA3CE">
            <w:pPr>
              <w:pStyle w:val="TableBullet"/>
              <w:keepNext/>
              <w:keepLines/>
              <w:ind w:right="236"/>
            </w:pPr>
            <w:r w:rsidRPr="009E4B46">
              <w:t>Sampling methods are well established</w:t>
            </w:r>
            <w:r>
              <w:t>.</w:t>
            </w:r>
          </w:p>
          <w:p w:rsidR="00AB4BE3" w:rsidP="0044386B" w14:paraId="48E10FC3" w14:textId="11F0560D">
            <w:pPr>
              <w:pStyle w:val="TableBullet"/>
              <w:keepNext/>
              <w:keepLines/>
              <w:ind w:right="236"/>
            </w:pPr>
            <w:r w:rsidRPr="009E4B46">
              <w:t xml:space="preserve">Where physical or contaminant passage barriers </w:t>
            </w:r>
            <w:r>
              <w:t xml:space="preserve">to the movement of fish </w:t>
            </w:r>
            <w:r w:rsidRPr="009E4B46">
              <w:t xml:space="preserve">are important, </w:t>
            </w:r>
            <w:r>
              <w:t>identifying and monitoring of these potential migration impediments can be an effective assessment technique</w:t>
            </w:r>
            <w:r w:rsidRPr="009E4B46">
              <w:t xml:space="preserve">. </w:t>
            </w:r>
          </w:p>
          <w:p w:rsidR="00D139E7" w:rsidRPr="009E4B46" w:rsidP="0044386B" w14:paraId="7EAF980E" w14:textId="4ACC9F56">
            <w:pPr>
              <w:pStyle w:val="TableBullet"/>
              <w:keepNext/>
              <w:keepLines/>
              <w:ind w:right="236"/>
            </w:pPr>
            <w:r w:rsidRPr="009E4B46">
              <w:t xml:space="preserve">Some species and life stages </w:t>
            </w:r>
            <w:r>
              <w:t xml:space="preserve">are </w:t>
            </w:r>
            <w:r w:rsidR="00AB4BE3">
              <w:t>quite</w:t>
            </w:r>
            <w:r w:rsidRPr="009E4B46">
              <w:t xml:space="preserve"> sedentary, so </w:t>
            </w:r>
            <w:r w:rsidR="00AB4BE3">
              <w:t>if</w:t>
            </w:r>
            <w:r w:rsidRPr="009E4B46">
              <w:t xml:space="preserve"> </w:t>
            </w:r>
            <w:r w:rsidR="00AB4BE3">
              <w:t xml:space="preserve">these </w:t>
            </w:r>
            <w:r w:rsidRPr="009E4B46">
              <w:t xml:space="preserve"> species</w:t>
            </w:r>
            <w:r w:rsidR="00911036">
              <w:t xml:space="preserve"> and </w:t>
            </w:r>
            <w:r w:rsidRPr="009E4B46">
              <w:t xml:space="preserve">life stages </w:t>
            </w:r>
            <w:r w:rsidR="00AB4BE3">
              <w:t xml:space="preserve">can be identified, </w:t>
            </w:r>
            <w:r w:rsidRPr="008C35F2" w:rsidR="00AB4BE3">
              <w:t>effective spatial analyses of disturbance effects</w:t>
            </w:r>
            <w:r w:rsidR="00AB4BE3">
              <w:t xml:space="preserve"> may be possible</w:t>
            </w:r>
            <w:r w:rsidRPr="009E4B46">
              <w:t>.</w:t>
            </w:r>
          </w:p>
        </w:tc>
        <w:tc>
          <w:tcPr>
            <w:tcW w:w="1531" w:type="pct"/>
          </w:tcPr>
          <w:p w:rsidR="00A64DE8" w:rsidRPr="009E4B46" w:rsidP="0044386B" w14:paraId="14ECC449" w14:textId="2572F181">
            <w:pPr>
              <w:pStyle w:val="TableBullet"/>
              <w:keepNext/>
              <w:keepLines/>
              <w:ind w:right="134"/>
            </w:pPr>
            <w:r w:rsidRPr="009E4B46">
              <w:t xml:space="preserve">Assemblage-based approaches </w:t>
            </w:r>
            <w:r w:rsidR="00181D71">
              <w:t xml:space="preserve">are </w:t>
            </w:r>
            <w:r w:rsidRPr="009E4B46">
              <w:t>compromised in most of southern and inland Australia</w:t>
            </w:r>
            <w:r>
              <w:t xml:space="preserve"> </w:t>
            </w:r>
            <w:r w:rsidRPr="009E4B46">
              <w:t>where species diversity is low, fluctuations in species abundance and occurrence are extreme, and relative dominance of exotic species is high.</w:t>
            </w:r>
          </w:p>
          <w:p w:rsidR="00D139E7" w:rsidP="0044386B" w14:paraId="2CF5B260" w14:textId="0A17A9BB">
            <w:pPr>
              <w:pStyle w:val="TableBullet"/>
              <w:keepNext/>
              <w:keepLines/>
              <w:ind w:right="134"/>
            </w:pPr>
            <w:r>
              <w:t>The d</w:t>
            </w:r>
            <w:r w:rsidRPr="009E4B46">
              <w:t xml:space="preserve">iadromous nature of most of native fish in New Zealand precludes </w:t>
            </w:r>
            <w:r>
              <w:t xml:space="preserve">the </w:t>
            </w:r>
            <w:r w:rsidRPr="009E4B46">
              <w:t>use of natural freshwater fish communities for bioassessment of water quality except where impediment</w:t>
            </w:r>
            <w:r>
              <w:t>s</w:t>
            </w:r>
            <w:r w:rsidRPr="009E4B46">
              <w:t xml:space="preserve"> </w:t>
            </w:r>
            <w:r>
              <w:t>to</w:t>
            </w:r>
            <w:r w:rsidRPr="009E4B46">
              <w:t xml:space="preserve"> recruitment </w:t>
            </w:r>
            <w:r>
              <w:t>are</w:t>
            </w:r>
            <w:r w:rsidRPr="009E4B46">
              <w:t xml:space="preserve"> of concern.</w:t>
            </w:r>
          </w:p>
          <w:p w:rsidR="00A64DE8" w:rsidRPr="009E4B46" w:rsidP="0044386B" w14:paraId="5A5FDE78" w14:textId="65A25D9D">
            <w:pPr>
              <w:pStyle w:val="TableBullet"/>
              <w:keepNext/>
              <w:keepLines/>
              <w:ind w:right="134"/>
            </w:pPr>
            <w:r>
              <w:t>Fish are h</w:t>
            </w:r>
            <w:r w:rsidRPr="009E4B46">
              <w:t>igh</w:t>
            </w:r>
            <w:r>
              <w:t>ly</w:t>
            </w:r>
            <w:r w:rsidRPr="009E4B46">
              <w:t xml:space="preserve"> mobil</w:t>
            </w:r>
            <w:r>
              <w:t>e and so the</w:t>
            </w:r>
            <w:r w:rsidRPr="009E4B46">
              <w:t xml:space="preserve"> interpretation of data must take into account factors affecting </w:t>
            </w:r>
            <w:r w:rsidR="00181D71">
              <w:t xml:space="preserve">the </w:t>
            </w:r>
            <w:r w:rsidRPr="009E4B46">
              <w:t>entire catchment</w:t>
            </w:r>
            <w:r w:rsidR="00911036">
              <w:t xml:space="preserve"> or </w:t>
            </w:r>
            <w:r w:rsidRPr="009E4B46">
              <w:t>region, including connectivity between sites.</w:t>
            </w:r>
          </w:p>
        </w:tc>
      </w:tr>
      <w:tr w14:paraId="0F0598B0" w14:textId="2AE68B05" w:rsidTr="0044386B">
        <w:tblPrEx>
          <w:tblW w:w="5000" w:type="pct"/>
          <w:tblCellMar>
            <w:left w:w="0" w:type="dxa"/>
            <w:right w:w="0" w:type="dxa"/>
          </w:tblCellMar>
          <w:tblLook w:val="01E0"/>
        </w:tblPrEx>
        <w:trPr>
          <w:cantSplit/>
          <w:trHeight w:val="1602"/>
        </w:trPr>
        <w:tc>
          <w:tcPr>
            <w:tcW w:w="407" w:type="pct"/>
            <w:vMerge/>
          </w:tcPr>
          <w:p w:rsidR="00D139E7" w:rsidRPr="009E4B46" w:rsidP="00C751F5" w14:paraId="328B1C99" w14:textId="77777777">
            <w:pPr>
              <w:pStyle w:val="TableParagraph"/>
              <w:rPr>
                <w:rFonts w:ascii="Times New Roman"/>
                <w:sz w:val="16"/>
                <w:lang w:val="en-AU"/>
              </w:rPr>
            </w:pPr>
          </w:p>
        </w:tc>
        <w:tc>
          <w:tcPr>
            <w:tcW w:w="1531" w:type="pct"/>
          </w:tcPr>
          <w:p w:rsidR="00D139E7" w:rsidRPr="009E4B46" w:rsidP="0044386B" w14:paraId="1DD4D6E0" w14:textId="7F413B30">
            <w:pPr>
              <w:pStyle w:val="TableText"/>
              <w:keepNext/>
              <w:ind w:left="57" w:right="196"/>
            </w:pPr>
            <w:r w:rsidRPr="009E4B46">
              <w:t>Frogs</w:t>
            </w:r>
          </w:p>
        </w:tc>
        <w:tc>
          <w:tcPr>
            <w:tcW w:w="1531" w:type="pct"/>
          </w:tcPr>
          <w:p w:rsidR="00D139E7" w:rsidRPr="009E4B46" w:rsidP="0044386B" w14:paraId="0944192F" w14:textId="15D05ED3">
            <w:pPr>
              <w:pStyle w:val="TableBullet"/>
              <w:ind w:right="236"/>
            </w:pPr>
            <w:r>
              <w:t>There is a h</w:t>
            </w:r>
            <w:r w:rsidRPr="009E4B46">
              <w:t xml:space="preserve">igh public profile and </w:t>
            </w:r>
            <w:r>
              <w:t xml:space="preserve">level of </w:t>
            </w:r>
            <w:r w:rsidRPr="009E4B46">
              <w:t>concern</w:t>
            </w:r>
            <w:r>
              <w:t xml:space="preserve"> about frogs.</w:t>
            </w:r>
          </w:p>
          <w:p w:rsidR="00D139E7" w:rsidRPr="009E4B46" w:rsidP="0044386B" w14:paraId="1486D055" w14:textId="257CE57E">
            <w:pPr>
              <w:pStyle w:val="TableBullet"/>
              <w:ind w:right="236"/>
            </w:pPr>
            <w:r>
              <w:t>Frogs are sensitive</w:t>
            </w:r>
            <w:r w:rsidRPr="009E4B46">
              <w:t xml:space="preserve"> to a wide range of contaminants (but generally less than microflora</w:t>
            </w:r>
            <w:r w:rsidR="00911036">
              <w:t xml:space="preserve"> and </w:t>
            </w:r>
            <w:r>
              <w:t>micro</w:t>
            </w:r>
            <w:r w:rsidRPr="009E4B46">
              <w:t>fauna</w:t>
            </w:r>
            <w:r>
              <w:t>).</w:t>
            </w:r>
          </w:p>
          <w:p w:rsidR="006E276B" w:rsidRPr="009E4B46" w:rsidP="0044386B" w14:paraId="6428DF26" w14:textId="5A8A2C32">
            <w:pPr>
              <w:pStyle w:val="TableBullet"/>
              <w:ind w:right="236"/>
            </w:pPr>
            <w:r w:rsidRPr="009E4B46">
              <w:t xml:space="preserve">Skeletal abnormalities </w:t>
            </w:r>
            <w:r w:rsidR="00181D71">
              <w:t xml:space="preserve">are </w:t>
            </w:r>
            <w:r w:rsidRPr="009E4B46">
              <w:t>purported to indicate exposure to low concentrations of contaminants</w:t>
            </w:r>
            <w:r>
              <w:t>.</w:t>
            </w:r>
          </w:p>
        </w:tc>
        <w:tc>
          <w:tcPr>
            <w:tcW w:w="1531" w:type="pct"/>
          </w:tcPr>
          <w:p w:rsidR="00A64DE8" w:rsidRPr="009E4B46" w:rsidP="0044386B" w14:paraId="2F966A14" w14:textId="437CCC3E">
            <w:pPr>
              <w:pStyle w:val="TableBullet"/>
              <w:ind w:right="134"/>
            </w:pPr>
            <w:r>
              <w:t>There are n</w:t>
            </w:r>
            <w:r w:rsidRPr="009E4B46">
              <w:t>o standard techniques developed in Australia and New Zealand</w:t>
            </w:r>
            <w:r>
              <w:t>.</w:t>
            </w:r>
          </w:p>
          <w:p w:rsidR="00A64DE8" w:rsidRPr="009E4B46" w:rsidP="0044386B" w14:paraId="3870588F" w14:textId="11182B13">
            <w:pPr>
              <w:pStyle w:val="TableBullet"/>
              <w:ind w:right="134"/>
            </w:pPr>
            <w:r>
              <w:t>M</w:t>
            </w:r>
            <w:r w:rsidRPr="009E4B46">
              <w:t xml:space="preserve">ost species </w:t>
            </w:r>
            <w:r>
              <w:t>have a s</w:t>
            </w:r>
            <w:r w:rsidRPr="009E4B46">
              <w:t>emi-aquatic life cycle</w:t>
            </w:r>
            <w:r>
              <w:t>.</w:t>
            </w:r>
          </w:p>
          <w:p w:rsidR="00A64DE8" w:rsidRPr="009E4B46" w:rsidP="0044386B" w14:paraId="490230E1" w14:textId="67393677">
            <w:pPr>
              <w:pStyle w:val="TableBullet"/>
              <w:ind w:right="134"/>
            </w:pPr>
            <w:r>
              <w:t>The f</w:t>
            </w:r>
            <w:r w:rsidRPr="009E4B46">
              <w:t xml:space="preserve">ully aquatic (larval) phase </w:t>
            </w:r>
            <w:r>
              <w:t xml:space="preserve">is </w:t>
            </w:r>
            <w:r w:rsidRPr="009E4B46">
              <w:t>often highly seasonal and transient</w:t>
            </w:r>
            <w:r>
              <w:t>.</w:t>
            </w:r>
          </w:p>
          <w:p w:rsidR="00A64DE8" w:rsidRPr="009E4B46" w:rsidP="0044386B" w14:paraId="7419F3CA" w14:textId="19D270DB">
            <w:pPr>
              <w:pStyle w:val="TableBullet"/>
              <w:ind w:right="134"/>
            </w:pPr>
            <w:r>
              <w:t>Adults are highly m</w:t>
            </w:r>
            <w:r w:rsidRPr="009E4B46">
              <w:t>obil</w:t>
            </w:r>
            <w:r>
              <w:t>e.</w:t>
            </w:r>
          </w:p>
          <w:p w:rsidR="00A64DE8" w:rsidRPr="009E4B46" w:rsidP="0044386B" w14:paraId="22AA743C" w14:textId="39403A81">
            <w:pPr>
              <w:pStyle w:val="TableBullet"/>
              <w:ind w:right="134"/>
            </w:pPr>
            <w:r>
              <w:t>There is h</w:t>
            </w:r>
            <w:r w:rsidRPr="009E4B46">
              <w:t>igh inter-annual variability of breeding adults, spawn and recruitment</w:t>
            </w:r>
            <w:r>
              <w:t>.</w:t>
            </w:r>
          </w:p>
          <w:p w:rsidR="00D139E7" w:rsidRPr="009E4B46" w:rsidP="0044386B" w14:paraId="69700818" w14:textId="6AB9D61F">
            <w:pPr>
              <w:pStyle w:val="TableBullet"/>
              <w:ind w:right="134"/>
            </w:pPr>
            <w:r w:rsidRPr="009E4B46">
              <w:t xml:space="preserve">Little </w:t>
            </w:r>
            <w:r w:rsidR="00181D71">
              <w:t xml:space="preserve">is </w:t>
            </w:r>
            <w:r w:rsidRPr="009E4B46">
              <w:t xml:space="preserve">known about </w:t>
            </w:r>
            <w:r w:rsidR="00181D71">
              <w:t xml:space="preserve">the </w:t>
            </w:r>
            <w:r w:rsidRPr="009E4B46">
              <w:t>response</w:t>
            </w:r>
            <w:r w:rsidR="00181D71">
              <w:t xml:space="preserve"> of frogs</w:t>
            </w:r>
            <w:r w:rsidRPr="009E4B46">
              <w:t xml:space="preserve"> to changing environmental conditions</w:t>
            </w:r>
            <w:r>
              <w:t>.</w:t>
            </w:r>
          </w:p>
        </w:tc>
      </w:tr>
      <w:tr w14:paraId="2BD9A686" w14:textId="09F3734A" w:rsidTr="0044386B">
        <w:tblPrEx>
          <w:tblW w:w="5000" w:type="pct"/>
          <w:tblCellMar>
            <w:left w:w="0" w:type="dxa"/>
            <w:right w:w="0" w:type="dxa"/>
          </w:tblCellMar>
          <w:tblLook w:val="01E0"/>
        </w:tblPrEx>
        <w:trPr>
          <w:cantSplit/>
          <w:trHeight w:val="817"/>
        </w:trPr>
        <w:tc>
          <w:tcPr>
            <w:tcW w:w="407" w:type="pct"/>
            <w:vMerge/>
          </w:tcPr>
          <w:p w:rsidR="00D139E7" w:rsidRPr="009E4B46" w:rsidP="00C751F5" w14:paraId="64BF5048" w14:textId="77777777">
            <w:pPr>
              <w:pStyle w:val="TableParagraph"/>
              <w:rPr>
                <w:rFonts w:ascii="Times New Roman"/>
                <w:sz w:val="16"/>
                <w:lang w:val="en-AU"/>
              </w:rPr>
            </w:pPr>
          </w:p>
        </w:tc>
        <w:tc>
          <w:tcPr>
            <w:tcW w:w="1531" w:type="pct"/>
          </w:tcPr>
          <w:p w:rsidR="00D139E7" w:rsidRPr="009E4B46" w:rsidP="0044386B" w14:paraId="1A77CAC7" w14:textId="7F9F90EF">
            <w:pPr>
              <w:pStyle w:val="TableText"/>
              <w:keepNext/>
              <w:ind w:left="57" w:right="196"/>
            </w:pPr>
            <w:r w:rsidRPr="009E4B46">
              <w:t>Waterbirds</w:t>
            </w:r>
          </w:p>
        </w:tc>
        <w:tc>
          <w:tcPr>
            <w:tcW w:w="1531" w:type="pct"/>
          </w:tcPr>
          <w:p w:rsidR="00D139E7" w:rsidP="0044386B" w14:paraId="78C8EB64" w14:textId="27881EEE">
            <w:pPr>
              <w:pStyle w:val="TableBullet"/>
              <w:ind w:right="236"/>
            </w:pPr>
            <w:r w:rsidRPr="009E4B46">
              <w:t>Good baseline info</w:t>
            </w:r>
            <w:r>
              <w:t>rmation</w:t>
            </w:r>
            <w:r w:rsidR="007250B6">
              <w:t xml:space="preserve"> exists </w:t>
            </w:r>
            <w:r>
              <w:t xml:space="preserve">(e.g. </w:t>
            </w:r>
            <w:r w:rsidRPr="007F5A17">
              <w:t>Birdlife Australia</w:t>
            </w:r>
            <w:r>
              <w:t>).</w:t>
            </w:r>
          </w:p>
          <w:p w:rsidR="009B753B" w:rsidP="009B753B" w14:paraId="53FA2839" w14:textId="6F68CF86">
            <w:pPr>
              <w:pStyle w:val="TableBullet"/>
              <w:keepNext/>
              <w:keepLines/>
              <w:ind w:right="236"/>
            </w:pPr>
            <w:r w:rsidRPr="009E4B46">
              <w:t xml:space="preserve">Where physical or contaminant passage barriers </w:t>
            </w:r>
            <w:r>
              <w:t xml:space="preserve">to the movement of birds </w:t>
            </w:r>
            <w:r w:rsidRPr="009E4B46">
              <w:t xml:space="preserve">are important, </w:t>
            </w:r>
            <w:r>
              <w:t>identifying and monitoring of these potential migration impediments can be an effective assessment technique</w:t>
            </w:r>
            <w:r w:rsidRPr="009E4B46">
              <w:t xml:space="preserve">. </w:t>
            </w:r>
          </w:p>
          <w:p w:rsidR="006E276B" w:rsidRPr="009E4B46" w:rsidP="009B753B" w14:paraId="18EF353A" w14:textId="59438A97">
            <w:pPr>
              <w:pStyle w:val="TableBullet"/>
              <w:ind w:right="236"/>
            </w:pPr>
            <w:r w:rsidRPr="009E4B46">
              <w:t xml:space="preserve">Some species </w:t>
            </w:r>
            <w:r>
              <w:t>are quite</w:t>
            </w:r>
            <w:r w:rsidRPr="009E4B46">
              <w:t xml:space="preserve"> sedentary, </w:t>
            </w:r>
            <w:r>
              <w:t xml:space="preserve">for which </w:t>
            </w:r>
            <w:r w:rsidRPr="008C35F2">
              <w:t>effective spatial analyses of disturbance effects</w:t>
            </w:r>
            <w:r>
              <w:t xml:space="preserve"> may be possible</w:t>
            </w:r>
            <w:r w:rsidRPr="009E4B46">
              <w:t>.</w:t>
            </w:r>
          </w:p>
        </w:tc>
        <w:tc>
          <w:tcPr>
            <w:tcW w:w="1531" w:type="pct"/>
          </w:tcPr>
          <w:p w:rsidR="00A64DE8" w:rsidRPr="009E4B46" w:rsidP="0044386B" w14:paraId="6B0DF611" w14:textId="0561DFCB">
            <w:pPr>
              <w:pStyle w:val="TableBullet"/>
              <w:ind w:right="134"/>
            </w:pPr>
            <w:r>
              <w:t xml:space="preserve">Waterbirds are </w:t>
            </w:r>
            <w:r w:rsidR="009B753B">
              <w:t xml:space="preserve">only </w:t>
            </w:r>
            <w:r>
              <w:t>i</w:t>
            </w:r>
            <w:r w:rsidRPr="009E4B46">
              <w:t>ndirectly affected by most contaminants</w:t>
            </w:r>
            <w:r w:rsidR="009B753B">
              <w:t xml:space="preserve"> through either effects on prey or through the food chain</w:t>
            </w:r>
            <w:r>
              <w:t>.</w:t>
            </w:r>
          </w:p>
          <w:p w:rsidR="006E276B" w:rsidRPr="009E4B46" w:rsidP="0044386B" w14:paraId="5B9A86F1" w14:textId="1429FF37">
            <w:pPr>
              <w:pStyle w:val="TableBullet"/>
              <w:ind w:right="134"/>
            </w:pPr>
            <w:r>
              <w:t>The h</w:t>
            </w:r>
            <w:r w:rsidRPr="009E4B46">
              <w:t>igh</w:t>
            </w:r>
            <w:r>
              <w:t>ly</w:t>
            </w:r>
            <w:r w:rsidRPr="009E4B46">
              <w:t xml:space="preserve"> mobil</w:t>
            </w:r>
            <w:r>
              <w:t>e</w:t>
            </w:r>
            <w:r w:rsidR="00911036">
              <w:t xml:space="preserve"> and </w:t>
            </w:r>
            <w:r w:rsidRPr="009E4B46">
              <w:t>migratory nature</w:t>
            </w:r>
            <w:r>
              <w:t xml:space="preserve"> of many species means that the</w:t>
            </w:r>
            <w:r w:rsidRPr="009E4B46">
              <w:t xml:space="preserve"> interpretation of data must take into account factors affecting </w:t>
            </w:r>
            <w:r>
              <w:t xml:space="preserve">the </w:t>
            </w:r>
            <w:r w:rsidRPr="009E4B46">
              <w:t>entire catchment</w:t>
            </w:r>
            <w:r w:rsidR="00911036">
              <w:t xml:space="preserve"> or </w:t>
            </w:r>
            <w:r w:rsidRPr="009E4B46">
              <w:t xml:space="preserve">region, including connectivity between sites. </w:t>
            </w:r>
          </w:p>
        </w:tc>
      </w:tr>
      <w:tr w14:paraId="546871B5" w14:textId="5237BA12" w:rsidTr="0044386B">
        <w:tblPrEx>
          <w:tblW w:w="5000" w:type="pct"/>
          <w:tblCellMar>
            <w:left w:w="0" w:type="dxa"/>
            <w:right w:w="0" w:type="dxa"/>
          </w:tblCellMar>
          <w:tblLook w:val="01E0"/>
        </w:tblPrEx>
        <w:trPr>
          <w:cantSplit/>
          <w:trHeight w:val="1426"/>
        </w:trPr>
        <w:tc>
          <w:tcPr>
            <w:tcW w:w="407" w:type="pct"/>
          </w:tcPr>
          <w:p w:rsidR="00D139E7" w:rsidRPr="009E4B46" w:rsidP="002A7C96" w14:paraId="57D61BD9" w14:textId="4B68882B">
            <w:pPr>
              <w:pStyle w:val="TableText"/>
              <w:ind w:left="57" w:right="57"/>
            </w:pPr>
            <w:r>
              <w:t>Rapid biological assessment (RBA)</w:t>
            </w:r>
            <w:r w:rsidRPr="009E4B46">
              <w:t xml:space="preserve"> for early detection</w:t>
            </w:r>
            <w:r>
              <w:t>.</w:t>
            </w:r>
          </w:p>
        </w:tc>
        <w:tc>
          <w:tcPr>
            <w:tcW w:w="1531" w:type="pct"/>
          </w:tcPr>
          <w:p w:rsidR="00D139E7" w:rsidRPr="009E4B46" w:rsidP="0044386B" w14:paraId="4BF74460" w14:textId="79714D17">
            <w:pPr>
              <w:pStyle w:val="TableText"/>
              <w:keepNext/>
              <w:ind w:left="57" w:right="196"/>
            </w:pPr>
            <w:r w:rsidRPr="009E4B46">
              <w:t>Macroinvertebrates</w:t>
            </w:r>
          </w:p>
        </w:tc>
        <w:tc>
          <w:tcPr>
            <w:tcW w:w="1531" w:type="pct"/>
          </w:tcPr>
          <w:p w:rsidR="009B753B" w:rsidRPr="009E4B46" w:rsidP="009B753B" w14:paraId="75B466CF" w14:textId="77777777">
            <w:pPr>
              <w:pStyle w:val="TableBullet"/>
              <w:ind w:right="236"/>
            </w:pPr>
            <w:r>
              <w:t>Macroinvertebrates c</w:t>
            </w:r>
            <w:r w:rsidRPr="009E4B46">
              <w:t>an be measured at relatively low cost at a large number of sites or over large areas</w:t>
            </w:r>
            <w:r>
              <w:t>.</w:t>
            </w:r>
          </w:p>
          <w:p w:rsidR="00D139E7" w:rsidRPr="009E4B46" w:rsidP="0044386B" w14:paraId="6806E9F8" w14:textId="2A020070">
            <w:pPr>
              <w:pStyle w:val="TableBullet"/>
              <w:ind w:right="236"/>
            </w:pPr>
            <w:r w:rsidRPr="009E4B46">
              <w:t>In their broad coverage</w:t>
            </w:r>
            <w:r w:rsidR="00A92C6D">
              <w:t>, macroinvertebrates</w:t>
            </w:r>
            <w:r w:rsidRPr="009E4B46">
              <w:t xml:space="preserve"> may identify and detect problem locations and stressors that would otherwise </w:t>
            </w:r>
            <w:r w:rsidR="009B753B">
              <w:t>pass</w:t>
            </w:r>
            <w:r w:rsidRPr="009E4B46">
              <w:t xml:space="preserve"> unnoticed</w:t>
            </w:r>
            <w:r>
              <w:t>.</w:t>
            </w:r>
          </w:p>
          <w:p w:rsidR="00D139E7" w:rsidP="0044386B" w14:paraId="09C66D67" w14:textId="51BC96CE">
            <w:pPr>
              <w:pStyle w:val="TableBullet"/>
              <w:ind w:right="236"/>
            </w:pPr>
            <w:r>
              <w:t>Macroinvertebrates h</w:t>
            </w:r>
            <w:r w:rsidRPr="009E4B46">
              <w:t>ave ecological, regional and social relevance</w:t>
            </w:r>
            <w:r>
              <w:t>.</w:t>
            </w:r>
          </w:p>
          <w:p w:rsidR="00D139E7" w:rsidRPr="009E4B46" w:rsidP="0044386B" w14:paraId="1928FC6C" w14:textId="4AF23999">
            <w:pPr>
              <w:pStyle w:val="TableBullet"/>
              <w:ind w:right="236"/>
            </w:pPr>
            <w:r>
              <w:t xml:space="preserve">Ecogenomic approaches </w:t>
            </w:r>
            <w:r w:rsidR="00A92C6D">
              <w:t xml:space="preserve">are </w:t>
            </w:r>
            <w:r>
              <w:t xml:space="preserve">being </w:t>
            </w:r>
            <w:r w:rsidR="00A92C6D">
              <w:t xml:space="preserve">actively </w:t>
            </w:r>
            <w:r>
              <w:t>developed.</w:t>
            </w:r>
          </w:p>
        </w:tc>
        <w:tc>
          <w:tcPr>
            <w:tcW w:w="1531" w:type="pct"/>
          </w:tcPr>
          <w:p w:rsidR="00A64DE8" w:rsidRPr="009E4B46" w:rsidP="0044386B" w14:paraId="0E08CE9F" w14:textId="4998777A">
            <w:pPr>
              <w:pStyle w:val="TableBullet"/>
              <w:ind w:right="134"/>
            </w:pPr>
            <w:r>
              <w:t>There is l</w:t>
            </w:r>
            <w:r w:rsidRPr="009E4B46">
              <w:t>ow power to detect</w:t>
            </w:r>
            <w:r w:rsidRPr="009E4B46">
              <w:rPr>
                <w:spacing w:val="-2"/>
              </w:rPr>
              <w:t xml:space="preserve"> </w:t>
            </w:r>
            <w:r w:rsidRPr="009E4B46">
              <w:t>changes</w:t>
            </w:r>
            <w:r>
              <w:t>.</w:t>
            </w:r>
          </w:p>
          <w:p w:rsidR="00A64DE8" w:rsidRPr="009E4B46" w:rsidP="0044386B" w14:paraId="02EB58AC" w14:textId="513C8C19">
            <w:pPr>
              <w:pStyle w:val="TableBullet"/>
              <w:ind w:right="134"/>
            </w:pPr>
            <w:r w:rsidRPr="009E4B46">
              <w:t xml:space="preserve">For particular sites, </w:t>
            </w:r>
            <w:r w:rsidR="00A92C6D">
              <w:t xml:space="preserve">macroinvertebrates are </w:t>
            </w:r>
            <w:r w:rsidRPr="009E4B46">
              <w:t>not sufficiently sensitive to detect subtle impacts at an early stage</w:t>
            </w:r>
            <w:r>
              <w:t>.</w:t>
            </w:r>
          </w:p>
          <w:p w:rsidR="00D139E7" w:rsidRPr="009E4B46" w:rsidP="0044386B" w14:paraId="3EEA1B4E" w14:textId="67B4C8E9">
            <w:pPr>
              <w:pStyle w:val="TableBullet"/>
              <w:ind w:right="134"/>
            </w:pPr>
            <w:r>
              <w:t xml:space="preserve">Macroinvertebrates </w:t>
            </w:r>
            <w:r w:rsidR="001A707F">
              <w:t xml:space="preserve">assessed using these methods </w:t>
            </w:r>
            <w:r>
              <w:t>have g</w:t>
            </w:r>
            <w:r w:rsidRPr="009E4B46">
              <w:t>enerally poor sensitivity to point-source impacts of contaminants</w:t>
            </w:r>
            <w:r>
              <w:t>.</w:t>
            </w:r>
          </w:p>
        </w:tc>
      </w:tr>
      <w:tr w14:paraId="5D858FAE" w14:textId="36266637" w:rsidTr="0044386B">
        <w:tblPrEx>
          <w:tblW w:w="5000" w:type="pct"/>
          <w:tblCellMar>
            <w:left w:w="0" w:type="dxa"/>
            <w:right w:w="0" w:type="dxa"/>
          </w:tblCellMar>
          <w:tblLook w:val="01E0"/>
        </w:tblPrEx>
        <w:trPr>
          <w:cantSplit/>
          <w:trHeight w:val="2255"/>
        </w:trPr>
        <w:tc>
          <w:tcPr>
            <w:tcW w:w="407" w:type="pct"/>
            <w:vMerge w:val="restart"/>
          </w:tcPr>
          <w:p w:rsidR="00D139E7" w:rsidRPr="009E4B46" w:rsidP="002A7C96" w14:paraId="45DF089E" w14:textId="2AB35C67">
            <w:pPr>
              <w:pStyle w:val="TableText"/>
              <w:ind w:left="57" w:right="57"/>
            </w:pPr>
            <w:r>
              <w:t>Rapid biological assessment (RBA) for biodiversity</w:t>
            </w:r>
            <w:r w:rsidR="00911036">
              <w:t xml:space="preserve">, </w:t>
            </w:r>
            <w:r w:rsidRPr="009E4B46">
              <w:t>broad</w:t>
            </w:r>
            <w:r w:rsidR="00615739">
              <w:t>-</w:t>
            </w:r>
            <w:r w:rsidRPr="009E4B46">
              <w:t>scale ecosystem health</w:t>
            </w:r>
            <w:r>
              <w:t>.</w:t>
            </w:r>
          </w:p>
        </w:tc>
        <w:tc>
          <w:tcPr>
            <w:tcW w:w="1531" w:type="pct"/>
          </w:tcPr>
          <w:p w:rsidR="00D139E7" w:rsidRPr="009E4B46" w:rsidP="0044386B" w14:paraId="185A6367" w14:textId="3DECB063">
            <w:pPr>
              <w:pStyle w:val="TableText"/>
              <w:keepNext/>
              <w:ind w:left="57" w:right="196"/>
            </w:pPr>
            <w:r w:rsidRPr="009E4B46">
              <w:t>Macroinvertebrates</w:t>
            </w:r>
          </w:p>
        </w:tc>
        <w:tc>
          <w:tcPr>
            <w:tcW w:w="1531" w:type="pct"/>
          </w:tcPr>
          <w:p w:rsidR="00D139E7" w:rsidRPr="009E4B46" w:rsidP="0044386B" w14:paraId="5EA41D44" w14:textId="3C379F0E">
            <w:pPr>
              <w:pStyle w:val="TableBullet"/>
              <w:ind w:right="236"/>
            </w:pPr>
            <w:r>
              <w:t>The s</w:t>
            </w:r>
            <w:r w:rsidRPr="009E4B46">
              <w:t xml:space="preserve">ame advantages as listed for macroinvertebrates </w:t>
            </w:r>
            <w:r w:rsidR="001A2C30">
              <w:t>in</w:t>
            </w:r>
            <w:r w:rsidRPr="001A2C30" w:rsidR="001A2C30">
              <w:rPr>
                <w:rStyle w:val="Emphasis"/>
              </w:rPr>
              <w:t xml:space="preserve"> </w:t>
            </w:r>
            <w:r>
              <w:rPr>
                <w:rStyle w:val="Emphasis"/>
              </w:rPr>
              <w:t>‘</w:t>
            </w:r>
            <w:r w:rsidRPr="009905CA">
              <w:rPr>
                <w:rStyle w:val="Emphasis"/>
                <w:i w:val="0"/>
                <w:iCs w:val="0"/>
              </w:rPr>
              <w:t>Nutrients: changes to biodiversity’ apply here</w:t>
            </w:r>
            <w:r>
              <w:t>.</w:t>
            </w:r>
          </w:p>
          <w:p w:rsidR="00D139E7" w:rsidRPr="009E4B46" w:rsidP="0044386B" w14:paraId="5903920B" w14:textId="4970B890">
            <w:pPr>
              <w:pStyle w:val="TableBullet"/>
              <w:ind w:right="236"/>
            </w:pPr>
            <w:r>
              <w:t>The m</w:t>
            </w:r>
            <w:r w:rsidRPr="009E4B46">
              <w:t>ethod is widely regarded as adequately reflecting ecological condition or integrity at the catchment or region scale</w:t>
            </w:r>
            <w:r>
              <w:t>.</w:t>
            </w:r>
          </w:p>
          <w:p w:rsidR="00D139E7" w:rsidRPr="009E4B46" w:rsidP="0044386B" w14:paraId="79068FC0" w14:textId="2CDBA890">
            <w:pPr>
              <w:pStyle w:val="TableBullet"/>
              <w:ind w:right="236"/>
            </w:pPr>
            <w:r w:rsidRPr="009E4B46">
              <w:t>Approaches to sampling and data analysis are highly standardised</w:t>
            </w:r>
            <w:r>
              <w:t>.</w:t>
            </w:r>
          </w:p>
          <w:p w:rsidR="00D139E7" w:rsidRPr="009E4B46" w:rsidP="0044386B" w14:paraId="0BC5BE33" w14:textId="206DF8B6">
            <w:pPr>
              <w:pStyle w:val="TableBullet"/>
              <w:ind w:right="236"/>
            </w:pPr>
            <w:r>
              <w:t>The r</w:t>
            </w:r>
            <w:r w:rsidRPr="009E4B46">
              <w:t xml:space="preserve">esponse is measured rapidly, </w:t>
            </w:r>
            <w:r>
              <w:t>inexpensively</w:t>
            </w:r>
            <w:r w:rsidRPr="009E4B46">
              <w:t xml:space="preserve"> and with rapid turnaround of results</w:t>
            </w:r>
            <w:r>
              <w:t>.</w:t>
            </w:r>
          </w:p>
          <w:p w:rsidR="00D139E7" w:rsidRPr="009E4B46" w:rsidP="0044386B" w14:paraId="3C1E7156" w14:textId="7E6F3813">
            <w:pPr>
              <w:pStyle w:val="TableBullet"/>
              <w:ind w:right="236"/>
            </w:pPr>
            <w:r w:rsidRPr="009E4B46">
              <w:t>Results are readily understood by non-specialists</w:t>
            </w:r>
            <w:r>
              <w:t>.</w:t>
            </w:r>
          </w:p>
          <w:p w:rsidR="00D139E7" w:rsidP="0044386B" w14:paraId="76EEBCAB" w14:textId="35EB2899">
            <w:pPr>
              <w:pStyle w:val="TableBullet"/>
              <w:ind w:right="236"/>
            </w:pPr>
            <w:r>
              <w:t>The r</w:t>
            </w:r>
            <w:r w:rsidRPr="009E4B46">
              <w:t>esponse has some diagnostic</w:t>
            </w:r>
            <w:r w:rsidRPr="009E4B46">
              <w:rPr>
                <w:spacing w:val="6"/>
              </w:rPr>
              <w:t xml:space="preserve"> </w:t>
            </w:r>
            <w:r w:rsidRPr="009E4B46">
              <w:t>value</w:t>
            </w:r>
            <w:r>
              <w:t>.</w:t>
            </w:r>
          </w:p>
          <w:p w:rsidR="00D139E7" w:rsidRPr="009E4B46" w:rsidP="0044386B" w14:paraId="73AD6195" w14:textId="5E30B208">
            <w:pPr>
              <w:pStyle w:val="TableBullet"/>
              <w:ind w:right="236"/>
            </w:pPr>
            <w:r>
              <w:t xml:space="preserve">Ecogenomic approaches </w:t>
            </w:r>
            <w:r w:rsidR="009905CA">
              <w:t xml:space="preserve">are </w:t>
            </w:r>
            <w:r>
              <w:t>being developed.</w:t>
            </w:r>
          </w:p>
        </w:tc>
        <w:tc>
          <w:tcPr>
            <w:tcW w:w="1531" w:type="pct"/>
          </w:tcPr>
          <w:p w:rsidR="00A64DE8" w:rsidRPr="009E4B46" w:rsidP="0044386B" w14:paraId="75996345" w14:textId="19813E31">
            <w:pPr>
              <w:pStyle w:val="TableBullet"/>
              <w:ind w:right="134"/>
            </w:pPr>
            <w:r>
              <w:t>The m</w:t>
            </w:r>
            <w:r w:rsidRPr="009E4B46">
              <w:t>ethod is not designed to detect minor or subtle impacts (negating sole use in regions of higher conservation</w:t>
            </w:r>
            <w:r w:rsidRPr="009E4B46">
              <w:rPr>
                <w:spacing w:val="3"/>
              </w:rPr>
              <w:t xml:space="preserve"> </w:t>
            </w:r>
            <w:r w:rsidRPr="009E4B46">
              <w:t>value)</w:t>
            </w:r>
            <w:r>
              <w:t>.</w:t>
            </w:r>
          </w:p>
          <w:p w:rsidR="00D139E7" w:rsidRPr="009E4B46" w:rsidP="0044386B" w14:paraId="7A2C0E83" w14:textId="75466CDF">
            <w:pPr>
              <w:pStyle w:val="TableBullet"/>
              <w:ind w:right="134"/>
            </w:pPr>
            <w:r>
              <w:t xml:space="preserve">There are </w:t>
            </w:r>
            <w:r w:rsidR="001A707F">
              <w:t xml:space="preserve">a number of </w:t>
            </w:r>
            <w:r>
              <w:t>limitations for site-specific assessments</w:t>
            </w:r>
            <w:r w:rsidR="001A707F">
              <w:t xml:space="preserve"> reported under ‘</w:t>
            </w:r>
            <w:r>
              <w:fldChar w:fldCharType="begin"/>
            </w:r>
            <w:r>
              <w:instrText xml:space="preserve"> HYPERLINK \l "_Predictive_modelling" </w:instrText>
            </w:r>
            <w:r>
              <w:fldChar w:fldCharType="separate"/>
            </w:r>
            <w:r w:rsidRPr="003D0A63" w:rsidR="001A707F">
              <w:rPr>
                <w:rStyle w:val="Hyperlink"/>
              </w:rPr>
              <w:t>Predictive modelling</w:t>
            </w:r>
            <w:r>
              <w:fldChar w:fldCharType="end"/>
            </w:r>
            <w:r w:rsidR="001A707F">
              <w:t>’</w:t>
            </w:r>
            <w:r>
              <w:t>.</w:t>
            </w:r>
          </w:p>
        </w:tc>
      </w:tr>
      <w:tr w14:paraId="6E7F61B6" w14:textId="0735C32F" w:rsidTr="0044386B">
        <w:tblPrEx>
          <w:tblW w:w="5000" w:type="pct"/>
          <w:tblCellMar>
            <w:left w:w="0" w:type="dxa"/>
            <w:right w:w="0" w:type="dxa"/>
          </w:tblCellMar>
          <w:tblLook w:val="01E0"/>
        </w:tblPrEx>
        <w:trPr>
          <w:cantSplit/>
          <w:trHeight w:val="799"/>
        </w:trPr>
        <w:tc>
          <w:tcPr>
            <w:tcW w:w="407" w:type="pct"/>
            <w:vMerge/>
          </w:tcPr>
          <w:p w:rsidR="00D139E7" w:rsidRPr="009E4B46" w:rsidP="002A7C96" w14:paraId="67E5FE78" w14:textId="43096530">
            <w:pPr>
              <w:pStyle w:val="TableText"/>
              <w:ind w:left="57" w:right="57"/>
            </w:pPr>
          </w:p>
        </w:tc>
        <w:tc>
          <w:tcPr>
            <w:tcW w:w="1531" w:type="pct"/>
          </w:tcPr>
          <w:p w:rsidR="00D139E7" w:rsidRPr="009E4B46" w:rsidP="0044386B" w14:paraId="7D602FE3" w14:textId="77777777">
            <w:pPr>
              <w:pStyle w:val="TableText"/>
              <w:keepNext/>
              <w:ind w:left="57" w:right="196"/>
            </w:pPr>
            <w:r w:rsidRPr="009E4B46">
              <w:t>Fish</w:t>
            </w:r>
            <w:r>
              <w:t>:</w:t>
            </w:r>
          </w:p>
          <w:p w:rsidR="00D139E7" w:rsidRPr="009E4B46" w:rsidP="001562CF" w14:paraId="6E19FFB0" w14:textId="3F383E4E">
            <w:pPr>
              <w:pStyle w:val="TableBullet"/>
              <w:ind w:left="341" w:right="196" w:hanging="205"/>
            </w:pPr>
            <w:r>
              <w:t>p</w:t>
            </w:r>
            <w:r w:rsidRPr="009E4B46">
              <w:t>resence</w:t>
            </w:r>
            <w:r>
              <w:t xml:space="preserve"> or </w:t>
            </w:r>
            <w:r w:rsidRPr="009E4B46">
              <w:t>absence</w:t>
            </w:r>
            <w:r>
              <w:t>,</w:t>
            </w:r>
            <w:r w:rsidRPr="009E4B46">
              <w:t xml:space="preserve"> indices</w:t>
            </w:r>
            <w:r>
              <w:t>.</w:t>
            </w:r>
          </w:p>
        </w:tc>
        <w:tc>
          <w:tcPr>
            <w:tcW w:w="1531" w:type="pct"/>
          </w:tcPr>
          <w:p w:rsidR="00D139E7" w:rsidRPr="009E4B46" w:rsidP="0044386B" w14:paraId="7672F640" w14:textId="07D6A9E6">
            <w:pPr>
              <w:pStyle w:val="TableText"/>
              <w:ind w:left="57" w:right="236"/>
            </w:pPr>
            <w:r>
              <w:t xml:space="preserve">In addition to </w:t>
            </w:r>
            <w:r w:rsidR="00BC455A">
              <w:t xml:space="preserve">the </w:t>
            </w:r>
            <w:r>
              <w:t xml:space="preserve">advantages listed for fish in </w:t>
            </w:r>
            <w:r w:rsidR="009905CA">
              <w:t>‘</w:t>
            </w:r>
            <w:r w:rsidRPr="009905CA">
              <w:rPr>
                <w:rStyle w:val="Emphasis"/>
                <w:i w:val="0"/>
                <w:iCs w:val="0"/>
              </w:rPr>
              <w:t>General organic and inorganic contaminants (including metals, pesticides): changes to biodiversity</w:t>
            </w:r>
            <w:r w:rsidRPr="009905CA" w:rsidR="009905CA">
              <w:rPr>
                <w:rStyle w:val="Emphasis"/>
                <w:i w:val="0"/>
                <w:iCs w:val="0"/>
              </w:rPr>
              <w:t>’</w:t>
            </w:r>
            <w:r>
              <w:t xml:space="preserve">: </w:t>
            </w:r>
          </w:p>
          <w:p w:rsidR="00D139E7" w:rsidRPr="009E4B46" w:rsidP="0044386B" w14:paraId="7E8FD22F" w14:textId="6BBB1784">
            <w:pPr>
              <w:pStyle w:val="TableBullet"/>
              <w:ind w:right="236"/>
            </w:pPr>
            <w:r>
              <w:t>These indicators can be c</w:t>
            </w:r>
            <w:r w:rsidRPr="009E4B46">
              <w:t>heaply applied over large spatial scales</w:t>
            </w:r>
            <w:r>
              <w:t>.</w:t>
            </w:r>
          </w:p>
        </w:tc>
        <w:tc>
          <w:tcPr>
            <w:tcW w:w="1531" w:type="pct"/>
          </w:tcPr>
          <w:p w:rsidR="00A64DE8" w:rsidP="0044386B" w14:paraId="31E6C9B1" w14:textId="00C730C8">
            <w:pPr>
              <w:pStyle w:val="TableText"/>
              <w:ind w:left="57" w:right="134"/>
            </w:pPr>
            <w:r>
              <w:t xml:space="preserve">In addition to </w:t>
            </w:r>
            <w:r w:rsidR="00BC455A">
              <w:t xml:space="preserve">the </w:t>
            </w:r>
            <w:r w:rsidR="001A707F">
              <w:t>dis</w:t>
            </w:r>
            <w:r>
              <w:t xml:space="preserve">advantages listed for fish in </w:t>
            </w:r>
            <w:r w:rsidR="009905CA">
              <w:t>‘</w:t>
            </w:r>
            <w:r w:rsidRPr="009905CA">
              <w:rPr>
                <w:rStyle w:val="Emphasis"/>
                <w:i w:val="0"/>
                <w:iCs w:val="0"/>
              </w:rPr>
              <w:t>General organic and inorganic contaminants (including metals, pesticides): changes to biodiversity</w:t>
            </w:r>
            <w:r w:rsidRPr="009905CA" w:rsidR="009905CA">
              <w:rPr>
                <w:rStyle w:val="Emphasis"/>
                <w:i w:val="0"/>
                <w:iCs w:val="0"/>
              </w:rPr>
              <w:t>’</w:t>
            </w:r>
            <w:r>
              <w:t>:</w:t>
            </w:r>
          </w:p>
          <w:p w:rsidR="00A64DE8" w:rsidRPr="009E4B46" w:rsidP="0044386B" w14:paraId="1BB3D2ED" w14:textId="03821359">
            <w:pPr>
              <w:pStyle w:val="TableBullet"/>
              <w:ind w:right="134"/>
            </w:pPr>
            <w:r>
              <w:t>There is a l</w:t>
            </w:r>
            <w:r w:rsidRPr="009E4B46">
              <w:t>ack of understanding of population dynamics and ecology for some species in Australian systems.</w:t>
            </w:r>
          </w:p>
          <w:p w:rsidR="00D139E7" w:rsidRPr="009E4B46" w:rsidP="0044386B" w14:paraId="348DA4D6" w14:textId="302D027E">
            <w:pPr>
              <w:pStyle w:val="TableBullet"/>
              <w:ind w:right="134"/>
            </w:pPr>
            <w:r>
              <w:t>These indicators are n</w:t>
            </w:r>
            <w:r w:rsidRPr="009E4B46">
              <w:t>ot appropriate in New</w:t>
            </w:r>
            <w:r w:rsidRPr="009E4B46">
              <w:rPr>
                <w:spacing w:val="-2"/>
              </w:rPr>
              <w:t xml:space="preserve"> </w:t>
            </w:r>
            <w:r w:rsidRPr="009E4B46">
              <w:t>Zealand</w:t>
            </w:r>
            <w:r>
              <w:t>.</w:t>
            </w:r>
          </w:p>
        </w:tc>
      </w:tr>
      <w:tr w14:paraId="2D23BD98" w14:textId="38F97983" w:rsidTr="0044386B">
        <w:tblPrEx>
          <w:tblW w:w="5000" w:type="pct"/>
          <w:tblCellMar>
            <w:left w:w="0" w:type="dxa"/>
            <w:right w:w="0" w:type="dxa"/>
          </w:tblCellMar>
          <w:tblLook w:val="01E0"/>
        </w:tblPrEx>
        <w:trPr>
          <w:cantSplit/>
          <w:trHeight w:val="1117"/>
        </w:trPr>
        <w:tc>
          <w:tcPr>
            <w:tcW w:w="407" w:type="pct"/>
            <w:vMerge/>
            <w:tcBorders>
              <w:bottom w:val="nil"/>
            </w:tcBorders>
          </w:tcPr>
          <w:p w:rsidR="00D139E7" w:rsidRPr="009E4B46" w:rsidP="00C751F5" w14:paraId="27D48113" w14:textId="77777777">
            <w:pPr>
              <w:rPr>
                <w:sz w:val="2"/>
                <w:szCs w:val="2"/>
              </w:rPr>
            </w:pPr>
          </w:p>
        </w:tc>
        <w:tc>
          <w:tcPr>
            <w:tcW w:w="1531" w:type="pct"/>
            <w:tcBorders>
              <w:bottom w:val="single" w:sz="4" w:space="0" w:color="auto"/>
            </w:tcBorders>
          </w:tcPr>
          <w:p w:rsidR="00D139E7" w:rsidRPr="009E4B46" w:rsidP="0044386B" w14:paraId="1E68766B" w14:textId="77777777">
            <w:pPr>
              <w:pStyle w:val="TableText"/>
              <w:keepNext/>
              <w:ind w:left="57" w:right="196"/>
            </w:pPr>
            <w:r w:rsidRPr="009E4B46">
              <w:t>Frogs</w:t>
            </w:r>
            <w:r>
              <w:t>:</w:t>
            </w:r>
          </w:p>
          <w:p w:rsidR="00D139E7" w:rsidRPr="009E4B46" w:rsidP="001562CF" w14:paraId="2893A969" w14:textId="49C5685A">
            <w:pPr>
              <w:pStyle w:val="TableBullet"/>
              <w:ind w:left="341" w:right="196" w:hanging="205"/>
            </w:pPr>
            <w:r w:rsidRPr="009E4B46">
              <w:t>presence</w:t>
            </w:r>
            <w:r w:rsidR="006056FF">
              <w:t xml:space="preserve"> or </w:t>
            </w:r>
            <w:r w:rsidRPr="009E4B46">
              <w:t>absence</w:t>
            </w:r>
            <w:r>
              <w:t>.</w:t>
            </w:r>
          </w:p>
        </w:tc>
        <w:tc>
          <w:tcPr>
            <w:tcW w:w="1531" w:type="pct"/>
            <w:tcBorders>
              <w:bottom w:val="single" w:sz="4" w:space="0" w:color="auto"/>
            </w:tcBorders>
          </w:tcPr>
          <w:p w:rsidR="00B267C3" w:rsidP="0044386B" w14:paraId="0B17860B" w14:textId="14CAEBE1">
            <w:pPr>
              <w:pStyle w:val="TableText"/>
              <w:ind w:left="57" w:right="236"/>
            </w:pPr>
            <w:r>
              <w:t xml:space="preserve">In addition to </w:t>
            </w:r>
            <w:r w:rsidR="00BC455A">
              <w:t xml:space="preserve">the </w:t>
            </w:r>
            <w:r>
              <w:t xml:space="preserve">advantages listed for frogs in </w:t>
            </w:r>
            <w:r w:rsidR="009905CA">
              <w:t>‘</w:t>
            </w:r>
            <w:r w:rsidRPr="009905CA">
              <w:rPr>
                <w:rStyle w:val="Emphasis"/>
                <w:i w:val="0"/>
                <w:iCs w:val="0"/>
              </w:rPr>
              <w:t>General organic and inorganic contaminants (including metals, pesticides): changes to biodiversity</w:t>
            </w:r>
            <w:r w:rsidRPr="009905CA" w:rsidR="009905CA">
              <w:rPr>
                <w:rStyle w:val="Emphasis"/>
                <w:i w:val="0"/>
                <w:iCs w:val="0"/>
              </w:rPr>
              <w:t>’</w:t>
            </w:r>
            <w:r>
              <w:t>:</w:t>
            </w:r>
          </w:p>
          <w:p w:rsidR="00D139E7" w:rsidRPr="009E4B46" w:rsidP="0044386B" w14:paraId="43D6E002" w14:textId="36B368EE">
            <w:pPr>
              <w:pStyle w:val="TableBullet"/>
              <w:ind w:right="236"/>
            </w:pPr>
            <w:r>
              <w:t>F</w:t>
            </w:r>
            <w:r w:rsidRPr="009E4B46">
              <w:t xml:space="preserve">rog calls </w:t>
            </w:r>
            <w:r>
              <w:t>are a s</w:t>
            </w:r>
            <w:r w:rsidRPr="009E4B46">
              <w:t>imple approach</w:t>
            </w:r>
            <w:r>
              <w:t>.</w:t>
            </w:r>
          </w:p>
          <w:p w:rsidR="00D139E7" w:rsidRPr="009E4B46" w:rsidP="0044386B" w14:paraId="255C95C7" w14:textId="61FDE1BF">
            <w:pPr>
              <w:pStyle w:val="TableBullet"/>
              <w:ind w:right="236"/>
            </w:pPr>
            <w:r w:rsidRPr="009E4B46">
              <w:t xml:space="preserve">Some background data </w:t>
            </w:r>
            <w:r w:rsidR="00760B78">
              <w:t xml:space="preserve">are </w:t>
            </w:r>
            <w:r w:rsidRPr="009E4B46">
              <w:t>available (</w:t>
            </w:r>
            <w:r>
              <w:t>e.g</w:t>
            </w:r>
            <w:r w:rsidRPr="007F5A17">
              <w:t>. FrogWatch</w:t>
            </w:r>
            <w:r w:rsidRPr="009E4B46">
              <w:t>)</w:t>
            </w:r>
            <w:r>
              <w:t>.</w:t>
            </w:r>
            <w:r w:rsidRPr="009E4B46">
              <w:t xml:space="preserve"> </w:t>
            </w:r>
          </w:p>
          <w:p w:rsidR="00D139E7" w:rsidRPr="009E4B46" w:rsidP="0044386B" w14:paraId="27D83987" w14:textId="1405C800">
            <w:pPr>
              <w:pStyle w:val="TableBullet"/>
              <w:ind w:right="236"/>
            </w:pPr>
            <w:r>
              <w:t>The availability of l</w:t>
            </w:r>
            <w:r w:rsidRPr="009E4B46" w:rsidR="003B398F">
              <w:t xml:space="preserve">arval identification keys </w:t>
            </w:r>
            <w:r w:rsidR="00760B78">
              <w:t>mean</w:t>
            </w:r>
            <w:r>
              <w:t>s</w:t>
            </w:r>
            <w:r w:rsidR="00760B78">
              <w:t xml:space="preserve"> that</w:t>
            </w:r>
            <w:r w:rsidRPr="009E4B46" w:rsidR="00760B78">
              <w:t xml:space="preserve"> </w:t>
            </w:r>
            <w:r w:rsidRPr="009E4B46" w:rsidR="003B398F">
              <w:t>us</w:t>
            </w:r>
            <w:r w:rsidR="00760B78">
              <w:t>ing</w:t>
            </w:r>
            <w:r w:rsidRPr="009E4B46" w:rsidR="003B398F">
              <w:t xml:space="preserve"> </w:t>
            </w:r>
            <w:r w:rsidR="003B398F">
              <w:t>the larval</w:t>
            </w:r>
            <w:r w:rsidRPr="009E4B46" w:rsidR="003B398F">
              <w:t xml:space="preserve"> stage </w:t>
            </w:r>
            <w:r w:rsidR="00760B78">
              <w:t xml:space="preserve">is </w:t>
            </w:r>
            <w:r w:rsidRPr="009E4B46" w:rsidR="003B398F">
              <w:t>a viable option</w:t>
            </w:r>
            <w:r w:rsidR="003B398F">
              <w:t>.</w:t>
            </w:r>
          </w:p>
        </w:tc>
        <w:tc>
          <w:tcPr>
            <w:tcW w:w="1531" w:type="pct"/>
            <w:tcBorders>
              <w:bottom w:val="single" w:sz="4" w:space="0" w:color="auto"/>
            </w:tcBorders>
          </w:tcPr>
          <w:p w:rsidR="00B267C3" w:rsidP="0044386B" w14:paraId="0459DD7F" w14:textId="76B29166">
            <w:pPr>
              <w:pStyle w:val="TableText"/>
              <w:ind w:left="57" w:right="134"/>
            </w:pPr>
            <w:r>
              <w:t xml:space="preserve">In addition to </w:t>
            </w:r>
            <w:r w:rsidR="00BC455A">
              <w:t xml:space="preserve">the </w:t>
            </w:r>
            <w:r>
              <w:t xml:space="preserve">disadvantages listed for frogs in </w:t>
            </w:r>
            <w:r w:rsidR="009905CA">
              <w:t>‘</w:t>
            </w:r>
            <w:r w:rsidRPr="009905CA">
              <w:rPr>
                <w:rStyle w:val="Emphasis"/>
                <w:i w:val="0"/>
                <w:iCs w:val="0"/>
              </w:rPr>
              <w:t>General organic and inorganic contaminants (including metals, pesticides): changes to biodiversity</w:t>
            </w:r>
            <w:r w:rsidRPr="009905CA" w:rsidR="009905CA">
              <w:rPr>
                <w:rStyle w:val="Emphasis"/>
                <w:i w:val="0"/>
                <w:iCs w:val="0"/>
              </w:rPr>
              <w:t>’</w:t>
            </w:r>
            <w:r>
              <w:t>:</w:t>
            </w:r>
          </w:p>
          <w:p w:rsidR="00D139E7" w:rsidRPr="009E4B46" w:rsidP="00A06D9B" w14:paraId="55B77346" w14:textId="2AB84D4B">
            <w:pPr>
              <w:pStyle w:val="TableBullet"/>
              <w:ind w:right="134"/>
            </w:pPr>
            <w:r>
              <w:t>F</w:t>
            </w:r>
            <w:r w:rsidRPr="009E4B46">
              <w:t xml:space="preserve">rog calls </w:t>
            </w:r>
            <w:r>
              <w:t xml:space="preserve">are </w:t>
            </w:r>
            <w:r w:rsidRPr="009E4B46">
              <w:t>highly depend</w:t>
            </w:r>
            <w:r>
              <w:t>e</w:t>
            </w:r>
            <w:r w:rsidRPr="009E4B46">
              <w:t>nt upon seasons</w:t>
            </w:r>
            <w:r>
              <w:t xml:space="preserve"> and</w:t>
            </w:r>
            <w:r w:rsidRPr="009E4B46">
              <w:t xml:space="preserve"> environmental conditions</w:t>
            </w:r>
            <w:r>
              <w:t>.</w:t>
            </w:r>
          </w:p>
        </w:tc>
      </w:tr>
      <w:tr w14:paraId="2627734D" w14:textId="79CE38B7" w:rsidTr="0044386B">
        <w:tblPrEx>
          <w:tblW w:w="5000" w:type="pct"/>
          <w:tblCellMar>
            <w:left w:w="0" w:type="dxa"/>
            <w:right w:w="0" w:type="dxa"/>
          </w:tblCellMar>
          <w:tblLook w:val="01E0"/>
        </w:tblPrEx>
        <w:trPr>
          <w:cantSplit/>
          <w:trHeight w:val="719"/>
        </w:trPr>
        <w:tc>
          <w:tcPr>
            <w:tcW w:w="407" w:type="pct"/>
            <w:vMerge/>
            <w:tcBorders>
              <w:top w:val="nil"/>
              <w:left w:val="nil"/>
              <w:bottom w:val="single" w:sz="4" w:space="0" w:color="auto"/>
              <w:right w:val="nil"/>
            </w:tcBorders>
          </w:tcPr>
          <w:p w:rsidR="00D139E7" w:rsidRPr="009E4B46" w:rsidP="00C751F5" w14:paraId="4F2D49FB" w14:textId="77777777">
            <w:pPr>
              <w:rPr>
                <w:sz w:val="2"/>
                <w:szCs w:val="2"/>
              </w:rPr>
            </w:pPr>
          </w:p>
        </w:tc>
        <w:tc>
          <w:tcPr>
            <w:tcW w:w="1531" w:type="pct"/>
            <w:tcBorders>
              <w:top w:val="single" w:sz="4" w:space="0" w:color="auto"/>
              <w:left w:val="nil"/>
              <w:bottom w:val="single" w:sz="4" w:space="0" w:color="auto"/>
              <w:right w:val="nil"/>
            </w:tcBorders>
          </w:tcPr>
          <w:p w:rsidR="00D139E7" w:rsidRPr="009E4B46" w:rsidP="0044386B" w14:paraId="177C1341" w14:textId="77777777">
            <w:pPr>
              <w:pStyle w:val="TableText"/>
              <w:keepNext/>
              <w:ind w:left="57" w:right="196"/>
            </w:pPr>
            <w:r w:rsidRPr="009E4B46">
              <w:t>Birds</w:t>
            </w:r>
            <w:r>
              <w:t>:</w:t>
            </w:r>
          </w:p>
          <w:p w:rsidR="00D139E7" w:rsidRPr="009E4B46" w:rsidP="001562CF" w14:paraId="0DFB5BC4" w14:textId="44EC90F1">
            <w:pPr>
              <w:pStyle w:val="TableBullet"/>
              <w:ind w:left="341" w:right="196" w:hanging="205"/>
            </w:pPr>
            <w:r>
              <w:t>p</w:t>
            </w:r>
            <w:r w:rsidRPr="009E4B46">
              <w:t>resence</w:t>
            </w:r>
            <w:r>
              <w:t xml:space="preserve"> or </w:t>
            </w:r>
            <w:r w:rsidRPr="009E4B46">
              <w:t>absence</w:t>
            </w:r>
            <w:r>
              <w:t>.</w:t>
            </w:r>
          </w:p>
        </w:tc>
        <w:tc>
          <w:tcPr>
            <w:tcW w:w="1531" w:type="pct"/>
            <w:tcBorders>
              <w:top w:val="single" w:sz="4" w:space="0" w:color="auto"/>
              <w:left w:val="nil"/>
              <w:bottom w:val="single" w:sz="4" w:space="0" w:color="auto"/>
              <w:right w:val="nil"/>
            </w:tcBorders>
          </w:tcPr>
          <w:p w:rsidR="003A5BB2" w:rsidRPr="009E4B46" w:rsidP="0044386B" w14:paraId="49784622" w14:textId="42815733">
            <w:pPr>
              <w:pStyle w:val="TableBullet"/>
              <w:ind w:right="236"/>
            </w:pPr>
            <w:r w:rsidRPr="009E4B46">
              <w:t>Good baseline information</w:t>
            </w:r>
            <w:r w:rsidR="00760B78">
              <w:t xml:space="preserve"> exists </w:t>
            </w:r>
            <w:r>
              <w:t xml:space="preserve">(e.g. </w:t>
            </w:r>
            <w:r w:rsidRPr="007F5A17">
              <w:t>Birdlife Australia</w:t>
            </w:r>
            <w:r>
              <w:t>).</w:t>
            </w:r>
          </w:p>
        </w:tc>
        <w:tc>
          <w:tcPr>
            <w:tcW w:w="1531" w:type="pct"/>
            <w:tcBorders>
              <w:top w:val="single" w:sz="4" w:space="0" w:color="auto"/>
              <w:left w:val="nil"/>
              <w:bottom w:val="single" w:sz="4" w:space="0" w:color="auto"/>
              <w:right w:val="nil"/>
            </w:tcBorders>
          </w:tcPr>
          <w:p w:rsidR="00A64DE8" w:rsidRPr="009E4B46" w:rsidP="0044386B" w14:paraId="7B05A12D" w14:textId="6CAC4AB4">
            <w:pPr>
              <w:pStyle w:val="TableBullet"/>
              <w:ind w:right="134"/>
            </w:pPr>
            <w:r>
              <w:t xml:space="preserve">Birds are </w:t>
            </w:r>
            <w:r w:rsidR="00A06D9B">
              <w:t xml:space="preserve">only </w:t>
            </w:r>
            <w:r>
              <w:t>i</w:t>
            </w:r>
            <w:r w:rsidRPr="009E4B46">
              <w:t>ndirectly affected by most</w:t>
            </w:r>
            <w:r w:rsidRPr="009E4B46">
              <w:rPr>
                <w:spacing w:val="1"/>
              </w:rPr>
              <w:t xml:space="preserve"> </w:t>
            </w:r>
            <w:r w:rsidRPr="009E4B46">
              <w:t>contaminants</w:t>
            </w:r>
            <w:r w:rsidR="00F428F1">
              <w:t xml:space="preserve"> through either effects on prey or through the food chain</w:t>
            </w:r>
            <w:r>
              <w:t>.</w:t>
            </w:r>
          </w:p>
          <w:p w:rsidR="003A5BB2" w:rsidRPr="009E4B46" w:rsidP="00CB26AC" w14:paraId="7762C115" w14:textId="16DA5BE8">
            <w:pPr>
              <w:pStyle w:val="TableBullet"/>
              <w:ind w:right="134"/>
            </w:pPr>
            <w:r>
              <w:t>The h</w:t>
            </w:r>
            <w:r w:rsidRPr="009E4B46">
              <w:t>igh</w:t>
            </w:r>
            <w:r>
              <w:t>ly</w:t>
            </w:r>
            <w:r w:rsidRPr="009E4B46">
              <w:t xml:space="preserve"> mobil</w:t>
            </w:r>
            <w:r>
              <w:t>e</w:t>
            </w:r>
            <w:r w:rsidR="00911036">
              <w:t xml:space="preserve"> and </w:t>
            </w:r>
            <w:r w:rsidRPr="009E4B46">
              <w:t>migratory nature</w:t>
            </w:r>
            <w:r>
              <w:t xml:space="preserve"> of many species means that the</w:t>
            </w:r>
            <w:r w:rsidRPr="009E4B46">
              <w:t xml:space="preserve"> interpretation of data must take into account factors affecting </w:t>
            </w:r>
            <w:r>
              <w:t xml:space="preserve">the </w:t>
            </w:r>
            <w:r w:rsidRPr="009E4B46">
              <w:t>entire catchment</w:t>
            </w:r>
            <w:r w:rsidR="00911036">
              <w:t xml:space="preserve"> or </w:t>
            </w:r>
            <w:r w:rsidRPr="009E4B46">
              <w:t xml:space="preserve">region, including connectivity between sites. </w:t>
            </w:r>
          </w:p>
        </w:tc>
      </w:tr>
      <w:tr w14:paraId="713A0E75" w14:textId="22964588" w:rsidTr="0044386B">
        <w:tblPrEx>
          <w:tblW w:w="5000" w:type="pct"/>
          <w:tblCellMar>
            <w:left w:w="0" w:type="dxa"/>
            <w:right w:w="0" w:type="dxa"/>
          </w:tblCellMar>
          <w:tblLook w:val="01E0"/>
        </w:tblPrEx>
        <w:trPr>
          <w:cantSplit/>
          <w:trHeight w:val="723"/>
        </w:trPr>
        <w:tc>
          <w:tcPr>
            <w:tcW w:w="407" w:type="pct"/>
            <w:tcBorders>
              <w:top w:val="single" w:sz="4" w:space="0" w:color="auto"/>
              <w:left w:val="nil"/>
              <w:bottom w:val="nil"/>
              <w:right w:val="nil"/>
            </w:tcBorders>
          </w:tcPr>
          <w:p w:rsidR="004F4645" w:rsidRPr="009E4B46" w:rsidP="002A7C96" w14:paraId="527F087E" w14:textId="77777777">
            <w:pPr>
              <w:pStyle w:val="TableText"/>
              <w:ind w:left="57" w:right="57"/>
            </w:pPr>
            <w:r w:rsidRPr="009E4B46">
              <w:t>Suspended sol</w:t>
            </w:r>
            <w:r>
              <w:t>ids,</w:t>
            </w:r>
            <w:r w:rsidRPr="009E4B46">
              <w:t xml:space="preserve"> sedimentation</w:t>
            </w:r>
            <w:r>
              <w:t>,</w:t>
            </w:r>
            <w:r w:rsidRPr="009E4B46">
              <w:t xml:space="preserve"> dredging</w:t>
            </w:r>
            <w:r>
              <w:t>.</w:t>
            </w:r>
          </w:p>
        </w:tc>
        <w:tc>
          <w:tcPr>
            <w:tcW w:w="1531" w:type="pct"/>
            <w:tcBorders>
              <w:top w:val="single" w:sz="4" w:space="0" w:color="auto"/>
              <w:left w:val="nil"/>
              <w:bottom w:val="single" w:sz="4" w:space="0" w:color="auto"/>
              <w:right w:val="nil"/>
            </w:tcBorders>
          </w:tcPr>
          <w:p w:rsidR="004F4645" w:rsidRPr="009E4B46" w:rsidP="0044386B" w14:paraId="6E75BA77" w14:textId="77777777">
            <w:pPr>
              <w:pStyle w:val="TableText"/>
              <w:keepNext/>
              <w:ind w:left="57" w:right="196"/>
            </w:pPr>
            <w:r w:rsidRPr="009E4B46">
              <w:t>Macrophytes</w:t>
            </w:r>
            <w:r>
              <w:t>:</w:t>
            </w:r>
          </w:p>
          <w:p w:rsidR="004F4645" w:rsidRPr="009E4B46" w:rsidP="001562CF" w14:paraId="357F4843" w14:textId="77777777">
            <w:pPr>
              <w:pStyle w:val="TableBullet"/>
              <w:ind w:left="341" w:right="196" w:hanging="205"/>
            </w:pPr>
            <w:r w:rsidRPr="009E4B46">
              <w:t>emergent or submersed</w:t>
            </w:r>
            <w:r w:rsidRPr="009E4B46">
              <w:rPr>
                <w:spacing w:val="2"/>
              </w:rPr>
              <w:t xml:space="preserve"> </w:t>
            </w:r>
            <w:r w:rsidRPr="009E4B46">
              <w:t>vegetation</w:t>
            </w:r>
          </w:p>
          <w:p w:rsidR="004F4645" w:rsidRPr="009E4B46" w:rsidP="001562CF" w14:paraId="6F0414DE" w14:textId="77777777">
            <w:pPr>
              <w:pStyle w:val="TableBullet"/>
              <w:ind w:left="341" w:right="196" w:hanging="205"/>
            </w:pPr>
            <w:r w:rsidRPr="009E4B46">
              <w:t>seagrass depth</w:t>
            </w:r>
            <w:r w:rsidRPr="009E4B46">
              <w:rPr>
                <w:spacing w:val="2"/>
              </w:rPr>
              <w:t xml:space="preserve"> </w:t>
            </w:r>
            <w:r w:rsidRPr="009E4B46">
              <w:t>limits</w:t>
            </w:r>
            <w:r>
              <w:t>.</w:t>
            </w:r>
          </w:p>
        </w:tc>
        <w:tc>
          <w:tcPr>
            <w:tcW w:w="1531" w:type="pct"/>
            <w:tcBorders>
              <w:top w:val="single" w:sz="4" w:space="0" w:color="auto"/>
              <w:left w:val="nil"/>
              <w:bottom w:val="single" w:sz="4" w:space="0" w:color="auto"/>
              <w:right w:val="nil"/>
            </w:tcBorders>
          </w:tcPr>
          <w:p w:rsidR="004F4645" w:rsidP="0044386B" w14:paraId="5BD428CA" w14:textId="77777777">
            <w:pPr>
              <w:pStyle w:val="TableBullet"/>
              <w:ind w:right="236"/>
            </w:pPr>
            <w:r>
              <w:t xml:space="preserve">See advantages listed in </w:t>
            </w:r>
            <w:r w:rsidRPr="00911036" w:rsidR="00911036">
              <w:rPr>
                <w:i/>
                <w:iCs/>
              </w:rPr>
              <w:t>‘</w:t>
            </w:r>
            <w:r w:rsidRPr="00911036">
              <w:rPr>
                <w:rStyle w:val="Emphasis"/>
                <w:i w:val="0"/>
                <w:iCs w:val="0"/>
              </w:rPr>
              <w:t>Nutrients: early detection</w:t>
            </w:r>
            <w:r w:rsidRPr="00911036" w:rsidR="00911036">
              <w:rPr>
                <w:rStyle w:val="Emphasis"/>
                <w:i w:val="0"/>
                <w:iCs w:val="0"/>
              </w:rPr>
              <w:t xml:space="preserve">, </w:t>
            </w:r>
            <w:r w:rsidRPr="00911036">
              <w:rPr>
                <w:rStyle w:val="Emphasis"/>
                <w:i w:val="0"/>
                <w:iCs w:val="0"/>
              </w:rPr>
              <w:t>changes to biodiversity</w:t>
            </w:r>
            <w:r w:rsidRPr="00911036" w:rsidR="00911036">
              <w:rPr>
                <w:rStyle w:val="Emphasis"/>
                <w:i w:val="0"/>
                <w:iCs w:val="0"/>
              </w:rPr>
              <w:t>’</w:t>
            </w:r>
            <w:r>
              <w:t>.</w:t>
            </w:r>
          </w:p>
          <w:p w:rsidR="007F6110" w:rsidRPr="009E4B46" w:rsidP="0044386B" w14:paraId="0AA18362" w14:textId="52B17277">
            <w:pPr>
              <w:pStyle w:val="TableBullet"/>
              <w:ind w:right="236"/>
            </w:pPr>
            <w:r>
              <w:t>There is a d</w:t>
            </w:r>
            <w:r w:rsidRPr="004D7870">
              <w:t>irect response</w:t>
            </w:r>
            <w:r>
              <w:t xml:space="preserve"> of submerged macrophytes</w:t>
            </w:r>
            <w:r w:rsidRPr="004D7870">
              <w:t xml:space="preserve"> to shading caused by suspended sediments</w:t>
            </w:r>
          </w:p>
        </w:tc>
        <w:tc>
          <w:tcPr>
            <w:tcW w:w="1531" w:type="pct"/>
            <w:tcBorders>
              <w:top w:val="single" w:sz="4" w:space="0" w:color="auto"/>
              <w:left w:val="nil"/>
              <w:bottom w:val="single" w:sz="4" w:space="0" w:color="auto"/>
              <w:right w:val="nil"/>
            </w:tcBorders>
          </w:tcPr>
          <w:p w:rsidR="004F4645" w:rsidP="0044386B" w14:paraId="0EEDDAFC" w14:textId="4BDE1A6C">
            <w:pPr>
              <w:pStyle w:val="TableBullet"/>
              <w:ind w:right="134"/>
            </w:pPr>
            <w:r>
              <w:t xml:space="preserve">See disadvantages listed in </w:t>
            </w:r>
            <w:r w:rsidRPr="00911036" w:rsidR="00911036">
              <w:rPr>
                <w:i/>
                <w:iCs/>
              </w:rPr>
              <w:t>‘</w:t>
            </w:r>
            <w:r w:rsidRPr="00911036">
              <w:rPr>
                <w:rStyle w:val="Emphasis"/>
                <w:i w:val="0"/>
                <w:iCs w:val="0"/>
              </w:rPr>
              <w:t>Nutrients: early detection</w:t>
            </w:r>
            <w:r w:rsidR="00911036">
              <w:rPr>
                <w:rStyle w:val="Emphasis"/>
                <w:i w:val="0"/>
                <w:iCs w:val="0"/>
              </w:rPr>
              <w:t>,</w:t>
            </w:r>
            <w:r w:rsidR="00911036">
              <w:rPr>
                <w:rStyle w:val="Emphasis"/>
              </w:rPr>
              <w:t xml:space="preserve"> </w:t>
            </w:r>
            <w:r w:rsidRPr="00911036">
              <w:rPr>
                <w:rStyle w:val="Emphasis"/>
                <w:i w:val="0"/>
                <w:iCs w:val="0"/>
              </w:rPr>
              <w:t>changes to biodiversity</w:t>
            </w:r>
            <w:r w:rsidRPr="00911036" w:rsidR="00911036">
              <w:rPr>
                <w:i/>
                <w:iCs/>
              </w:rPr>
              <w:t>’</w:t>
            </w:r>
          </w:p>
          <w:p w:rsidR="004F4645" w:rsidRPr="009E4B46" w:rsidP="0044386B" w14:paraId="79F63277" w14:textId="315A0E1C">
            <w:pPr>
              <w:pStyle w:val="TableBullet"/>
              <w:ind w:right="134"/>
            </w:pPr>
            <w:r w:rsidRPr="00816B5A">
              <w:t>Vegetation can be patchy and variable in extent</w:t>
            </w:r>
            <w:r w:rsidR="00760B78">
              <w:t>,</w:t>
            </w:r>
            <w:r w:rsidRPr="00816B5A">
              <w:t xml:space="preserve"> both spatially and seasonally. </w:t>
            </w:r>
            <w:r w:rsidR="00760B78">
              <w:t>Use of th</w:t>
            </w:r>
            <w:r w:rsidR="00253B90">
              <w:t>ese</w:t>
            </w:r>
            <w:r w:rsidR="00760B78">
              <w:t xml:space="preserve"> indicator</w:t>
            </w:r>
            <w:r w:rsidR="00253B90">
              <w:t>s</w:t>
            </w:r>
            <w:r w:rsidR="00760B78">
              <w:t xml:space="preserve"> m</w:t>
            </w:r>
            <w:r w:rsidRPr="00816B5A">
              <w:t xml:space="preserve">ay require significant sample numbers, controls and replication to increase </w:t>
            </w:r>
            <w:r w:rsidR="00A06D9B">
              <w:t xml:space="preserve">power for </w:t>
            </w:r>
            <w:r w:rsidRPr="00816B5A">
              <w:t>change detection</w:t>
            </w:r>
            <w:r>
              <w:t>.</w:t>
            </w:r>
          </w:p>
        </w:tc>
      </w:tr>
      <w:tr w14:paraId="0A4DF9FC" w14:textId="77777777" w:rsidTr="0044386B">
        <w:tblPrEx>
          <w:tblW w:w="5000" w:type="pct"/>
          <w:tblCellMar>
            <w:left w:w="0" w:type="dxa"/>
            <w:right w:w="0" w:type="dxa"/>
          </w:tblCellMar>
          <w:tblLook w:val="01E0"/>
        </w:tblPrEx>
        <w:trPr>
          <w:cantSplit/>
          <w:trHeight w:val="723"/>
        </w:trPr>
        <w:tc>
          <w:tcPr>
            <w:tcW w:w="407" w:type="pct"/>
            <w:tcBorders>
              <w:top w:val="nil"/>
              <w:left w:val="nil"/>
              <w:bottom w:val="nil"/>
              <w:right w:val="nil"/>
            </w:tcBorders>
          </w:tcPr>
          <w:p w:rsidR="004F4645" w:rsidRPr="009E4B46" w:rsidP="002A7C96" w14:paraId="40E7F6BE" w14:textId="77777777">
            <w:pPr>
              <w:pStyle w:val="TableText"/>
              <w:ind w:left="57" w:right="57"/>
            </w:pPr>
          </w:p>
        </w:tc>
        <w:tc>
          <w:tcPr>
            <w:tcW w:w="1531" w:type="pct"/>
            <w:tcBorders>
              <w:top w:val="single" w:sz="4" w:space="0" w:color="auto"/>
              <w:left w:val="nil"/>
              <w:bottom w:val="single" w:sz="4" w:space="0" w:color="auto"/>
              <w:right w:val="nil"/>
            </w:tcBorders>
          </w:tcPr>
          <w:p w:rsidR="004F4645" w:rsidRPr="004D7870" w:rsidP="0044386B" w14:paraId="7D1B7CA7" w14:textId="77777777">
            <w:pPr>
              <w:pStyle w:val="TableText"/>
              <w:keepNext/>
              <w:ind w:left="57" w:right="196"/>
            </w:pPr>
            <w:r w:rsidRPr="004D7870">
              <w:t>Seagrass:</w:t>
            </w:r>
          </w:p>
          <w:p w:rsidR="004F4645" w:rsidRPr="009E4B46" w:rsidP="001562CF" w14:paraId="1DF1BD74" w14:textId="1379A207">
            <w:pPr>
              <w:pStyle w:val="TableBullet"/>
              <w:ind w:left="341" w:right="196" w:hanging="205"/>
            </w:pPr>
            <w:r>
              <w:t>s</w:t>
            </w:r>
            <w:r w:rsidRPr="004D7870">
              <w:t>eagrass health and mortality</w:t>
            </w:r>
            <w:r>
              <w:t>.</w:t>
            </w:r>
          </w:p>
        </w:tc>
        <w:tc>
          <w:tcPr>
            <w:tcW w:w="1531" w:type="pct"/>
            <w:tcBorders>
              <w:top w:val="single" w:sz="4" w:space="0" w:color="auto"/>
              <w:left w:val="nil"/>
              <w:bottom w:val="single" w:sz="4" w:space="0" w:color="auto"/>
              <w:right w:val="nil"/>
            </w:tcBorders>
          </w:tcPr>
          <w:p w:rsidR="004F4645" w:rsidRPr="004D7870" w:rsidP="00111F7F" w14:paraId="0FB7F60E" w14:textId="3C499F6A">
            <w:pPr>
              <w:pStyle w:val="TableBullet"/>
              <w:ind w:left="714" w:right="238" w:hanging="357"/>
            </w:pPr>
            <w:r>
              <w:t>There is a d</w:t>
            </w:r>
            <w:r w:rsidRPr="004D7870">
              <w:t>irect response</w:t>
            </w:r>
            <w:r>
              <w:t xml:space="preserve"> of seagrasses</w:t>
            </w:r>
            <w:r w:rsidRPr="004D7870">
              <w:t xml:space="preserve"> to shading caused by suspended sediments</w:t>
            </w:r>
            <w:r>
              <w:t>.</w:t>
            </w:r>
          </w:p>
          <w:p w:rsidR="004F4645" w:rsidRPr="004D7870" w:rsidP="00111F7F" w14:paraId="1F6737AD" w14:textId="6F757A2D">
            <w:pPr>
              <w:pStyle w:val="TableBullet"/>
              <w:ind w:left="714" w:right="238" w:hanging="357"/>
            </w:pPr>
            <w:r>
              <w:t>Seagrasses are a w</w:t>
            </w:r>
            <w:r w:rsidRPr="004D7870">
              <w:t>idely accepted indicator of light stress</w:t>
            </w:r>
            <w:r>
              <w:t>.</w:t>
            </w:r>
          </w:p>
          <w:p w:rsidR="001562CF" w:rsidP="00111F7F" w14:paraId="07377339" w14:textId="77777777">
            <w:pPr>
              <w:pStyle w:val="TableBullet"/>
              <w:ind w:left="714" w:right="238" w:hanging="357"/>
            </w:pPr>
            <w:r>
              <w:t>W</w:t>
            </w:r>
            <w:r w:rsidRPr="004D7870">
              <w:t>ater</w:t>
            </w:r>
            <w:r>
              <w:t>-</w:t>
            </w:r>
            <w:r w:rsidRPr="004D7870">
              <w:t xml:space="preserve">quality triggers </w:t>
            </w:r>
            <w:r>
              <w:t>are e</w:t>
            </w:r>
            <w:r w:rsidRPr="004D7870">
              <w:t>stablished as indicators of pressure</w:t>
            </w:r>
            <w:r>
              <w:t>.</w:t>
            </w:r>
          </w:p>
          <w:p w:rsidR="004F4645" w:rsidP="00111F7F" w14:paraId="5DFDCA3B" w14:textId="368E2BEA">
            <w:pPr>
              <w:pStyle w:val="TableBullet"/>
              <w:ind w:left="714" w:right="238" w:hanging="357"/>
            </w:pPr>
            <w:r w:rsidRPr="004D7870">
              <w:t>Established biological responses</w:t>
            </w:r>
            <w:r w:rsidR="00760B78">
              <w:t xml:space="preserve"> are</w:t>
            </w:r>
            <w:r w:rsidRPr="004D7870">
              <w:t xml:space="preserve"> linked to water quality</w:t>
            </w:r>
            <w:r>
              <w:t>.</w:t>
            </w:r>
          </w:p>
        </w:tc>
        <w:tc>
          <w:tcPr>
            <w:tcW w:w="1531" w:type="pct"/>
            <w:tcBorders>
              <w:top w:val="single" w:sz="4" w:space="0" w:color="auto"/>
              <w:left w:val="nil"/>
              <w:bottom w:val="single" w:sz="4" w:space="0" w:color="auto"/>
              <w:right w:val="nil"/>
            </w:tcBorders>
          </w:tcPr>
          <w:p w:rsidR="004F4645" w:rsidRPr="00816B5A" w:rsidP="0044386B" w14:paraId="1D671F9C" w14:textId="178519DC">
            <w:pPr>
              <w:pStyle w:val="TableBullet"/>
              <w:ind w:right="134"/>
              <w:rPr>
                <w:bCs/>
              </w:rPr>
            </w:pPr>
            <w:r w:rsidRPr="00816B5A">
              <w:rPr>
                <w:bCs/>
              </w:rPr>
              <w:t xml:space="preserve">Triggers </w:t>
            </w:r>
            <w:r w:rsidR="00760B78">
              <w:rPr>
                <w:bCs/>
              </w:rPr>
              <w:t xml:space="preserve">are </w:t>
            </w:r>
            <w:r w:rsidRPr="00816B5A">
              <w:rPr>
                <w:bCs/>
              </w:rPr>
              <w:t>not available for all species</w:t>
            </w:r>
            <w:r>
              <w:rPr>
                <w:bCs/>
              </w:rPr>
              <w:t>.</w:t>
            </w:r>
          </w:p>
          <w:p w:rsidR="004F4645" w:rsidRPr="00816B5A" w:rsidP="0044386B" w14:paraId="18346456" w14:textId="750AD4CC">
            <w:pPr>
              <w:pStyle w:val="TableBullet"/>
              <w:ind w:right="134"/>
              <w:rPr>
                <w:bCs/>
              </w:rPr>
            </w:pPr>
            <w:r>
              <w:rPr>
                <w:bCs/>
              </w:rPr>
              <w:t>Some species’ a</w:t>
            </w:r>
            <w:r w:rsidRPr="00816B5A">
              <w:rPr>
                <w:bCs/>
              </w:rPr>
              <w:t xml:space="preserve">daptation to highly turbid environments may require </w:t>
            </w:r>
            <w:r>
              <w:rPr>
                <w:bCs/>
              </w:rPr>
              <w:t xml:space="preserve">the </w:t>
            </w:r>
            <w:r w:rsidRPr="00816B5A">
              <w:rPr>
                <w:bCs/>
              </w:rPr>
              <w:t>development of site-specific triggers</w:t>
            </w:r>
            <w:r>
              <w:rPr>
                <w:bCs/>
              </w:rPr>
              <w:t>.</w:t>
            </w:r>
          </w:p>
          <w:p w:rsidR="004F4645" w:rsidRPr="00816B5A" w:rsidP="0044386B" w14:paraId="2CFA07B7" w14:textId="77777777">
            <w:pPr>
              <w:pStyle w:val="TableBullet"/>
              <w:ind w:right="134"/>
              <w:rPr>
                <w:bCs/>
              </w:rPr>
            </w:pPr>
            <w:r w:rsidRPr="00816B5A">
              <w:rPr>
                <w:bCs/>
              </w:rPr>
              <w:t>Some methods, such as leaf counts, can be resource intensive and require diving (increasing safety risks).</w:t>
            </w:r>
          </w:p>
          <w:p w:rsidR="004F4645" w:rsidP="0044386B" w14:paraId="6C441106" w14:textId="3B927DBC">
            <w:pPr>
              <w:pStyle w:val="TableBullet"/>
              <w:ind w:right="134"/>
            </w:pPr>
            <w:r w:rsidRPr="004D7870">
              <w:rPr>
                <w:bCs/>
              </w:rPr>
              <w:t>Some species</w:t>
            </w:r>
            <w:r w:rsidRPr="004D7870">
              <w:rPr>
                <w:b/>
              </w:rPr>
              <w:t xml:space="preserve"> </w:t>
            </w:r>
            <w:r w:rsidRPr="00AE7F6A" w:rsidR="00AE7F6A">
              <w:rPr>
                <w:bCs/>
              </w:rPr>
              <w:t xml:space="preserve">have </w:t>
            </w:r>
            <w:r w:rsidRPr="004D7870">
              <w:rPr>
                <w:bCs/>
              </w:rPr>
              <w:t>naturally variable cover on a seasonal and inter-annual basis.</w:t>
            </w:r>
          </w:p>
        </w:tc>
      </w:tr>
      <w:tr w14:paraId="3FDC06E0" w14:textId="77777777" w:rsidTr="0044386B">
        <w:tblPrEx>
          <w:tblW w:w="5000" w:type="pct"/>
          <w:tblCellMar>
            <w:left w:w="0" w:type="dxa"/>
            <w:right w:w="0" w:type="dxa"/>
          </w:tblCellMar>
          <w:tblLook w:val="01E0"/>
        </w:tblPrEx>
        <w:trPr>
          <w:cantSplit/>
          <w:trHeight w:val="723"/>
        </w:trPr>
        <w:tc>
          <w:tcPr>
            <w:tcW w:w="407" w:type="pct"/>
            <w:tcBorders>
              <w:top w:val="nil"/>
              <w:left w:val="nil"/>
              <w:bottom w:val="nil"/>
              <w:right w:val="nil"/>
            </w:tcBorders>
          </w:tcPr>
          <w:p w:rsidR="004F4645" w:rsidRPr="009E4B46" w:rsidP="002A7C96" w14:paraId="499E193B" w14:textId="77777777">
            <w:pPr>
              <w:pStyle w:val="TableText"/>
              <w:ind w:left="57" w:right="57"/>
            </w:pPr>
          </w:p>
        </w:tc>
        <w:tc>
          <w:tcPr>
            <w:tcW w:w="1531" w:type="pct"/>
            <w:tcBorders>
              <w:top w:val="single" w:sz="4" w:space="0" w:color="auto"/>
              <w:left w:val="nil"/>
              <w:bottom w:val="single" w:sz="4" w:space="0" w:color="auto"/>
              <w:right w:val="nil"/>
            </w:tcBorders>
          </w:tcPr>
          <w:p w:rsidR="004F4645" w:rsidRPr="004D7870" w:rsidP="0044386B" w14:paraId="3CC08624" w14:textId="77777777">
            <w:pPr>
              <w:pStyle w:val="TableText"/>
              <w:keepNext/>
              <w:ind w:left="57" w:right="196"/>
            </w:pPr>
            <w:r w:rsidRPr="004D7870">
              <w:t>Phototrophic sponges:</w:t>
            </w:r>
          </w:p>
          <w:p w:rsidR="004F4645" w:rsidRPr="004D7870" w:rsidP="001562CF" w14:paraId="40E6EFFD" w14:textId="4D9A1215">
            <w:pPr>
              <w:pStyle w:val="TableBullet"/>
              <w:ind w:left="341" w:right="196" w:hanging="205"/>
            </w:pPr>
            <w:r>
              <w:t>s</w:t>
            </w:r>
            <w:r w:rsidRPr="004D7870">
              <w:t>ponge health and mortality</w:t>
            </w:r>
            <w:r>
              <w:t>.</w:t>
            </w:r>
          </w:p>
          <w:p w:rsidR="004F4645" w:rsidRPr="009E4B46" w:rsidP="0044386B" w14:paraId="513AB8EF" w14:textId="77777777">
            <w:pPr>
              <w:pStyle w:val="TableText"/>
              <w:keepNext/>
              <w:ind w:left="57" w:right="196"/>
            </w:pPr>
          </w:p>
        </w:tc>
        <w:tc>
          <w:tcPr>
            <w:tcW w:w="1531" w:type="pct"/>
            <w:tcBorders>
              <w:top w:val="single" w:sz="4" w:space="0" w:color="auto"/>
              <w:left w:val="nil"/>
              <w:bottom w:val="single" w:sz="4" w:space="0" w:color="auto"/>
              <w:right w:val="nil"/>
            </w:tcBorders>
          </w:tcPr>
          <w:p w:rsidR="001562CF" w:rsidP="00111F7F" w14:paraId="2B151405" w14:textId="77777777">
            <w:pPr>
              <w:pStyle w:val="TableBullet"/>
              <w:ind w:left="731" w:right="238" w:hanging="357"/>
            </w:pPr>
            <w:r>
              <w:t>There is a d</w:t>
            </w:r>
            <w:r w:rsidRPr="004D7870">
              <w:t>irect response of phototrophic sponges to shading caused by suspended sediments and sedimentation</w:t>
            </w:r>
            <w:r>
              <w:t>.</w:t>
            </w:r>
          </w:p>
          <w:p w:rsidR="001562CF" w:rsidP="00111F7F" w14:paraId="6F53604C" w14:textId="77777777">
            <w:pPr>
              <w:pStyle w:val="TableBullet"/>
              <w:ind w:left="731" w:right="238" w:hanging="357"/>
            </w:pPr>
            <w:r>
              <w:t>W</w:t>
            </w:r>
            <w:r w:rsidRPr="004D7870">
              <w:t>ater</w:t>
            </w:r>
            <w:r>
              <w:t>-</w:t>
            </w:r>
            <w:r w:rsidRPr="004D7870">
              <w:t xml:space="preserve">quality triggers </w:t>
            </w:r>
            <w:r>
              <w:t>are e</w:t>
            </w:r>
            <w:r w:rsidRPr="004D7870">
              <w:t>stablished as indicators of pressure</w:t>
            </w:r>
            <w:r>
              <w:t>.</w:t>
            </w:r>
          </w:p>
          <w:p w:rsidR="004F4645" w:rsidP="00111F7F" w14:paraId="54D5941F" w14:textId="7663D79C">
            <w:pPr>
              <w:pStyle w:val="TableBullet"/>
              <w:ind w:left="731" w:right="238" w:hanging="357"/>
            </w:pPr>
            <w:r w:rsidRPr="004D7870">
              <w:t>Established biological responses</w:t>
            </w:r>
            <w:r w:rsidR="00AE7F6A">
              <w:t xml:space="preserve"> are</w:t>
            </w:r>
            <w:r w:rsidRPr="004D7870">
              <w:t xml:space="preserve"> linked to water quality</w:t>
            </w:r>
            <w:r>
              <w:t>.</w:t>
            </w:r>
          </w:p>
        </w:tc>
        <w:tc>
          <w:tcPr>
            <w:tcW w:w="1531" w:type="pct"/>
            <w:tcBorders>
              <w:top w:val="single" w:sz="4" w:space="0" w:color="auto"/>
              <w:left w:val="nil"/>
              <w:bottom w:val="single" w:sz="4" w:space="0" w:color="auto"/>
              <w:right w:val="nil"/>
            </w:tcBorders>
          </w:tcPr>
          <w:p w:rsidR="004F4645" w:rsidRPr="004D7870" w:rsidP="0044386B" w14:paraId="1C74D45D" w14:textId="3D9B0CBB">
            <w:pPr>
              <w:pStyle w:val="TableBullet"/>
              <w:tabs>
                <w:tab w:val="left" w:pos="720"/>
              </w:tabs>
              <w:ind w:right="134"/>
              <w:rPr>
                <w:bCs/>
              </w:rPr>
            </w:pPr>
            <w:r>
              <w:rPr>
                <w:bCs/>
              </w:rPr>
              <w:t>The v</w:t>
            </w:r>
            <w:r w:rsidRPr="004D7870">
              <w:rPr>
                <w:bCs/>
              </w:rPr>
              <w:t xml:space="preserve">ariability of response between different phototrophic species </w:t>
            </w:r>
            <w:r>
              <w:rPr>
                <w:bCs/>
              </w:rPr>
              <w:t xml:space="preserve">is </w:t>
            </w:r>
            <w:r w:rsidRPr="004D7870">
              <w:rPr>
                <w:bCs/>
              </w:rPr>
              <w:t>not well known</w:t>
            </w:r>
            <w:r>
              <w:rPr>
                <w:bCs/>
              </w:rPr>
              <w:t>.</w:t>
            </w:r>
          </w:p>
          <w:p w:rsidR="004F4645" w:rsidP="0044386B" w14:paraId="20A0474D" w14:textId="4903A6E3">
            <w:pPr>
              <w:pStyle w:val="TableBullet"/>
              <w:ind w:right="134"/>
            </w:pPr>
            <w:r w:rsidRPr="004D7870">
              <w:rPr>
                <w:bCs/>
              </w:rPr>
              <w:t>There is evidence that some phototrophic sponges adapt rapidly to increased turbidity.</w:t>
            </w:r>
          </w:p>
        </w:tc>
      </w:tr>
      <w:tr w14:paraId="5A0CCA03" w14:textId="77777777" w:rsidTr="0044386B">
        <w:tblPrEx>
          <w:tblW w:w="5000" w:type="pct"/>
          <w:tblCellMar>
            <w:left w:w="0" w:type="dxa"/>
            <w:right w:w="0" w:type="dxa"/>
          </w:tblCellMar>
          <w:tblLook w:val="01E0"/>
        </w:tblPrEx>
        <w:trPr>
          <w:cantSplit/>
          <w:trHeight w:val="723"/>
        </w:trPr>
        <w:tc>
          <w:tcPr>
            <w:tcW w:w="407" w:type="pct"/>
            <w:tcBorders>
              <w:top w:val="nil"/>
              <w:left w:val="nil"/>
              <w:bottom w:val="nil"/>
              <w:right w:val="nil"/>
            </w:tcBorders>
          </w:tcPr>
          <w:p w:rsidR="004F4645" w:rsidRPr="009E4B46" w:rsidP="002A7C96" w14:paraId="6D1DB37F" w14:textId="77777777">
            <w:pPr>
              <w:pStyle w:val="TableText"/>
              <w:ind w:left="57" w:right="57"/>
            </w:pPr>
          </w:p>
        </w:tc>
        <w:tc>
          <w:tcPr>
            <w:tcW w:w="1531" w:type="pct"/>
            <w:tcBorders>
              <w:top w:val="single" w:sz="4" w:space="0" w:color="auto"/>
              <w:left w:val="nil"/>
              <w:bottom w:val="single" w:sz="4" w:space="0" w:color="auto"/>
              <w:right w:val="nil"/>
            </w:tcBorders>
          </w:tcPr>
          <w:p w:rsidR="004F4645" w:rsidRPr="004D7870" w:rsidP="0044386B" w14:paraId="637357ED" w14:textId="77777777">
            <w:pPr>
              <w:pStyle w:val="TableText"/>
              <w:keepNext/>
              <w:ind w:left="57" w:right="196"/>
            </w:pPr>
            <w:r w:rsidRPr="004D7870">
              <w:t>Coral communities:</w:t>
            </w:r>
          </w:p>
          <w:p w:rsidR="004F4645" w:rsidRPr="004D7870" w:rsidP="001562CF" w14:paraId="5B00FE68" w14:textId="00443D47">
            <w:pPr>
              <w:pStyle w:val="TableBullet"/>
              <w:ind w:left="341" w:right="196" w:hanging="205"/>
            </w:pPr>
            <w:r>
              <w:t>s</w:t>
            </w:r>
            <w:r w:rsidRPr="004D7870">
              <w:t>ponge health and mortality</w:t>
            </w:r>
            <w:r>
              <w:t>.</w:t>
            </w:r>
          </w:p>
          <w:p w:rsidR="004F4645" w:rsidRPr="004D7870" w:rsidP="0044386B" w14:paraId="277C0D05" w14:textId="77777777">
            <w:pPr>
              <w:pStyle w:val="TableText"/>
              <w:keepNext/>
              <w:ind w:left="57" w:right="196"/>
            </w:pPr>
          </w:p>
        </w:tc>
        <w:tc>
          <w:tcPr>
            <w:tcW w:w="1531" w:type="pct"/>
            <w:tcBorders>
              <w:top w:val="single" w:sz="4" w:space="0" w:color="auto"/>
              <w:left w:val="nil"/>
              <w:bottom w:val="single" w:sz="4" w:space="0" w:color="auto"/>
              <w:right w:val="nil"/>
            </w:tcBorders>
          </w:tcPr>
          <w:p w:rsidR="004F4645" w:rsidRPr="004D7870" w:rsidP="00111F7F" w14:paraId="4A258492" w14:textId="4B1CA1FF">
            <w:pPr>
              <w:pStyle w:val="TableBullet"/>
              <w:ind w:left="731" w:right="238" w:hanging="357"/>
            </w:pPr>
            <w:r>
              <w:t>There is a d</w:t>
            </w:r>
            <w:r w:rsidRPr="004D7870">
              <w:t>irect response to shading</w:t>
            </w:r>
            <w:r>
              <w:t xml:space="preserve"> and other effects (e.g. fouling, clogging)</w:t>
            </w:r>
            <w:r w:rsidRPr="004D7870">
              <w:t xml:space="preserve"> caused by suspended sediments and sedimentation</w:t>
            </w:r>
            <w:r>
              <w:t>.</w:t>
            </w:r>
          </w:p>
          <w:p w:rsidR="004F4645" w:rsidRPr="004D7870" w:rsidP="00111F7F" w14:paraId="1C5BBF5D" w14:textId="22B10461">
            <w:pPr>
              <w:pStyle w:val="TableBullet"/>
              <w:ind w:left="731" w:right="238" w:hanging="357"/>
            </w:pPr>
            <w:r>
              <w:t>W</w:t>
            </w:r>
            <w:r w:rsidRPr="004D7870">
              <w:t>ater</w:t>
            </w:r>
            <w:r>
              <w:t>-</w:t>
            </w:r>
            <w:r w:rsidRPr="004D7870">
              <w:t xml:space="preserve">quality triggers </w:t>
            </w:r>
            <w:r>
              <w:t>are e</w:t>
            </w:r>
            <w:r w:rsidRPr="004D7870">
              <w:t>stablished as indicators of pressure</w:t>
            </w:r>
            <w:r>
              <w:t>.</w:t>
            </w:r>
          </w:p>
          <w:p w:rsidR="004F4645" w:rsidRPr="004D7870" w:rsidP="00111F7F" w14:paraId="5D0C3249" w14:textId="47677C02">
            <w:pPr>
              <w:pStyle w:val="TableBullet"/>
              <w:ind w:left="731" w:right="238" w:hanging="357"/>
            </w:pPr>
            <w:r w:rsidRPr="004D7870">
              <w:t>Established biological responses</w:t>
            </w:r>
            <w:r w:rsidR="00253B90">
              <w:t xml:space="preserve"> are</w:t>
            </w:r>
            <w:r w:rsidRPr="004D7870">
              <w:t xml:space="preserve"> linked to water quality</w:t>
            </w:r>
            <w:r>
              <w:t>.</w:t>
            </w:r>
          </w:p>
        </w:tc>
        <w:tc>
          <w:tcPr>
            <w:tcW w:w="1531" w:type="pct"/>
            <w:tcBorders>
              <w:top w:val="single" w:sz="4" w:space="0" w:color="auto"/>
              <w:left w:val="nil"/>
              <w:bottom w:val="single" w:sz="4" w:space="0" w:color="auto"/>
              <w:right w:val="nil"/>
            </w:tcBorders>
          </w:tcPr>
          <w:p w:rsidR="004F4645" w:rsidRPr="004D7870" w:rsidP="0044386B" w14:paraId="0D070935" w14:textId="77777777">
            <w:pPr>
              <w:pStyle w:val="TableBullet"/>
              <w:tabs>
                <w:tab w:val="left" w:pos="720"/>
              </w:tabs>
              <w:ind w:right="134"/>
              <w:rPr>
                <w:bCs/>
              </w:rPr>
            </w:pPr>
            <w:r w:rsidRPr="004D7870">
              <w:rPr>
                <w:bCs/>
              </w:rPr>
              <w:t>Triggers may not be appropriate for very shallow or intertidal areas.</w:t>
            </w:r>
          </w:p>
          <w:p w:rsidR="004F4645" w:rsidRPr="004D7870" w:rsidP="0044386B" w14:paraId="61F8F557" w14:textId="79885FB4">
            <w:pPr>
              <w:pStyle w:val="TableBullet"/>
              <w:tabs>
                <w:tab w:val="left" w:pos="720"/>
              </w:tabs>
              <w:ind w:right="134"/>
              <w:rPr>
                <w:bCs/>
              </w:rPr>
            </w:pPr>
            <w:r w:rsidRPr="004D7870">
              <w:rPr>
                <w:bCs/>
              </w:rPr>
              <w:t>Bleaching events (climate</w:t>
            </w:r>
            <w:r w:rsidR="00253B90">
              <w:rPr>
                <w:bCs/>
              </w:rPr>
              <w:t>-</w:t>
            </w:r>
            <w:r w:rsidRPr="004D7870">
              <w:rPr>
                <w:bCs/>
              </w:rPr>
              <w:t xml:space="preserve">driven) can negate </w:t>
            </w:r>
            <w:r w:rsidR="00253B90">
              <w:rPr>
                <w:bCs/>
              </w:rPr>
              <w:t xml:space="preserve">the </w:t>
            </w:r>
            <w:r w:rsidRPr="004D7870">
              <w:rPr>
                <w:bCs/>
              </w:rPr>
              <w:t>usefulness of ongoing water</w:t>
            </w:r>
            <w:r w:rsidR="00ED5678">
              <w:rPr>
                <w:bCs/>
              </w:rPr>
              <w:t>-</w:t>
            </w:r>
            <w:r w:rsidRPr="004D7870">
              <w:rPr>
                <w:bCs/>
              </w:rPr>
              <w:t>quality monitoring programs</w:t>
            </w:r>
            <w:r>
              <w:rPr>
                <w:bCs/>
              </w:rPr>
              <w:t>.</w:t>
            </w:r>
          </w:p>
          <w:p w:rsidR="004F4645" w:rsidRPr="004D7870" w:rsidP="0044386B" w14:paraId="37F20093" w14:textId="76C3300B">
            <w:pPr>
              <w:pStyle w:val="TableBullet"/>
              <w:tabs>
                <w:tab w:val="left" w:pos="720"/>
              </w:tabs>
              <w:ind w:right="134"/>
              <w:rPr>
                <w:bCs/>
              </w:rPr>
            </w:pPr>
            <w:r w:rsidRPr="004D7870">
              <w:rPr>
                <w:bCs/>
              </w:rPr>
              <w:t>Spatial variability can mean large sample sizes are required or</w:t>
            </w:r>
            <w:r w:rsidR="00253B90">
              <w:rPr>
                <w:bCs/>
              </w:rPr>
              <w:t xml:space="preserve"> that</w:t>
            </w:r>
            <w:r w:rsidRPr="004D7870">
              <w:rPr>
                <w:bCs/>
              </w:rPr>
              <w:t xml:space="preserve"> specific corals are marked and monitored. Both approaches can be resource intensive</w:t>
            </w:r>
            <w:r>
              <w:rPr>
                <w:bCs/>
              </w:rPr>
              <w:t>.</w:t>
            </w:r>
          </w:p>
        </w:tc>
      </w:tr>
      <w:tr w14:paraId="4486E07A" w14:textId="74FB0B0B" w:rsidTr="0044386B">
        <w:tblPrEx>
          <w:tblW w:w="5000" w:type="pct"/>
          <w:tblCellMar>
            <w:left w:w="0" w:type="dxa"/>
            <w:right w:w="0" w:type="dxa"/>
          </w:tblCellMar>
          <w:tblLook w:val="01E0"/>
        </w:tblPrEx>
        <w:trPr>
          <w:cantSplit/>
          <w:trHeight w:val="354"/>
        </w:trPr>
        <w:tc>
          <w:tcPr>
            <w:tcW w:w="407" w:type="pct"/>
            <w:tcBorders>
              <w:top w:val="nil"/>
              <w:left w:val="nil"/>
              <w:bottom w:val="nil"/>
              <w:right w:val="nil"/>
            </w:tcBorders>
          </w:tcPr>
          <w:p w:rsidR="004F4645" w:rsidRPr="009E4B46" w:rsidP="00C751F5" w14:paraId="5B497FC2" w14:textId="77777777">
            <w:pPr>
              <w:rPr>
                <w:sz w:val="2"/>
                <w:szCs w:val="2"/>
              </w:rPr>
            </w:pPr>
          </w:p>
        </w:tc>
        <w:tc>
          <w:tcPr>
            <w:tcW w:w="1531" w:type="pct"/>
            <w:tcBorders>
              <w:top w:val="single" w:sz="4" w:space="0" w:color="auto"/>
              <w:left w:val="nil"/>
              <w:bottom w:val="single" w:sz="4" w:space="0" w:color="auto"/>
              <w:right w:val="nil"/>
            </w:tcBorders>
          </w:tcPr>
          <w:p w:rsidR="004F4645" w:rsidRPr="009E4B46" w:rsidP="0044386B" w14:paraId="2DB72CFD" w14:textId="654410F6">
            <w:pPr>
              <w:pStyle w:val="TableText"/>
              <w:keepNext/>
              <w:ind w:left="57" w:right="196"/>
            </w:pPr>
            <w:r w:rsidRPr="009E4B46">
              <w:t>Macroinvertebrates</w:t>
            </w:r>
            <w:r>
              <w:t xml:space="preserve"> (especially benthic and infauna):</w:t>
            </w:r>
          </w:p>
          <w:p w:rsidR="004F4645" w:rsidRPr="009E4B46" w:rsidP="001562CF" w14:paraId="6745B4E2" w14:textId="77777777">
            <w:pPr>
              <w:pStyle w:val="TableBullet"/>
              <w:ind w:left="341" w:right="196" w:hanging="205"/>
            </w:pPr>
            <w:r w:rsidRPr="009E4B46">
              <w:t>community structure</w:t>
            </w:r>
            <w:r>
              <w:t>.</w:t>
            </w:r>
          </w:p>
        </w:tc>
        <w:tc>
          <w:tcPr>
            <w:tcW w:w="1531" w:type="pct"/>
            <w:tcBorders>
              <w:top w:val="single" w:sz="4" w:space="0" w:color="auto"/>
              <w:left w:val="nil"/>
              <w:bottom w:val="single" w:sz="4" w:space="0" w:color="auto"/>
              <w:right w:val="nil"/>
            </w:tcBorders>
          </w:tcPr>
          <w:p w:rsidR="004F4645" w:rsidRPr="009E4B46" w:rsidP="0044386B" w14:paraId="78392D2C" w14:textId="09D2C3F3">
            <w:pPr>
              <w:pStyle w:val="TableBullet"/>
              <w:ind w:right="236"/>
            </w:pPr>
            <w:r>
              <w:t xml:space="preserve">See advantages listed in </w:t>
            </w:r>
            <w:r w:rsidRPr="00911036" w:rsidR="00911036">
              <w:rPr>
                <w:i/>
                <w:iCs/>
              </w:rPr>
              <w:t>‘</w:t>
            </w:r>
            <w:r w:rsidRPr="00911036">
              <w:rPr>
                <w:rStyle w:val="Emphasis"/>
                <w:i w:val="0"/>
                <w:iCs w:val="0"/>
              </w:rPr>
              <w:t>Nutrients: early detection</w:t>
            </w:r>
            <w:r w:rsidRPr="00911036" w:rsidR="00911036">
              <w:rPr>
                <w:rStyle w:val="Emphasis"/>
                <w:i w:val="0"/>
                <w:iCs w:val="0"/>
              </w:rPr>
              <w:t xml:space="preserve">, </w:t>
            </w:r>
            <w:r w:rsidRPr="00911036">
              <w:rPr>
                <w:rStyle w:val="Emphasis"/>
                <w:i w:val="0"/>
                <w:iCs w:val="0"/>
              </w:rPr>
              <w:t>changes to biodiversity</w:t>
            </w:r>
            <w:r w:rsidRPr="00911036" w:rsidR="00911036">
              <w:rPr>
                <w:i/>
                <w:iCs/>
              </w:rPr>
              <w:t>’</w:t>
            </w:r>
            <w:r>
              <w:t>.</w:t>
            </w:r>
          </w:p>
        </w:tc>
        <w:tc>
          <w:tcPr>
            <w:tcW w:w="1531" w:type="pct"/>
            <w:tcBorders>
              <w:top w:val="single" w:sz="4" w:space="0" w:color="auto"/>
              <w:left w:val="nil"/>
              <w:bottom w:val="single" w:sz="4" w:space="0" w:color="auto"/>
            </w:tcBorders>
          </w:tcPr>
          <w:p w:rsidR="004F4645" w:rsidRPr="009E4B46" w:rsidP="0044386B" w14:paraId="5DE3A2F3" w14:textId="0980FD3C">
            <w:pPr>
              <w:pStyle w:val="TableBullet"/>
              <w:ind w:right="134"/>
            </w:pPr>
            <w:r>
              <w:t xml:space="preserve">See disadvantages listed in </w:t>
            </w:r>
            <w:r w:rsidRPr="00911036" w:rsidR="00911036">
              <w:rPr>
                <w:i/>
                <w:iCs/>
              </w:rPr>
              <w:t>‘</w:t>
            </w:r>
            <w:r w:rsidRPr="00911036">
              <w:rPr>
                <w:rStyle w:val="Emphasis"/>
                <w:i w:val="0"/>
                <w:iCs w:val="0"/>
              </w:rPr>
              <w:t>Nutrients: early detection</w:t>
            </w:r>
            <w:r w:rsidRPr="00911036" w:rsidR="00911036">
              <w:rPr>
                <w:rStyle w:val="Emphasis"/>
                <w:i w:val="0"/>
                <w:iCs w:val="0"/>
              </w:rPr>
              <w:t xml:space="preserve">, </w:t>
            </w:r>
            <w:r w:rsidRPr="00911036">
              <w:rPr>
                <w:rStyle w:val="Emphasis"/>
                <w:i w:val="0"/>
                <w:iCs w:val="0"/>
              </w:rPr>
              <w:t>changes to biodiversity</w:t>
            </w:r>
            <w:r w:rsidRPr="00911036" w:rsidR="00911036">
              <w:rPr>
                <w:rStyle w:val="Emphasis"/>
                <w:i w:val="0"/>
                <w:iCs w:val="0"/>
              </w:rPr>
              <w:t>’</w:t>
            </w:r>
            <w:r>
              <w:t>.</w:t>
            </w:r>
          </w:p>
        </w:tc>
      </w:tr>
      <w:tr w14:paraId="57D4337D" w14:textId="00EF2B28" w:rsidTr="0044386B">
        <w:tblPrEx>
          <w:tblW w:w="5000" w:type="pct"/>
          <w:tblCellMar>
            <w:left w:w="0" w:type="dxa"/>
            <w:right w:w="0" w:type="dxa"/>
          </w:tblCellMar>
          <w:tblLook w:val="01E0"/>
        </w:tblPrEx>
        <w:trPr>
          <w:cantSplit/>
          <w:trHeight w:val="561"/>
        </w:trPr>
        <w:tc>
          <w:tcPr>
            <w:tcW w:w="407" w:type="pct"/>
            <w:tcBorders>
              <w:top w:val="nil"/>
              <w:left w:val="nil"/>
              <w:bottom w:val="single" w:sz="4" w:space="0" w:color="auto"/>
              <w:right w:val="nil"/>
            </w:tcBorders>
          </w:tcPr>
          <w:p w:rsidR="004F4645" w:rsidRPr="009E4B46" w:rsidP="00C751F5" w14:paraId="055E8CF4" w14:textId="77777777">
            <w:pPr>
              <w:rPr>
                <w:sz w:val="2"/>
                <w:szCs w:val="2"/>
              </w:rPr>
            </w:pPr>
          </w:p>
        </w:tc>
        <w:tc>
          <w:tcPr>
            <w:tcW w:w="1531" w:type="pct"/>
            <w:tcBorders>
              <w:top w:val="single" w:sz="4" w:space="0" w:color="auto"/>
              <w:left w:val="nil"/>
              <w:bottom w:val="single" w:sz="4" w:space="0" w:color="auto"/>
              <w:right w:val="nil"/>
            </w:tcBorders>
          </w:tcPr>
          <w:p w:rsidR="004F4645" w:rsidRPr="009E4B46" w:rsidP="0044386B" w14:paraId="17521DF2" w14:textId="77777777">
            <w:pPr>
              <w:pStyle w:val="TableText"/>
              <w:keepNext/>
              <w:ind w:left="57" w:right="196"/>
            </w:pPr>
            <w:r w:rsidRPr="009E4B46">
              <w:t>Stream metabolism</w:t>
            </w:r>
            <w:r>
              <w:t>:</w:t>
            </w:r>
          </w:p>
          <w:p w:rsidR="004F4645" w:rsidRPr="009E4B46" w:rsidP="0044386B" w14:paraId="44539452" w14:textId="011D2932">
            <w:pPr>
              <w:pStyle w:val="TableBullet"/>
              <w:ind w:left="341" w:right="196"/>
            </w:pPr>
            <w:r>
              <w:t>gross primary productivity (</w:t>
            </w:r>
            <w:r w:rsidRPr="009E4B46">
              <w:t>GPP</w:t>
            </w:r>
            <w:r>
              <w:t>)</w:t>
            </w:r>
            <w:r w:rsidRPr="009E4B46">
              <w:t xml:space="preserve">, </w:t>
            </w:r>
            <w:r>
              <w:t>respiration (</w:t>
            </w:r>
            <w:r w:rsidRPr="009E4B46">
              <w:t>R</w:t>
            </w:r>
            <w:r>
              <w:t>)</w:t>
            </w:r>
            <w:r w:rsidRPr="009E4B46">
              <w:t xml:space="preserve">, </w:t>
            </w:r>
            <w:r w:rsidR="00166FDC">
              <w:t>gross primary productivity</w:t>
            </w:r>
            <w:r>
              <w:t>:respiration ratio (</w:t>
            </w:r>
            <w:r w:rsidRPr="009E4B46">
              <w:t>P</w:t>
            </w:r>
            <w:r>
              <w:t>:</w:t>
            </w:r>
            <w:r w:rsidRPr="009E4B46">
              <w:t>R</w:t>
            </w:r>
            <w:r>
              <w:t>)</w:t>
            </w:r>
            <w:r w:rsidRPr="009E4B46">
              <w:t xml:space="preserve"> and</w:t>
            </w:r>
            <w:r w:rsidRPr="009E4B46">
              <w:rPr>
                <w:spacing w:val="4"/>
              </w:rPr>
              <w:t xml:space="preserve"> </w:t>
            </w:r>
            <w:r>
              <w:rPr>
                <w:spacing w:val="4"/>
              </w:rPr>
              <w:t>net daily metabolism (</w:t>
            </w:r>
            <w:r w:rsidRPr="009E4B46">
              <w:t>NDM</w:t>
            </w:r>
            <w:r>
              <w:t>).</w:t>
            </w:r>
          </w:p>
        </w:tc>
        <w:tc>
          <w:tcPr>
            <w:tcW w:w="1531" w:type="pct"/>
            <w:tcBorders>
              <w:top w:val="single" w:sz="4" w:space="0" w:color="auto"/>
              <w:left w:val="nil"/>
              <w:bottom w:val="single" w:sz="4" w:space="0" w:color="auto"/>
              <w:right w:val="nil"/>
            </w:tcBorders>
          </w:tcPr>
          <w:p w:rsidR="004F4645" w:rsidRPr="00E42DEC" w:rsidP="0044386B" w14:paraId="74F4364E" w14:textId="62182B39">
            <w:pPr>
              <w:pStyle w:val="TableBullet"/>
              <w:ind w:right="236"/>
            </w:pPr>
            <w:r w:rsidRPr="00E42DEC">
              <w:t>In some nutrient-poor forest streams, depressed GPP may indicate sedimentation or degradation in water quality.</w:t>
            </w:r>
          </w:p>
        </w:tc>
        <w:tc>
          <w:tcPr>
            <w:tcW w:w="1531" w:type="pct"/>
            <w:tcBorders>
              <w:top w:val="single" w:sz="4" w:space="0" w:color="auto"/>
              <w:left w:val="nil"/>
              <w:bottom w:val="single" w:sz="4" w:space="0" w:color="auto"/>
            </w:tcBorders>
          </w:tcPr>
          <w:p w:rsidR="004F4645" w:rsidRPr="009E4B46" w:rsidP="0044386B" w14:paraId="72576011" w14:textId="320F3D18">
            <w:pPr>
              <w:pStyle w:val="TableBullet"/>
              <w:ind w:right="134"/>
            </w:pPr>
            <w:r w:rsidRPr="009E4B46">
              <w:t xml:space="preserve">Unless correlated with changes in structure of aquatic ecosystem components, </w:t>
            </w:r>
            <w:r w:rsidR="00253B90">
              <w:t xml:space="preserve">these indicators </w:t>
            </w:r>
            <w:r w:rsidRPr="009E4B46">
              <w:t>may lack information about ecological relevance and importance</w:t>
            </w:r>
            <w:r>
              <w:t>.</w:t>
            </w:r>
          </w:p>
        </w:tc>
      </w:tr>
    </w:tbl>
    <w:p w:rsidR="00C751F5" w:rsidP="00F50A20" w14:paraId="02C824A5" w14:textId="77777777">
      <w:pPr>
        <w:rPr>
          <w:highlight w:val="yellow"/>
          <w:lang w:eastAsia="ja-JP"/>
        </w:rPr>
      </w:pPr>
    </w:p>
    <w:p w:rsidR="001B25CD" w:rsidP="00F50A20" w14:paraId="53328670" w14:textId="77777777">
      <w:pPr>
        <w:rPr>
          <w:highlight w:val="yellow"/>
          <w:lang w:eastAsia="ja-JP"/>
        </w:rPr>
      </w:pPr>
    </w:p>
    <w:p w:rsidR="001B25CD" w:rsidP="00F50A20" w14:paraId="545C4EE1" w14:textId="77777777">
      <w:pPr>
        <w:rPr>
          <w:highlight w:val="yellow"/>
          <w:lang w:eastAsia="ja-JP"/>
        </w:rPr>
        <w:sectPr w:rsidSect="003E0104">
          <w:pgSz w:w="23814" w:h="16839" w:orient="landscape" w:code="8"/>
          <w:pgMar w:top="1418" w:right="1418" w:bottom="1418" w:left="1418" w:header="567" w:footer="284" w:gutter="0"/>
          <w:cols w:space="708"/>
          <w:docGrid w:linePitch="360"/>
        </w:sectPr>
      </w:pPr>
    </w:p>
    <w:p w:rsidR="001B25CD" w:rsidRPr="00BF0F90" w:rsidP="001B25CD" w14:paraId="744AF68F" w14:textId="2C9915D7">
      <w:pPr>
        <w:pStyle w:val="Heading2"/>
        <w:numPr>
          <w:ilvl w:val="0"/>
          <w:numId w:val="0"/>
        </w:numPr>
        <w:ind w:left="680" w:hanging="680"/>
      </w:pPr>
      <w:bookmarkStart w:id="91" w:name="_Ref136006525"/>
      <w:bookmarkStart w:id="92" w:name="_Toc138332267"/>
      <w:r w:rsidRPr="00BF0F90">
        <w:t>Glossary</w:t>
      </w:r>
      <w:r w:rsidR="001D3178">
        <w:t xml:space="preserve"> and acronyms</w:t>
      </w:r>
      <w:bookmarkEnd w:id="91"/>
      <w:bookmarkEnd w:id="92"/>
    </w:p>
    <w:tbl>
      <w:tblPr>
        <w:tblW w:w="5000" w:type="pct"/>
        <w:tblBorders>
          <w:top w:val="single" w:sz="4" w:space="0" w:color="auto"/>
          <w:bottom w:val="single" w:sz="4" w:space="0" w:color="auto"/>
          <w:insideH w:val="single" w:sz="4" w:space="0" w:color="auto"/>
        </w:tblBorders>
        <w:tblLook w:val="04A0"/>
      </w:tblPr>
      <w:tblGrid>
        <w:gridCol w:w="2594"/>
        <w:gridCol w:w="6477"/>
      </w:tblGrid>
      <w:tr w14:paraId="032FC9DD" w14:textId="77777777" w:rsidTr="008C6329">
        <w:tblPrEx>
          <w:tblW w:w="5000" w:type="pct"/>
          <w:tblBorders>
            <w:top w:val="single" w:sz="4" w:space="0" w:color="auto"/>
            <w:bottom w:val="single" w:sz="4" w:space="0" w:color="auto"/>
            <w:insideH w:val="single" w:sz="4" w:space="0" w:color="auto"/>
          </w:tblBorders>
          <w:tblLook w:val="04A0"/>
        </w:tblPrEx>
        <w:trPr>
          <w:cantSplit/>
          <w:trHeight w:val="211"/>
          <w:tblHeader/>
        </w:trPr>
        <w:tc>
          <w:tcPr>
            <w:tcW w:w="1430" w:type="pct"/>
          </w:tcPr>
          <w:p w:rsidR="001B25CD" w:rsidRPr="00BF0F90" w:rsidP="00B43826" w14:paraId="7AE1D092" w14:textId="77777777">
            <w:pPr>
              <w:pStyle w:val="TableHeading"/>
            </w:pPr>
            <w:r w:rsidRPr="00BF0F90">
              <w:t>Term</w:t>
            </w:r>
          </w:p>
        </w:tc>
        <w:tc>
          <w:tcPr>
            <w:tcW w:w="3570" w:type="pct"/>
          </w:tcPr>
          <w:p w:rsidR="001B25CD" w:rsidRPr="00BF0F90" w:rsidP="00B43826" w14:paraId="440B5E5C" w14:textId="77777777">
            <w:pPr>
              <w:pStyle w:val="TableHeading"/>
            </w:pPr>
            <w:r w:rsidRPr="00BF0F90">
              <w:t>Definition</w:t>
            </w:r>
          </w:p>
        </w:tc>
      </w:tr>
      <w:tr w14:paraId="4D78360F" w14:textId="77777777" w:rsidTr="008C6329">
        <w:tblPrEx>
          <w:tblW w:w="5000" w:type="pct"/>
          <w:tblLook w:val="04A0"/>
        </w:tblPrEx>
        <w:tc>
          <w:tcPr>
            <w:tcW w:w="1430" w:type="pct"/>
          </w:tcPr>
          <w:p w:rsidR="00D950C4" w:rsidRPr="00BF0F90" w:rsidP="00B43826" w14:paraId="2C7AFDB1" w14:textId="77777777">
            <w:pPr>
              <w:pStyle w:val="TableText"/>
            </w:pPr>
            <w:r w:rsidRPr="00BF0F90">
              <w:t>ambient water</w:t>
            </w:r>
          </w:p>
        </w:tc>
        <w:tc>
          <w:tcPr>
            <w:tcW w:w="3570" w:type="pct"/>
          </w:tcPr>
          <w:p w:rsidR="00D950C4" w:rsidRPr="00BF0F90" w:rsidP="00BF0F90" w14:paraId="05634C71" w14:textId="77777777">
            <w:pPr>
              <w:pStyle w:val="TableText"/>
            </w:pPr>
            <w:r w:rsidRPr="00BF0F90">
              <w:t>All water generally of natural occurrence (e.g. lakes, rivers, wetlands, estuaries, oceans).</w:t>
            </w:r>
          </w:p>
        </w:tc>
      </w:tr>
      <w:tr w14:paraId="7C71C824" w14:textId="77777777" w:rsidTr="008C6329">
        <w:tblPrEx>
          <w:tblW w:w="5000" w:type="pct"/>
          <w:tblLook w:val="04A0"/>
        </w:tblPrEx>
        <w:tc>
          <w:tcPr>
            <w:tcW w:w="1430" w:type="pct"/>
          </w:tcPr>
          <w:p w:rsidR="00913E36" w:rsidP="005E58F3" w14:paraId="16ADBC41" w14:textId="2D424A90">
            <w:pPr>
              <w:pStyle w:val="TableText"/>
            </w:pPr>
            <w:r>
              <w:t>AUSRIVAS</w:t>
            </w:r>
          </w:p>
        </w:tc>
        <w:tc>
          <w:tcPr>
            <w:tcW w:w="3570" w:type="pct"/>
          </w:tcPr>
          <w:p w:rsidR="00913E36" w:rsidRPr="00D950C4" w:rsidP="005E58F3" w14:paraId="221BBCB7" w14:textId="31B7672D">
            <w:pPr>
              <w:pStyle w:val="TableText"/>
            </w:pPr>
            <w:r>
              <w:t>Australian River Assessment System</w:t>
            </w:r>
            <w:r w:rsidR="005B3A6B">
              <w:t>.</w:t>
            </w:r>
          </w:p>
        </w:tc>
      </w:tr>
      <w:tr w14:paraId="6F351167" w14:textId="77777777" w:rsidTr="008C6329">
        <w:tblPrEx>
          <w:tblW w:w="5000" w:type="pct"/>
          <w:tblLook w:val="04A0"/>
        </w:tblPrEx>
        <w:tc>
          <w:tcPr>
            <w:tcW w:w="1430" w:type="pct"/>
          </w:tcPr>
          <w:p w:rsidR="00EC6705" w:rsidP="005E58F3" w14:paraId="0BA383FB" w14:textId="149332FE">
            <w:pPr>
              <w:pStyle w:val="TableText"/>
            </w:pPr>
            <w:r>
              <w:t>BAF</w:t>
            </w:r>
          </w:p>
        </w:tc>
        <w:tc>
          <w:tcPr>
            <w:tcW w:w="3570" w:type="pct"/>
          </w:tcPr>
          <w:p w:rsidR="00EC6705" w:rsidRPr="00D950C4" w:rsidP="005E58F3" w14:paraId="1B0AF7B2" w14:textId="749C1AD2">
            <w:pPr>
              <w:pStyle w:val="TableText"/>
            </w:pPr>
            <w:r>
              <w:t>Bioaccumulation factor</w:t>
            </w:r>
            <w:r w:rsidR="005B3A6B">
              <w:t>.</w:t>
            </w:r>
          </w:p>
        </w:tc>
      </w:tr>
      <w:tr w14:paraId="2D01EFDE" w14:textId="77777777" w:rsidTr="008C6329">
        <w:tblPrEx>
          <w:tblW w:w="5000" w:type="pct"/>
          <w:tblLook w:val="04A0"/>
        </w:tblPrEx>
        <w:tc>
          <w:tcPr>
            <w:tcW w:w="1430" w:type="pct"/>
          </w:tcPr>
          <w:p w:rsidR="00EC6705" w:rsidP="005E58F3" w14:paraId="7EDF2571" w14:textId="0D5E07D6">
            <w:pPr>
              <w:pStyle w:val="TableText"/>
            </w:pPr>
            <w:r>
              <w:t>BCF</w:t>
            </w:r>
          </w:p>
        </w:tc>
        <w:tc>
          <w:tcPr>
            <w:tcW w:w="3570" w:type="pct"/>
          </w:tcPr>
          <w:p w:rsidR="00EC6705" w:rsidRPr="00D950C4" w:rsidP="005E58F3" w14:paraId="51AC60DA" w14:textId="0A541515">
            <w:pPr>
              <w:pStyle w:val="TableText"/>
            </w:pPr>
            <w:r>
              <w:t>Bioconcentration factor</w:t>
            </w:r>
            <w:r w:rsidR="005B3A6B">
              <w:t>.</w:t>
            </w:r>
          </w:p>
        </w:tc>
      </w:tr>
      <w:tr w14:paraId="32F58553" w14:textId="77777777" w:rsidTr="008C6329">
        <w:tblPrEx>
          <w:tblW w:w="5000" w:type="pct"/>
          <w:tblLook w:val="04A0"/>
        </w:tblPrEx>
        <w:tc>
          <w:tcPr>
            <w:tcW w:w="1430" w:type="pct"/>
          </w:tcPr>
          <w:p w:rsidR="00D950C4" w:rsidRPr="002F6D14" w:rsidP="005E58F3" w14:paraId="17BEC155" w14:textId="77777777">
            <w:pPr>
              <w:pStyle w:val="TableText"/>
            </w:pPr>
            <w:r>
              <w:t>bioaccumulation</w:t>
            </w:r>
          </w:p>
        </w:tc>
        <w:tc>
          <w:tcPr>
            <w:tcW w:w="3570" w:type="pct"/>
          </w:tcPr>
          <w:p w:rsidR="00D950C4" w:rsidRPr="002F6D14" w:rsidP="005E58F3" w14:paraId="0C0B923A" w14:textId="77777777">
            <w:pPr>
              <w:pStyle w:val="TableText"/>
            </w:pPr>
            <w:r w:rsidRPr="00D950C4">
              <w:t>The process by which chemical substances are accumulated by aquatic organisms by all routes of exposures (dietary and the ambient environment).</w:t>
            </w:r>
          </w:p>
        </w:tc>
      </w:tr>
      <w:tr w14:paraId="2B5901FA" w14:textId="77777777" w:rsidTr="008C6329">
        <w:tblPrEx>
          <w:tblW w:w="5000" w:type="pct"/>
          <w:tblLook w:val="04A0"/>
        </w:tblPrEx>
        <w:tc>
          <w:tcPr>
            <w:tcW w:w="1430" w:type="pct"/>
          </w:tcPr>
          <w:p w:rsidR="00D950C4" w:rsidRPr="002F6D14" w:rsidP="005E58F3" w14:paraId="10089B38" w14:textId="77777777">
            <w:pPr>
              <w:pStyle w:val="TableText"/>
            </w:pPr>
            <w:r w:rsidRPr="00D950C4">
              <w:t>biodiv</w:t>
            </w:r>
            <w:r>
              <w:t>ersity (biological diversity)</w:t>
            </w:r>
          </w:p>
        </w:tc>
        <w:tc>
          <w:tcPr>
            <w:tcW w:w="3570" w:type="pct"/>
          </w:tcPr>
          <w:p w:rsidR="00D950C4" w:rsidRPr="002F6D14" w:rsidP="005E58F3" w14:paraId="3537738F" w14:textId="4F3C0BF9">
            <w:pPr>
              <w:pStyle w:val="TableText"/>
            </w:pPr>
            <w:r w:rsidRPr="00D950C4">
              <w:t>The variety of life forms, including the plants, animals and microorganisms, the genes they contain</w:t>
            </w:r>
            <w:r w:rsidR="004E7EB2">
              <w:t>,</w:t>
            </w:r>
            <w:r w:rsidRPr="00D950C4">
              <w:t xml:space="preserve"> and the ecosystems and ecological processes of which they are a part.</w:t>
            </w:r>
          </w:p>
        </w:tc>
      </w:tr>
      <w:tr w14:paraId="0383E933" w14:textId="77777777" w:rsidTr="008C6329">
        <w:tblPrEx>
          <w:tblW w:w="5000" w:type="pct"/>
          <w:tblLook w:val="04A0"/>
        </w:tblPrEx>
        <w:tc>
          <w:tcPr>
            <w:tcW w:w="1430" w:type="pct"/>
          </w:tcPr>
          <w:p w:rsidR="00D70790" w:rsidRPr="002B37B7" w:rsidP="005E58F3" w14:paraId="5B9873DA" w14:textId="3417E0F3">
            <w:pPr>
              <w:pStyle w:val="TableText"/>
            </w:pPr>
            <w:r>
              <w:t>biomarker</w:t>
            </w:r>
          </w:p>
        </w:tc>
        <w:tc>
          <w:tcPr>
            <w:tcW w:w="3570" w:type="pct"/>
          </w:tcPr>
          <w:p w:rsidR="00D70790" w:rsidP="005E58F3" w14:paraId="02A15D46" w14:textId="347F9ED8">
            <w:pPr>
              <w:pStyle w:val="TableText"/>
            </w:pPr>
            <w:r>
              <w:t>A measurable indicator of a sub-organismal biological response or condition</w:t>
            </w:r>
            <w:r w:rsidR="00CD7AC1">
              <w:t xml:space="preserve"> </w:t>
            </w:r>
            <w:r w:rsidRPr="004240EA" w:rsidR="004240EA">
              <w:t>(e.g. enzymatic</w:t>
            </w:r>
            <w:r w:rsidR="004E7EB2">
              <w:t>,</w:t>
            </w:r>
            <w:r w:rsidRPr="004240EA" w:rsidR="004240EA">
              <w:t xml:space="preserve"> histopathological)</w:t>
            </w:r>
            <w:r w:rsidR="004240EA">
              <w:t xml:space="preserve"> </w:t>
            </w:r>
            <w:r w:rsidR="00CD7AC1">
              <w:t>as a result of exposure to a stressor</w:t>
            </w:r>
            <w:r>
              <w:t>.</w:t>
            </w:r>
          </w:p>
        </w:tc>
      </w:tr>
      <w:tr w14:paraId="2707D184" w14:textId="77777777" w:rsidTr="008C6329">
        <w:tblPrEx>
          <w:tblW w:w="5000" w:type="pct"/>
          <w:tblLook w:val="04A0"/>
        </w:tblPrEx>
        <w:tc>
          <w:tcPr>
            <w:tcW w:w="1430" w:type="pct"/>
          </w:tcPr>
          <w:p w:rsidR="007C0004" w:rsidRPr="007C0004" w:rsidP="007C0004" w14:paraId="5C1C7282" w14:textId="7AB44EE6">
            <w:pPr>
              <w:pStyle w:val="TableText"/>
            </w:pPr>
            <w:r w:rsidRPr="007C0004">
              <w:t>default guideline value</w:t>
            </w:r>
            <w:r w:rsidR="001D3178">
              <w:t xml:space="preserve"> (DGV)</w:t>
            </w:r>
          </w:p>
        </w:tc>
        <w:tc>
          <w:tcPr>
            <w:tcW w:w="3570" w:type="pct"/>
          </w:tcPr>
          <w:p w:rsidR="007C0004" w:rsidRPr="007C0004" w:rsidP="007C0004" w14:paraId="4A61DA7D" w14:textId="7B8A597B">
            <w:pPr>
              <w:pStyle w:val="TableText"/>
            </w:pPr>
            <w:r w:rsidRPr="007C0004">
              <w:t xml:space="preserve">A guideline value recommended for generic application in the absence of a more specific guideline value (e.g. a site-specific guideline value) in the </w:t>
            </w:r>
            <w:r w:rsidRPr="004E7EB2">
              <w:rPr>
                <w:i/>
                <w:iCs/>
              </w:rPr>
              <w:t xml:space="preserve">Australian and New Zealand </w:t>
            </w:r>
            <w:r w:rsidR="004E7EB2">
              <w:rPr>
                <w:i/>
                <w:iCs/>
              </w:rPr>
              <w:t>g</w:t>
            </w:r>
            <w:r w:rsidRPr="004E7EB2">
              <w:rPr>
                <w:i/>
                <w:iCs/>
              </w:rPr>
              <w:t xml:space="preserve">uidelines for </w:t>
            </w:r>
            <w:r w:rsidR="004E7EB2">
              <w:rPr>
                <w:i/>
                <w:iCs/>
              </w:rPr>
              <w:t>f</w:t>
            </w:r>
            <w:r w:rsidRPr="004E7EB2">
              <w:rPr>
                <w:i/>
                <w:iCs/>
              </w:rPr>
              <w:t xml:space="preserve">resh and </w:t>
            </w:r>
            <w:r w:rsidR="004E7EB2">
              <w:rPr>
                <w:i/>
                <w:iCs/>
              </w:rPr>
              <w:t>m</w:t>
            </w:r>
            <w:r w:rsidRPr="004E7EB2">
              <w:rPr>
                <w:i/>
                <w:iCs/>
              </w:rPr>
              <w:t xml:space="preserve">arine </w:t>
            </w:r>
            <w:r w:rsidR="004E7EB2">
              <w:rPr>
                <w:i/>
                <w:iCs/>
              </w:rPr>
              <w:t>w</w:t>
            </w:r>
            <w:r w:rsidRPr="004E7EB2">
              <w:rPr>
                <w:i/>
                <w:iCs/>
              </w:rPr>
              <w:t xml:space="preserve">ater </w:t>
            </w:r>
            <w:r w:rsidR="004E7EB2">
              <w:rPr>
                <w:i/>
                <w:iCs/>
              </w:rPr>
              <w:t>q</w:t>
            </w:r>
            <w:r w:rsidRPr="004E7EB2">
              <w:rPr>
                <w:i/>
                <w:iCs/>
              </w:rPr>
              <w:t xml:space="preserve">uality. </w:t>
            </w:r>
            <w:r w:rsidRPr="007C0004">
              <w:t>Formerly known as ‘trigger values’.</w:t>
            </w:r>
          </w:p>
        </w:tc>
      </w:tr>
      <w:tr w14:paraId="36FCC2E0" w14:textId="77777777" w:rsidTr="008C6329">
        <w:tblPrEx>
          <w:tblW w:w="5000" w:type="pct"/>
          <w:tblLook w:val="04A0"/>
        </w:tblPrEx>
        <w:tc>
          <w:tcPr>
            <w:tcW w:w="1430" w:type="pct"/>
          </w:tcPr>
          <w:p w:rsidR="00D950C4" w:rsidRPr="002F6D14" w:rsidP="005E58F3" w14:paraId="10ADA32C" w14:textId="77777777">
            <w:pPr>
              <w:pStyle w:val="TableText"/>
            </w:pPr>
            <w:r w:rsidRPr="002B37B7">
              <w:t>d</w:t>
            </w:r>
            <w:r>
              <w:t>irect toxicity assessment (DTA)</w:t>
            </w:r>
          </w:p>
        </w:tc>
        <w:tc>
          <w:tcPr>
            <w:tcW w:w="3570" w:type="pct"/>
          </w:tcPr>
          <w:p w:rsidR="00D950C4" w:rsidRPr="002F6D14" w:rsidP="005E58F3" w14:paraId="7059902B" w14:textId="47D4EB5C">
            <w:pPr>
              <w:pStyle w:val="TableText"/>
            </w:pPr>
            <w:r>
              <w:t>T</w:t>
            </w:r>
            <w:r w:rsidRPr="002B37B7">
              <w:t>he use of toxicity tests to determine the acute or chronic toxicity of wastewater discharges or total pollutant loads in receiving waters</w:t>
            </w:r>
            <w:r w:rsidR="004E7EB2">
              <w:t>. A</w:t>
            </w:r>
            <w:r w:rsidRPr="002B37B7">
              <w:t>ssesses the toxicity of mixtures of chemicals rather than individual chemicals</w:t>
            </w:r>
          </w:p>
        </w:tc>
      </w:tr>
      <w:tr w14:paraId="21E5A974" w14:textId="77777777" w:rsidTr="008C6329">
        <w:tblPrEx>
          <w:tblW w:w="5000" w:type="pct"/>
          <w:tblLook w:val="04A0"/>
        </w:tblPrEx>
        <w:tc>
          <w:tcPr>
            <w:tcW w:w="1430" w:type="pct"/>
          </w:tcPr>
          <w:p w:rsidR="00D950C4" w:rsidRPr="002F6D14" w:rsidP="005E58F3" w14:paraId="19CCCB97" w14:textId="77777777">
            <w:pPr>
              <w:pStyle w:val="TableText"/>
            </w:pPr>
            <w:r>
              <w:t>ecosystem condition</w:t>
            </w:r>
          </w:p>
        </w:tc>
        <w:tc>
          <w:tcPr>
            <w:tcW w:w="3570" w:type="pct"/>
          </w:tcPr>
          <w:p w:rsidR="00D950C4" w:rsidRPr="002F6D14" w:rsidP="005E58F3" w14:paraId="60AB2CE1" w14:textId="77777777">
            <w:pPr>
              <w:pStyle w:val="TableText"/>
            </w:pPr>
            <w:r>
              <w:t>T</w:t>
            </w:r>
            <w:r w:rsidRPr="00410CCC">
              <w:t>he current or desired state of health of an ecosystem, relative to the degree of human disturbance.</w:t>
            </w:r>
          </w:p>
        </w:tc>
      </w:tr>
      <w:tr w14:paraId="14C25198" w14:textId="77777777" w:rsidTr="008C6329">
        <w:tblPrEx>
          <w:tblW w:w="5000" w:type="pct"/>
          <w:tblLook w:val="04A0"/>
        </w:tblPrEx>
        <w:tc>
          <w:tcPr>
            <w:tcW w:w="1430" w:type="pct"/>
          </w:tcPr>
          <w:p w:rsidR="00D950C4" w:rsidRPr="002F6D14" w:rsidP="005E58F3" w14:paraId="26EC7CCC" w14:textId="77777777">
            <w:pPr>
              <w:pStyle w:val="TableText"/>
            </w:pPr>
            <w:r>
              <w:t>ecosystem receptor</w:t>
            </w:r>
          </w:p>
        </w:tc>
        <w:tc>
          <w:tcPr>
            <w:tcW w:w="3570" w:type="pct"/>
          </w:tcPr>
          <w:p w:rsidR="00D950C4" w:rsidRPr="002F6D14" w:rsidP="005E58F3" w14:paraId="597C6883" w14:textId="77777777">
            <w:pPr>
              <w:pStyle w:val="TableText"/>
            </w:pPr>
            <w:r w:rsidRPr="008C5824">
              <w:t>Any living organism or natural habitat that could be exposed to a stressor.</w:t>
            </w:r>
          </w:p>
        </w:tc>
      </w:tr>
      <w:tr w14:paraId="75145098" w14:textId="77777777" w:rsidTr="008C6329">
        <w:tblPrEx>
          <w:tblW w:w="5000" w:type="pct"/>
          <w:tblLook w:val="04A0"/>
        </w:tblPrEx>
        <w:tc>
          <w:tcPr>
            <w:tcW w:w="1430" w:type="pct"/>
          </w:tcPr>
          <w:p w:rsidR="00463D6F" w:rsidP="005E58F3" w14:paraId="5981C8BB" w14:textId="01BB5F97">
            <w:pPr>
              <w:pStyle w:val="TableText"/>
            </w:pPr>
            <w:r>
              <w:t>eDNA</w:t>
            </w:r>
          </w:p>
        </w:tc>
        <w:tc>
          <w:tcPr>
            <w:tcW w:w="3570" w:type="pct"/>
          </w:tcPr>
          <w:p w:rsidR="00463D6F" w:rsidRPr="008C5824" w:rsidP="005E58F3" w14:paraId="62FE8CCA" w14:textId="1FB5E20F">
            <w:pPr>
              <w:pStyle w:val="TableText"/>
            </w:pPr>
            <w:r>
              <w:t>Environmental DNA</w:t>
            </w:r>
            <w:r w:rsidR="004E7EB2">
              <w:t>.</w:t>
            </w:r>
          </w:p>
        </w:tc>
      </w:tr>
      <w:tr w14:paraId="2DA7B313" w14:textId="77777777" w:rsidTr="008C6329">
        <w:tblPrEx>
          <w:tblW w:w="5000" w:type="pct"/>
          <w:tblLook w:val="04A0"/>
        </w:tblPrEx>
        <w:tc>
          <w:tcPr>
            <w:tcW w:w="1430" w:type="pct"/>
          </w:tcPr>
          <w:p w:rsidR="00D950C4" w:rsidRPr="00BF0F90" w:rsidP="00B43826" w14:paraId="7DC0EC30" w14:textId="77777777">
            <w:pPr>
              <w:pStyle w:val="TableText"/>
            </w:pPr>
            <w:r w:rsidRPr="00BF0F90">
              <w:t>GPP</w:t>
            </w:r>
          </w:p>
        </w:tc>
        <w:tc>
          <w:tcPr>
            <w:tcW w:w="3570" w:type="pct"/>
          </w:tcPr>
          <w:p w:rsidR="00D950C4" w:rsidRPr="00BF0F90" w:rsidP="00B43826" w14:paraId="6D31E193" w14:textId="77777777">
            <w:pPr>
              <w:pStyle w:val="TableText"/>
            </w:pPr>
            <w:r>
              <w:t>G</w:t>
            </w:r>
            <w:r w:rsidRPr="00BF0F90">
              <w:t>ross primary productivity</w:t>
            </w:r>
            <w:r>
              <w:t>.</w:t>
            </w:r>
          </w:p>
        </w:tc>
      </w:tr>
      <w:tr w14:paraId="1BF11E3E" w14:textId="77777777" w:rsidTr="008C6329">
        <w:tblPrEx>
          <w:tblW w:w="5000" w:type="pct"/>
          <w:tblLook w:val="04A0"/>
        </w:tblPrEx>
        <w:tc>
          <w:tcPr>
            <w:tcW w:w="1430" w:type="pct"/>
          </w:tcPr>
          <w:p w:rsidR="007C0004" w:rsidRPr="007C0004" w:rsidP="007C0004" w14:paraId="2E9E52E4" w14:textId="77777777">
            <w:pPr>
              <w:pStyle w:val="TableText"/>
            </w:pPr>
            <w:r w:rsidRPr="007C0004">
              <w:t>guideline value</w:t>
            </w:r>
          </w:p>
        </w:tc>
        <w:tc>
          <w:tcPr>
            <w:tcW w:w="3570" w:type="pct"/>
          </w:tcPr>
          <w:p w:rsidR="007C0004" w:rsidRPr="007C0004" w:rsidP="007C0004" w14:paraId="0ADEAF20" w14:textId="4160192F">
            <w:pPr>
              <w:pStyle w:val="TableText"/>
            </w:pPr>
            <w:r w:rsidRPr="007C0004">
              <w:rPr>
                <w:bCs/>
              </w:rPr>
              <w:t xml:space="preserve">A </w:t>
            </w:r>
            <w:r w:rsidRPr="007C0004">
              <w:t>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w:t>
            </w:r>
            <w:r w:rsidR="004E7EB2">
              <w:t>-</w:t>
            </w:r>
            <w:r w:rsidRPr="007C0004">
              <w:t>of</w:t>
            </w:r>
            <w:r w:rsidR="004E7EB2">
              <w:t>-</w:t>
            </w:r>
            <w:r w:rsidRPr="007C0004">
              <w:t>evidence approach</w:t>
            </w:r>
          </w:p>
        </w:tc>
      </w:tr>
      <w:tr w14:paraId="06534513" w14:textId="77777777" w:rsidTr="008C6329">
        <w:tblPrEx>
          <w:tblW w:w="5000" w:type="pct"/>
          <w:tblLook w:val="04A0"/>
        </w:tblPrEx>
        <w:tc>
          <w:tcPr>
            <w:tcW w:w="1430" w:type="pct"/>
          </w:tcPr>
          <w:p w:rsidR="00D950C4" w:rsidRPr="002F6D14" w:rsidP="005E58F3" w14:paraId="158D9E52" w14:textId="77777777">
            <w:pPr>
              <w:pStyle w:val="TableText"/>
            </w:pPr>
            <w:r>
              <w:t>indicator</w:t>
            </w:r>
          </w:p>
        </w:tc>
        <w:tc>
          <w:tcPr>
            <w:tcW w:w="3570" w:type="pct"/>
          </w:tcPr>
          <w:p w:rsidR="00D950C4" w:rsidRPr="002F6D14" w:rsidP="005E58F3" w14:paraId="74FF6F07" w14:textId="24891436">
            <w:pPr>
              <w:pStyle w:val="TableText"/>
            </w:pPr>
            <w:r>
              <w:t>A</w:t>
            </w:r>
            <w:r w:rsidRPr="00BF0F90">
              <w:t xml:space="preserve"> parameter that can be used to provide a measure of a pressure, stressor or ecosystem</w:t>
            </w:r>
            <w:r w:rsidR="005B3A6B">
              <w:t>-</w:t>
            </w:r>
            <w:r w:rsidRPr="00BF0F90">
              <w:t>condition response.</w:t>
            </w:r>
          </w:p>
        </w:tc>
      </w:tr>
      <w:tr w14:paraId="73863FEA" w14:textId="77777777" w:rsidTr="008C6329">
        <w:tblPrEx>
          <w:tblW w:w="5000" w:type="pct"/>
          <w:tblLook w:val="04A0"/>
        </w:tblPrEx>
        <w:tc>
          <w:tcPr>
            <w:tcW w:w="1430" w:type="pct"/>
          </w:tcPr>
          <w:p w:rsidR="00352E76" w:rsidRPr="00BF0F90" w:rsidP="00B43826" w14:paraId="2DE2E6DE" w14:textId="7ACA70CB">
            <w:pPr>
              <w:pStyle w:val="TableText"/>
            </w:pPr>
            <w:r>
              <w:t>infauna</w:t>
            </w:r>
          </w:p>
        </w:tc>
        <w:tc>
          <w:tcPr>
            <w:tcW w:w="3570" w:type="pct"/>
          </w:tcPr>
          <w:p w:rsidR="00352E76" w:rsidP="00B43826" w14:paraId="74BF8CB7" w14:textId="39D92366">
            <w:pPr>
              <w:pStyle w:val="TableText"/>
            </w:pPr>
            <w:r>
              <w:t>B</w:t>
            </w:r>
            <w:r w:rsidRPr="00352E76">
              <w:t>enthic</w:t>
            </w:r>
            <w:r>
              <w:t xml:space="preserve"> </w:t>
            </w:r>
            <w:r w:rsidRPr="00352E76">
              <w:t>organisms that live within the bottom substratum of a waterbody</w:t>
            </w:r>
            <w:r>
              <w:t>.</w:t>
            </w:r>
          </w:p>
        </w:tc>
      </w:tr>
      <w:tr w14:paraId="324DDB97" w14:textId="77777777" w:rsidTr="008C6329">
        <w:tblPrEx>
          <w:tblW w:w="5000" w:type="pct"/>
          <w:tblLook w:val="04A0"/>
        </w:tblPrEx>
        <w:tc>
          <w:tcPr>
            <w:tcW w:w="1430" w:type="pct"/>
          </w:tcPr>
          <w:p w:rsidR="00A75D82" w:rsidP="00B43826" w14:paraId="0899E1C9" w14:textId="10A8FF4C">
            <w:pPr>
              <w:pStyle w:val="TableText"/>
            </w:pPr>
            <w:r>
              <w:t>low-effect concentration</w:t>
            </w:r>
          </w:p>
        </w:tc>
        <w:tc>
          <w:tcPr>
            <w:tcW w:w="3570" w:type="pct"/>
          </w:tcPr>
          <w:p w:rsidR="00A75D82" w:rsidP="00B43826" w14:paraId="12779531" w14:textId="755DB651">
            <w:pPr>
              <w:pStyle w:val="TableText"/>
            </w:pPr>
            <w:r>
              <w:t>Concentration generating an x% effect response, where x ≤ 10%.</w:t>
            </w:r>
          </w:p>
        </w:tc>
      </w:tr>
      <w:tr w14:paraId="4F2F3409" w14:textId="77777777" w:rsidTr="008C6329">
        <w:tblPrEx>
          <w:tblW w:w="5000" w:type="pct"/>
          <w:tblLook w:val="04A0"/>
        </w:tblPrEx>
        <w:tc>
          <w:tcPr>
            <w:tcW w:w="1430" w:type="pct"/>
          </w:tcPr>
          <w:p w:rsidR="00D950C4" w:rsidRPr="00BF0F90" w:rsidP="00B43826" w14:paraId="438DA22C" w14:textId="77777777">
            <w:pPr>
              <w:pStyle w:val="TableText"/>
            </w:pPr>
            <w:r w:rsidRPr="00BF0F90">
              <w:t>MBACI</w:t>
            </w:r>
          </w:p>
        </w:tc>
        <w:tc>
          <w:tcPr>
            <w:tcW w:w="3570" w:type="pct"/>
          </w:tcPr>
          <w:p w:rsidR="00D950C4" w:rsidRPr="00BF0F90" w:rsidP="00B43826" w14:paraId="2B935BA3" w14:textId="77777777">
            <w:pPr>
              <w:pStyle w:val="TableText"/>
            </w:pPr>
            <w:r>
              <w:t>M</w:t>
            </w:r>
            <w:r w:rsidRPr="00BF0F90">
              <w:t>ultiple before–after, control–impact</w:t>
            </w:r>
            <w:r>
              <w:t>.</w:t>
            </w:r>
          </w:p>
        </w:tc>
      </w:tr>
      <w:tr w14:paraId="46DF313F" w14:textId="77777777" w:rsidTr="008C6329">
        <w:tblPrEx>
          <w:tblW w:w="5000" w:type="pct"/>
          <w:tblLook w:val="04A0"/>
        </w:tblPrEx>
        <w:tc>
          <w:tcPr>
            <w:tcW w:w="1430" w:type="pct"/>
          </w:tcPr>
          <w:p w:rsidR="00352E76" w:rsidP="005E58F3" w14:paraId="29EE1573" w14:textId="62ACEEAE">
            <w:pPr>
              <w:pStyle w:val="TableText"/>
            </w:pPr>
            <w:r>
              <w:t>meiofauna</w:t>
            </w:r>
          </w:p>
        </w:tc>
        <w:tc>
          <w:tcPr>
            <w:tcW w:w="3570" w:type="pct"/>
          </w:tcPr>
          <w:p w:rsidR="00352E76" w:rsidRPr="00D950C4" w:rsidP="005E58F3" w14:paraId="2DB9AAEE" w14:textId="4D1DE4B7">
            <w:pPr>
              <w:pStyle w:val="TableText"/>
            </w:pPr>
            <w:r>
              <w:t>Small benthic invertebrates that live in both marine and freshwater environments</w:t>
            </w:r>
            <w:r w:rsidR="005B3A6B">
              <w:t>.</w:t>
            </w:r>
          </w:p>
        </w:tc>
      </w:tr>
      <w:tr w14:paraId="19889DD2" w14:textId="77777777" w:rsidTr="008C6329">
        <w:tblPrEx>
          <w:tblW w:w="5000" w:type="pct"/>
          <w:tblLook w:val="04A0"/>
        </w:tblPrEx>
        <w:tc>
          <w:tcPr>
            <w:tcW w:w="1430" w:type="pct"/>
          </w:tcPr>
          <w:p w:rsidR="00D950C4" w:rsidRPr="002F6D14" w:rsidP="005E58F3" w14:paraId="60EC2378" w14:textId="77777777">
            <w:pPr>
              <w:pStyle w:val="TableText"/>
            </w:pPr>
            <w:r>
              <w:t>multiple lines of evidence</w:t>
            </w:r>
          </w:p>
        </w:tc>
        <w:tc>
          <w:tcPr>
            <w:tcW w:w="3570" w:type="pct"/>
          </w:tcPr>
          <w:p w:rsidR="00D950C4" w:rsidRPr="002F6D14" w:rsidP="005E58F3" w14:paraId="5E19A981" w14:textId="51F7FA8F">
            <w:pPr>
              <w:pStyle w:val="TableText"/>
            </w:pPr>
            <w:r w:rsidRPr="00D950C4">
              <w:t>Two or more lines of evidence that can be combined to monitor, assess or manage water or sediment quality.</w:t>
            </w:r>
          </w:p>
        </w:tc>
      </w:tr>
      <w:tr w14:paraId="1F91BD6C" w14:textId="77777777" w:rsidTr="008C6329">
        <w:tblPrEx>
          <w:tblW w:w="5000" w:type="pct"/>
          <w:tblLook w:val="04A0"/>
        </w:tblPrEx>
        <w:tc>
          <w:tcPr>
            <w:tcW w:w="1430" w:type="pct"/>
          </w:tcPr>
          <w:p w:rsidR="00526A8E" w:rsidRPr="00F74600" w:rsidP="005E58F3" w14:paraId="0232DD62" w14:textId="11C169B8">
            <w:pPr>
              <w:pStyle w:val="TableText"/>
            </w:pPr>
            <w:r>
              <w:t>NGS</w:t>
            </w:r>
          </w:p>
        </w:tc>
        <w:tc>
          <w:tcPr>
            <w:tcW w:w="3570" w:type="pct"/>
          </w:tcPr>
          <w:p w:rsidR="00526A8E" w:rsidP="00BF0F90" w14:paraId="7463B2BE" w14:textId="27FC4037">
            <w:pPr>
              <w:pStyle w:val="TableText"/>
            </w:pPr>
            <w:r>
              <w:t>Next-generation sequencing</w:t>
            </w:r>
            <w:r w:rsidR="005B3A6B">
              <w:t>.</w:t>
            </w:r>
          </w:p>
        </w:tc>
      </w:tr>
      <w:tr w14:paraId="39E290A2" w14:textId="77777777" w:rsidTr="008C6329">
        <w:tblPrEx>
          <w:tblW w:w="5000" w:type="pct"/>
          <w:tblLook w:val="04A0"/>
        </w:tblPrEx>
        <w:tc>
          <w:tcPr>
            <w:tcW w:w="1430" w:type="pct"/>
          </w:tcPr>
          <w:p w:rsidR="00A75D82" w:rsidP="005E58F3" w14:paraId="00EEC70D" w14:textId="0AF0CE56">
            <w:pPr>
              <w:pStyle w:val="TableText"/>
            </w:pPr>
            <w:r>
              <w:t>no-effect concentration</w:t>
            </w:r>
          </w:p>
        </w:tc>
        <w:tc>
          <w:tcPr>
            <w:tcW w:w="3570" w:type="pct"/>
          </w:tcPr>
          <w:p w:rsidR="00A75D82" w:rsidP="00BF0F90" w14:paraId="63570042" w14:textId="5148B613">
            <w:pPr>
              <w:pStyle w:val="TableText"/>
            </w:pPr>
            <w:r>
              <w:t>Maximum concentration of a toxicant that causes no adverse effect in a target organism.</w:t>
            </w:r>
          </w:p>
        </w:tc>
      </w:tr>
      <w:tr w14:paraId="135534EE" w14:textId="77777777" w:rsidTr="008C6329">
        <w:tblPrEx>
          <w:tblW w:w="5000" w:type="pct"/>
          <w:tblLook w:val="04A0"/>
        </w:tblPrEx>
        <w:tc>
          <w:tcPr>
            <w:tcW w:w="1430" w:type="pct"/>
          </w:tcPr>
          <w:p w:rsidR="00A75D82" w:rsidP="005E58F3" w14:paraId="599920C6" w14:textId="51B92143">
            <w:pPr>
              <w:pStyle w:val="TableText"/>
            </w:pPr>
            <w:r>
              <w:t>no-observed-effect concentration</w:t>
            </w:r>
          </w:p>
        </w:tc>
        <w:tc>
          <w:tcPr>
            <w:tcW w:w="3570" w:type="pct"/>
          </w:tcPr>
          <w:p w:rsidR="00A75D82" w:rsidP="00BF0F90" w14:paraId="628B2C83" w14:textId="4D108EE2">
            <w:pPr>
              <w:pStyle w:val="TableText"/>
            </w:pPr>
            <w:r>
              <w:rPr>
                <w:lang w:eastAsia="ja-JP"/>
              </w:rPr>
              <w:t>H</w:t>
            </w:r>
            <w:r w:rsidRPr="00585FD8">
              <w:rPr>
                <w:lang w:eastAsia="ja-JP"/>
              </w:rPr>
              <w:t>ighest concentration of a toxicant used in a toxicity test that does not have a statistically significant effect, compared to the controls</w:t>
            </w:r>
            <w:r>
              <w:rPr>
                <w:lang w:eastAsia="ja-JP"/>
              </w:rPr>
              <w:t>.</w:t>
            </w:r>
          </w:p>
        </w:tc>
      </w:tr>
      <w:tr w14:paraId="36A109AD" w14:textId="77777777" w:rsidTr="008C6329">
        <w:tblPrEx>
          <w:tblW w:w="5000" w:type="pct"/>
          <w:tblLook w:val="04A0"/>
        </w:tblPrEx>
        <w:tc>
          <w:tcPr>
            <w:tcW w:w="1430" w:type="pct"/>
          </w:tcPr>
          <w:p w:rsidR="00D950C4" w:rsidRPr="002F6D14" w:rsidP="005E58F3" w14:paraId="1B93E378" w14:textId="77777777">
            <w:pPr>
              <w:pStyle w:val="TableText"/>
            </w:pPr>
            <w:r w:rsidRPr="00F74600">
              <w:t>P:R</w:t>
            </w:r>
          </w:p>
        </w:tc>
        <w:tc>
          <w:tcPr>
            <w:tcW w:w="3570" w:type="pct"/>
          </w:tcPr>
          <w:p w:rsidR="00D950C4" w:rsidRPr="002F6D14" w:rsidP="00BF0F90" w14:paraId="138A2B05" w14:textId="739E0425">
            <w:pPr>
              <w:pStyle w:val="TableText"/>
            </w:pPr>
            <w:r>
              <w:t>Gross primary productivity:respiration ratio</w:t>
            </w:r>
            <w:r w:rsidR="003B398F">
              <w:t>.</w:t>
            </w:r>
          </w:p>
        </w:tc>
      </w:tr>
      <w:tr w14:paraId="561DE7CA" w14:textId="77777777" w:rsidTr="008C6329">
        <w:tblPrEx>
          <w:tblW w:w="5000" w:type="pct"/>
          <w:tblLook w:val="04A0"/>
        </w:tblPrEx>
        <w:tc>
          <w:tcPr>
            <w:tcW w:w="1430" w:type="pct"/>
          </w:tcPr>
          <w:p w:rsidR="00076B93" w:rsidRPr="00BF0F90" w:rsidP="005E58F3" w14:paraId="3CDAE85A" w14:textId="269EEB87">
            <w:pPr>
              <w:pStyle w:val="TableText"/>
            </w:pPr>
            <w:r>
              <w:t>periphytic</w:t>
            </w:r>
          </w:p>
        </w:tc>
        <w:tc>
          <w:tcPr>
            <w:tcW w:w="3570" w:type="pct"/>
          </w:tcPr>
          <w:p w:rsidR="00076B93" w:rsidP="005E58F3" w14:paraId="35108728" w14:textId="050564EE">
            <w:pPr>
              <w:pStyle w:val="TableText"/>
            </w:pPr>
            <w:r>
              <w:t>Living on the surfaces of rooted aquatic plants.</w:t>
            </w:r>
          </w:p>
        </w:tc>
      </w:tr>
      <w:tr w14:paraId="5A2627BF" w14:textId="77777777" w:rsidTr="008C6329">
        <w:tblPrEx>
          <w:tblW w:w="5000" w:type="pct"/>
          <w:tblLook w:val="04A0"/>
        </w:tblPrEx>
        <w:tc>
          <w:tcPr>
            <w:tcW w:w="1430" w:type="pct"/>
          </w:tcPr>
          <w:p w:rsidR="00D950C4" w:rsidRPr="002F6D14" w:rsidP="005E58F3" w14:paraId="5AFD07CA" w14:textId="77777777">
            <w:pPr>
              <w:pStyle w:val="TableText"/>
            </w:pPr>
            <w:r w:rsidRPr="00BF0F90">
              <w:t>pressure</w:t>
            </w:r>
          </w:p>
        </w:tc>
        <w:tc>
          <w:tcPr>
            <w:tcW w:w="3570" w:type="pct"/>
          </w:tcPr>
          <w:p w:rsidR="00D950C4" w:rsidRPr="002F6D14" w:rsidP="005E58F3" w14:paraId="3820B756" w14:textId="77777777">
            <w:pPr>
              <w:pStyle w:val="TableText"/>
            </w:pPr>
            <w:r>
              <w:t>A</w:t>
            </w:r>
            <w:r w:rsidRPr="00BF0F90">
              <w:t>ny human activity or biophysical change that has the potential to have an impact on the natural environment.</w:t>
            </w:r>
          </w:p>
        </w:tc>
      </w:tr>
      <w:tr w14:paraId="6D880494" w14:textId="77777777" w:rsidTr="008C6329">
        <w:tblPrEx>
          <w:tblW w:w="5000" w:type="pct"/>
          <w:tblLook w:val="04A0"/>
        </w:tblPrEx>
        <w:tc>
          <w:tcPr>
            <w:tcW w:w="1430" w:type="pct"/>
          </w:tcPr>
          <w:p w:rsidR="00EA44C2" w:rsidRPr="00BF0F90" w:rsidP="005E58F3" w14:paraId="27654CFD" w14:textId="26420B76">
            <w:pPr>
              <w:pStyle w:val="TableText"/>
            </w:pPr>
            <w:r>
              <w:t>QA/QC</w:t>
            </w:r>
          </w:p>
        </w:tc>
        <w:tc>
          <w:tcPr>
            <w:tcW w:w="3570" w:type="pct"/>
          </w:tcPr>
          <w:p w:rsidR="00EA44C2" w:rsidP="005E58F3" w14:paraId="74474752" w14:textId="7E33DD44">
            <w:pPr>
              <w:pStyle w:val="TableText"/>
            </w:pPr>
            <w:r>
              <w:t>Quality assurance and quality control</w:t>
            </w:r>
            <w:r w:rsidR="005B3A6B">
              <w:t>.</w:t>
            </w:r>
          </w:p>
        </w:tc>
      </w:tr>
      <w:tr w14:paraId="5B0F6FCE" w14:textId="77777777" w:rsidTr="008C6329">
        <w:tblPrEx>
          <w:tblW w:w="5000" w:type="pct"/>
          <w:tblLook w:val="04A0"/>
        </w:tblPrEx>
        <w:tc>
          <w:tcPr>
            <w:tcW w:w="1430" w:type="pct"/>
          </w:tcPr>
          <w:p w:rsidR="00D950C4" w:rsidRPr="00BF0F90" w:rsidP="00B43826" w14:paraId="04CFAB7F" w14:textId="77777777">
            <w:pPr>
              <w:pStyle w:val="TableText"/>
            </w:pPr>
            <w:r w:rsidRPr="00BF0F90">
              <w:t>R</w:t>
            </w:r>
          </w:p>
        </w:tc>
        <w:tc>
          <w:tcPr>
            <w:tcW w:w="3570" w:type="pct"/>
          </w:tcPr>
          <w:p w:rsidR="00D950C4" w:rsidRPr="002F6D14" w:rsidP="00B43826" w14:paraId="2DF2EA33" w14:textId="77777777">
            <w:pPr>
              <w:pStyle w:val="TableText"/>
            </w:pPr>
            <w:r>
              <w:t>R</w:t>
            </w:r>
            <w:r w:rsidRPr="00BF0F90">
              <w:t>espiration</w:t>
            </w:r>
            <w:r>
              <w:t>.</w:t>
            </w:r>
            <w:r w:rsidRPr="00F74600">
              <w:t xml:space="preserve"> </w:t>
            </w:r>
          </w:p>
        </w:tc>
      </w:tr>
      <w:tr w14:paraId="008F0F4B" w14:textId="77777777" w:rsidTr="008C6329">
        <w:tblPrEx>
          <w:tblW w:w="5000" w:type="pct"/>
          <w:tblLook w:val="04A0"/>
        </w:tblPrEx>
        <w:tc>
          <w:tcPr>
            <w:tcW w:w="1430" w:type="pct"/>
          </w:tcPr>
          <w:p w:rsidR="00D950C4" w:rsidRPr="002F6D14" w:rsidP="005E58F3" w14:paraId="068800E5" w14:textId="77777777">
            <w:pPr>
              <w:pStyle w:val="TableText"/>
            </w:pPr>
            <w:r w:rsidRPr="00F74600">
              <w:t>RBA</w:t>
            </w:r>
          </w:p>
        </w:tc>
        <w:tc>
          <w:tcPr>
            <w:tcW w:w="3570" w:type="pct"/>
          </w:tcPr>
          <w:p w:rsidR="00D950C4" w:rsidRPr="002F6D14" w:rsidP="00BF0F90" w14:paraId="2A9711B5" w14:textId="77777777">
            <w:pPr>
              <w:pStyle w:val="TableText"/>
            </w:pPr>
            <w:r>
              <w:t>R</w:t>
            </w:r>
            <w:r w:rsidRPr="00F74600">
              <w:t>apid biological assessment</w:t>
            </w:r>
            <w:r>
              <w:t>.</w:t>
            </w:r>
          </w:p>
        </w:tc>
      </w:tr>
      <w:tr w14:paraId="1CB25903" w14:textId="77777777" w:rsidTr="008C6329">
        <w:tblPrEx>
          <w:tblW w:w="5000" w:type="pct"/>
          <w:tblLook w:val="04A0"/>
        </w:tblPrEx>
        <w:tc>
          <w:tcPr>
            <w:tcW w:w="1430" w:type="pct"/>
          </w:tcPr>
          <w:p w:rsidR="00D950C4" w:rsidRPr="00BF0F90" w:rsidP="00B43826" w14:paraId="0B4A6F1D" w14:textId="77777777">
            <w:pPr>
              <w:pStyle w:val="TableText"/>
            </w:pPr>
            <w:r w:rsidRPr="00BF0F90">
              <w:t>receiving water</w:t>
            </w:r>
          </w:p>
        </w:tc>
        <w:tc>
          <w:tcPr>
            <w:tcW w:w="3570" w:type="pct"/>
          </w:tcPr>
          <w:p w:rsidR="00D950C4" w:rsidRPr="00BF0F90" w:rsidP="00B43826" w14:paraId="41956E39" w14:textId="77777777">
            <w:pPr>
              <w:pStyle w:val="TableText"/>
            </w:pPr>
            <w:r w:rsidRPr="00BF0F90">
              <w:t>An ambient water into which contaminants are being discharged.</w:t>
            </w:r>
          </w:p>
        </w:tc>
      </w:tr>
      <w:tr w14:paraId="21512920" w14:textId="77777777" w:rsidTr="008C6329">
        <w:tblPrEx>
          <w:tblW w:w="5000" w:type="pct"/>
          <w:tblLook w:val="04A0"/>
        </w:tblPrEx>
        <w:tc>
          <w:tcPr>
            <w:tcW w:w="1430" w:type="pct"/>
          </w:tcPr>
          <w:p w:rsidR="00D950C4" w:rsidRPr="002F6D14" w:rsidP="005E58F3" w14:paraId="010D9139" w14:textId="77777777">
            <w:pPr>
              <w:pStyle w:val="TableText"/>
            </w:pPr>
            <w:r>
              <w:t>reference condition</w:t>
            </w:r>
          </w:p>
        </w:tc>
        <w:tc>
          <w:tcPr>
            <w:tcW w:w="3570" w:type="pct"/>
          </w:tcPr>
          <w:p w:rsidR="00D950C4" w:rsidRPr="002F6D14" w:rsidP="005E58F3" w14:paraId="0088F5FA" w14:textId="6C999D19">
            <w:pPr>
              <w:pStyle w:val="TableText"/>
            </w:pPr>
            <w:r>
              <w:t>A</w:t>
            </w:r>
            <w:r w:rsidRPr="003971F4">
              <w:t>n environmental quality or condition that is defined from as many similar systems as possible and used as a benchmark for determining the environmental quality or condition to be achieved or maintained in a particular system of equivalent type.</w:t>
            </w:r>
          </w:p>
        </w:tc>
      </w:tr>
      <w:tr w14:paraId="0DE774AA" w14:textId="77777777" w:rsidTr="008C6329">
        <w:tblPrEx>
          <w:tblW w:w="5000" w:type="pct"/>
          <w:tblLook w:val="04A0"/>
        </w:tblPrEx>
        <w:tc>
          <w:tcPr>
            <w:tcW w:w="1430" w:type="pct"/>
          </w:tcPr>
          <w:p w:rsidR="007C0004" w:rsidRPr="00E11B48" w:rsidP="00290EC3" w14:paraId="51E9D7C1" w14:textId="77777777">
            <w:pPr>
              <w:pStyle w:val="TableText"/>
            </w:pPr>
            <w:r w:rsidRPr="00E11B48">
              <w:t>site-specific guideline value</w:t>
            </w:r>
          </w:p>
        </w:tc>
        <w:tc>
          <w:tcPr>
            <w:tcW w:w="3570" w:type="pct"/>
          </w:tcPr>
          <w:p w:rsidR="007C0004" w:rsidP="00290EC3" w14:paraId="1306FB68" w14:textId="36C7A8DF">
            <w:pPr>
              <w:pStyle w:val="TableText"/>
            </w:pPr>
            <w:r>
              <w:t>A</w:t>
            </w:r>
            <w:r w:rsidRPr="00E11B48">
              <w:t xml:space="preserve"> guideline value that is relevant to the specific location or conditions that are the focus of a given assessment or issue.</w:t>
            </w:r>
          </w:p>
        </w:tc>
      </w:tr>
      <w:tr w14:paraId="36B131BA" w14:textId="77777777" w:rsidTr="008C6329">
        <w:tblPrEx>
          <w:tblW w:w="5000" w:type="pct"/>
          <w:tblLook w:val="04A0"/>
        </w:tblPrEx>
        <w:tc>
          <w:tcPr>
            <w:tcW w:w="1430" w:type="pct"/>
          </w:tcPr>
          <w:p w:rsidR="001D3178" w:rsidRPr="00E11B48" w:rsidP="00290EC3" w14:paraId="4AE073E9" w14:textId="1B350756">
            <w:pPr>
              <w:pStyle w:val="TableText"/>
            </w:pPr>
            <w:r>
              <w:t>SSD</w:t>
            </w:r>
          </w:p>
        </w:tc>
        <w:tc>
          <w:tcPr>
            <w:tcW w:w="3570" w:type="pct"/>
          </w:tcPr>
          <w:p w:rsidR="001D3178" w:rsidP="00290EC3" w14:paraId="1FCB923B" w14:textId="0C747609">
            <w:pPr>
              <w:pStyle w:val="TableText"/>
            </w:pPr>
            <w:r>
              <w:t>Species sensitivity distribution</w:t>
            </w:r>
            <w:r w:rsidR="005B3A6B">
              <w:t>.</w:t>
            </w:r>
          </w:p>
        </w:tc>
      </w:tr>
      <w:tr w14:paraId="625B6429" w14:textId="77777777" w:rsidTr="008C6329">
        <w:tblPrEx>
          <w:tblW w:w="5000" w:type="pct"/>
          <w:tblLook w:val="04A0"/>
        </w:tblPrEx>
        <w:tc>
          <w:tcPr>
            <w:tcW w:w="1430" w:type="pct"/>
          </w:tcPr>
          <w:p w:rsidR="00D950C4" w:rsidRPr="002F6D14" w:rsidP="005E58F3" w14:paraId="41A38388" w14:textId="77777777">
            <w:pPr>
              <w:pStyle w:val="TableText"/>
            </w:pPr>
            <w:r w:rsidRPr="00410CCC">
              <w:t>stressor</w:t>
            </w:r>
          </w:p>
        </w:tc>
        <w:tc>
          <w:tcPr>
            <w:tcW w:w="3570" w:type="pct"/>
          </w:tcPr>
          <w:p w:rsidR="00D950C4" w:rsidRPr="002F6D14" w:rsidP="005E58F3" w14:paraId="38F9CDDD" w14:textId="77777777">
            <w:pPr>
              <w:pStyle w:val="TableText"/>
            </w:pPr>
            <w:r>
              <w:t>A</w:t>
            </w:r>
            <w:r w:rsidRPr="00410CCC">
              <w:t>ny physical, chemical or biological substance or process arising from a pressure that has the potential to induce an adverse environmental response to a community value.</w:t>
            </w:r>
          </w:p>
        </w:tc>
      </w:tr>
      <w:tr w14:paraId="35253E26" w14:textId="77777777" w:rsidTr="008C6329">
        <w:tblPrEx>
          <w:tblW w:w="5000" w:type="pct"/>
          <w:tblLook w:val="04A0"/>
        </w:tblPrEx>
        <w:tc>
          <w:tcPr>
            <w:tcW w:w="1430" w:type="pct"/>
          </w:tcPr>
          <w:p w:rsidR="00D950C4" w:rsidRPr="002F6D14" w:rsidP="005E58F3" w14:paraId="671E60AB" w14:textId="77777777">
            <w:pPr>
              <w:pStyle w:val="TableText"/>
            </w:pPr>
            <w:r w:rsidRPr="002B37B7">
              <w:t>toxicity</w:t>
            </w:r>
          </w:p>
        </w:tc>
        <w:tc>
          <w:tcPr>
            <w:tcW w:w="3570" w:type="pct"/>
          </w:tcPr>
          <w:p w:rsidR="00D950C4" w:rsidRPr="002F6D14" w:rsidP="005E58F3" w14:paraId="136F6FEB" w14:textId="77777777">
            <w:pPr>
              <w:pStyle w:val="TableText"/>
            </w:pPr>
            <w:r>
              <w:t>T</w:t>
            </w:r>
            <w:r w:rsidRPr="002B37B7">
              <w:t>he inherent potential or capacity of a material to cause adverse effects in a living organism.</w:t>
            </w:r>
          </w:p>
        </w:tc>
      </w:tr>
      <w:tr w14:paraId="2B4539BA" w14:textId="77777777" w:rsidTr="008C6329">
        <w:tblPrEx>
          <w:tblW w:w="5000" w:type="pct"/>
          <w:tblLook w:val="04A0"/>
        </w:tblPrEx>
        <w:tc>
          <w:tcPr>
            <w:tcW w:w="1430" w:type="pct"/>
          </w:tcPr>
          <w:p w:rsidR="00D950C4" w:rsidRPr="002F6D14" w:rsidP="005E58F3" w14:paraId="70CDFEFC" w14:textId="5C2CAB36">
            <w:pPr>
              <w:pStyle w:val="TableText"/>
            </w:pPr>
            <w:r w:rsidRPr="002B37B7">
              <w:t>toxicity identification evaluation</w:t>
            </w:r>
            <w:r w:rsidR="00304A24">
              <w:t xml:space="preserve"> (TIE)</w:t>
            </w:r>
          </w:p>
        </w:tc>
        <w:tc>
          <w:tcPr>
            <w:tcW w:w="3570" w:type="pct"/>
          </w:tcPr>
          <w:p w:rsidR="00D950C4" w:rsidRPr="002F6D14" w:rsidP="002B37B7" w14:paraId="29BBF8D1" w14:textId="1BA0D523">
            <w:pPr>
              <w:pStyle w:val="TableText"/>
            </w:pPr>
            <w:r>
              <w:t>T</w:t>
            </w:r>
            <w:r w:rsidRPr="002B37B7">
              <w:t>oxicity characterisation procedures involving use of selective chemical manipulations or separations and analyses</w:t>
            </w:r>
            <w:r w:rsidR="005B3A6B">
              <w:t>,</w:t>
            </w:r>
            <w:r w:rsidRPr="002B37B7">
              <w:t xml:space="preserve"> coupled with toxicity testing to identify specific classes of chemicals and ultimately individual chemicals that are responsible for the toxicity observed in a particular sample.</w:t>
            </w:r>
          </w:p>
        </w:tc>
      </w:tr>
      <w:tr w14:paraId="1C12B343" w14:textId="77777777" w:rsidTr="008C6329">
        <w:tblPrEx>
          <w:tblW w:w="5000" w:type="pct"/>
          <w:tblLook w:val="04A0"/>
        </w:tblPrEx>
        <w:trPr>
          <w:trHeight w:val="886"/>
        </w:trPr>
        <w:tc>
          <w:tcPr>
            <w:tcW w:w="1430" w:type="pct"/>
          </w:tcPr>
          <w:p w:rsidR="00D950C4" w:rsidRPr="002F6D14" w:rsidP="005E58F3" w14:paraId="19C45935" w14:textId="77777777">
            <w:pPr>
              <w:pStyle w:val="TableText"/>
            </w:pPr>
            <w:r w:rsidRPr="00D950C4">
              <w:t>weight of evidence</w:t>
            </w:r>
          </w:p>
        </w:tc>
        <w:tc>
          <w:tcPr>
            <w:tcW w:w="3570" w:type="pct"/>
          </w:tcPr>
          <w:p w:rsidR="00D950C4" w:rsidRPr="002F6D14" w:rsidP="00D950C4" w14:paraId="1C9F086B" w14:textId="7D9D157B">
            <w:pPr>
              <w:pStyle w:val="TableText"/>
            </w:pPr>
            <w:r w:rsidRPr="00D950C4">
              <w:t xml:space="preserve">A qualitative, semi-quantitative or quantitative combination of multiple lines of evidence to make an overall assessment of water </w:t>
            </w:r>
            <w:r w:rsidR="003E0104">
              <w:t>or</w:t>
            </w:r>
            <w:r w:rsidRPr="00D950C4">
              <w:t xml:space="preserve"> sediment quality or associated management. This assessment incorporates judgments about the quality, quantity, relevance and congruence of the data contained in the different lines of evidence.</w:t>
            </w:r>
          </w:p>
        </w:tc>
      </w:tr>
      <w:tr w14:paraId="19AB0BC3" w14:textId="77777777" w:rsidTr="00166FDC">
        <w:tblPrEx>
          <w:tblW w:w="5000" w:type="pct"/>
          <w:tblLook w:val="04A0"/>
        </w:tblPrEx>
        <w:trPr>
          <w:trHeight w:val="463"/>
        </w:trPr>
        <w:tc>
          <w:tcPr>
            <w:tcW w:w="1430" w:type="pct"/>
          </w:tcPr>
          <w:p w:rsidR="00593CC4" w:rsidRPr="00D950C4" w:rsidP="005E58F3" w14:paraId="7FBE9F2C" w14:textId="02D6B8C8">
            <w:pPr>
              <w:pStyle w:val="TableText"/>
            </w:pPr>
            <w:r>
              <w:t>WET</w:t>
            </w:r>
          </w:p>
        </w:tc>
        <w:tc>
          <w:tcPr>
            <w:tcW w:w="3567" w:type="pct"/>
          </w:tcPr>
          <w:p w:rsidR="00593CC4" w:rsidRPr="00D950C4" w:rsidP="00D950C4" w14:paraId="4EED4874" w14:textId="69F41E6C">
            <w:pPr>
              <w:pStyle w:val="TableText"/>
            </w:pPr>
            <w:r>
              <w:t>Whole effluent toxicity</w:t>
            </w:r>
            <w:r w:rsidR="005B3A6B">
              <w:t>.</w:t>
            </w:r>
          </w:p>
        </w:tc>
      </w:tr>
      <w:tr w14:paraId="783A50B0" w14:textId="77777777" w:rsidTr="00166FDC">
        <w:tblPrEx>
          <w:tblW w:w="5000" w:type="pct"/>
          <w:tblLook w:val="04A0"/>
        </w:tblPrEx>
        <w:trPr>
          <w:trHeight w:val="399"/>
        </w:trPr>
        <w:tc>
          <w:tcPr>
            <w:tcW w:w="1430" w:type="pct"/>
          </w:tcPr>
          <w:p w:rsidR="002E05DC" w:rsidRPr="00D950C4" w:rsidP="005E58F3" w14:paraId="1DAB806D" w14:textId="1E3B6FBD">
            <w:pPr>
              <w:pStyle w:val="TableText"/>
            </w:pPr>
            <w:r>
              <w:t>WQMF</w:t>
            </w:r>
          </w:p>
        </w:tc>
        <w:tc>
          <w:tcPr>
            <w:tcW w:w="3567" w:type="pct"/>
          </w:tcPr>
          <w:p w:rsidR="002E05DC" w:rsidRPr="00D950C4" w:rsidP="00D950C4" w14:paraId="576AA28C" w14:textId="32049538">
            <w:pPr>
              <w:pStyle w:val="TableText"/>
            </w:pPr>
            <w:r>
              <w:t>Water quality management framework</w:t>
            </w:r>
            <w:r w:rsidR="005B3A6B">
              <w:t>.</w:t>
            </w:r>
          </w:p>
        </w:tc>
      </w:tr>
    </w:tbl>
    <w:p w:rsidR="001B25CD" w:rsidP="00F50A20" w14:paraId="05A369CF" w14:textId="348F579F">
      <w:pPr>
        <w:rPr>
          <w:highlight w:val="yellow"/>
          <w:lang w:eastAsia="ja-JP"/>
        </w:rPr>
      </w:pPr>
    </w:p>
    <w:p w:rsidR="001B25CD" w:rsidRPr="00263C50" w:rsidP="001B25CD" w14:paraId="691EDB20" w14:textId="77777777">
      <w:pPr>
        <w:pStyle w:val="Heading2"/>
        <w:numPr>
          <w:ilvl w:val="0"/>
          <w:numId w:val="0"/>
        </w:numPr>
        <w:ind w:left="680" w:hanging="680"/>
      </w:pPr>
      <w:bookmarkStart w:id="93" w:name="_Toc138332268"/>
      <w:r w:rsidRPr="00263C50">
        <w:t>References</w:t>
      </w:r>
      <w:bookmarkEnd w:id="93"/>
      <w:r w:rsidRPr="00263C50">
        <w:t xml:space="preserve"> </w:t>
      </w:r>
    </w:p>
    <w:p w:rsidR="005B6FC0" w:rsidP="001B25CD" w14:paraId="5E05FC96" w14:textId="53DF1AA9">
      <w:pPr>
        <w:rPr>
          <w:lang w:eastAsia="ja-JP"/>
        </w:rPr>
      </w:pPr>
      <w:r>
        <w:rPr>
          <w:lang w:eastAsia="ja-JP"/>
        </w:rPr>
        <w:t xml:space="preserve">Alsop D </w:t>
      </w:r>
      <w:r w:rsidR="0048330D">
        <w:rPr>
          <w:lang w:eastAsia="ja-JP"/>
        </w:rPr>
        <w:t>and</w:t>
      </w:r>
      <w:r>
        <w:rPr>
          <w:lang w:eastAsia="ja-JP"/>
        </w:rPr>
        <w:t xml:space="preserve"> Wood CM </w:t>
      </w:r>
      <w:r w:rsidR="0048330D">
        <w:rPr>
          <w:lang w:eastAsia="ja-JP"/>
        </w:rPr>
        <w:t>(</w:t>
      </w:r>
      <w:r>
        <w:rPr>
          <w:lang w:eastAsia="ja-JP"/>
        </w:rPr>
        <w:t>2011</w:t>
      </w:r>
      <w:r w:rsidR="0048330D">
        <w:rPr>
          <w:lang w:eastAsia="ja-JP"/>
        </w:rPr>
        <w:t>)</w:t>
      </w:r>
      <w:r>
        <w:rPr>
          <w:lang w:eastAsia="ja-JP"/>
        </w:rPr>
        <w:t xml:space="preserve"> </w:t>
      </w:r>
      <w:r w:rsidR="0048330D">
        <w:rPr>
          <w:lang w:eastAsia="ja-JP"/>
        </w:rPr>
        <w:t>‘</w:t>
      </w:r>
      <w:r>
        <w:fldChar w:fldCharType="begin"/>
      </w:r>
      <w:r>
        <w:instrText xml:space="preserve"> HYPERLINK "https://doi.org/10.1016/j.aquatox.2011.07.010" </w:instrText>
      </w:r>
      <w:r>
        <w:fldChar w:fldCharType="separate"/>
      </w:r>
      <w:r w:rsidRPr="001F0E5C">
        <w:rPr>
          <w:rStyle w:val="Hyperlink"/>
          <w:lang w:eastAsia="ja-JP"/>
        </w:rPr>
        <w:t xml:space="preserve">Metal uptake and acute toxicity in zebrafish: </w:t>
      </w:r>
      <w:r w:rsidRPr="001F0E5C" w:rsidR="0048330D">
        <w:rPr>
          <w:rStyle w:val="Hyperlink"/>
          <w:lang w:eastAsia="ja-JP"/>
        </w:rPr>
        <w:t>c</w:t>
      </w:r>
      <w:r w:rsidRPr="001F0E5C">
        <w:rPr>
          <w:rStyle w:val="Hyperlink"/>
          <w:lang w:eastAsia="ja-JP"/>
        </w:rPr>
        <w:t>ommon mechanisms across multiple metals</w:t>
      </w:r>
      <w:r>
        <w:fldChar w:fldCharType="end"/>
      </w:r>
      <w:r w:rsidR="0048330D">
        <w:rPr>
          <w:lang w:eastAsia="ja-JP"/>
        </w:rPr>
        <w:t>’,</w:t>
      </w:r>
      <w:r>
        <w:rPr>
          <w:lang w:eastAsia="ja-JP"/>
        </w:rPr>
        <w:t xml:space="preserve"> </w:t>
      </w:r>
      <w:r w:rsidRPr="00BF6453">
        <w:rPr>
          <w:rStyle w:val="Emphasis"/>
        </w:rPr>
        <w:t>Aquatic Toxicology</w:t>
      </w:r>
      <w:r>
        <w:rPr>
          <w:lang w:eastAsia="ja-JP"/>
        </w:rPr>
        <w:t>, 105</w:t>
      </w:r>
      <w:r w:rsidR="0048330D">
        <w:rPr>
          <w:lang w:eastAsia="ja-JP"/>
        </w:rPr>
        <w:t>:</w:t>
      </w:r>
      <w:r>
        <w:rPr>
          <w:lang w:eastAsia="ja-JP"/>
        </w:rPr>
        <w:t>385–393</w:t>
      </w:r>
      <w:r w:rsidR="0048330D">
        <w:rPr>
          <w:lang w:eastAsia="ja-JP"/>
        </w:rPr>
        <w:t>, doi:</w:t>
      </w:r>
      <w:r w:rsidRPr="0048330D" w:rsidR="0048330D">
        <w:rPr>
          <w:lang w:eastAsia="ja-JP"/>
        </w:rPr>
        <w:t>10.1016/j.aquatox.2011.07.010</w:t>
      </w:r>
      <w:r>
        <w:rPr>
          <w:lang w:eastAsia="ja-JP"/>
        </w:rPr>
        <w:t>.</w:t>
      </w:r>
    </w:p>
    <w:p w:rsidR="0006332B" w:rsidP="0006332B" w14:paraId="42AD4159" w14:textId="77777777">
      <w:pPr>
        <w:rPr>
          <w:lang w:eastAsia="ja-JP"/>
        </w:rPr>
      </w:pPr>
      <w:r>
        <w:rPr>
          <w:lang w:eastAsia="ja-JP"/>
        </w:rPr>
        <w:t>Anderson MJ (2001) ‘</w:t>
      </w:r>
      <w:r>
        <w:fldChar w:fldCharType="begin"/>
      </w:r>
      <w:r>
        <w:instrText xml:space="preserve"> HYPERLINK "https://doi.org/10.1139/f01-004" </w:instrText>
      </w:r>
      <w:r>
        <w:fldChar w:fldCharType="separate"/>
      </w:r>
      <w:r w:rsidRPr="00DA718C">
        <w:rPr>
          <w:rStyle w:val="Hyperlink"/>
          <w:lang w:eastAsia="ja-JP"/>
        </w:rPr>
        <w:t>Permutation tests for univariate or multivariate analysis of variance and regression</w:t>
      </w:r>
      <w:r>
        <w:fldChar w:fldCharType="end"/>
      </w:r>
      <w:r>
        <w:rPr>
          <w:lang w:eastAsia="ja-JP"/>
        </w:rPr>
        <w:t xml:space="preserve">’, </w:t>
      </w:r>
      <w:r w:rsidRPr="00BF6453">
        <w:rPr>
          <w:rStyle w:val="Emphasis"/>
        </w:rPr>
        <w:t xml:space="preserve">Canadian Journal of Fisheries </w:t>
      </w:r>
      <w:r>
        <w:rPr>
          <w:rStyle w:val="Emphasis"/>
        </w:rPr>
        <w:t>and</w:t>
      </w:r>
      <w:r w:rsidRPr="00BF6453">
        <w:rPr>
          <w:rStyle w:val="Emphasis"/>
        </w:rPr>
        <w:t xml:space="preserve"> Aquatic Sciences</w:t>
      </w:r>
      <w:r>
        <w:rPr>
          <w:lang w:eastAsia="ja-JP"/>
        </w:rPr>
        <w:t>, 58:626–639, doi:</w:t>
      </w:r>
      <w:r w:rsidRPr="002013FF">
        <w:rPr>
          <w:lang w:eastAsia="ja-JP"/>
        </w:rPr>
        <w:t>10.1139/f01-004</w:t>
      </w:r>
      <w:r>
        <w:rPr>
          <w:lang w:eastAsia="ja-JP"/>
        </w:rPr>
        <w:t>.</w:t>
      </w:r>
    </w:p>
    <w:p w:rsidR="005B6FC0" w:rsidP="001B25CD" w14:paraId="26B7F48E" w14:textId="32D6443D">
      <w:pPr>
        <w:rPr>
          <w:lang w:eastAsia="ja-JP"/>
        </w:rPr>
      </w:pPr>
      <w:r>
        <w:rPr>
          <w:lang w:eastAsia="ja-JP"/>
        </w:rPr>
        <w:t xml:space="preserve">Anderson MJ </w:t>
      </w:r>
      <w:r w:rsidR="0048330D">
        <w:rPr>
          <w:lang w:eastAsia="ja-JP"/>
        </w:rPr>
        <w:t>and</w:t>
      </w:r>
      <w:r>
        <w:rPr>
          <w:lang w:eastAsia="ja-JP"/>
        </w:rPr>
        <w:t xml:space="preserve"> Robinson J </w:t>
      </w:r>
      <w:r w:rsidR="0048330D">
        <w:rPr>
          <w:lang w:eastAsia="ja-JP"/>
        </w:rPr>
        <w:t>(</w:t>
      </w:r>
      <w:r>
        <w:rPr>
          <w:lang w:eastAsia="ja-JP"/>
        </w:rPr>
        <w:t>2003</w:t>
      </w:r>
      <w:r w:rsidR="0048330D">
        <w:rPr>
          <w:lang w:eastAsia="ja-JP"/>
        </w:rPr>
        <w:t>)</w:t>
      </w:r>
      <w:r>
        <w:rPr>
          <w:lang w:eastAsia="ja-JP"/>
        </w:rPr>
        <w:t xml:space="preserve"> </w:t>
      </w:r>
      <w:r w:rsidR="0048330D">
        <w:rPr>
          <w:lang w:eastAsia="ja-JP"/>
        </w:rPr>
        <w:t>‘</w:t>
      </w:r>
      <w:r>
        <w:fldChar w:fldCharType="begin"/>
      </w:r>
      <w:r>
        <w:instrText xml:space="preserve"> HYPERLINK "https://doi.org/10.1111/1467-842X.00285" </w:instrText>
      </w:r>
      <w:r>
        <w:fldChar w:fldCharType="separate"/>
      </w:r>
      <w:r w:rsidRPr="001F0E5C">
        <w:rPr>
          <w:rStyle w:val="Hyperlink"/>
          <w:lang w:eastAsia="ja-JP"/>
        </w:rPr>
        <w:t>Generalized discriminant analysis based on distances</w:t>
      </w:r>
      <w:r>
        <w:fldChar w:fldCharType="end"/>
      </w:r>
      <w:r w:rsidR="0048330D">
        <w:rPr>
          <w:lang w:eastAsia="ja-JP"/>
        </w:rPr>
        <w:t>’,</w:t>
      </w:r>
      <w:r>
        <w:rPr>
          <w:lang w:eastAsia="ja-JP"/>
        </w:rPr>
        <w:t xml:space="preserve"> </w:t>
      </w:r>
      <w:r w:rsidRPr="00FF6F0D">
        <w:rPr>
          <w:rStyle w:val="Emphasis"/>
        </w:rPr>
        <w:t xml:space="preserve">Australian </w:t>
      </w:r>
      <w:r w:rsidR="0048330D">
        <w:rPr>
          <w:rStyle w:val="Emphasis"/>
        </w:rPr>
        <w:t>and</w:t>
      </w:r>
      <w:r w:rsidRPr="00FF6F0D">
        <w:rPr>
          <w:rStyle w:val="Emphasis"/>
        </w:rPr>
        <w:t xml:space="preserve"> New Zealand Journal of Statistics</w:t>
      </w:r>
      <w:r>
        <w:rPr>
          <w:lang w:eastAsia="ja-JP"/>
        </w:rPr>
        <w:t>, 45</w:t>
      </w:r>
      <w:r w:rsidR="0048330D">
        <w:rPr>
          <w:lang w:eastAsia="ja-JP"/>
        </w:rPr>
        <w:t>:</w:t>
      </w:r>
      <w:r>
        <w:rPr>
          <w:lang w:eastAsia="ja-JP"/>
        </w:rPr>
        <w:t>301–318</w:t>
      </w:r>
      <w:r w:rsidR="002013FF">
        <w:rPr>
          <w:lang w:eastAsia="ja-JP"/>
        </w:rPr>
        <w:t>, doi:</w:t>
      </w:r>
      <w:r w:rsidRPr="002013FF" w:rsidR="002013FF">
        <w:rPr>
          <w:lang w:eastAsia="ja-JP"/>
        </w:rPr>
        <w:t>10.1111/1467-842X.00285</w:t>
      </w:r>
      <w:r>
        <w:rPr>
          <w:lang w:eastAsia="ja-JP"/>
        </w:rPr>
        <w:t>.</w:t>
      </w:r>
    </w:p>
    <w:p w:rsidR="005B6FC0" w:rsidP="001B25CD" w14:paraId="7A2DAF9E" w14:textId="6E2282DD">
      <w:pPr>
        <w:rPr>
          <w:lang w:eastAsia="ja-JP"/>
        </w:rPr>
      </w:pPr>
      <w:r>
        <w:rPr>
          <w:lang w:eastAsia="ja-JP"/>
        </w:rPr>
        <w:t xml:space="preserve">Anderson MJ </w:t>
      </w:r>
      <w:r w:rsidR="0048330D">
        <w:rPr>
          <w:lang w:eastAsia="ja-JP"/>
        </w:rPr>
        <w:t>and</w:t>
      </w:r>
      <w:r>
        <w:rPr>
          <w:lang w:eastAsia="ja-JP"/>
        </w:rPr>
        <w:t xml:space="preserve"> Ter Braak CJF </w:t>
      </w:r>
      <w:r w:rsidR="0048330D">
        <w:rPr>
          <w:lang w:eastAsia="ja-JP"/>
        </w:rPr>
        <w:t>(</w:t>
      </w:r>
      <w:r>
        <w:rPr>
          <w:lang w:eastAsia="ja-JP"/>
        </w:rPr>
        <w:t>2003</w:t>
      </w:r>
      <w:r w:rsidR="0048330D">
        <w:rPr>
          <w:lang w:eastAsia="ja-JP"/>
        </w:rPr>
        <w:t>)</w:t>
      </w:r>
      <w:r>
        <w:rPr>
          <w:lang w:eastAsia="ja-JP"/>
        </w:rPr>
        <w:t xml:space="preserve"> </w:t>
      </w:r>
      <w:r w:rsidR="0048330D">
        <w:rPr>
          <w:lang w:eastAsia="ja-JP"/>
        </w:rPr>
        <w:t>‘</w:t>
      </w:r>
      <w:r>
        <w:fldChar w:fldCharType="begin"/>
      </w:r>
      <w:r>
        <w:instrText xml:space="preserve"> HYPERLINK "https://doi.org/10.1080/00949650215733" </w:instrText>
      </w:r>
      <w:r>
        <w:fldChar w:fldCharType="separate"/>
      </w:r>
      <w:r w:rsidRPr="00DA718C">
        <w:rPr>
          <w:rStyle w:val="Hyperlink"/>
          <w:lang w:eastAsia="ja-JP"/>
        </w:rPr>
        <w:t>Permutation tests for multi-factorial analysis of variance</w:t>
      </w:r>
      <w:r>
        <w:fldChar w:fldCharType="end"/>
      </w:r>
      <w:r w:rsidR="0048330D">
        <w:rPr>
          <w:lang w:eastAsia="ja-JP"/>
        </w:rPr>
        <w:t>’,</w:t>
      </w:r>
      <w:r>
        <w:rPr>
          <w:lang w:eastAsia="ja-JP"/>
        </w:rPr>
        <w:t xml:space="preserve"> </w:t>
      </w:r>
      <w:r w:rsidRPr="00FF6F0D">
        <w:rPr>
          <w:rStyle w:val="Emphasis"/>
        </w:rPr>
        <w:t>Journal of Statistical Computation and Simulation</w:t>
      </w:r>
      <w:r>
        <w:rPr>
          <w:lang w:eastAsia="ja-JP"/>
        </w:rPr>
        <w:t>, 73</w:t>
      </w:r>
      <w:r w:rsidR="0048330D">
        <w:rPr>
          <w:lang w:eastAsia="ja-JP"/>
        </w:rPr>
        <w:t>:</w:t>
      </w:r>
      <w:r>
        <w:rPr>
          <w:lang w:eastAsia="ja-JP"/>
        </w:rPr>
        <w:t>85–113</w:t>
      </w:r>
      <w:r w:rsidR="002013FF">
        <w:rPr>
          <w:lang w:eastAsia="ja-JP"/>
        </w:rPr>
        <w:t>, doi:</w:t>
      </w:r>
      <w:r w:rsidRPr="002013FF" w:rsidR="002013FF">
        <w:rPr>
          <w:lang w:eastAsia="ja-JP"/>
        </w:rPr>
        <w:t>10.1080/00949650215733</w:t>
      </w:r>
      <w:r>
        <w:rPr>
          <w:lang w:eastAsia="ja-JP"/>
        </w:rPr>
        <w:t>.</w:t>
      </w:r>
    </w:p>
    <w:p w:rsidR="005B6FC0" w:rsidP="001B25CD" w14:paraId="21CEAA5A" w14:textId="5EC18E6D">
      <w:pPr>
        <w:rPr>
          <w:lang w:eastAsia="ja-JP"/>
        </w:rPr>
      </w:pPr>
      <w:r>
        <w:rPr>
          <w:lang w:eastAsia="ja-JP"/>
        </w:rPr>
        <w:t xml:space="preserve">Anderson MJ, Ellingsen KE </w:t>
      </w:r>
      <w:r w:rsidR="0048330D">
        <w:rPr>
          <w:lang w:eastAsia="ja-JP"/>
        </w:rPr>
        <w:t>and</w:t>
      </w:r>
      <w:r>
        <w:rPr>
          <w:lang w:eastAsia="ja-JP"/>
        </w:rPr>
        <w:t xml:space="preserve"> McArdle BH </w:t>
      </w:r>
      <w:r w:rsidR="0048330D">
        <w:rPr>
          <w:lang w:eastAsia="ja-JP"/>
        </w:rPr>
        <w:t>(</w:t>
      </w:r>
      <w:r>
        <w:rPr>
          <w:lang w:eastAsia="ja-JP"/>
        </w:rPr>
        <w:t>2006</w:t>
      </w:r>
      <w:r w:rsidR="0048330D">
        <w:rPr>
          <w:lang w:eastAsia="ja-JP"/>
        </w:rPr>
        <w:t>)</w:t>
      </w:r>
      <w:r>
        <w:rPr>
          <w:lang w:eastAsia="ja-JP"/>
        </w:rPr>
        <w:t xml:space="preserve"> </w:t>
      </w:r>
      <w:r w:rsidR="0048330D">
        <w:rPr>
          <w:lang w:eastAsia="ja-JP"/>
        </w:rPr>
        <w:t>‘</w:t>
      </w:r>
      <w:r>
        <w:fldChar w:fldCharType="begin"/>
      </w:r>
      <w:r>
        <w:instrText xml:space="preserve"> HYPERLINK "https://doi.org/10.1111/j.1461-0248.2006.00926.x" </w:instrText>
      </w:r>
      <w:r>
        <w:fldChar w:fldCharType="separate"/>
      </w:r>
      <w:r w:rsidRPr="00DA718C">
        <w:rPr>
          <w:rStyle w:val="Hyperlink"/>
          <w:lang w:eastAsia="ja-JP"/>
        </w:rPr>
        <w:t>Multivariate dispersion as a measure of beta diversity</w:t>
      </w:r>
      <w:r>
        <w:fldChar w:fldCharType="end"/>
      </w:r>
      <w:r w:rsidR="0048330D">
        <w:rPr>
          <w:lang w:eastAsia="ja-JP"/>
        </w:rPr>
        <w:t>’,</w:t>
      </w:r>
      <w:r w:rsidRPr="00FF6F0D">
        <w:rPr>
          <w:rStyle w:val="Emphasis"/>
        </w:rPr>
        <w:t xml:space="preserve"> Ecology Letters</w:t>
      </w:r>
      <w:r>
        <w:rPr>
          <w:lang w:eastAsia="ja-JP"/>
        </w:rPr>
        <w:t>, 9</w:t>
      </w:r>
      <w:r w:rsidR="0048330D">
        <w:rPr>
          <w:lang w:eastAsia="ja-JP"/>
        </w:rPr>
        <w:t>:</w:t>
      </w:r>
      <w:r>
        <w:rPr>
          <w:lang w:eastAsia="ja-JP"/>
        </w:rPr>
        <w:t>683–693</w:t>
      </w:r>
      <w:r w:rsidR="002013FF">
        <w:rPr>
          <w:lang w:eastAsia="ja-JP"/>
        </w:rPr>
        <w:t>, doi:</w:t>
      </w:r>
      <w:r w:rsidRPr="002013FF" w:rsidR="002013FF">
        <w:rPr>
          <w:lang w:eastAsia="ja-JP"/>
        </w:rPr>
        <w:t>10.1111/j.1461-0248.2006.00926.x</w:t>
      </w:r>
      <w:r>
        <w:rPr>
          <w:lang w:eastAsia="ja-JP"/>
        </w:rPr>
        <w:t>.</w:t>
      </w:r>
    </w:p>
    <w:p w:rsidR="0094345C" w:rsidP="001B25CD" w14:paraId="0A0931E4" w14:textId="355397DB">
      <w:pPr>
        <w:rPr>
          <w:lang w:eastAsia="ja-JP"/>
        </w:rPr>
      </w:pPr>
      <w:r w:rsidRPr="0094345C">
        <w:rPr>
          <w:lang w:eastAsia="ja-JP"/>
        </w:rPr>
        <w:t xml:space="preserve">Angel BM, Simpson SL, Chariton AA, Stauber JL </w:t>
      </w:r>
      <w:r w:rsidR="0048330D">
        <w:rPr>
          <w:lang w:eastAsia="ja-JP"/>
        </w:rPr>
        <w:t>and</w:t>
      </w:r>
      <w:r w:rsidRPr="0094345C">
        <w:rPr>
          <w:lang w:eastAsia="ja-JP"/>
        </w:rPr>
        <w:t xml:space="preserve"> Jolley DF </w:t>
      </w:r>
      <w:r w:rsidR="0048330D">
        <w:rPr>
          <w:lang w:eastAsia="ja-JP"/>
        </w:rPr>
        <w:t>(</w:t>
      </w:r>
      <w:r w:rsidRPr="0094345C">
        <w:rPr>
          <w:lang w:eastAsia="ja-JP"/>
        </w:rPr>
        <w:t>2015</w:t>
      </w:r>
      <w:r w:rsidR="0048330D">
        <w:rPr>
          <w:lang w:eastAsia="ja-JP"/>
        </w:rPr>
        <w:t>)</w:t>
      </w:r>
      <w:r w:rsidRPr="0094345C">
        <w:rPr>
          <w:lang w:eastAsia="ja-JP"/>
        </w:rPr>
        <w:t xml:space="preserve"> </w:t>
      </w:r>
      <w:r w:rsidR="00DA718C">
        <w:rPr>
          <w:lang w:eastAsia="ja-JP"/>
        </w:rPr>
        <w:t>‘</w:t>
      </w:r>
      <w:r>
        <w:fldChar w:fldCharType="begin"/>
      </w:r>
      <w:r>
        <w:instrText xml:space="preserve"> HYPERLINK "https://doi.org/10.1016/j.aquatox.2015.04.008" </w:instrText>
      </w:r>
      <w:r>
        <w:fldChar w:fldCharType="separate"/>
      </w:r>
      <w:r w:rsidRPr="00DA718C">
        <w:rPr>
          <w:rStyle w:val="Hyperlink"/>
          <w:lang w:eastAsia="ja-JP"/>
        </w:rPr>
        <w:t xml:space="preserve">Time-averaged copper concentrations from continuous exposures predicts pulsed exposure toxicity to the marine diatom, </w:t>
      </w:r>
      <w:r w:rsidRPr="00DA718C">
        <w:rPr>
          <w:rStyle w:val="Hyperlink"/>
          <w:i/>
          <w:iCs/>
          <w:lang w:eastAsia="ja-JP"/>
        </w:rPr>
        <w:t>Phaeodactylum tricornutum</w:t>
      </w:r>
      <w:r w:rsidRPr="00DA718C">
        <w:rPr>
          <w:rStyle w:val="Hyperlink"/>
          <w:lang w:eastAsia="ja-JP"/>
        </w:rPr>
        <w:t xml:space="preserve">: </w:t>
      </w:r>
      <w:r w:rsidRPr="00DA718C" w:rsidR="00C40E8F">
        <w:rPr>
          <w:rStyle w:val="Hyperlink"/>
          <w:lang w:eastAsia="ja-JP"/>
        </w:rPr>
        <w:t>i</w:t>
      </w:r>
      <w:r w:rsidRPr="00DA718C">
        <w:rPr>
          <w:rStyle w:val="Hyperlink"/>
          <w:lang w:eastAsia="ja-JP"/>
        </w:rPr>
        <w:t>mportance of uptake and elimination</w:t>
      </w:r>
      <w:r>
        <w:fldChar w:fldCharType="end"/>
      </w:r>
      <w:r w:rsidR="00C40E8F">
        <w:rPr>
          <w:lang w:eastAsia="ja-JP"/>
        </w:rPr>
        <w:t>’,</w:t>
      </w:r>
      <w:r w:rsidRPr="0094345C">
        <w:rPr>
          <w:lang w:eastAsia="ja-JP"/>
        </w:rPr>
        <w:t xml:space="preserve"> </w:t>
      </w:r>
      <w:r w:rsidRPr="0094345C">
        <w:rPr>
          <w:i/>
          <w:iCs/>
          <w:lang w:eastAsia="ja-JP"/>
        </w:rPr>
        <w:t>Aquatic Toxicology</w:t>
      </w:r>
      <w:r w:rsidRPr="0094345C">
        <w:rPr>
          <w:lang w:eastAsia="ja-JP"/>
        </w:rPr>
        <w:t>, 164</w:t>
      </w:r>
      <w:r w:rsidR="00C40E8F">
        <w:rPr>
          <w:lang w:eastAsia="ja-JP"/>
        </w:rPr>
        <w:t>:</w:t>
      </w:r>
      <w:r w:rsidRPr="0094345C">
        <w:rPr>
          <w:lang w:eastAsia="ja-JP"/>
        </w:rPr>
        <w:t>1–9</w:t>
      </w:r>
      <w:r w:rsidR="002013FF">
        <w:rPr>
          <w:lang w:eastAsia="ja-JP"/>
        </w:rPr>
        <w:t>, doi:</w:t>
      </w:r>
      <w:r w:rsidRPr="002013FF" w:rsidR="002013FF">
        <w:rPr>
          <w:lang w:eastAsia="ja-JP"/>
        </w:rPr>
        <w:t>10.1016/j.aquatox.2015.04.008</w:t>
      </w:r>
      <w:r w:rsidRPr="0094345C">
        <w:rPr>
          <w:lang w:eastAsia="ja-JP"/>
        </w:rPr>
        <w:t>.</w:t>
      </w:r>
    </w:p>
    <w:p w:rsidR="00EE5B35" w:rsidP="001B25CD" w14:paraId="0C9607C6" w14:textId="72379A4C">
      <w:pPr>
        <w:rPr>
          <w:lang w:eastAsia="ja-JP"/>
        </w:rPr>
      </w:pPr>
      <w:r w:rsidRPr="00EE5B35">
        <w:rPr>
          <w:lang w:eastAsia="ja-JP"/>
        </w:rPr>
        <w:t>Angel BM, Simpson SL, Granger E, Goodwyn K</w:t>
      </w:r>
      <w:r>
        <w:rPr>
          <w:lang w:eastAsia="ja-JP"/>
        </w:rPr>
        <w:t xml:space="preserve"> </w:t>
      </w:r>
      <w:r w:rsidR="00C40E8F">
        <w:rPr>
          <w:lang w:eastAsia="ja-JP"/>
        </w:rPr>
        <w:t>and</w:t>
      </w:r>
      <w:r w:rsidRPr="00EE5B35">
        <w:rPr>
          <w:lang w:eastAsia="ja-JP"/>
        </w:rPr>
        <w:t xml:space="preserve"> Jolley DF </w:t>
      </w:r>
      <w:r w:rsidR="00C40E8F">
        <w:rPr>
          <w:lang w:eastAsia="ja-JP"/>
        </w:rPr>
        <w:t>(</w:t>
      </w:r>
      <w:r w:rsidRPr="00EE5B35">
        <w:rPr>
          <w:lang w:eastAsia="ja-JP"/>
        </w:rPr>
        <w:t>2017</w:t>
      </w:r>
      <w:r w:rsidR="00C40E8F">
        <w:rPr>
          <w:lang w:eastAsia="ja-JP"/>
        </w:rPr>
        <w:t>)</w:t>
      </w:r>
      <w:r w:rsidRPr="00EE5B35">
        <w:rPr>
          <w:lang w:eastAsia="ja-JP"/>
        </w:rPr>
        <w:t xml:space="preserve"> </w:t>
      </w:r>
      <w:r w:rsidR="00C40E8F">
        <w:rPr>
          <w:lang w:eastAsia="ja-JP"/>
        </w:rPr>
        <w:t>‘</w:t>
      </w:r>
      <w:r>
        <w:fldChar w:fldCharType="begin"/>
      </w:r>
      <w:r>
        <w:instrText xml:space="preserve"> HYPERLINK "https://doi.org/10.1016/j.envpol.2017.07.013" </w:instrText>
      </w:r>
      <w:r>
        <w:fldChar w:fldCharType="separate"/>
      </w:r>
      <w:r w:rsidRPr="00DA718C">
        <w:rPr>
          <w:rStyle w:val="Hyperlink"/>
          <w:lang w:eastAsia="ja-JP"/>
        </w:rPr>
        <w:t xml:space="preserve">Time-averaged concentrations are effective for predicting chronic toxicity of varying copper pulse exposures for </w:t>
      </w:r>
      <w:r w:rsidRPr="00DA718C" w:rsidR="00C40E8F">
        <w:rPr>
          <w:rStyle w:val="Hyperlink"/>
          <w:lang w:eastAsia="ja-JP"/>
        </w:rPr>
        <w:t xml:space="preserve">2 </w:t>
      </w:r>
      <w:r w:rsidRPr="00DA718C">
        <w:rPr>
          <w:rStyle w:val="Hyperlink"/>
          <w:lang w:eastAsia="ja-JP"/>
        </w:rPr>
        <w:t>freshwater green algae species</w:t>
      </w:r>
      <w:r>
        <w:fldChar w:fldCharType="end"/>
      </w:r>
      <w:r w:rsidR="00C40E8F">
        <w:rPr>
          <w:lang w:eastAsia="ja-JP"/>
        </w:rPr>
        <w:t>’,</w:t>
      </w:r>
      <w:r w:rsidRPr="00EE5B35">
        <w:rPr>
          <w:lang w:eastAsia="ja-JP"/>
        </w:rPr>
        <w:t xml:space="preserve"> </w:t>
      </w:r>
      <w:r w:rsidRPr="00EE5B35">
        <w:rPr>
          <w:i/>
          <w:iCs/>
          <w:lang w:eastAsia="ja-JP"/>
        </w:rPr>
        <w:t>Environmental Pollution</w:t>
      </w:r>
      <w:r w:rsidRPr="00EE5B35">
        <w:rPr>
          <w:lang w:eastAsia="ja-JP"/>
        </w:rPr>
        <w:t>, 230</w:t>
      </w:r>
      <w:r w:rsidR="00C40E8F">
        <w:rPr>
          <w:lang w:eastAsia="ja-JP"/>
        </w:rPr>
        <w:t>:</w:t>
      </w:r>
      <w:r w:rsidRPr="00EE5B35">
        <w:rPr>
          <w:lang w:eastAsia="ja-JP"/>
        </w:rPr>
        <w:t>787</w:t>
      </w:r>
      <w:r>
        <w:rPr>
          <w:lang w:eastAsia="ja-JP"/>
        </w:rPr>
        <w:t>–</w:t>
      </w:r>
      <w:r w:rsidRPr="00EE5B35">
        <w:rPr>
          <w:lang w:eastAsia="ja-JP"/>
        </w:rPr>
        <w:t>797</w:t>
      </w:r>
      <w:r w:rsidR="002013FF">
        <w:rPr>
          <w:lang w:eastAsia="ja-JP"/>
        </w:rPr>
        <w:t>, doi:</w:t>
      </w:r>
      <w:r w:rsidRPr="002013FF" w:rsidR="002013FF">
        <w:rPr>
          <w:lang w:eastAsia="ja-JP"/>
        </w:rPr>
        <w:t>10.1016/j.envpol.2017.07.013</w:t>
      </w:r>
      <w:r>
        <w:rPr>
          <w:lang w:eastAsia="ja-JP"/>
        </w:rPr>
        <w:t>.</w:t>
      </w:r>
    </w:p>
    <w:p w:rsidR="005B6FC0" w:rsidP="001B25CD" w14:paraId="1069F399" w14:textId="75EB92EC">
      <w:pPr>
        <w:rPr>
          <w:lang w:eastAsia="ja-JP"/>
        </w:rPr>
      </w:pPr>
      <w:r>
        <w:rPr>
          <w:lang w:eastAsia="ja-JP"/>
        </w:rPr>
        <w:t xml:space="preserve">Ankley GT, Bennett RS, Erickson RJ, Hoff DJ, Hornung MW, Johnson RD, Mount DR, Nichols JW, Russom CL, Schmieder PK, Serrano JA, Tietge JE </w:t>
      </w:r>
      <w:r w:rsidR="00C40E8F">
        <w:rPr>
          <w:lang w:eastAsia="ja-JP"/>
        </w:rPr>
        <w:t>and</w:t>
      </w:r>
      <w:r>
        <w:rPr>
          <w:lang w:eastAsia="ja-JP"/>
        </w:rPr>
        <w:t xml:space="preserve"> Villeneuve DL </w:t>
      </w:r>
      <w:r w:rsidR="00C40E8F">
        <w:rPr>
          <w:lang w:eastAsia="ja-JP"/>
        </w:rPr>
        <w:t>(</w:t>
      </w:r>
      <w:r>
        <w:rPr>
          <w:lang w:eastAsia="ja-JP"/>
        </w:rPr>
        <w:t>2010</w:t>
      </w:r>
      <w:r w:rsidR="00C40E8F">
        <w:rPr>
          <w:lang w:eastAsia="ja-JP"/>
        </w:rPr>
        <w:t>)</w:t>
      </w:r>
      <w:r>
        <w:rPr>
          <w:lang w:eastAsia="ja-JP"/>
        </w:rPr>
        <w:t xml:space="preserve"> </w:t>
      </w:r>
      <w:r w:rsidR="00C40E8F">
        <w:rPr>
          <w:lang w:eastAsia="ja-JP"/>
        </w:rPr>
        <w:t>‘</w:t>
      </w:r>
      <w:r>
        <w:fldChar w:fldCharType="begin"/>
      </w:r>
      <w:r>
        <w:instrText xml:space="preserve"> HYPERLINK "https://doi.org/10.1002/etc.34" </w:instrText>
      </w:r>
      <w:r>
        <w:fldChar w:fldCharType="separate"/>
      </w:r>
      <w:r w:rsidRPr="00DA718C">
        <w:rPr>
          <w:rStyle w:val="Hyperlink"/>
          <w:lang w:eastAsia="ja-JP"/>
        </w:rPr>
        <w:t xml:space="preserve">Adverse outcome pathways: </w:t>
      </w:r>
      <w:r w:rsidRPr="00DA718C" w:rsidR="00C40E8F">
        <w:rPr>
          <w:rStyle w:val="Hyperlink"/>
          <w:lang w:eastAsia="ja-JP"/>
        </w:rPr>
        <w:t>a</w:t>
      </w:r>
      <w:r w:rsidRPr="00DA718C">
        <w:rPr>
          <w:rStyle w:val="Hyperlink"/>
          <w:lang w:eastAsia="ja-JP"/>
        </w:rPr>
        <w:t xml:space="preserve"> conceptual framework to support ecotoxicology research and risk assessment</w:t>
      </w:r>
      <w:r>
        <w:fldChar w:fldCharType="end"/>
      </w:r>
      <w:r w:rsidR="00C40E8F">
        <w:rPr>
          <w:lang w:eastAsia="ja-JP"/>
        </w:rPr>
        <w:t>’,</w:t>
      </w:r>
      <w:r>
        <w:rPr>
          <w:lang w:eastAsia="ja-JP"/>
        </w:rPr>
        <w:t xml:space="preserve"> </w:t>
      </w:r>
      <w:r w:rsidRPr="00FF6F0D">
        <w:rPr>
          <w:rStyle w:val="Emphasis"/>
        </w:rPr>
        <w:t>Environmental Toxicology and Chemistry</w:t>
      </w:r>
      <w:r>
        <w:rPr>
          <w:lang w:eastAsia="ja-JP"/>
        </w:rPr>
        <w:t>, 29</w:t>
      </w:r>
      <w:r w:rsidR="00C40E8F">
        <w:rPr>
          <w:lang w:eastAsia="ja-JP"/>
        </w:rPr>
        <w:t>:</w:t>
      </w:r>
      <w:r>
        <w:rPr>
          <w:lang w:eastAsia="ja-JP"/>
        </w:rPr>
        <w:t>730–741</w:t>
      </w:r>
      <w:r w:rsidR="002013FF">
        <w:rPr>
          <w:lang w:eastAsia="ja-JP"/>
        </w:rPr>
        <w:t>, doi:</w:t>
      </w:r>
      <w:r w:rsidRPr="002013FF" w:rsidR="002013FF">
        <w:rPr>
          <w:lang w:eastAsia="ja-JP"/>
        </w:rPr>
        <w:t>10.1002/etc.34</w:t>
      </w:r>
      <w:r>
        <w:rPr>
          <w:lang w:eastAsia="ja-JP"/>
        </w:rPr>
        <w:t>.</w:t>
      </w:r>
    </w:p>
    <w:p w:rsidR="005B6FC0" w:rsidP="001B25CD" w14:paraId="4BB2F133" w14:textId="35B15513">
      <w:pPr>
        <w:rPr>
          <w:lang w:eastAsia="ja-JP"/>
        </w:rPr>
      </w:pPr>
      <w:r w:rsidRPr="00ED5FCF">
        <w:rPr>
          <w:lang w:eastAsia="ja-JP"/>
        </w:rPr>
        <w:t>ANZECC</w:t>
      </w:r>
      <w:r w:rsidR="00BE4397">
        <w:rPr>
          <w:lang w:eastAsia="ja-JP"/>
        </w:rPr>
        <w:t xml:space="preserve"> and </w:t>
      </w:r>
      <w:r w:rsidRPr="00ED5FCF">
        <w:rPr>
          <w:lang w:eastAsia="ja-JP"/>
        </w:rPr>
        <w:t>ARMCANZ</w:t>
      </w:r>
      <w:r w:rsidR="00C40E8F">
        <w:rPr>
          <w:lang w:eastAsia="ja-JP"/>
        </w:rPr>
        <w:t xml:space="preserve"> (</w:t>
      </w:r>
      <w:r w:rsidRPr="00ED5FCF" w:rsidR="00C40E8F">
        <w:rPr>
          <w:lang w:eastAsia="ja-JP"/>
        </w:rPr>
        <w:t>Australian and New Zealand Environment and Conservation Council and Agriculture and Resource Management Council of Australia and New Zealand</w:t>
      </w:r>
      <w:r w:rsidR="00C40E8F">
        <w:rPr>
          <w:lang w:eastAsia="ja-JP"/>
        </w:rPr>
        <w:t>)</w:t>
      </w:r>
      <w:r w:rsidRPr="00ED5FCF">
        <w:rPr>
          <w:lang w:eastAsia="ja-JP"/>
        </w:rPr>
        <w:t xml:space="preserve"> </w:t>
      </w:r>
      <w:r w:rsidR="00C40E8F">
        <w:rPr>
          <w:lang w:eastAsia="ja-JP"/>
        </w:rPr>
        <w:t>(</w:t>
      </w:r>
      <w:r w:rsidRPr="00ED5FCF">
        <w:rPr>
          <w:lang w:eastAsia="ja-JP"/>
        </w:rPr>
        <w:t>2000</w:t>
      </w:r>
      <w:r w:rsidR="00C40E8F">
        <w:rPr>
          <w:lang w:eastAsia="ja-JP"/>
        </w:rPr>
        <w:t>)</w:t>
      </w:r>
      <w:r w:rsidRPr="00ED5FCF">
        <w:rPr>
          <w:lang w:eastAsia="ja-JP"/>
        </w:rPr>
        <w:t xml:space="preserve"> </w:t>
      </w:r>
      <w:r w:rsidRPr="00C40E8F">
        <w:rPr>
          <w:i/>
          <w:iCs/>
          <w:lang w:eastAsia="ja-JP"/>
        </w:rPr>
        <w:t>Australian water quality guidelines for fresh and marine waters</w:t>
      </w:r>
      <w:r w:rsidRPr="00ED5FCF">
        <w:rPr>
          <w:lang w:eastAsia="ja-JP"/>
        </w:rPr>
        <w:t xml:space="preserve">, </w:t>
      </w:r>
      <w:r w:rsidR="00C40E8F">
        <w:rPr>
          <w:lang w:eastAsia="ja-JP"/>
        </w:rPr>
        <w:t>ANZECC</w:t>
      </w:r>
      <w:r w:rsidR="00BE4397">
        <w:rPr>
          <w:lang w:eastAsia="ja-JP"/>
        </w:rPr>
        <w:t xml:space="preserve"> and </w:t>
      </w:r>
      <w:r w:rsidR="00C40E8F">
        <w:rPr>
          <w:lang w:eastAsia="ja-JP"/>
        </w:rPr>
        <w:t>ARMCANZ</w:t>
      </w:r>
      <w:r w:rsidRPr="00ED5FCF">
        <w:rPr>
          <w:lang w:eastAsia="ja-JP"/>
        </w:rPr>
        <w:t>.</w:t>
      </w:r>
    </w:p>
    <w:p w:rsidR="005B6FC0" w:rsidRPr="000F359C" w:rsidP="000F359C" w14:paraId="2ADC0958" w14:textId="367EE663">
      <w:pPr>
        <w:rPr>
          <w:lang w:eastAsia="ja-JP"/>
        </w:rPr>
      </w:pPr>
      <w:r w:rsidRPr="000F359C">
        <w:rPr>
          <w:lang w:eastAsia="ja-JP"/>
        </w:rPr>
        <w:t>ANZG</w:t>
      </w:r>
      <w:r w:rsidR="00BE4397">
        <w:rPr>
          <w:lang w:eastAsia="ja-JP"/>
        </w:rPr>
        <w:t xml:space="preserve"> (Australia</w:t>
      </w:r>
      <w:r w:rsidR="00354B4F">
        <w:rPr>
          <w:lang w:eastAsia="ja-JP"/>
        </w:rPr>
        <w:t>n</w:t>
      </w:r>
      <w:r w:rsidR="00BE4397">
        <w:rPr>
          <w:lang w:eastAsia="ja-JP"/>
        </w:rPr>
        <w:t xml:space="preserve"> and New Zealand Guidelines)</w:t>
      </w:r>
      <w:r w:rsidRPr="000F359C">
        <w:rPr>
          <w:lang w:eastAsia="ja-JP"/>
        </w:rPr>
        <w:t xml:space="preserve"> </w:t>
      </w:r>
      <w:r w:rsidR="00BE4397">
        <w:rPr>
          <w:lang w:eastAsia="ja-JP"/>
        </w:rPr>
        <w:t>(</w:t>
      </w:r>
      <w:r w:rsidRPr="000F359C">
        <w:rPr>
          <w:lang w:eastAsia="ja-JP"/>
        </w:rPr>
        <w:t>2018</w:t>
      </w:r>
      <w:r w:rsidR="00BE4397">
        <w:rPr>
          <w:lang w:eastAsia="ja-JP"/>
        </w:rPr>
        <w:t>)</w:t>
      </w:r>
      <w:r w:rsidRPr="000F359C">
        <w:rPr>
          <w:lang w:eastAsia="ja-JP"/>
        </w:rPr>
        <w:t xml:space="preserve"> </w:t>
      </w:r>
      <w:r>
        <w:fldChar w:fldCharType="begin"/>
      </w:r>
      <w:r>
        <w:instrText xml:space="preserve"> HYPERLINK "https://www.waterquality.gov.au/anz-guidelines" </w:instrText>
      </w:r>
      <w:r>
        <w:fldChar w:fldCharType="separate"/>
      </w:r>
      <w:r w:rsidR="003C60FB">
        <w:rPr>
          <w:rStyle w:val="Hyperlink"/>
          <w:i/>
          <w:iCs/>
          <w:lang w:eastAsia="ja-JP"/>
        </w:rPr>
        <w:t>Australian and New Zealand guidelines for fresh and marine water quality</w:t>
      </w:r>
      <w:r>
        <w:fldChar w:fldCharType="end"/>
      </w:r>
      <w:r w:rsidR="003C60FB">
        <w:rPr>
          <w:lang w:eastAsia="ja-JP"/>
        </w:rPr>
        <w:t>,</w:t>
      </w:r>
      <w:r w:rsidRPr="000F359C">
        <w:rPr>
          <w:lang w:eastAsia="ja-JP"/>
        </w:rPr>
        <w:t xml:space="preserve"> Australian and New Zealand </w:t>
      </w:r>
      <w:r w:rsidR="00354B4F">
        <w:rPr>
          <w:lang w:eastAsia="ja-JP"/>
        </w:rPr>
        <w:t>g</w:t>
      </w:r>
      <w:r w:rsidRPr="000F359C">
        <w:rPr>
          <w:lang w:eastAsia="ja-JP"/>
        </w:rPr>
        <w:t>overnments and Australian state and territory governments.</w:t>
      </w:r>
    </w:p>
    <w:p w:rsidR="005B6FC0" w:rsidP="001B25CD" w14:paraId="565F4A50" w14:textId="1EE6A4B7">
      <w:pPr>
        <w:rPr>
          <w:lang w:eastAsia="ja-JP"/>
        </w:rPr>
      </w:pPr>
      <w:r>
        <w:rPr>
          <w:lang w:eastAsia="ja-JP"/>
        </w:rPr>
        <w:t>Arc</w:t>
      </w:r>
      <w:r w:rsidR="0006332B">
        <w:rPr>
          <w:lang w:eastAsia="ja-JP"/>
        </w:rPr>
        <w:t>e</w:t>
      </w:r>
      <w:r>
        <w:rPr>
          <w:lang w:eastAsia="ja-JP"/>
        </w:rPr>
        <w:t xml:space="preserve"> E, Archaimbault V, Mondy CP </w:t>
      </w:r>
      <w:r w:rsidR="00354B4F">
        <w:rPr>
          <w:lang w:eastAsia="ja-JP"/>
        </w:rPr>
        <w:t>and</w:t>
      </w:r>
      <w:r>
        <w:rPr>
          <w:lang w:eastAsia="ja-JP"/>
        </w:rPr>
        <w:t xml:space="preserve"> Usseglio-Polatera P </w:t>
      </w:r>
      <w:r w:rsidR="00354B4F">
        <w:rPr>
          <w:lang w:eastAsia="ja-JP"/>
        </w:rPr>
        <w:t>(</w:t>
      </w:r>
      <w:r>
        <w:rPr>
          <w:lang w:eastAsia="ja-JP"/>
        </w:rPr>
        <w:t>2014</w:t>
      </w:r>
      <w:r w:rsidR="00354B4F">
        <w:rPr>
          <w:lang w:eastAsia="ja-JP"/>
        </w:rPr>
        <w:t>)</w:t>
      </w:r>
      <w:r>
        <w:rPr>
          <w:lang w:eastAsia="ja-JP"/>
        </w:rPr>
        <w:t xml:space="preserve"> </w:t>
      </w:r>
      <w:r w:rsidR="00354B4F">
        <w:rPr>
          <w:lang w:eastAsia="ja-JP"/>
        </w:rPr>
        <w:t>‘</w:t>
      </w:r>
      <w:r>
        <w:fldChar w:fldCharType="begin"/>
      </w:r>
      <w:r>
        <w:instrText xml:space="preserve"> HYPERLINK "https://doi.org/10.1086/678673" </w:instrText>
      </w:r>
      <w:r>
        <w:fldChar w:fldCharType="separate"/>
      </w:r>
      <w:r w:rsidRPr="00DA718C">
        <w:rPr>
          <w:rStyle w:val="Hyperlink"/>
          <w:lang w:eastAsia="ja-JP"/>
        </w:rPr>
        <w:t>Recovery dynamics in invertebrate communities following water-quality improvement: taxonomy- vs trait-based assessment</w:t>
      </w:r>
      <w:r>
        <w:fldChar w:fldCharType="end"/>
      </w:r>
      <w:r w:rsidR="00354B4F">
        <w:rPr>
          <w:lang w:eastAsia="ja-JP"/>
        </w:rPr>
        <w:t>’,</w:t>
      </w:r>
      <w:r>
        <w:rPr>
          <w:lang w:eastAsia="ja-JP"/>
        </w:rPr>
        <w:t xml:space="preserve"> </w:t>
      </w:r>
      <w:r w:rsidRPr="00F24C7D">
        <w:rPr>
          <w:rStyle w:val="Emphasis"/>
        </w:rPr>
        <w:t>Freshwater Science</w:t>
      </w:r>
      <w:r>
        <w:rPr>
          <w:lang w:eastAsia="ja-JP"/>
        </w:rPr>
        <w:t>, 33</w:t>
      </w:r>
      <w:r w:rsidR="00354B4F">
        <w:rPr>
          <w:lang w:eastAsia="ja-JP"/>
        </w:rPr>
        <w:t>:</w:t>
      </w:r>
      <w:r>
        <w:rPr>
          <w:lang w:eastAsia="ja-JP"/>
        </w:rPr>
        <w:t>1060–1073</w:t>
      </w:r>
      <w:r w:rsidR="008B0AC7">
        <w:rPr>
          <w:lang w:eastAsia="ja-JP"/>
        </w:rPr>
        <w:t>, doi:</w:t>
      </w:r>
      <w:r w:rsidRPr="008B0AC7" w:rsidR="008B0AC7">
        <w:rPr>
          <w:lang w:eastAsia="ja-JP"/>
        </w:rPr>
        <w:t>10.1086/678673</w:t>
      </w:r>
      <w:r>
        <w:rPr>
          <w:lang w:eastAsia="ja-JP"/>
        </w:rPr>
        <w:t>.</w:t>
      </w:r>
    </w:p>
    <w:p w:rsidR="005B6FC0" w:rsidP="001B25CD" w14:paraId="20B2B4A2" w14:textId="78126233">
      <w:pPr>
        <w:rPr>
          <w:lang w:eastAsia="ja-JP"/>
        </w:rPr>
      </w:pPr>
      <w:r>
        <w:rPr>
          <w:lang w:eastAsia="ja-JP"/>
        </w:rPr>
        <w:t xml:space="preserve">Arnot JA </w:t>
      </w:r>
      <w:r w:rsidR="00354B4F">
        <w:rPr>
          <w:lang w:eastAsia="ja-JP"/>
        </w:rPr>
        <w:t>and</w:t>
      </w:r>
      <w:r>
        <w:rPr>
          <w:lang w:eastAsia="ja-JP"/>
        </w:rPr>
        <w:t xml:space="preserve"> Gobas FAPC </w:t>
      </w:r>
      <w:r w:rsidR="00354B4F">
        <w:rPr>
          <w:lang w:eastAsia="ja-JP"/>
        </w:rPr>
        <w:t>(</w:t>
      </w:r>
      <w:r>
        <w:rPr>
          <w:lang w:eastAsia="ja-JP"/>
        </w:rPr>
        <w:t>2006</w:t>
      </w:r>
      <w:r w:rsidR="00354B4F">
        <w:rPr>
          <w:lang w:eastAsia="ja-JP"/>
        </w:rPr>
        <w:t>)</w:t>
      </w:r>
      <w:r>
        <w:rPr>
          <w:lang w:eastAsia="ja-JP"/>
        </w:rPr>
        <w:t xml:space="preserve"> </w:t>
      </w:r>
      <w:r w:rsidR="00354B4F">
        <w:rPr>
          <w:lang w:eastAsia="ja-JP"/>
        </w:rPr>
        <w:t>‘</w:t>
      </w:r>
      <w:r>
        <w:fldChar w:fldCharType="begin"/>
      </w:r>
      <w:r>
        <w:instrText xml:space="preserve"> HYPERLINK "https://doi.org/10.1139/a06-005" </w:instrText>
      </w:r>
      <w:r>
        <w:fldChar w:fldCharType="separate"/>
      </w:r>
      <w:r w:rsidRPr="00AD136B">
        <w:rPr>
          <w:rStyle w:val="Hyperlink"/>
          <w:lang w:eastAsia="ja-JP"/>
        </w:rPr>
        <w:t>A review of bioconcentration factor (BCF) and bioaccumulation factor (BAF) assessments for organic chemicals in aquatic organisms</w:t>
      </w:r>
      <w:r>
        <w:fldChar w:fldCharType="end"/>
      </w:r>
      <w:r w:rsidR="00354B4F">
        <w:rPr>
          <w:lang w:eastAsia="ja-JP"/>
        </w:rPr>
        <w:t>’,</w:t>
      </w:r>
      <w:r>
        <w:rPr>
          <w:lang w:eastAsia="ja-JP"/>
        </w:rPr>
        <w:t xml:space="preserve"> </w:t>
      </w:r>
      <w:r w:rsidRPr="00F24C7D">
        <w:rPr>
          <w:rStyle w:val="Emphasis"/>
        </w:rPr>
        <w:t>Environmental Reviews</w:t>
      </w:r>
      <w:r>
        <w:rPr>
          <w:lang w:eastAsia="ja-JP"/>
        </w:rPr>
        <w:t>, 14</w:t>
      </w:r>
      <w:r w:rsidR="00354B4F">
        <w:rPr>
          <w:lang w:eastAsia="ja-JP"/>
        </w:rPr>
        <w:t>:</w:t>
      </w:r>
      <w:r>
        <w:rPr>
          <w:lang w:eastAsia="ja-JP"/>
        </w:rPr>
        <w:t>257–297</w:t>
      </w:r>
      <w:r w:rsidR="008B0AC7">
        <w:rPr>
          <w:lang w:eastAsia="ja-JP"/>
        </w:rPr>
        <w:t>, doi:</w:t>
      </w:r>
      <w:r w:rsidRPr="008B0AC7" w:rsidR="008B0AC7">
        <w:rPr>
          <w:lang w:eastAsia="ja-JP"/>
        </w:rPr>
        <w:t>10.1139/a06-005</w:t>
      </w:r>
      <w:r>
        <w:rPr>
          <w:lang w:eastAsia="ja-JP"/>
        </w:rPr>
        <w:t>.</w:t>
      </w:r>
    </w:p>
    <w:p w:rsidR="0084363E" w:rsidP="0077502D" w14:paraId="48448AF4" w14:textId="1B96825F">
      <w:pPr>
        <w:rPr>
          <w:lang w:eastAsia="ja-JP"/>
        </w:rPr>
      </w:pPr>
      <w:r w:rsidRPr="0084363E">
        <w:rPr>
          <w:lang w:eastAsia="ja-JP"/>
        </w:rPr>
        <w:t xml:space="preserve">Ashauer R, Boxall A </w:t>
      </w:r>
      <w:r w:rsidR="00354B4F">
        <w:rPr>
          <w:lang w:eastAsia="ja-JP"/>
        </w:rPr>
        <w:t>and</w:t>
      </w:r>
      <w:r w:rsidRPr="0084363E">
        <w:rPr>
          <w:lang w:eastAsia="ja-JP"/>
        </w:rPr>
        <w:t xml:space="preserve"> Brown C </w:t>
      </w:r>
      <w:r w:rsidR="003C60FB">
        <w:rPr>
          <w:lang w:eastAsia="ja-JP"/>
        </w:rPr>
        <w:t>(</w:t>
      </w:r>
      <w:r w:rsidRPr="0084363E">
        <w:rPr>
          <w:lang w:eastAsia="ja-JP"/>
        </w:rPr>
        <w:t>2006</w:t>
      </w:r>
      <w:r w:rsidR="003C60FB">
        <w:rPr>
          <w:lang w:eastAsia="ja-JP"/>
        </w:rPr>
        <w:t>)</w:t>
      </w:r>
      <w:r w:rsidRPr="0084363E">
        <w:rPr>
          <w:lang w:eastAsia="ja-JP"/>
        </w:rPr>
        <w:t xml:space="preserve"> </w:t>
      </w:r>
      <w:r w:rsidR="00354B4F">
        <w:rPr>
          <w:lang w:eastAsia="ja-JP"/>
        </w:rPr>
        <w:t>‘</w:t>
      </w:r>
      <w:r>
        <w:fldChar w:fldCharType="begin"/>
      </w:r>
      <w:r>
        <w:instrText xml:space="preserve"> HYPERLINK "https://doi.org/10.1897/05-393r.1" </w:instrText>
      </w:r>
      <w:r>
        <w:fldChar w:fldCharType="separate"/>
      </w:r>
      <w:r w:rsidRPr="0081555C">
        <w:rPr>
          <w:rStyle w:val="Hyperlink"/>
          <w:lang w:eastAsia="ja-JP"/>
        </w:rPr>
        <w:t>Predicting effects on aquatic organisms from fluctuating or pulsed exposure to pesticides</w:t>
      </w:r>
      <w:r>
        <w:fldChar w:fldCharType="end"/>
      </w:r>
      <w:r w:rsidR="00354B4F">
        <w:rPr>
          <w:lang w:eastAsia="ja-JP"/>
        </w:rPr>
        <w:t>’,</w:t>
      </w:r>
      <w:r w:rsidRPr="0084363E">
        <w:rPr>
          <w:lang w:eastAsia="ja-JP"/>
        </w:rPr>
        <w:t xml:space="preserve"> </w:t>
      </w:r>
      <w:r w:rsidRPr="0084363E">
        <w:rPr>
          <w:i/>
          <w:iCs/>
          <w:lang w:eastAsia="ja-JP"/>
        </w:rPr>
        <w:t>Environmental Toxicology and Chemistry</w:t>
      </w:r>
      <w:r w:rsidRPr="0084363E">
        <w:rPr>
          <w:lang w:eastAsia="ja-JP"/>
        </w:rPr>
        <w:t>, 25</w:t>
      </w:r>
      <w:r w:rsidR="00354B4F">
        <w:rPr>
          <w:lang w:eastAsia="ja-JP"/>
        </w:rPr>
        <w:t>:</w:t>
      </w:r>
      <w:r w:rsidRPr="0084363E">
        <w:rPr>
          <w:lang w:eastAsia="ja-JP"/>
        </w:rPr>
        <w:t>1899–1912</w:t>
      </w:r>
      <w:r w:rsidR="00C40A40">
        <w:rPr>
          <w:lang w:eastAsia="ja-JP"/>
        </w:rPr>
        <w:t>, doi:</w:t>
      </w:r>
      <w:r w:rsidRPr="00C40A40" w:rsidR="00C40A40">
        <w:rPr>
          <w:lang w:eastAsia="ja-JP"/>
        </w:rPr>
        <w:t>10.1897/05-393r.1</w:t>
      </w:r>
      <w:r w:rsidRPr="0084363E">
        <w:rPr>
          <w:lang w:eastAsia="ja-JP"/>
        </w:rPr>
        <w:t>.</w:t>
      </w:r>
    </w:p>
    <w:p w:rsidR="005B6FC0" w:rsidRPr="0077502D" w:rsidP="0077502D" w14:paraId="02C86EF7" w14:textId="6ABE5291">
      <w:pPr>
        <w:rPr>
          <w:lang w:eastAsia="ja-JP"/>
        </w:rPr>
      </w:pPr>
      <w:r w:rsidRPr="0077502D">
        <w:rPr>
          <w:lang w:eastAsia="ja-JP"/>
        </w:rPr>
        <w:t xml:space="preserve">Aylagas E, Borja A, Tangherlini M, Dell'Anno A, Corinaldesi C, Michell CT, Irigoien X, Danovaro R </w:t>
      </w:r>
      <w:r w:rsidR="00354B4F">
        <w:rPr>
          <w:lang w:eastAsia="ja-JP"/>
        </w:rPr>
        <w:t>and</w:t>
      </w:r>
      <w:r w:rsidRPr="0077502D">
        <w:rPr>
          <w:lang w:eastAsia="ja-JP"/>
        </w:rPr>
        <w:t xml:space="preserve"> Rodríguez-Ezpeleta N </w:t>
      </w:r>
      <w:r w:rsidR="00354B4F">
        <w:rPr>
          <w:lang w:eastAsia="ja-JP"/>
        </w:rPr>
        <w:t>(</w:t>
      </w:r>
      <w:r w:rsidRPr="0077502D">
        <w:rPr>
          <w:lang w:eastAsia="ja-JP"/>
        </w:rPr>
        <w:t>2017</w:t>
      </w:r>
      <w:r w:rsidR="00354B4F">
        <w:rPr>
          <w:lang w:eastAsia="ja-JP"/>
        </w:rPr>
        <w:t>)</w:t>
      </w:r>
      <w:r w:rsidRPr="0077502D">
        <w:rPr>
          <w:lang w:eastAsia="ja-JP"/>
        </w:rPr>
        <w:t xml:space="preserve"> </w:t>
      </w:r>
      <w:r w:rsidR="00354B4F">
        <w:rPr>
          <w:lang w:eastAsia="ja-JP"/>
        </w:rPr>
        <w:t>‘</w:t>
      </w:r>
      <w:r>
        <w:fldChar w:fldCharType="begin"/>
      </w:r>
      <w:r>
        <w:instrText xml:space="preserve"> HYPERLINK "https://doi.org/10.1016/j.marpolbul.2016.10.050" </w:instrText>
      </w:r>
      <w:r>
        <w:fldChar w:fldCharType="separate"/>
      </w:r>
      <w:r w:rsidRPr="0081555C">
        <w:rPr>
          <w:rStyle w:val="Hyperlink"/>
          <w:lang w:eastAsia="ja-JP"/>
        </w:rPr>
        <w:t>A bacterial community-based index to assess the ecological status of estuarine and coastal environments</w:t>
      </w:r>
      <w:r>
        <w:fldChar w:fldCharType="end"/>
      </w:r>
      <w:r w:rsidR="00354B4F">
        <w:rPr>
          <w:lang w:eastAsia="ja-JP"/>
        </w:rPr>
        <w:t>’,</w:t>
      </w:r>
      <w:r>
        <w:rPr>
          <w:lang w:eastAsia="ja-JP"/>
        </w:rPr>
        <w:t xml:space="preserve"> </w:t>
      </w:r>
      <w:r w:rsidRPr="00ED5FCF">
        <w:rPr>
          <w:rStyle w:val="Emphasis"/>
        </w:rPr>
        <w:t>Marine Pollution Bulletin</w:t>
      </w:r>
      <w:r>
        <w:rPr>
          <w:lang w:eastAsia="ja-JP"/>
        </w:rPr>
        <w:t>,</w:t>
      </w:r>
      <w:r w:rsidR="00354B4F">
        <w:rPr>
          <w:lang w:eastAsia="ja-JP"/>
        </w:rPr>
        <w:t xml:space="preserve"> </w:t>
      </w:r>
      <w:r w:rsidRPr="0077502D">
        <w:rPr>
          <w:lang w:eastAsia="ja-JP"/>
        </w:rPr>
        <w:t>114</w:t>
      </w:r>
      <w:r w:rsidR="00354B4F">
        <w:rPr>
          <w:lang w:eastAsia="ja-JP"/>
        </w:rPr>
        <w:t>:</w:t>
      </w:r>
      <w:r w:rsidRPr="0077502D">
        <w:rPr>
          <w:lang w:eastAsia="ja-JP"/>
        </w:rPr>
        <w:t>679–688</w:t>
      </w:r>
      <w:r w:rsidR="00C40A40">
        <w:rPr>
          <w:lang w:eastAsia="ja-JP"/>
        </w:rPr>
        <w:t>, doi:</w:t>
      </w:r>
      <w:r w:rsidRPr="00C40A40" w:rsidR="00C40A40">
        <w:rPr>
          <w:lang w:eastAsia="ja-JP"/>
        </w:rPr>
        <w:t>10.1016/j.marpolbul.2016.10.050</w:t>
      </w:r>
      <w:r w:rsidRPr="0077502D">
        <w:rPr>
          <w:lang w:eastAsia="ja-JP"/>
        </w:rPr>
        <w:t xml:space="preserve">. </w:t>
      </w:r>
    </w:p>
    <w:p w:rsidR="005B6FC0" w:rsidRPr="00D43AFA" w:rsidP="00D43AFA" w14:paraId="5E55B17A" w14:textId="60CC895B">
      <w:pPr>
        <w:rPr>
          <w:lang w:val="en-GB" w:eastAsia="ja-JP"/>
        </w:rPr>
      </w:pPr>
      <w:r w:rsidRPr="00D43AFA">
        <w:rPr>
          <w:lang w:val="en-GB" w:eastAsia="ja-JP"/>
        </w:rPr>
        <w:t xml:space="preserve">Bailey HC, Krassoi R, Elphick JR, Mulhall AM, Hunt P, Tedmanson L </w:t>
      </w:r>
      <w:r w:rsidR="00354B4F">
        <w:rPr>
          <w:lang w:val="en-GB" w:eastAsia="ja-JP"/>
        </w:rPr>
        <w:t>and</w:t>
      </w:r>
      <w:r w:rsidRPr="00D43AFA">
        <w:rPr>
          <w:lang w:val="en-GB" w:eastAsia="ja-JP"/>
        </w:rPr>
        <w:t xml:space="preserve"> Lovell A </w:t>
      </w:r>
      <w:r w:rsidR="00354B4F">
        <w:rPr>
          <w:lang w:val="en-GB" w:eastAsia="ja-JP"/>
        </w:rPr>
        <w:t>(</w:t>
      </w:r>
      <w:r w:rsidRPr="00D43AFA">
        <w:rPr>
          <w:lang w:val="en-GB" w:eastAsia="ja-JP"/>
        </w:rPr>
        <w:t>2000a</w:t>
      </w:r>
      <w:r w:rsidR="00354B4F">
        <w:rPr>
          <w:lang w:val="en-GB" w:eastAsia="ja-JP"/>
        </w:rPr>
        <w:t>)</w:t>
      </w:r>
      <w:r w:rsidRPr="00D43AFA">
        <w:rPr>
          <w:lang w:val="en-GB" w:eastAsia="ja-JP"/>
        </w:rPr>
        <w:t xml:space="preserve"> </w:t>
      </w:r>
      <w:r w:rsidR="00354B4F">
        <w:rPr>
          <w:lang w:val="en-GB" w:eastAsia="ja-JP"/>
        </w:rPr>
        <w:t>‘</w:t>
      </w:r>
      <w:r>
        <w:fldChar w:fldCharType="begin"/>
      </w:r>
      <w:r>
        <w:instrText xml:space="preserve"> HYPERLINK "https://doi.org/10.1002/etc.5620190108" </w:instrText>
      </w:r>
      <w:r>
        <w:fldChar w:fldCharType="separate"/>
      </w:r>
      <w:r w:rsidRPr="0081555C">
        <w:rPr>
          <w:rStyle w:val="Hyperlink"/>
          <w:lang w:val="en-GB" w:eastAsia="ja-JP"/>
        </w:rPr>
        <w:t>Whole effluent toxicity of sewage treatment plants in the Hawkesbury-Nepean watershed, New South Wales, Australia, to</w:t>
      </w:r>
      <w:r w:rsidRPr="0081555C">
        <w:rPr>
          <w:rStyle w:val="Hyperlink"/>
        </w:rPr>
        <w:t xml:space="preserve"> </w:t>
      </w:r>
      <w:r w:rsidRPr="0081555C">
        <w:rPr>
          <w:rStyle w:val="Hyperlink"/>
          <w:i/>
          <w:iCs/>
        </w:rPr>
        <w:t>Ceriodaphnia dubia</w:t>
      </w:r>
      <w:r w:rsidRPr="0081555C">
        <w:rPr>
          <w:rStyle w:val="Hyperlink"/>
          <w:lang w:val="en-GB" w:eastAsia="ja-JP"/>
        </w:rPr>
        <w:t xml:space="preserve"> and </w:t>
      </w:r>
      <w:r w:rsidRPr="0081555C">
        <w:rPr>
          <w:rStyle w:val="Hyperlink"/>
          <w:i/>
          <w:iCs/>
        </w:rPr>
        <w:t>Selenastrum capricornutum</w:t>
      </w:r>
      <w:r>
        <w:fldChar w:fldCharType="end"/>
      </w:r>
      <w:r w:rsidR="00354B4F">
        <w:rPr>
          <w:lang w:val="en-GB" w:eastAsia="ja-JP"/>
        </w:rPr>
        <w:t>’,</w:t>
      </w:r>
      <w:r w:rsidRPr="00D43AFA">
        <w:rPr>
          <w:lang w:val="en-GB" w:eastAsia="ja-JP"/>
        </w:rPr>
        <w:t xml:space="preserve"> </w:t>
      </w:r>
      <w:r w:rsidRPr="00ED5FCF">
        <w:rPr>
          <w:rStyle w:val="Emphasis"/>
        </w:rPr>
        <w:t>Environmental Toxicology and Chemistry</w:t>
      </w:r>
      <w:r>
        <w:rPr>
          <w:rStyle w:val="Emphasis"/>
          <w:i w:val="0"/>
        </w:rPr>
        <w:t>,</w:t>
      </w:r>
      <w:r w:rsidRPr="00D43AFA">
        <w:rPr>
          <w:lang w:val="en-GB" w:eastAsia="ja-JP"/>
        </w:rPr>
        <w:t xml:space="preserve"> 19</w:t>
      </w:r>
      <w:r w:rsidR="00354B4F">
        <w:rPr>
          <w:lang w:val="en-GB" w:eastAsia="ja-JP"/>
        </w:rPr>
        <w:t>:</w:t>
      </w:r>
      <w:r w:rsidRPr="00D43AFA">
        <w:rPr>
          <w:lang w:val="en-GB" w:eastAsia="ja-JP"/>
        </w:rPr>
        <w:t>72–81</w:t>
      </w:r>
      <w:r w:rsidR="00C40A40">
        <w:rPr>
          <w:lang w:val="en-GB" w:eastAsia="ja-JP"/>
        </w:rPr>
        <w:t xml:space="preserve"> </w:t>
      </w:r>
      <w:r w:rsidR="002A0E99">
        <w:rPr>
          <w:lang w:val="en-GB" w:eastAsia="ja-JP"/>
        </w:rPr>
        <w:t>doi:</w:t>
      </w:r>
      <w:r w:rsidRPr="00C40A40" w:rsidR="00C40A40">
        <w:rPr>
          <w:lang w:val="en-GB" w:eastAsia="ja-JP"/>
        </w:rPr>
        <w:t>10.1002/etc.5620190108</w:t>
      </w:r>
      <w:r w:rsidRPr="00D43AFA">
        <w:rPr>
          <w:lang w:val="en-GB" w:eastAsia="ja-JP"/>
        </w:rPr>
        <w:t>.</w:t>
      </w:r>
    </w:p>
    <w:p w:rsidR="005B6FC0" w:rsidRPr="00D43AFA" w:rsidP="004A2DDD" w14:paraId="1886748F" w14:textId="6CAF828E">
      <w:pPr>
        <w:rPr>
          <w:lang w:val="en-GB" w:eastAsia="ja-JP"/>
        </w:rPr>
      </w:pPr>
      <w:r w:rsidRPr="00D43AFA">
        <w:rPr>
          <w:lang w:val="en-GB" w:eastAsia="ja-JP"/>
        </w:rPr>
        <w:t xml:space="preserve">Bailey HC, Krassoi R, Elphick JR, Mulhall AM, Hunt P, Tedmanson L </w:t>
      </w:r>
      <w:r w:rsidR="00354B4F">
        <w:rPr>
          <w:lang w:val="en-GB" w:eastAsia="ja-JP"/>
        </w:rPr>
        <w:t>and</w:t>
      </w:r>
      <w:r w:rsidRPr="00D43AFA">
        <w:rPr>
          <w:lang w:val="en-GB" w:eastAsia="ja-JP"/>
        </w:rPr>
        <w:t xml:space="preserve"> Lovell A </w:t>
      </w:r>
      <w:r w:rsidR="00354B4F">
        <w:rPr>
          <w:lang w:val="en-GB" w:eastAsia="ja-JP"/>
        </w:rPr>
        <w:t>(</w:t>
      </w:r>
      <w:r w:rsidRPr="00D43AFA">
        <w:rPr>
          <w:lang w:val="en-GB" w:eastAsia="ja-JP"/>
        </w:rPr>
        <w:t>2000b</w:t>
      </w:r>
      <w:r w:rsidR="00354B4F">
        <w:rPr>
          <w:lang w:val="en-GB" w:eastAsia="ja-JP"/>
        </w:rPr>
        <w:t>)</w:t>
      </w:r>
      <w:r w:rsidRPr="00D43AFA">
        <w:rPr>
          <w:lang w:val="en-GB" w:eastAsia="ja-JP"/>
        </w:rPr>
        <w:t xml:space="preserve"> </w:t>
      </w:r>
      <w:r w:rsidR="00354B4F">
        <w:rPr>
          <w:lang w:val="en-GB" w:eastAsia="ja-JP"/>
        </w:rPr>
        <w:t>‘</w:t>
      </w:r>
      <w:r>
        <w:fldChar w:fldCharType="begin"/>
      </w:r>
      <w:r>
        <w:instrText xml:space="preserve"> HYPERLINK "https://doi.org/10.1002/etc.5620190110" </w:instrText>
      </w:r>
      <w:r>
        <w:fldChar w:fldCharType="separate"/>
      </w:r>
      <w:r w:rsidRPr="00575C89">
        <w:rPr>
          <w:rStyle w:val="Hyperlink"/>
          <w:lang w:val="en-GB" w:eastAsia="ja-JP"/>
        </w:rPr>
        <w:t xml:space="preserve">Application of </w:t>
      </w:r>
      <w:r w:rsidRPr="002A0E99">
        <w:rPr>
          <w:rStyle w:val="Hyperlink"/>
          <w:i/>
          <w:iCs/>
        </w:rPr>
        <w:t>Ceriodaphnia dubia</w:t>
      </w:r>
      <w:r w:rsidRPr="00575C89">
        <w:rPr>
          <w:rStyle w:val="Hyperlink"/>
          <w:lang w:val="en-GB" w:eastAsia="ja-JP"/>
        </w:rPr>
        <w:t xml:space="preserve"> for whole effluent toxicity tests in the Hawkesbury-Nepean Watershed, New South Wales, Australia: </w:t>
      </w:r>
      <w:r w:rsidRPr="00575C89" w:rsidR="00354B4F">
        <w:rPr>
          <w:rStyle w:val="Hyperlink"/>
          <w:lang w:val="en-GB" w:eastAsia="ja-JP"/>
        </w:rPr>
        <w:t>m</w:t>
      </w:r>
      <w:r w:rsidRPr="00575C89">
        <w:rPr>
          <w:rStyle w:val="Hyperlink"/>
          <w:lang w:val="en-GB" w:eastAsia="ja-JP"/>
        </w:rPr>
        <w:t>ethod development and validation</w:t>
      </w:r>
      <w:r>
        <w:fldChar w:fldCharType="end"/>
      </w:r>
      <w:r w:rsidR="00354B4F">
        <w:rPr>
          <w:lang w:val="en-GB" w:eastAsia="ja-JP"/>
        </w:rPr>
        <w:t>’,</w:t>
      </w:r>
      <w:r w:rsidRPr="00D43AFA">
        <w:rPr>
          <w:lang w:val="en-GB" w:eastAsia="ja-JP"/>
        </w:rPr>
        <w:t xml:space="preserve"> </w:t>
      </w:r>
      <w:r w:rsidRPr="00354B4F">
        <w:rPr>
          <w:i/>
          <w:iCs/>
          <w:lang w:val="en-GB" w:eastAsia="ja-JP"/>
        </w:rPr>
        <w:t>Environmental Toxicology and Chemistry</w:t>
      </w:r>
      <w:r>
        <w:rPr>
          <w:lang w:val="en-GB" w:eastAsia="ja-JP"/>
        </w:rPr>
        <w:t>,</w:t>
      </w:r>
      <w:r w:rsidRPr="00D43AFA">
        <w:rPr>
          <w:lang w:val="en-GB" w:eastAsia="ja-JP"/>
        </w:rPr>
        <w:t xml:space="preserve"> 19</w:t>
      </w:r>
      <w:r w:rsidR="00354B4F">
        <w:rPr>
          <w:lang w:val="en-GB" w:eastAsia="ja-JP"/>
        </w:rPr>
        <w:t>:</w:t>
      </w:r>
      <w:r w:rsidRPr="00D43AFA">
        <w:rPr>
          <w:lang w:val="en-GB" w:eastAsia="ja-JP"/>
        </w:rPr>
        <w:t>88–93</w:t>
      </w:r>
      <w:r w:rsidR="00C40A40">
        <w:rPr>
          <w:lang w:val="en-GB" w:eastAsia="ja-JP"/>
        </w:rPr>
        <w:t xml:space="preserve">, </w:t>
      </w:r>
      <w:r w:rsidR="002A0E99">
        <w:rPr>
          <w:lang w:val="en-GB" w:eastAsia="ja-JP"/>
        </w:rPr>
        <w:t>doi:</w:t>
      </w:r>
      <w:r w:rsidRPr="00C40A40" w:rsidR="00C40A40">
        <w:rPr>
          <w:lang w:val="en-GB" w:eastAsia="ja-JP"/>
        </w:rPr>
        <w:t>10.1002/etc.5620190110</w:t>
      </w:r>
      <w:r w:rsidRPr="00D43AFA">
        <w:rPr>
          <w:lang w:val="en-GB" w:eastAsia="ja-JP"/>
        </w:rPr>
        <w:t>.</w:t>
      </w:r>
    </w:p>
    <w:p w:rsidR="005B6FC0" w:rsidP="001B25CD" w14:paraId="79325741" w14:textId="2889B920">
      <w:pPr>
        <w:rPr>
          <w:lang w:eastAsia="ja-JP"/>
        </w:rPr>
      </w:pPr>
      <w:r>
        <w:rPr>
          <w:lang w:eastAsia="ja-JP"/>
        </w:rPr>
        <w:t xml:space="preserve">Baird DJ </w:t>
      </w:r>
      <w:r w:rsidR="003C60FB">
        <w:rPr>
          <w:lang w:eastAsia="ja-JP"/>
        </w:rPr>
        <w:t>and</w:t>
      </w:r>
      <w:r>
        <w:rPr>
          <w:lang w:eastAsia="ja-JP"/>
        </w:rPr>
        <w:t xml:space="preserve"> Hajibabaei M </w:t>
      </w:r>
      <w:r w:rsidR="003C60FB">
        <w:rPr>
          <w:lang w:eastAsia="ja-JP"/>
        </w:rPr>
        <w:t>(</w:t>
      </w:r>
      <w:r>
        <w:rPr>
          <w:lang w:eastAsia="ja-JP"/>
        </w:rPr>
        <w:t>2012</w:t>
      </w:r>
      <w:r w:rsidR="003C60FB">
        <w:rPr>
          <w:lang w:eastAsia="ja-JP"/>
        </w:rPr>
        <w:t>)</w:t>
      </w:r>
      <w:r>
        <w:rPr>
          <w:lang w:eastAsia="ja-JP"/>
        </w:rPr>
        <w:t xml:space="preserve"> </w:t>
      </w:r>
      <w:r w:rsidR="003C60FB">
        <w:rPr>
          <w:lang w:eastAsia="ja-JP"/>
        </w:rPr>
        <w:t>‘</w:t>
      </w:r>
      <w:r>
        <w:fldChar w:fldCharType="begin"/>
      </w:r>
      <w:r>
        <w:instrText xml:space="preserve"> HYPERLINK "https://doi.org/10.1111/j.1365-294x.2012.05519.x" </w:instrText>
      </w:r>
      <w:r>
        <w:fldChar w:fldCharType="separate"/>
      </w:r>
      <w:r w:rsidRPr="00575C89">
        <w:rPr>
          <w:rStyle w:val="Hyperlink"/>
          <w:lang w:eastAsia="ja-JP"/>
        </w:rPr>
        <w:t xml:space="preserve">Biomonitoring 2.0: </w:t>
      </w:r>
      <w:r w:rsidRPr="00575C89" w:rsidR="003C60FB">
        <w:rPr>
          <w:rStyle w:val="Hyperlink"/>
          <w:lang w:eastAsia="ja-JP"/>
        </w:rPr>
        <w:t>a</w:t>
      </w:r>
      <w:r w:rsidRPr="00575C89">
        <w:rPr>
          <w:rStyle w:val="Hyperlink"/>
          <w:lang w:eastAsia="ja-JP"/>
        </w:rPr>
        <w:t xml:space="preserve"> new paradigm in ecosystem assessment made possible by next-generation DNA sequencing</w:t>
      </w:r>
      <w:r>
        <w:fldChar w:fldCharType="end"/>
      </w:r>
      <w:r w:rsidR="003C60FB">
        <w:rPr>
          <w:lang w:eastAsia="ja-JP"/>
        </w:rPr>
        <w:t>’,</w:t>
      </w:r>
      <w:r>
        <w:rPr>
          <w:lang w:eastAsia="ja-JP"/>
        </w:rPr>
        <w:t xml:space="preserve"> </w:t>
      </w:r>
      <w:r w:rsidRPr="008A5E90">
        <w:rPr>
          <w:rStyle w:val="Emphasis"/>
        </w:rPr>
        <w:t xml:space="preserve">Molecular </w:t>
      </w:r>
      <w:r w:rsidR="003C60FB">
        <w:rPr>
          <w:rStyle w:val="Emphasis"/>
        </w:rPr>
        <w:t>E</w:t>
      </w:r>
      <w:r w:rsidRPr="008A5E90">
        <w:rPr>
          <w:rStyle w:val="Emphasis"/>
        </w:rPr>
        <w:t>cology</w:t>
      </w:r>
      <w:r>
        <w:rPr>
          <w:lang w:eastAsia="ja-JP"/>
        </w:rPr>
        <w:t>, 21</w:t>
      </w:r>
      <w:r w:rsidR="003C60FB">
        <w:rPr>
          <w:lang w:eastAsia="ja-JP"/>
        </w:rPr>
        <w:t>:</w:t>
      </w:r>
      <w:r>
        <w:rPr>
          <w:lang w:eastAsia="ja-JP"/>
        </w:rPr>
        <w:t>2039–2044</w:t>
      </w:r>
      <w:r w:rsidR="00C40A40">
        <w:rPr>
          <w:lang w:eastAsia="ja-JP"/>
        </w:rPr>
        <w:t xml:space="preserve">, </w:t>
      </w:r>
      <w:r w:rsidR="002A0E99">
        <w:rPr>
          <w:lang w:eastAsia="ja-JP"/>
        </w:rPr>
        <w:t>doi:</w:t>
      </w:r>
      <w:r w:rsidRPr="00C40A40" w:rsidR="00C40A40">
        <w:rPr>
          <w:lang w:eastAsia="ja-JP"/>
        </w:rPr>
        <w:t>10.1111/j.1365-294x.2012.05519.x</w:t>
      </w:r>
      <w:r>
        <w:rPr>
          <w:lang w:eastAsia="ja-JP"/>
        </w:rPr>
        <w:t>.</w:t>
      </w:r>
    </w:p>
    <w:p w:rsidR="005B6FC0" w:rsidRPr="00F6192C" w:rsidP="00F6192C" w14:paraId="1B4A597E" w14:textId="140D6CEF">
      <w:pPr>
        <w:rPr>
          <w:lang w:val="en-GB" w:eastAsia="ja-JP"/>
        </w:rPr>
      </w:pPr>
      <w:r w:rsidRPr="00F6192C">
        <w:rPr>
          <w:lang w:val="en-GB" w:eastAsia="ja-JP"/>
        </w:rPr>
        <w:t xml:space="preserve">Batley GE, van Dam R, Warne MStJ, Chapman JC, Fox DR, Hickey CW and Stauber JL </w:t>
      </w:r>
      <w:r w:rsidR="003C60FB">
        <w:rPr>
          <w:lang w:val="en-GB" w:eastAsia="ja-JP"/>
        </w:rPr>
        <w:t>(</w:t>
      </w:r>
      <w:r w:rsidRPr="00F6192C">
        <w:rPr>
          <w:lang w:val="en-GB" w:eastAsia="ja-JP"/>
        </w:rPr>
        <w:t>2018</w:t>
      </w:r>
      <w:r w:rsidR="003C60FB">
        <w:rPr>
          <w:lang w:val="en-GB" w:eastAsia="ja-JP"/>
        </w:rPr>
        <w:t>)</w:t>
      </w:r>
      <w:r w:rsidRPr="00F6192C">
        <w:rPr>
          <w:lang w:val="en-GB" w:eastAsia="ja-JP"/>
        </w:rPr>
        <w:t xml:space="preserve"> </w:t>
      </w:r>
      <w:r>
        <w:fldChar w:fldCharType="begin"/>
      </w:r>
      <w:r>
        <w:instrText xml:space="preserve"> HYPERLINK "https://www.waterquality.gov.au/anz-guidelines/guideline-values/derive/batley-method-derive" </w:instrText>
      </w:r>
      <w:r>
        <w:fldChar w:fldCharType="separate"/>
      </w:r>
      <w:r w:rsidRPr="00EB27F6">
        <w:rPr>
          <w:rStyle w:val="Hyperlink"/>
          <w:i/>
          <w:iCs/>
          <w:lang w:val="en-GB" w:eastAsia="ja-JP"/>
        </w:rPr>
        <w:t xml:space="preserve">Technical </w:t>
      </w:r>
      <w:r w:rsidRPr="00EB27F6" w:rsidR="003C60FB">
        <w:rPr>
          <w:rStyle w:val="Hyperlink"/>
          <w:i/>
          <w:iCs/>
          <w:lang w:val="en-GB" w:eastAsia="ja-JP"/>
        </w:rPr>
        <w:t>r</w:t>
      </w:r>
      <w:r w:rsidRPr="00EB27F6">
        <w:rPr>
          <w:rStyle w:val="Hyperlink"/>
          <w:i/>
          <w:iCs/>
          <w:lang w:val="en-GB" w:eastAsia="ja-JP"/>
        </w:rPr>
        <w:t xml:space="preserve">ationale for </w:t>
      </w:r>
      <w:r w:rsidRPr="00EB27F6" w:rsidR="003C60FB">
        <w:rPr>
          <w:rStyle w:val="Hyperlink"/>
          <w:i/>
          <w:iCs/>
          <w:lang w:val="en-GB" w:eastAsia="ja-JP"/>
        </w:rPr>
        <w:t>c</w:t>
      </w:r>
      <w:r w:rsidRPr="00EB27F6">
        <w:rPr>
          <w:rStyle w:val="Hyperlink"/>
          <w:i/>
          <w:iCs/>
          <w:lang w:val="en-GB" w:eastAsia="ja-JP"/>
        </w:rPr>
        <w:t xml:space="preserve">hanges to the </w:t>
      </w:r>
      <w:r w:rsidRPr="00EB27F6" w:rsidR="003C60FB">
        <w:rPr>
          <w:rStyle w:val="Hyperlink"/>
          <w:i/>
          <w:iCs/>
          <w:lang w:val="en-GB" w:eastAsia="ja-JP"/>
        </w:rPr>
        <w:t>m</w:t>
      </w:r>
      <w:r w:rsidRPr="00EB27F6">
        <w:rPr>
          <w:rStyle w:val="Hyperlink"/>
          <w:i/>
          <w:iCs/>
          <w:lang w:val="en-GB" w:eastAsia="ja-JP"/>
        </w:rPr>
        <w:t xml:space="preserve">ethod for </w:t>
      </w:r>
      <w:r w:rsidRPr="00EB27F6" w:rsidR="003C60FB">
        <w:rPr>
          <w:rStyle w:val="Hyperlink"/>
          <w:i/>
          <w:iCs/>
          <w:lang w:val="en-GB" w:eastAsia="ja-JP"/>
        </w:rPr>
        <w:t>d</w:t>
      </w:r>
      <w:r w:rsidRPr="00EB27F6">
        <w:rPr>
          <w:rStyle w:val="Hyperlink"/>
          <w:i/>
          <w:iCs/>
          <w:lang w:val="en-GB" w:eastAsia="ja-JP"/>
        </w:rPr>
        <w:t xml:space="preserve">eriving Australian and New Zealand </w:t>
      </w:r>
      <w:r w:rsidRPr="00EB27F6" w:rsidR="003C60FB">
        <w:rPr>
          <w:rStyle w:val="Hyperlink"/>
          <w:i/>
          <w:iCs/>
          <w:lang w:val="en-GB" w:eastAsia="ja-JP"/>
        </w:rPr>
        <w:t>w</w:t>
      </w:r>
      <w:r w:rsidRPr="00EB27F6">
        <w:rPr>
          <w:rStyle w:val="Hyperlink"/>
          <w:i/>
          <w:iCs/>
          <w:lang w:val="en-GB" w:eastAsia="ja-JP"/>
        </w:rPr>
        <w:t xml:space="preserve">ater </w:t>
      </w:r>
      <w:r w:rsidRPr="00EB27F6" w:rsidR="003C60FB">
        <w:rPr>
          <w:rStyle w:val="Hyperlink"/>
          <w:i/>
          <w:iCs/>
          <w:lang w:val="en-GB" w:eastAsia="ja-JP"/>
        </w:rPr>
        <w:t>q</w:t>
      </w:r>
      <w:r w:rsidRPr="00EB27F6">
        <w:rPr>
          <w:rStyle w:val="Hyperlink"/>
          <w:i/>
          <w:iCs/>
          <w:lang w:val="en-GB" w:eastAsia="ja-JP"/>
        </w:rPr>
        <w:t xml:space="preserve">uality </w:t>
      </w:r>
      <w:r w:rsidRPr="00EB27F6" w:rsidR="003C60FB">
        <w:rPr>
          <w:rStyle w:val="Hyperlink"/>
          <w:i/>
          <w:iCs/>
          <w:lang w:val="en-GB" w:eastAsia="ja-JP"/>
        </w:rPr>
        <w:t>g</w:t>
      </w:r>
      <w:r w:rsidRPr="00EB27F6">
        <w:rPr>
          <w:rStyle w:val="Hyperlink"/>
          <w:i/>
          <w:iCs/>
          <w:lang w:val="en-GB" w:eastAsia="ja-JP"/>
        </w:rPr>
        <w:t xml:space="preserve">uideline </w:t>
      </w:r>
      <w:r w:rsidRPr="00EB27F6" w:rsidR="003C60FB">
        <w:rPr>
          <w:rStyle w:val="Hyperlink"/>
          <w:i/>
          <w:iCs/>
          <w:lang w:val="en-GB" w:eastAsia="ja-JP"/>
        </w:rPr>
        <w:t>v</w:t>
      </w:r>
      <w:r w:rsidRPr="00EB27F6">
        <w:rPr>
          <w:rStyle w:val="Hyperlink"/>
          <w:i/>
          <w:iCs/>
          <w:lang w:val="en-GB" w:eastAsia="ja-JP"/>
        </w:rPr>
        <w:t xml:space="preserve">alues for </w:t>
      </w:r>
      <w:r w:rsidRPr="00EB27F6" w:rsidR="003C60FB">
        <w:rPr>
          <w:rStyle w:val="Hyperlink"/>
          <w:i/>
          <w:iCs/>
          <w:lang w:val="en-GB" w:eastAsia="ja-JP"/>
        </w:rPr>
        <w:t>t</w:t>
      </w:r>
      <w:r w:rsidRPr="00EB27F6">
        <w:rPr>
          <w:rStyle w:val="Hyperlink"/>
          <w:i/>
          <w:iCs/>
          <w:lang w:val="en-GB" w:eastAsia="ja-JP"/>
        </w:rPr>
        <w:t>oxicants</w:t>
      </w:r>
      <w:r>
        <w:fldChar w:fldCharType="end"/>
      </w:r>
      <w:r w:rsidRPr="003C60FB" w:rsidR="003C60FB">
        <w:rPr>
          <w:lang w:val="en-GB" w:eastAsia="ja-JP"/>
        </w:rPr>
        <w:t xml:space="preserve">, </w:t>
      </w:r>
      <w:r w:rsidR="00846F7C">
        <w:rPr>
          <w:lang w:val="en-GB" w:eastAsia="ja-JP"/>
        </w:rPr>
        <w:t xml:space="preserve">report </w:t>
      </w:r>
      <w:r w:rsidRPr="003C60FB" w:rsidR="003C60FB">
        <w:rPr>
          <w:lang w:val="en-GB" w:eastAsia="ja-JP"/>
        </w:rPr>
        <w:t>p</w:t>
      </w:r>
      <w:r w:rsidRPr="00F6192C">
        <w:rPr>
          <w:lang w:val="en-GB" w:eastAsia="ja-JP"/>
        </w:rPr>
        <w:t xml:space="preserve">repared for the revision of the </w:t>
      </w:r>
      <w:r w:rsidRPr="00846F7C">
        <w:rPr>
          <w:i/>
          <w:iCs/>
          <w:lang w:val="en-GB" w:eastAsia="ja-JP"/>
        </w:rPr>
        <w:t xml:space="preserve">Australian and New Zealand </w:t>
      </w:r>
      <w:r w:rsidR="00846F7C">
        <w:rPr>
          <w:i/>
          <w:iCs/>
          <w:lang w:val="en-GB" w:eastAsia="ja-JP"/>
        </w:rPr>
        <w:t>g</w:t>
      </w:r>
      <w:r w:rsidRPr="00846F7C">
        <w:rPr>
          <w:i/>
          <w:iCs/>
          <w:lang w:val="en-GB" w:eastAsia="ja-JP"/>
        </w:rPr>
        <w:t xml:space="preserve">uidelines for </w:t>
      </w:r>
      <w:r w:rsidR="00846F7C">
        <w:rPr>
          <w:i/>
          <w:iCs/>
          <w:lang w:val="en-GB" w:eastAsia="ja-JP"/>
        </w:rPr>
        <w:t>f</w:t>
      </w:r>
      <w:r w:rsidRPr="00846F7C">
        <w:rPr>
          <w:i/>
          <w:iCs/>
          <w:lang w:val="en-GB" w:eastAsia="ja-JP"/>
        </w:rPr>
        <w:t xml:space="preserve">resh and </w:t>
      </w:r>
      <w:r w:rsidR="00846F7C">
        <w:rPr>
          <w:i/>
          <w:iCs/>
          <w:lang w:val="en-GB" w:eastAsia="ja-JP"/>
        </w:rPr>
        <w:t>m</w:t>
      </w:r>
      <w:r w:rsidRPr="00846F7C">
        <w:rPr>
          <w:i/>
          <w:iCs/>
          <w:lang w:val="en-GB" w:eastAsia="ja-JP"/>
        </w:rPr>
        <w:t xml:space="preserve">arine </w:t>
      </w:r>
      <w:r w:rsidR="00846F7C">
        <w:rPr>
          <w:i/>
          <w:iCs/>
          <w:lang w:val="en-GB" w:eastAsia="ja-JP"/>
        </w:rPr>
        <w:t>w</w:t>
      </w:r>
      <w:r w:rsidRPr="00846F7C">
        <w:rPr>
          <w:i/>
          <w:iCs/>
          <w:lang w:val="en-GB" w:eastAsia="ja-JP"/>
        </w:rPr>
        <w:t xml:space="preserve">ater </w:t>
      </w:r>
      <w:r w:rsidR="00846F7C">
        <w:rPr>
          <w:i/>
          <w:iCs/>
          <w:lang w:val="en-GB" w:eastAsia="ja-JP"/>
        </w:rPr>
        <w:t>q</w:t>
      </w:r>
      <w:r w:rsidRPr="00846F7C">
        <w:rPr>
          <w:i/>
          <w:iCs/>
          <w:lang w:val="en-GB" w:eastAsia="ja-JP"/>
        </w:rPr>
        <w:t>uality</w:t>
      </w:r>
      <w:r w:rsidR="003C60FB">
        <w:rPr>
          <w:lang w:val="en-GB" w:eastAsia="ja-JP"/>
        </w:rPr>
        <w:t>,</w:t>
      </w:r>
      <w:r w:rsidRPr="00F6192C">
        <w:rPr>
          <w:lang w:val="en-GB" w:eastAsia="ja-JP"/>
        </w:rPr>
        <w:t xml:space="preserve"> Australian and New Zealand </w:t>
      </w:r>
      <w:r w:rsidR="003C60FB">
        <w:rPr>
          <w:lang w:val="en-GB" w:eastAsia="ja-JP"/>
        </w:rPr>
        <w:t>g</w:t>
      </w:r>
      <w:r w:rsidRPr="00F6192C">
        <w:rPr>
          <w:lang w:val="en-GB" w:eastAsia="ja-JP"/>
        </w:rPr>
        <w:t>overnments and Australian state and territory governments.</w:t>
      </w:r>
    </w:p>
    <w:p w:rsidR="005B6FC0" w:rsidP="001B25CD" w14:paraId="0E57FA70" w14:textId="0661B4EA">
      <w:pPr>
        <w:rPr>
          <w:lang w:eastAsia="ja-JP"/>
        </w:rPr>
      </w:pPr>
      <w:r>
        <w:rPr>
          <w:lang w:eastAsia="ja-JP"/>
        </w:rPr>
        <w:t xml:space="preserve">Behnisch PA, Hosoe K </w:t>
      </w:r>
      <w:r w:rsidR="003C60FB">
        <w:rPr>
          <w:lang w:eastAsia="ja-JP"/>
        </w:rPr>
        <w:t>and</w:t>
      </w:r>
      <w:r>
        <w:rPr>
          <w:lang w:eastAsia="ja-JP"/>
        </w:rPr>
        <w:t xml:space="preserve"> Sakai S </w:t>
      </w:r>
      <w:r w:rsidR="00846F7C">
        <w:rPr>
          <w:lang w:eastAsia="ja-JP"/>
        </w:rPr>
        <w:t>(</w:t>
      </w:r>
      <w:r>
        <w:rPr>
          <w:lang w:eastAsia="ja-JP"/>
        </w:rPr>
        <w:t>2001</w:t>
      </w:r>
      <w:r w:rsidR="00846F7C">
        <w:rPr>
          <w:lang w:eastAsia="ja-JP"/>
        </w:rPr>
        <w:t>)</w:t>
      </w:r>
      <w:r>
        <w:rPr>
          <w:lang w:eastAsia="ja-JP"/>
        </w:rPr>
        <w:t xml:space="preserve"> </w:t>
      </w:r>
      <w:r w:rsidR="00846F7C">
        <w:rPr>
          <w:lang w:eastAsia="ja-JP"/>
        </w:rPr>
        <w:t>‘</w:t>
      </w:r>
      <w:r>
        <w:fldChar w:fldCharType="begin"/>
      </w:r>
      <w:r>
        <w:instrText xml:space="preserve"> HYPERLINK "https://doi.org/10.1016/s0160-4120(01)00028-9" </w:instrText>
      </w:r>
      <w:r>
        <w:fldChar w:fldCharType="separate"/>
      </w:r>
      <w:r w:rsidRPr="00EB27F6">
        <w:rPr>
          <w:rStyle w:val="Hyperlink"/>
          <w:lang w:eastAsia="ja-JP"/>
        </w:rPr>
        <w:t>Bioanalytical screening methods for dioxins and dioxin-like compounds — a review of bioassay/biomarker technology</w:t>
      </w:r>
      <w:r>
        <w:fldChar w:fldCharType="end"/>
      </w:r>
      <w:r w:rsidR="00846F7C">
        <w:rPr>
          <w:lang w:eastAsia="ja-JP"/>
        </w:rPr>
        <w:t>’,</w:t>
      </w:r>
      <w:r>
        <w:rPr>
          <w:lang w:eastAsia="ja-JP"/>
        </w:rPr>
        <w:t xml:space="preserve"> </w:t>
      </w:r>
      <w:r w:rsidRPr="00632AA0">
        <w:rPr>
          <w:rStyle w:val="Emphasis"/>
        </w:rPr>
        <w:t>Environment International</w:t>
      </w:r>
      <w:r>
        <w:rPr>
          <w:lang w:eastAsia="ja-JP"/>
        </w:rPr>
        <w:t>, 27</w:t>
      </w:r>
      <w:r w:rsidR="00846F7C">
        <w:rPr>
          <w:lang w:eastAsia="ja-JP"/>
        </w:rPr>
        <w:t>:</w:t>
      </w:r>
      <w:r>
        <w:rPr>
          <w:lang w:eastAsia="ja-JP"/>
        </w:rPr>
        <w:t>413–439</w:t>
      </w:r>
      <w:r w:rsidR="00C40A40">
        <w:rPr>
          <w:lang w:eastAsia="ja-JP"/>
        </w:rPr>
        <w:t xml:space="preserve">, </w:t>
      </w:r>
      <w:r w:rsidR="002A0E99">
        <w:rPr>
          <w:lang w:eastAsia="ja-JP"/>
        </w:rPr>
        <w:t>doi:</w:t>
      </w:r>
      <w:r w:rsidRPr="00C40A40" w:rsidR="00C40A40">
        <w:rPr>
          <w:lang w:eastAsia="ja-JP"/>
        </w:rPr>
        <w:t>10.1016/s0160-4120(01)00028-9</w:t>
      </w:r>
      <w:r>
        <w:rPr>
          <w:lang w:eastAsia="ja-JP"/>
        </w:rPr>
        <w:t>.</w:t>
      </w:r>
    </w:p>
    <w:p w:rsidR="005B6FC0" w:rsidP="001B25CD" w14:paraId="602F4EFC" w14:textId="65854E57">
      <w:pPr>
        <w:rPr>
          <w:lang w:eastAsia="ja-JP"/>
        </w:rPr>
      </w:pPr>
      <w:r>
        <w:rPr>
          <w:lang w:eastAsia="ja-JP"/>
        </w:rPr>
        <w:t xml:space="preserve">Bergerot B, Hugueny B </w:t>
      </w:r>
      <w:r w:rsidR="003C60FB">
        <w:rPr>
          <w:lang w:eastAsia="ja-JP"/>
        </w:rPr>
        <w:t>and</w:t>
      </w:r>
      <w:r>
        <w:rPr>
          <w:lang w:eastAsia="ja-JP"/>
        </w:rPr>
        <w:t xml:space="preserve"> Belliard J </w:t>
      </w:r>
      <w:r w:rsidR="00846F7C">
        <w:rPr>
          <w:lang w:eastAsia="ja-JP"/>
        </w:rPr>
        <w:t>(</w:t>
      </w:r>
      <w:r>
        <w:rPr>
          <w:lang w:eastAsia="ja-JP"/>
        </w:rPr>
        <w:t>2015</w:t>
      </w:r>
      <w:r w:rsidR="00846F7C">
        <w:rPr>
          <w:lang w:eastAsia="ja-JP"/>
        </w:rPr>
        <w:t>)</w:t>
      </w:r>
      <w:r>
        <w:rPr>
          <w:lang w:eastAsia="ja-JP"/>
        </w:rPr>
        <w:t xml:space="preserve"> </w:t>
      </w:r>
      <w:r w:rsidR="00846F7C">
        <w:rPr>
          <w:lang w:eastAsia="ja-JP"/>
        </w:rPr>
        <w:t>‘</w:t>
      </w:r>
      <w:r>
        <w:fldChar w:fldCharType="begin"/>
      </w:r>
      <w:r>
        <w:instrText xml:space="preserve"> HYPERLINK "https://doi.org/10.1111/fwb.12561" </w:instrText>
      </w:r>
      <w:r>
        <w:fldChar w:fldCharType="separate"/>
      </w:r>
      <w:r w:rsidRPr="00EB27F6">
        <w:rPr>
          <w:rStyle w:val="Hyperlink"/>
          <w:lang w:eastAsia="ja-JP"/>
        </w:rPr>
        <w:t>Relating life-history traits, environmental constraints and local extinctions in river fish</w:t>
      </w:r>
      <w:r>
        <w:fldChar w:fldCharType="end"/>
      </w:r>
      <w:r w:rsidR="00846F7C">
        <w:rPr>
          <w:lang w:eastAsia="ja-JP"/>
        </w:rPr>
        <w:t>’,</w:t>
      </w:r>
      <w:r>
        <w:rPr>
          <w:lang w:eastAsia="ja-JP"/>
        </w:rPr>
        <w:t xml:space="preserve"> </w:t>
      </w:r>
      <w:r w:rsidRPr="00632AA0">
        <w:rPr>
          <w:rStyle w:val="Emphasis"/>
        </w:rPr>
        <w:t>Freshwater Biology</w:t>
      </w:r>
      <w:r>
        <w:rPr>
          <w:lang w:eastAsia="ja-JP"/>
        </w:rPr>
        <w:t>, 60</w:t>
      </w:r>
      <w:r w:rsidR="00846F7C">
        <w:rPr>
          <w:lang w:eastAsia="ja-JP"/>
        </w:rPr>
        <w:t>:</w:t>
      </w:r>
      <w:r>
        <w:rPr>
          <w:lang w:eastAsia="ja-JP"/>
        </w:rPr>
        <w:t>1279–1291</w:t>
      </w:r>
      <w:r w:rsidR="00C40A40">
        <w:rPr>
          <w:lang w:eastAsia="ja-JP"/>
        </w:rPr>
        <w:t xml:space="preserve">, </w:t>
      </w:r>
      <w:r w:rsidR="002A0E99">
        <w:rPr>
          <w:lang w:eastAsia="ja-JP"/>
        </w:rPr>
        <w:t>doi:</w:t>
      </w:r>
      <w:r w:rsidRPr="00C40A40" w:rsidR="00C40A40">
        <w:rPr>
          <w:lang w:eastAsia="ja-JP"/>
        </w:rPr>
        <w:t>10.1111/fwb.12561</w:t>
      </w:r>
      <w:r>
        <w:rPr>
          <w:lang w:eastAsia="ja-JP"/>
        </w:rPr>
        <w:t>.</w:t>
      </w:r>
    </w:p>
    <w:p w:rsidR="005B6FC0" w:rsidP="001B25CD" w14:paraId="11F61183" w14:textId="4345B38B">
      <w:pPr>
        <w:rPr>
          <w:lang w:eastAsia="ja-JP"/>
        </w:rPr>
      </w:pPr>
      <w:r>
        <w:rPr>
          <w:lang w:eastAsia="ja-JP"/>
        </w:rPr>
        <w:t xml:space="preserve">Bernot M, Sobota D, Hall R, Mulholland PJ, Dodds W, Webster J, </w:t>
      </w:r>
      <w:r w:rsidRPr="00F64596">
        <w:rPr>
          <w:lang w:eastAsia="ja-JP"/>
        </w:rPr>
        <w:t>Tank J</w:t>
      </w:r>
      <w:r>
        <w:rPr>
          <w:lang w:eastAsia="ja-JP"/>
        </w:rPr>
        <w:t>,</w:t>
      </w:r>
      <w:r w:rsidRPr="00F64596">
        <w:rPr>
          <w:lang w:eastAsia="ja-JP"/>
        </w:rPr>
        <w:t xml:space="preserve"> Ashkenas L, Cooper L, Dahm C, Gregory S, Grimm N, Hamilton S, Johnson S, Mcdowell W, Meyer J, Peterson B, Poole G, Valett H, Arango C, Beaulieu J, Burgin A, Crenshaw C, Helton A, Johnson L, Merriam J, Niederlehner B, O’</w:t>
      </w:r>
      <w:r w:rsidR="00CA0DEA">
        <w:rPr>
          <w:lang w:eastAsia="ja-JP"/>
        </w:rPr>
        <w:t>B</w:t>
      </w:r>
      <w:r w:rsidRPr="00F64596">
        <w:rPr>
          <w:lang w:eastAsia="ja-JP"/>
        </w:rPr>
        <w:t xml:space="preserve">rien J, Potter J, Sheibley R, Thomas S </w:t>
      </w:r>
      <w:r w:rsidR="003C60FB">
        <w:rPr>
          <w:lang w:eastAsia="ja-JP"/>
        </w:rPr>
        <w:t>and</w:t>
      </w:r>
      <w:r w:rsidRPr="00F64596">
        <w:rPr>
          <w:lang w:eastAsia="ja-JP"/>
        </w:rPr>
        <w:t xml:space="preserve"> Wilson K </w:t>
      </w:r>
      <w:r w:rsidR="00846F7C">
        <w:rPr>
          <w:lang w:eastAsia="ja-JP"/>
        </w:rPr>
        <w:t>(</w:t>
      </w:r>
      <w:r w:rsidRPr="00F64596">
        <w:rPr>
          <w:lang w:eastAsia="ja-JP"/>
        </w:rPr>
        <w:t>2010</w:t>
      </w:r>
      <w:r w:rsidR="00846F7C">
        <w:rPr>
          <w:lang w:eastAsia="ja-JP"/>
        </w:rPr>
        <w:t>)</w:t>
      </w:r>
      <w:r w:rsidRPr="00F64596">
        <w:rPr>
          <w:lang w:eastAsia="ja-JP"/>
        </w:rPr>
        <w:t xml:space="preserve"> </w:t>
      </w:r>
      <w:r w:rsidR="00846F7C">
        <w:rPr>
          <w:lang w:eastAsia="ja-JP"/>
        </w:rPr>
        <w:t>‘</w:t>
      </w:r>
      <w:r>
        <w:fldChar w:fldCharType="begin"/>
      </w:r>
      <w:r>
        <w:instrText xml:space="preserve"> HYPERLINK "https://doi.org/10.1111/j.1365-2427.2010.02422.x" </w:instrText>
      </w:r>
      <w:r>
        <w:fldChar w:fldCharType="separate"/>
      </w:r>
      <w:r w:rsidRPr="00EB27F6">
        <w:rPr>
          <w:rStyle w:val="Hyperlink"/>
          <w:lang w:eastAsia="ja-JP"/>
        </w:rPr>
        <w:t>Inter-</w:t>
      </w:r>
      <w:r w:rsidRPr="00EB27F6" w:rsidR="00846F7C">
        <w:rPr>
          <w:rStyle w:val="Hyperlink"/>
          <w:lang w:eastAsia="ja-JP"/>
        </w:rPr>
        <w:t>r</w:t>
      </w:r>
      <w:r w:rsidRPr="00EB27F6">
        <w:rPr>
          <w:rStyle w:val="Hyperlink"/>
          <w:lang w:eastAsia="ja-JP"/>
        </w:rPr>
        <w:t xml:space="preserve">egional </w:t>
      </w:r>
      <w:r w:rsidRPr="00EB27F6" w:rsidR="00846F7C">
        <w:rPr>
          <w:rStyle w:val="Hyperlink"/>
          <w:lang w:eastAsia="ja-JP"/>
        </w:rPr>
        <w:t>c</w:t>
      </w:r>
      <w:r w:rsidRPr="00EB27F6">
        <w:rPr>
          <w:rStyle w:val="Hyperlink"/>
          <w:lang w:eastAsia="ja-JP"/>
        </w:rPr>
        <w:t xml:space="preserve">omparison of </w:t>
      </w:r>
      <w:r w:rsidRPr="00EB27F6" w:rsidR="00846F7C">
        <w:rPr>
          <w:rStyle w:val="Hyperlink"/>
          <w:lang w:eastAsia="ja-JP"/>
        </w:rPr>
        <w:t>l</w:t>
      </w:r>
      <w:r w:rsidRPr="00EB27F6">
        <w:rPr>
          <w:rStyle w:val="Hyperlink"/>
          <w:lang w:eastAsia="ja-JP"/>
        </w:rPr>
        <w:t>and-</w:t>
      </w:r>
      <w:r w:rsidRPr="00EB27F6" w:rsidR="00846F7C">
        <w:rPr>
          <w:rStyle w:val="Hyperlink"/>
          <w:lang w:eastAsia="ja-JP"/>
        </w:rPr>
        <w:t>u</w:t>
      </w:r>
      <w:r w:rsidRPr="00EB27F6">
        <w:rPr>
          <w:rStyle w:val="Hyperlink"/>
          <w:lang w:eastAsia="ja-JP"/>
        </w:rPr>
        <w:t xml:space="preserve">se </w:t>
      </w:r>
      <w:r w:rsidRPr="00EB27F6" w:rsidR="00846F7C">
        <w:rPr>
          <w:rStyle w:val="Hyperlink"/>
          <w:lang w:eastAsia="ja-JP"/>
        </w:rPr>
        <w:t>e</w:t>
      </w:r>
      <w:r w:rsidRPr="00EB27F6">
        <w:rPr>
          <w:rStyle w:val="Hyperlink"/>
          <w:lang w:eastAsia="ja-JP"/>
        </w:rPr>
        <w:t xml:space="preserve">ffects on </w:t>
      </w:r>
      <w:r w:rsidRPr="00EB27F6" w:rsidR="00846F7C">
        <w:rPr>
          <w:rStyle w:val="Hyperlink"/>
          <w:lang w:eastAsia="ja-JP"/>
        </w:rPr>
        <w:t>s</w:t>
      </w:r>
      <w:r w:rsidRPr="00EB27F6">
        <w:rPr>
          <w:rStyle w:val="Hyperlink"/>
          <w:lang w:eastAsia="ja-JP"/>
        </w:rPr>
        <w:t xml:space="preserve">tream </w:t>
      </w:r>
      <w:r w:rsidRPr="00EB27F6" w:rsidR="00846F7C">
        <w:rPr>
          <w:rStyle w:val="Hyperlink"/>
          <w:lang w:eastAsia="ja-JP"/>
        </w:rPr>
        <w:t>m</w:t>
      </w:r>
      <w:r w:rsidRPr="00EB27F6">
        <w:rPr>
          <w:rStyle w:val="Hyperlink"/>
          <w:lang w:eastAsia="ja-JP"/>
        </w:rPr>
        <w:t>etabolism</w:t>
      </w:r>
      <w:r>
        <w:fldChar w:fldCharType="end"/>
      </w:r>
      <w:r w:rsidR="00846F7C">
        <w:rPr>
          <w:lang w:eastAsia="ja-JP"/>
        </w:rPr>
        <w:t>’,</w:t>
      </w:r>
      <w:r>
        <w:rPr>
          <w:lang w:eastAsia="ja-JP"/>
        </w:rPr>
        <w:t xml:space="preserve"> </w:t>
      </w:r>
      <w:r w:rsidRPr="00D45D5C">
        <w:rPr>
          <w:rStyle w:val="Emphasis"/>
        </w:rPr>
        <w:t>Freshwater Biology</w:t>
      </w:r>
      <w:r>
        <w:rPr>
          <w:lang w:eastAsia="ja-JP"/>
        </w:rPr>
        <w:t>, 55</w:t>
      </w:r>
      <w:r w:rsidR="00846F7C">
        <w:rPr>
          <w:lang w:eastAsia="ja-JP"/>
        </w:rPr>
        <w:t>:</w:t>
      </w:r>
      <w:r>
        <w:rPr>
          <w:lang w:eastAsia="ja-JP"/>
        </w:rPr>
        <w:t>1874–1890</w:t>
      </w:r>
      <w:r w:rsidR="00C40A40">
        <w:rPr>
          <w:lang w:eastAsia="ja-JP"/>
        </w:rPr>
        <w:t xml:space="preserve">, </w:t>
      </w:r>
      <w:r w:rsidR="002A0E99">
        <w:rPr>
          <w:lang w:eastAsia="ja-JP"/>
        </w:rPr>
        <w:t>doi:</w:t>
      </w:r>
      <w:r w:rsidRPr="00C40A40" w:rsidR="00C40A40">
        <w:rPr>
          <w:lang w:eastAsia="ja-JP"/>
        </w:rPr>
        <w:t>10.1111/j.1365-2427.2010.02422.x</w:t>
      </w:r>
      <w:r>
        <w:rPr>
          <w:lang w:eastAsia="ja-JP"/>
        </w:rPr>
        <w:t>.</w:t>
      </w:r>
    </w:p>
    <w:p w:rsidR="005B6FC0" w:rsidP="001B25CD" w14:paraId="280A7AA6" w14:textId="303C9222">
      <w:pPr>
        <w:rPr>
          <w:lang w:eastAsia="ja-JP"/>
        </w:rPr>
      </w:pPr>
      <w:r>
        <w:rPr>
          <w:lang w:eastAsia="ja-JP"/>
        </w:rPr>
        <w:t xml:space="preserve">Borcard D, Gillet F </w:t>
      </w:r>
      <w:r w:rsidR="003C60FB">
        <w:rPr>
          <w:lang w:eastAsia="ja-JP"/>
        </w:rPr>
        <w:t>and</w:t>
      </w:r>
      <w:r>
        <w:rPr>
          <w:lang w:eastAsia="ja-JP"/>
        </w:rPr>
        <w:t xml:space="preserve"> Legendre P </w:t>
      </w:r>
      <w:r w:rsidR="00846F7C">
        <w:rPr>
          <w:lang w:eastAsia="ja-JP"/>
        </w:rPr>
        <w:t>(</w:t>
      </w:r>
      <w:r>
        <w:rPr>
          <w:lang w:eastAsia="ja-JP"/>
        </w:rPr>
        <w:t>2011</w:t>
      </w:r>
      <w:r w:rsidR="00846F7C">
        <w:rPr>
          <w:lang w:eastAsia="ja-JP"/>
        </w:rPr>
        <w:t>)</w:t>
      </w:r>
      <w:r>
        <w:rPr>
          <w:lang w:eastAsia="ja-JP"/>
        </w:rPr>
        <w:t xml:space="preserve"> </w:t>
      </w:r>
      <w:r>
        <w:fldChar w:fldCharType="begin"/>
      </w:r>
      <w:r>
        <w:instrText xml:space="preserve"> HYPERLINK "https://doi.org/10.1007/978-1-4419-7976-6" </w:instrText>
      </w:r>
      <w:r>
        <w:fldChar w:fldCharType="separate"/>
      </w:r>
      <w:r w:rsidRPr="002A0E99">
        <w:rPr>
          <w:rStyle w:val="Hyperlink"/>
          <w:i/>
          <w:iCs/>
          <w:lang w:eastAsia="ja-JP"/>
        </w:rPr>
        <w:t xml:space="preserve">Numerical </w:t>
      </w:r>
      <w:r w:rsidRPr="002A0E99" w:rsidR="00846F7C">
        <w:rPr>
          <w:rStyle w:val="Hyperlink"/>
          <w:i/>
          <w:iCs/>
          <w:lang w:eastAsia="ja-JP"/>
        </w:rPr>
        <w:t>e</w:t>
      </w:r>
      <w:r w:rsidRPr="002A0E99">
        <w:rPr>
          <w:rStyle w:val="Hyperlink"/>
          <w:i/>
          <w:iCs/>
          <w:lang w:eastAsia="ja-JP"/>
        </w:rPr>
        <w:t>cology with R</w:t>
      </w:r>
      <w:r>
        <w:fldChar w:fldCharType="end"/>
      </w:r>
      <w:r w:rsidR="00846F7C">
        <w:rPr>
          <w:lang w:eastAsia="ja-JP"/>
        </w:rPr>
        <w:t>,</w:t>
      </w:r>
      <w:r>
        <w:rPr>
          <w:lang w:eastAsia="ja-JP"/>
        </w:rPr>
        <w:t xml:space="preserve"> Springer</w:t>
      </w:r>
      <w:r w:rsidR="002A0E99">
        <w:rPr>
          <w:lang w:eastAsia="ja-JP"/>
        </w:rPr>
        <w:t>,</w:t>
      </w:r>
      <w:r>
        <w:rPr>
          <w:lang w:eastAsia="ja-JP"/>
        </w:rPr>
        <w:t xml:space="preserve"> New York</w:t>
      </w:r>
      <w:r w:rsidR="002A0E99">
        <w:rPr>
          <w:lang w:eastAsia="ja-JP"/>
        </w:rPr>
        <w:t>, doi:</w:t>
      </w:r>
      <w:r w:rsidRPr="002A0E99" w:rsidR="002A0E99">
        <w:rPr>
          <w:lang w:eastAsia="ja-JP"/>
        </w:rPr>
        <w:t>10.1007/978-1-4419-7976-6</w:t>
      </w:r>
      <w:r>
        <w:rPr>
          <w:lang w:eastAsia="ja-JP"/>
        </w:rPr>
        <w:t>.</w:t>
      </w:r>
    </w:p>
    <w:p w:rsidR="005B6FC0" w:rsidP="001B25CD" w14:paraId="351004A7" w14:textId="060021FA">
      <w:pPr>
        <w:rPr>
          <w:lang w:eastAsia="ja-JP"/>
        </w:rPr>
      </w:pPr>
      <w:r>
        <w:rPr>
          <w:lang w:eastAsia="ja-JP"/>
        </w:rPr>
        <w:t xml:space="preserve">Brix KV, Toll JE, Tear LM, Deforest DK </w:t>
      </w:r>
      <w:r w:rsidR="003C60FB">
        <w:rPr>
          <w:lang w:eastAsia="ja-JP"/>
        </w:rPr>
        <w:t>and</w:t>
      </w:r>
      <w:r>
        <w:rPr>
          <w:lang w:eastAsia="ja-JP"/>
        </w:rPr>
        <w:t xml:space="preserve"> Adams WJ </w:t>
      </w:r>
      <w:r w:rsidR="00846F7C">
        <w:rPr>
          <w:lang w:eastAsia="ja-JP"/>
        </w:rPr>
        <w:t>(</w:t>
      </w:r>
      <w:r>
        <w:rPr>
          <w:lang w:eastAsia="ja-JP"/>
        </w:rPr>
        <w:t>2005</w:t>
      </w:r>
      <w:r w:rsidR="00846F7C">
        <w:rPr>
          <w:lang w:eastAsia="ja-JP"/>
        </w:rPr>
        <w:t>)</w:t>
      </w:r>
      <w:r>
        <w:rPr>
          <w:lang w:eastAsia="ja-JP"/>
        </w:rPr>
        <w:t xml:space="preserve"> </w:t>
      </w:r>
      <w:r w:rsidR="00846F7C">
        <w:rPr>
          <w:lang w:eastAsia="ja-JP"/>
        </w:rPr>
        <w:t>‘</w:t>
      </w:r>
      <w:r>
        <w:fldChar w:fldCharType="begin"/>
      </w:r>
      <w:r>
        <w:instrText xml:space="preserve"> HYPERLINK "https://doi.org/10.1897/03-471.1" </w:instrText>
      </w:r>
      <w:r>
        <w:fldChar w:fldCharType="separate"/>
      </w:r>
      <w:r w:rsidRPr="0073271A">
        <w:rPr>
          <w:rStyle w:val="Hyperlink"/>
          <w:lang w:eastAsia="ja-JP"/>
        </w:rPr>
        <w:t>Setting site-specific water-quality standards by using tissue residue thresholds and bioaccumulation data. Part 2. Calculating site-specific selenium water-quality standards for protecting fish and birds</w:t>
      </w:r>
      <w:r>
        <w:fldChar w:fldCharType="end"/>
      </w:r>
      <w:r w:rsidR="00846F7C">
        <w:rPr>
          <w:lang w:eastAsia="ja-JP"/>
        </w:rPr>
        <w:t>’,</w:t>
      </w:r>
      <w:r>
        <w:rPr>
          <w:lang w:eastAsia="ja-JP"/>
        </w:rPr>
        <w:t xml:space="preserve"> </w:t>
      </w:r>
      <w:r w:rsidRPr="00207AB6">
        <w:rPr>
          <w:rStyle w:val="Emphasis"/>
        </w:rPr>
        <w:t>Environmental Toxicology and Chemistry</w:t>
      </w:r>
      <w:r>
        <w:rPr>
          <w:lang w:eastAsia="ja-JP"/>
        </w:rPr>
        <w:t>, 24</w:t>
      </w:r>
      <w:r w:rsidR="00846F7C">
        <w:rPr>
          <w:lang w:eastAsia="ja-JP"/>
        </w:rPr>
        <w:t>:</w:t>
      </w:r>
      <w:r>
        <w:rPr>
          <w:lang w:eastAsia="ja-JP"/>
        </w:rPr>
        <w:t>231–237</w:t>
      </w:r>
      <w:r w:rsidR="00846F7C">
        <w:rPr>
          <w:lang w:eastAsia="ja-JP"/>
        </w:rPr>
        <w:t xml:space="preserve">, </w:t>
      </w:r>
      <w:r w:rsidRPr="00846F7C" w:rsidR="00846F7C">
        <w:rPr>
          <w:lang w:eastAsia="ja-JP"/>
        </w:rPr>
        <w:t>doi:10.1897/03-471.1</w:t>
      </w:r>
      <w:r>
        <w:rPr>
          <w:lang w:eastAsia="ja-JP"/>
        </w:rPr>
        <w:t>.</w:t>
      </w:r>
    </w:p>
    <w:p w:rsidR="00603FF3" w:rsidP="00603FF3" w14:paraId="1264D364" w14:textId="279A851C">
      <w:pPr>
        <w:rPr>
          <w:lang w:val="en-GB" w:eastAsia="ja-JP"/>
        </w:rPr>
      </w:pPr>
      <w:r w:rsidRPr="00603FF3">
        <w:rPr>
          <w:lang w:val="en-GB" w:eastAsia="ja-JP"/>
        </w:rPr>
        <w:t>Buchwalter DB, Clements WH</w:t>
      </w:r>
      <w:r>
        <w:rPr>
          <w:lang w:val="en-GB" w:eastAsia="ja-JP"/>
        </w:rPr>
        <w:t xml:space="preserve"> </w:t>
      </w:r>
      <w:r w:rsidR="003C60FB">
        <w:rPr>
          <w:lang w:val="en-GB" w:eastAsia="ja-JP"/>
        </w:rPr>
        <w:t>and</w:t>
      </w:r>
      <w:r>
        <w:rPr>
          <w:lang w:val="en-GB" w:eastAsia="ja-JP"/>
        </w:rPr>
        <w:t xml:space="preserve"> </w:t>
      </w:r>
      <w:r w:rsidRPr="00603FF3">
        <w:rPr>
          <w:lang w:val="en-GB" w:eastAsia="ja-JP"/>
        </w:rPr>
        <w:t xml:space="preserve">Luoma SN </w:t>
      </w:r>
      <w:r w:rsidR="00846F7C">
        <w:rPr>
          <w:lang w:val="en-GB" w:eastAsia="ja-JP"/>
        </w:rPr>
        <w:t>(</w:t>
      </w:r>
      <w:r w:rsidRPr="00603FF3">
        <w:rPr>
          <w:lang w:val="en-GB" w:eastAsia="ja-JP"/>
        </w:rPr>
        <w:t>2017</w:t>
      </w:r>
      <w:r w:rsidR="00846F7C">
        <w:rPr>
          <w:lang w:val="en-GB" w:eastAsia="ja-JP"/>
        </w:rPr>
        <w:t>)</w:t>
      </w:r>
      <w:r w:rsidRPr="00603FF3">
        <w:rPr>
          <w:lang w:val="en-GB" w:eastAsia="ja-JP"/>
        </w:rPr>
        <w:t xml:space="preserve"> </w:t>
      </w:r>
      <w:r w:rsidR="00846F7C">
        <w:rPr>
          <w:lang w:val="en-GB" w:eastAsia="ja-JP"/>
        </w:rPr>
        <w:t>‘</w:t>
      </w:r>
      <w:r>
        <w:fldChar w:fldCharType="begin"/>
      </w:r>
      <w:r>
        <w:instrText xml:space="preserve"> HYPERLINK "https://doi.org/10.1002/etc.3654" </w:instrText>
      </w:r>
      <w:r>
        <w:fldChar w:fldCharType="separate"/>
      </w:r>
      <w:r w:rsidRPr="000D2CB8">
        <w:rPr>
          <w:rStyle w:val="Hyperlink"/>
          <w:lang w:val="en-GB" w:eastAsia="ja-JP"/>
        </w:rPr>
        <w:t xml:space="preserve">Modernising water quality criteria in the United States: </w:t>
      </w:r>
      <w:r w:rsidRPr="000D2CB8" w:rsidR="00846F7C">
        <w:rPr>
          <w:rStyle w:val="Hyperlink"/>
          <w:lang w:val="en-GB" w:eastAsia="ja-JP"/>
        </w:rPr>
        <w:t>a</w:t>
      </w:r>
      <w:r w:rsidRPr="000D2CB8">
        <w:rPr>
          <w:rStyle w:val="Hyperlink"/>
          <w:lang w:val="en-GB" w:eastAsia="ja-JP"/>
        </w:rPr>
        <w:t xml:space="preserve"> need to expand the definition of acceptable data</w:t>
      </w:r>
      <w:r>
        <w:fldChar w:fldCharType="end"/>
      </w:r>
      <w:r w:rsidR="00846F7C">
        <w:rPr>
          <w:lang w:val="en-GB" w:eastAsia="ja-JP"/>
        </w:rPr>
        <w:t>’,</w:t>
      </w:r>
      <w:r w:rsidRPr="00603FF3">
        <w:rPr>
          <w:lang w:val="en-GB" w:eastAsia="ja-JP"/>
        </w:rPr>
        <w:t xml:space="preserve"> </w:t>
      </w:r>
      <w:r w:rsidRPr="00603FF3">
        <w:rPr>
          <w:i/>
          <w:iCs/>
          <w:lang w:val="en-GB" w:eastAsia="ja-JP"/>
        </w:rPr>
        <w:t>Environmental Toxicology and Chemistry</w:t>
      </w:r>
      <w:r>
        <w:rPr>
          <w:lang w:val="en-GB" w:eastAsia="ja-JP"/>
        </w:rPr>
        <w:t>,</w:t>
      </w:r>
      <w:r w:rsidRPr="00603FF3">
        <w:rPr>
          <w:lang w:val="en-GB" w:eastAsia="ja-JP"/>
        </w:rPr>
        <w:t xml:space="preserve"> 36</w:t>
      </w:r>
      <w:r w:rsidR="00846F7C">
        <w:rPr>
          <w:lang w:val="en-GB" w:eastAsia="ja-JP"/>
        </w:rPr>
        <w:t>:</w:t>
      </w:r>
      <w:r w:rsidRPr="00603FF3">
        <w:rPr>
          <w:lang w:val="en-GB" w:eastAsia="ja-JP"/>
        </w:rPr>
        <w:t>285–291</w:t>
      </w:r>
      <w:r w:rsidR="008C220E">
        <w:rPr>
          <w:lang w:val="en-GB" w:eastAsia="ja-JP"/>
        </w:rPr>
        <w:t xml:space="preserve">, </w:t>
      </w:r>
      <w:r w:rsidR="002A0E99">
        <w:rPr>
          <w:lang w:val="en-GB" w:eastAsia="ja-JP"/>
        </w:rPr>
        <w:t>doi:</w:t>
      </w:r>
      <w:r w:rsidRPr="008C220E" w:rsidR="008C220E">
        <w:rPr>
          <w:lang w:val="en-GB" w:eastAsia="ja-JP"/>
        </w:rPr>
        <w:t>10.1002/etc.3654</w:t>
      </w:r>
      <w:r w:rsidRPr="00603FF3">
        <w:rPr>
          <w:lang w:val="en-GB" w:eastAsia="ja-JP"/>
        </w:rPr>
        <w:t>.</w:t>
      </w:r>
    </w:p>
    <w:p w:rsidR="005B6FC0" w:rsidRPr="00D43AFA" w:rsidP="00D43AFA" w14:paraId="428F460C" w14:textId="41D6E473">
      <w:pPr>
        <w:rPr>
          <w:lang w:val="en-GB" w:eastAsia="ja-JP"/>
        </w:rPr>
      </w:pPr>
      <w:r w:rsidRPr="00D43AFA">
        <w:rPr>
          <w:lang w:val="en-GB" w:eastAsia="ja-JP"/>
        </w:rPr>
        <w:t xml:space="preserve">Burkhard LP </w:t>
      </w:r>
      <w:r w:rsidR="003C60FB">
        <w:rPr>
          <w:lang w:val="en-GB" w:eastAsia="ja-JP"/>
        </w:rPr>
        <w:t>and</w:t>
      </w:r>
      <w:r w:rsidRPr="00D43AFA">
        <w:rPr>
          <w:lang w:val="en-GB" w:eastAsia="ja-JP"/>
        </w:rPr>
        <w:t xml:space="preserve"> Ankley JL </w:t>
      </w:r>
      <w:r w:rsidR="00846F7C">
        <w:rPr>
          <w:lang w:val="en-GB" w:eastAsia="ja-JP"/>
        </w:rPr>
        <w:t>(</w:t>
      </w:r>
      <w:r w:rsidRPr="00D43AFA">
        <w:rPr>
          <w:lang w:val="en-GB" w:eastAsia="ja-JP"/>
        </w:rPr>
        <w:t>1989</w:t>
      </w:r>
      <w:r w:rsidR="00846F7C">
        <w:rPr>
          <w:lang w:val="en-GB" w:eastAsia="ja-JP"/>
        </w:rPr>
        <w:t>)</w:t>
      </w:r>
      <w:r w:rsidRPr="00D43AFA">
        <w:rPr>
          <w:lang w:val="en-GB" w:eastAsia="ja-JP"/>
        </w:rPr>
        <w:t xml:space="preserve"> </w:t>
      </w:r>
      <w:r w:rsidR="00846F7C">
        <w:rPr>
          <w:lang w:val="en-GB" w:eastAsia="ja-JP"/>
        </w:rPr>
        <w:t>‘</w:t>
      </w:r>
      <w:r>
        <w:fldChar w:fldCharType="begin"/>
      </w:r>
      <w:r>
        <w:instrText xml:space="preserve"> HYPERLINK "https://doi.org/10.1021/es00070a001" </w:instrText>
      </w:r>
      <w:r>
        <w:fldChar w:fldCharType="separate"/>
      </w:r>
      <w:r w:rsidRPr="000D2CB8">
        <w:rPr>
          <w:rStyle w:val="Hyperlink"/>
          <w:lang w:val="en-GB" w:eastAsia="ja-JP"/>
        </w:rPr>
        <w:t>Identifying toxicants: NETAC’s toxicity-based approach</w:t>
      </w:r>
      <w:r>
        <w:fldChar w:fldCharType="end"/>
      </w:r>
      <w:r w:rsidR="00846F7C">
        <w:rPr>
          <w:lang w:val="en-GB" w:eastAsia="ja-JP"/>
        </w:rPr>
        <w:t>’,</w:t>
      </w:r>
      <w:r w:rsidRPr="00D43AFA">
        <w:rPr>
          <w:lang w:val="en-GB" w:eastAsia="ja-JP"/>
        </w:rPr>
        <w:t xml:space="preserve"> </w:t>
      </w:r>
      <w:r w:rsidRPr="00F64596">
        <w:rPr>
          <w:rStyle w:val="Emphasis"/>
        </w:rPr>
        <w:t>Environmental Science and Technology</w:t>
      </w:r>
      <w:r>
        <w:rPr>
          <w:lang w:val="en-GB" w:eastAsia="ja-JP"/>
        </w:rPr>
        <w:t>,</w:t>
      </w:r>
      <w:r w:rsidRPr="00D43AFA">
        <w:rPr>
          <w:lang w:val="en-GB" w:eastAsia="ja-JP"/>
        </w:rPr>
        <w:t xml:space="preserve"> 23</w:t>
      </w:r>
      <w:r w:rsidR="00846F7C">
        <w:rPr>
          <w:lang w:val="en-GB" w:eastAsia="ja-JP"/>
        </w:rPr>
        <w:t>:</w:t>
      </w:r>
      <w:r w:rsidRPr="00D43AFA">
        <w:rPr>
          <w:lang w:val="en-GB" w:eastAsia="ja-JP"/>
        </w:rPr>
        <w:t>1438–1443</w:t>
      </w:r>
      <w:r w:rsidR="008C220E">
        <w:rPr>
          <w:lang w:val="en-GB" w:eastAsia="ja-JP"/>
        </w:rPr>
        <w:t xml:space="preserve">, </w:t>
      </w:r>
      <w:r w:rsidR="002A0E99">
        <w:rPr>
          <w:lang w:val="en-GB" w:eastAsia="ja-JP"/>
        </w:rPr>
        <w:t>doi:</w:t>
      </w:r>
      <w:r w:rsidRPr="008C220E" w:rsidR="008C220E">
        <w:rPr>
          <w:lang w:val="en-GB" w:eastAsia="ja-JP"/>
        </w:rPr>
        <w:t>10.1021/es00070a001</w:t>
      </w:r>
      <w:r w:rsidRPr="00D43AFA">
        <w:rPr>
          <w:lang w:val="en-GB" w:eastAsia="ja-JP"/>
        </w:rPr>
        <w:t>.</w:t>
      </w:r>
    </w:p>
    <w:p w:rsidR="005B6FC0" w:rsidP="001B25CD" w14:paraId="0D7F09DD" w14:textId="4F0CF556">
      <w:pPr>
        <w:rPr>
          <w:lang w:eastAsia="ja-JP"/>
        </w:rPr>
      </w:pPr>
      <w:r>
        <w:rPr>
          <w:lang w:eastAsia="ja-JP"/>
        </w:rPr>
        <w:t xml:space="preserve">Burrows RM, Fellman JB, Magierowski RH </w:t>
      </w:r>
      <w:r w:rsidR="003C60FB">
        <w:rPr>
          <w:lang w:eastAsia="ja-JP"/>
        </w:rPr>
        <w:t>and</w:t>
      </w:r>
      <w:r>
        <w:rPr>
          <w:lang w:eastAsia="ja-JP"/>
        </w:rPr>
        <w:t xml:space="preserve"> Barmuta LA </w:t>
      </w:r>
      <w:r w:rsidR="00AC74AB">
        <w:rPr>
          <w:lang w:eastAsia="ja-JP"/>
        </w:rPr>
        <w:t>(</w:t>
      </w:r>
      <w:r>
        <w:rPr>
          <w:lang w:eastAsia="ja-JP"/>
        </w:rPr>
        <w:t>2013</w:t>
      </w:r>
      <w:r w:rsidR="00AC74AB">
        <w:rPr>
          <w:lang w:eastAsia="ja-JP"/>
        </w:rPr>
        <w:t>)</w:t>
      </w:r>
      <w:r>
        <w:rPr>
          <w:lang w:eastAsia="ja-JP"/>
        </w:rPr>
        <w:t xml:space="preserve"> </w:t>
      </w:r>
      <w:r w:rsidR="00AC74AB">
        <w:rPr>
          <w:lang w:eastAsia="ja-JP"/>
        </w:rPr>
        <w:t>‘</w:t>
      </w:r>
      <w:r>
        <w:fldChar w:fldCharType="begin"/>
      </w:r>
      <w:r>
        <w:instrText xml:space="preserve"> HYPERLINK "https://doi.org/10.1007/s10750-012-1332-5" </w:instrText>
      </w:r>
      <w:r>
        <w:fldChar w:fldCharType="separate"/>
      </w:r>
      <w:r w:rsidRPr="000D2CB8">
        <w:rPr>
          <w:rStyle w:val="Hyperlink"/>
          <w:lang w:eastAsia="ja-JP"/>
        </w:rPr>
        <w:t>Greater phosphorus uptake in forested headwater streams modified by clearfell forestry</w:t>
      </w:r>
      <w:r>
        <w:fldChar w:fldCharType="end"/>
      </w:r>
      <w:r w:rsidR="00AC74AB">
        <w:rPr>
          <w:lang w:eastAsia="ja-JP"/>
        </w:rPr>
        <w:t>’,</w:t>
      </w:r>
      <w:r>
        <w:rPr>
          <w:lang w:eastAsia="ja-JP"/>
        </w:rPr>
        <w:t xml:space="preserve"> </w:t>
      </w:r>
      <w:r w:rsidRPr="00C83954">
        <w:rPr>
          <w:rStyle w:val="Emphasis"/>
        </w:rPr>
        <w:t>Hydrobiologia</w:t>
      </w:r>
      <w:r>
        <w:rPr>
          <w:lang w:eastAsia="ja-JP"/>
        </w:rPr>
        <w:t>, 703</w:t>
      </w:r>
      <w:r w:rsidR="00AC74AB">
        <w:rPr>
          <w:lang w:eastAsia="ja-JP"/>
        </w:rPr>
        <w:t>:</w:t>
      </w:r>
      <w:r>
        <w:rPr>
          <w:lang w:eastAsia="ja-JP"/>
        </w:rPr>
        <w:t>1–14</w:t>
      </w:r>
      <w:r w:rsidR="008C220E">
        <w:rPr>
          <w:lang w:eastAsia="ja-JP"/>
        </w:rPr>
        <w:t xml:space="preserve">, </w:t>
      </w:r>
      <w:r w:rsidR="002A0E99">
        <w:rPr>
          <w:lang w:eastAsia="ja-JP"/>
        </w:rPr>
        <w:t>doi:</w:t>
      </w:r>
      <w:r w:rsidRPr="008C220E" w:rsidR="008C220E">
        <w:rPr>
          <w:lang w:eastAsia="ja-JP"/>
        </w:rPr>
        <w:t>10.1007/s10750-012-1332-5</w:t>
      </w:r>
      <w:r>
        <w:rPr>
          <w:lang w:eastAsia="ja-JP"/>
        </w:rPr>
        <w:t>.</w:t>
      </w:r>
    </w:p>
    <w:p w:rsidR="005B6FC0" w:rsidP="001B25CD" w14:paraId="5DAA0C0B" w14:textId="7663B173">
      <w:pPr>
        <w:rPr>
          <w:lang w:eastAsia="ja-JP"/>
        </w:rPr>
      </w:pPr>
      <w:r>
        <w:rPr>
          <w:lang w:eastAsia="ja-JP"/>
        </w:rPr>
        <w:t xml:space="preserve">Carew ME, Pettigrove VJ, Metzeling L </w:t>
      </w:r>
      <w:r w:rsidR="003C60FB">
        <w:rPr>
          <w:lang w:eastAsia="ja-JP"/>
        </w:rPr>
        <w:t>and</w:t>
      </w:r>
      <w:r>
        <w:rPr>
          <w:lang w:eastAsia="ja-JP"/>
        </w:rPr>
        <w:t xml:space="preserve"> Hoffmann AA </w:t>
      </w:r>
      <w:r w:rsidR="00AC74AB">
        <w:rPr>
          <w:lang w:eastAsia="ja-JP"/>
        </w:rPr>
        <w:t>(</w:t>
      </w:r>
      <w:r>
        <w:rPr>
          <w:lang w:eastAsia="ja-JP"/>
        </w:rPr>
        <w:t>2013</w:t>
      </w:r>
      <w:r w:rsidR="00AC74AB">
        <w:rPr>
          <w:lang w:eastAsia="ja-JP"/>
        </w:rPr>
        <w:t>)</w:t>
      </w:r>
      <w:r>
        <w:rPr>
          <w:lang w:eastAsia="ja-JP"/>
        </w:rPr>
        <w:t xml:space="preserve"> </w:t>
      </w:r>
      <w:r w:rsidR="00AC74AB">
        <w:rPr>
          <w:lang w:eastAsia="ja-JP"/>
        </w:rPr>
        <w:t>‘</w:t>
      </w:r>
      <w:r>
        <w:fldChar w:fldCharType="begin"/>
      </w:r>
      <w:r>
        <w:instrText xml:space="preserve"> HYPERLINK "https://doi.org/10.1186/1742-9994-10-45" </w:instrText>
      </w:r>
      <w:r>
        <w:fldChar w:fldCharType="separate"/>
      </w:r>
      <w:r w:rsidRPr="000D2CB8">
        <w:rPr>
          <w:rStyle w:val="Hyperlink"/>
          <w:lang w:eastAsia="ja-JP"/>
        </w:rPr>
        <w:t xml:space="preserve">Environmental monitoring using next generation sequencing: </w:t>
      </w:r>
      <w:r w:rsidRPr="000D2CB8" w:rsidR="00AC74AB">
        <w:rPr>
          <w:rStyle w:val="Hyperlink"/>
          <w:lang w:eastAsia="ja-JP"/>
        </w:rPr>
        <w:t>r</w:t>
      </w:r>
      <w:r w:rsidRPr="000D2CB8">
        <w:rPr>
          <w:rStyle w:val="Hyperlink"/>
          <w:lang w:eastAsia="ja-JP"/>
        </w:rPr>
        <w:t>apid identification of macroinvertebrate bioindicator species</w:t>
      </w:r>
      <w:r>
        <w:fldChar w:fldCharType="end"/>
      </w:r>
      <w:r w:rsidR="00AC74AB">
        <w:rPr>
          <w:lang w:eastAsia="ja-JP"/>
        </w:rPr>
        <w:t>’,</w:t>
      </w:r>
      <w:r>
        <w:rPr>
          <w:lang w:eastAsia="ja-JP"/>
        </w:rPr>
        <w:t xml:space="preserve"> </w:t>
      </w:r>
      <w:r w:rsidRPr="00EA3F83">
        <w:rPr>
          <w:rStyle w:val="Emphasis"/>
        </w:rPr>
        <w:t>Frontiers in Zoology</w:t>
      </w:r>
      <w:r>
        <w:rPr>
          <w:lang w:eastAsia="ja-JP"/>
        </w:rPr>
        <w:t>, 10</w:t>
      </w:r>
      <w:r w:rsidR="00AC74AB">
        <w:rPr>
          <w:lang w:eastAsia="ja-JP"/>
        </w:rPr>
        <w:t>:</w:t>
      </w:r>
      <w:r>
        <w:rPr>
          <w:lang w:eastAsia="ja-JP"/>
        </w:rPr>
        <w:t>45</w:t>
      </w:r>
      <w:r w:rsidR="008C220E">
        <w:rPr>
          <w:lang w:eastAsia="ja-JP"/>
        </w:rPr>
        <w:t xml:space="preserve">, </w:t>
      </w:r>
      <w:r w:rsidR="002A0E99">
        <w:rPr>
          <w:lang w:eastAsia="ja-JP"/>
        </w:rPr>
        <w:t>doi:</w:t>
      </w:r>
      <w:r w:rsidRPr="008C220E" w:rsidR="008C220E">
        <w:rPr>
          <w:lang w:eastAsia="ja-JP"/>
        </w:rPr>
        <w:t>10.1186/1742-9994-10-45</w:t>
      </w:r>
      <w:r>
        <w:rPr>
          <w:lang w:eastAsia="ja-JP"/>
        </w:rPr>
        <w:t>.</w:t>
      </w:r>
    </w:p>
    <w:p w:rsidR="005B6FC0" w:rsidP="001B25CD" w14:paraId="5F9CFB01" w14:textId="690E9979">
      <w:pPr>
        <w:rPr>
          <w:lang w:eastAsia="ja-JP"/>
        </w:rPr>
      </w:pPr>
      <w:r>
        <w:rPr>
          <w:lang w:eastAsia="ja-JP"/>
        </w:rPr>
        <w:t xml:space="preserve">Cedergreen N </w:t>
      </w:r>
      <w:r w:rsidR="00AC74AB">
        <w:rPr>
          <w:lang w:eastAsia="ja-JP"/>
        </w:rPr>
        <w:t>(</w:t>
      </w:r>
      <w:r>
        <w:rPr>
          <w:lang w:eastAsia="ja-JP"/>
        </w:rPr>
        <w:t>2014</w:t>
      </w:r>
      <w:r w:rsidR="00AC74AB">
        <w:rPr>
          <w:lang w:eastAsia="ja-JP"/>
        </w:rPr>
        <w:t>)</w:t>
      </w:r>
      <w:r>
        <w:rPr>
          <w:lang w:eastAsia="ja-JP"/>
        </w:rPr>
        <w:t xml:space="preserve"> </w:t>
      </w:r>
      <w:r w:rsidR="00AC74AB">
        <w:rPr>
          <w:lang w:eastAsia="ja-JP"/>
        </w:rPr>
        <w:t>‘</w:t>
      </w:r>
      <w:r>
        <w:fldChar w:fldCharType="begin"/>
      </w:r>
      <w:r>
        <w:instrText xml:space="preserve"> HYPERLINK "https://doi.org/10.1371/journal.pone.0096580" </w:instrText>
      </w:r>
      <w:r>
        <w:fldChar w:fldCharType="separate"/>
      </w:r>
      <w:r w:rsidRPr="000D2CB8">
        <w:rPr>
          <w:rStyle w:val="Hyperlink"/>
          <w:lang w:eastAsia="ja-JP"/>
        </w:rPr>
        <w:t xml:space="preserve">Quantifying </w:t>
      </w:r>
      <w:r w:rsidRPr="000D2CB8" w:rsidR="00AC74AB">
        <w:rPr>
          <w:rStyle w:val="Hyperlink"/>
          <w:lang w:eastAsia="ja-JP"/>
        </w:rPr>
        <w:t>s</w:t>
      </w:r>
      <w:r w:rsidRPr="000D2CB8">
        <w:rPr>
          <w:rStyle w:val="Hyperlink"/>
          <w:lang w:eastAsia="ja-JP"/>
        </w:rPr>
        <w:t xml:space="preserve">ynergy: </w:t>
      </w:r>
      <w:r w:rsidRPr="000D2CB8" w:rsidR="00AC74AB">
        <w:rPr>
          <w:rStyle w:val="Hyperlink"/>
          <w:lang w:eastAsia="ja-JP"/>
        </w:rPr>
        <w:t>a</w:t>
      </w:r>
      <w:r w:rsidRPr="000D2CB8">
        <w:rPr>
          <w:rStyle w:val="Hyperlink"/>
          <w:lang w:eastAsia="ja-JP"/>
        </w:rPr>
        <w:t xml:space="preserve"> </w:t>
      </w:r>
      <w:r w:rsidRPr="000D2CB8" w:rsidR="00AC74AB">
        <w:rPr>
          <w:rStyle w:val="Hyperlink"/>
          <w:lang w:eastAsia="ja-JP"/>
        </w:rPr>
        <w:t>s</w:t>
      </w:r>
      <w:r w:rsidRPr="000D2CB8">
        <w:rPr>
          <w:rStyle w:val="Hyperlink"/>
          <w:lang w:eastAsia="ja-JP"/>
        </w:rPr>
        <w:t xml:space="preserve">ystematic </w:t>
      </w:r>
      <w:r w:rsidRPr="000D2CB8" w:rsidR="00AC74AB">
        <w:rPr>
          <w:rStyle w:val="Hyperlink"/>
          <w:lang w:eastAsia="ja-JP"/>
        </w:rPr>
        <w:t>r</w:t>
      </w:r>
      <w:r w:rsidRPr="000D2CB8">
        <w:rPr>
          <w:rStyle w:val="Hyperlink"/>
          <w:lang w:eastAsia="ja-JP"/>
        </w:rPr>
        <w:t xml:space="preserve">eview of </w:t>
      </w:r>
      <w:r w:rsidRPr="000D2CB8" w:rsidR="00AC74AB">
        <w:rPr>
          <w:rStyle w:val="Hyperlink"/>
          <w:lang w:eastAsia="ja-JP"/>
        </w:rPr>
        <w:t>m</w:t>
      </w:r>
      <w:r w:rsidRPr="000D2CB8">
        <w:rPr>
          <w:rStyle w:val="Hyperlink"/>
          <w:lang w:eastAsia="ja-JP"/>
        </w:rPr>
        <w:t xml:space="preserve">ixture </w:t>
      </w:r>
      <w:r w:rsidRPr="000D2CB8" w:rsidR="00AC74AB">
        <w:rPr>
          <w:rStyle w:val="Hyperlink"/>
          <w:lang w:eastAsia="ja-JP"/>
        </w:rPr>
        <w:t>t</w:t>
      </w:r>
      <w:r w:rsidRPr="000D2CB8">
        <w:rPr>
          <w:rStyle w:val="Hyperlink"/>
          <w:lang w:eastAsia="ja-JP"/>
        </w:rPr>
        <w:t xml:space="preserve">oxicity </w:t>
      </w:r>
      <w:r w:rsidRPr="000D2CB8" w:rsidR="00AC74AB">
        <w:rPr>
          <w:rStyle w:val="Hyperlink"/>
          <w:lang w:eastAsia="ja-JP"/>
        </w:rPr>
        <w:t>s</w:t>
      </w:r>
      <w:r w:rsidRPr="000D2CB8">
        <w:rPr>
          <w:rStyle w:val="Hyperlink"/>
          <w:lang w:eastAsia="ja-JP"/>
        </w:rPr>
        <w:t xml:space="preserve">tudies within </w:t>
      </w:r>
      <w:r w:rsidRPr="000D2CB8" w:rsidR="00AC74AB">
        <w:rPr>
          <w:rStyle w:val="Hyperlink"/>
          <w:lang w:eastAsia="ja-JP"/>
        </w:rPr>
        <w:t>e</w:t>
      </w:r>
      <w:r w:rsidRPr="000D2CB8">
        <w:rPr>
          <w:rStyle w:val="Hyperlink"/>
          <w:lang w:eastAsia="ja-JP"/>
        </w:rPr>
        <w:t xml:space="preserve">nvironmental </w:t>
      </w:r>
      <w:r w:rsidRPr="000D2CB8" w:rsidR="00AC74AB">
        <w:rPr>
          <w:rStyle w:val="Hyperlink"/>
          <w:lang w:eastAsia="ja-JP"/>
        </w:rPr>
        <w:t>t</w:t>
      </w:r>
      <w:r w:rsidRPr="000D2CB8">
        <w:rPr>
          <w:rStyle w:val="Hyperlink"/>
          <w:lang w:eastAsia="ja-JP"/>
        </w:rPr>
        <w:t>oxicology</w:t>
      </w:r>
      <w:r>
        <w:fldChar w:fldCharType="end"/>
      </w:r>
      <w:r w:rsidR="00AC74AB">
        <w:rPr>
          <w:lang w:eastAsia="ja-JP"/>
        </w:rPr>
        <w:t>’,</w:t>
      </w:r>
      <w:r>
        <w:rPr>
          <w:lang w:eastAsia="ja-JP"/>
        </w:rPr>
        <w:t xml:space="preserve"> </w:t>
      </w:r>
      <w:r w:rsidRPr="00EA3F83">
        <w:rPr>
          <w:rStyle w:val="Emphasis"/>
        </w:rPr>
        <w:t>PL</w:t>
      </w:r>
      <w:r w:rsidR="00AC74AB">
        <w:rPr>
          <w:rStyle w:val="Emphasis"/>
        </w:rPr>
        <w:t>o</w:t>
      </w:r>
      <w:r w:rsidRPr="00EA3F83">
        <w:rPr>
          <w:rStyle w:val="Emphasis"/>
        </w:rPr>
        <w:t>S ONE</w:t>
      </w:r>
      <w:r w:rsidR="00AC74AB">
        <w:rPr>
          <w:rStyle w:val="Emphasis"/>
        </w:rPr>
        <w:t>,</w:t>
      </w:r>
      <w:r w:rsidRPr="00EA3F83">
        <w:rPr>
          <w:rStyle w:val="Emphasis"/>
        </w:rPr>
        <w:t xml:space="preserve"> </w:t>
      </w:r>
      <w:r w:rsidRPr="00AC74AB">
        <w:rPr>
          <w:rStyle w:val="Emphasis"/>
          <w:i w:val="0"/>
          <w:iCs w:val="0"/>
        </w:rPr>
        <w:t>9</w:t>
      </w:r>
      <w:r w:rsidR="00AC74AB">
        <w:rPr>
          <w:lang w:eastAsia="ja-JP"/>
        </w:rPr>
        <w:t>(5):</w:t>
      </w:r>
      <w:r>
        <w:rPr>
          <w:lang w:eastAsia="ja-JP"/>
        </w:rPr>
        <w:t>e96580</w:t>
      </w:r>
      <w:r w:rsidR="00AC74AB">
        <w:rPr>
          <w:lang w:eastAsia="ja-JP"/>
        </w:rPr>
        <w:t>, doi:</w:t>
      </w:r>
      <w:r w:rsidRPr="00AC74AB" w:rsidR="00AC74AB">
        <w:rPr>
          <w:lang w:eastAsia="ja-JP"/>
        </w:rPr>
        <w:t>10.1371/journal.pone.0096580</w:t>
      </w:r>
      <w:r>
        <w:rPr>
          <w:lang w:eastAsia="ja-JP"/>
        </w:rPr>
        <w:t>.</w:t>
      </w:r>
    </w:p>
    <w:p w:rsidR="005B6FC0" w:rsidRPr="00313D34" w:rsidP="006E2389" w14:paraId="24563C9E" w14:textId="11BBA978">
      <w:pPr>
        <w:rPr>
          <w:lang w:val="en-GB"/>
        </w:rPr>
      </w:pPr>
      <w:r w:rsidRPr="00313D34">
        <w:rPr>
          <w:lang w:val="en-GB"/>
        </w:rPr>
        <w:t xml:space="preserve">Chapman JC </w:t>
      </w:r>
      <w:r w:rsidR="00AC74AB">
        <w:rPr>
          <w:lang w:val="en-GB"/>
        </w:rPr>
        <w:t>(</w:t>
      </w:r>
      <w:r w:rsidRPr="00313D34">
        <w:rPr>
          <w:lang w:val="en-GB"/>
        </w:rPr>
        <w:t>1995</w:t>
      </w:r>
      <w:r w:rsidR="00AC74AB">
        <w:rPr>
          <w:lang w:val="en-GB"/>
        </w:rPr>
        <w:t>)</w:t>
      </w:r>
      <w:r w:rsidRPr="00313D34">
        <w:rPr>
          <w:lang w:val="en-GB"/>
        </w:rPr>
        <w:t xml:space="preserve"> </w:t>
      </w:r>
      <w:r w:rsidR="00AC74AB">
        <w:rPr>
          <w:lang w:val="en-GB"/>
        </w:rPr>
        <w:t>‘</w:t>
      </w:r>
      <w:r>
        <w:fldChar w:fldCharType="begin"/>
      </w:r>
      <w:r>
        <w:instrText xml:space="preserve"> HYPERLINK "https://doi.org/10.1111/j.1442-9993.1995.tb00518.x" </w:instrText>
      </w:r>
      <w:r>
        <w:fldChar w:fldCharType="separate"/>
      </w:r>
      <w:r w:rsidRPr="000D2CB8">
        <w:rPr>
          <w:rStyle w:val="Hyperlink"/>
          <w:lang w:val="en-GB"/>
        </w:rPr>
        <w:t>The role of ecotoxicity testing in assessing water quality</w:t>
      </w:r>
      <w:r>
        <w:fldChar w:fldCharType="end"/>
      </w:r>
      <w:r w:rsidR="00AC74AB">
        <w:rPr>
          <w:lang w:val="en-GB"/>
        </w:rPr>
        <w:t>’,</w:t>
      </w:r>
      <w:r w:rsidRPr="00313D34">
        <w:rPr>
          <w:lang w:val="en-GB"/>
        </w:rPr>
        <w:t xml:space="preserve"> </w:t>
      </w:r>
      <w:r w:rsidRPr="00F64596">
        <w:rPr>
          <w:rStyle w:val="Emphasis"/>
        </w:rPr>
        <w:t>Australian Journal of Ecology</w:t>
      </w:r>
      <w:r>
        <w:rPr>
          <w:iCs/>
          <w:lang w:val="en-GB"/>
        </w:rPr>
        <w:t>,</w:t>
      </w:r>
      <w:r w:rsidRPr="00313D34">
        <w:rPr>
          <w:lang w:val="en-GB"/>
        </w:rPr>
        <w:t xml:space="preserve"> 20</w:t>
      </w:r>
      <w:r w:rsidR="00AC74AB">
        <w:rPr>
          <w:lang w:val="en-GB"/>
        </w:rPr>
        <w:t>:</w:t>
      </w:r>
      <w:r w:rsidRPr="00313D34">
        <w:rPr>
          <w:lang w:val="en-GB"/>
        </w:rPr>
        <w:t>20−27</w:t>
      </w:r>
      <w:r w:rsidR="008C220E">
        <w:rPr>
          <w:lang w:val="en-GB"/>
        </w:rPr>
        <w:t xml:space="preserve">, </w:t>
      </w:r>
      <w:r w:rsidR="002A0E99">
        <w:rPr>
          <w:lang w:val="en-GB"/>
        </w:rPr>
        <w:t>doi:</w:t>
      </w:r>
      <w:r w:rsidRPr="008C220E" w:rsidR="008C220E">
        <w:rPr>
          <w:lang w:val="en-GB"/>
        </w:rPr>
        <w:t>10.1111/j.1442-9993.1995.tb00518.x</w:t>
      </w:r>
      <w:r w:rsidRPr="00313D34">
        <w:rPr>
          <w:lang w:val="en-GB"/>
        </w:rPr>
        <w:t>.</w:t>
      </w:r>
    </w:p>
    <w:p w:rsidR="005B6FC0" w:rsidRPr="00313D34" w:rsidP="006E2389" w14:paraId="1B60386A" w14:textId="767C35A5">
      <w:pPr>
        <w:rPr>
          <w:lang w:val="en-GB"/>
        </w:rPr>
      </w:pPr>
      <w:r w:rsidRPr="00313D34">
        <w:rPr>
          <w:lang w:val="en-GB"/>
        </w:rPr>
        <w:t xml:space="preserve">Chapman PM </w:t>
      </w:r>
      <w:r w:rsidR="00AC74AB">
        <w:rPr>
          <w:lang w:val="en-GB"/>
        </w:rPr>
        <w:t>(</w:t>
      </w:r>
      <w:r w:rsidRPr="00313D34">
        <w:rPr>
          <w:lang w:val="en-GB"/>
        </w:rPr>
        <w:t>2000</w:t>
      </w:r>
      <w:r w:rsidR="00AC74AB">
        <w:rPr>
          <w:lang w:val="en-GB"/>
        </w:rPr>
        <w:t>)</w:t>
      </w:r>
      <w:r w:rsidRPr="00313D34">
        <w:rPr>
          <w:lang w:val="en-GB"/>
        </w:rPr>
        <w:t xml:space="preserve"> </w:t>
      </w:r>
      <w:r w:rsidR="00AC74AB">
        <w:rPr>
          <w:lang w:val="en-GB"/>
        </w:rPr>
        <w:t>‘</w:t>
      </w:r>
      <w:r>
        <w:fldChar w:fldCharType="begin"/>
      </w:r>
      <w:r>
        <w:instrText xml:space="preserve"> HYPERLINK "https://doi.org/10.1002/etc.5620190102" </w:instrText>
      </w:r>
      <w:r>
        <w:fldChar w:fldCharType="separate"/>
      </w:r>
      <w:r w:rsidRPr="00782383">
        <w:rPr>
          <w:rStyle w:val="Hyperlink"/>
          <w:lang w:val="en-GB"/>
        </w:rPr>
        <w:t>Whole effluent toxicity (WET) testing — usefulness, level of protection and risk assessment</w:t>
      </w:r>
      <w:r>
        <w:fldChar w:fldCharType="end"/>
      </w:r>
      <w:r w:rsidR="00AC74AB">
        <w:rPr>
          <w:lang w:val="en-GB"/>
        </w:rPr>
        <w:t>’,</w:t>
      </w:r>
      <w:r w:rsidRPr="00313D34">
        <w:rPr>
          <w:lang w:val="en-GB"/>
        </w:rPr>
        <w:t xml:space="preserve"> </w:t>
      </w:r>
      <w:r w:rsidRPr="00805BD9">
        <w:rPr>
          <w:rStyle w:val="Emphasis"/>
        </w:rPr>
        <w:t>Environmental Toxicology and Chemistry</w:t>
      </w:r>
      <w:r>
        <w:rPr>
          <w:lang w:val="en-GB"/>
        </w:rPr>
        <w:t>,</w:t>
      </w:r>
      <w:r w:rsidRPr="00313D34">
        <w:rPr>
          <w:lang w:val="en-GB"/>
        </w:rPr>
        <w:t xml:space="preserve"> 19</w:t>
      </w:r>
      <w:r w:rsidR="00AC74AB">
        <w:rPr>
          <w:lang w:val="en-GB"/>
        </w:rPr>
        <w:t>:</w:t>
      </w:r>
      <w:r w:rsidRPr="00313D34">
        <w:rPr>
          <w:lang w:val="en-GB"/>
        </w:rPr>
        <w:t>3–13</w:t>
      </w:r>
      <w:r w:rsidR="008C220E">
        <w:rPr>
          <w:lang w:val="en-GB"/>
        </w:rPr>
        <w:t xml:space="preserve">, </w:t>
      </w:r>
      <w:r w:rsidR="002A0E99">
        <w:rPr>
          <w:lang w:val="en-GB"/>
        </w:rPr>
        <w:t>doi:</w:t>
      </w:r>
      <w:r w:rsidRPr="008C220E" w:rsidR="008C220E">
        <w:rPr>
          <w:lang w:val="en-GB"/>
        </w:rPr>
        <w:t>10.1002/etc.5620190102</w:t>
      </w:r>
      <w:r w:rsidRPr="00313D34">
        <w:rPr>
          <w:lang w:val="en-GB"/>
        </w:rPr>
        <w:t>.</w:t>
      </w:r>
    </w:p>
    <w:p w:rsidR="005B6FC0" w:rsidRPr="00313D34" w:rsidP="006E2389" w14:paraId="55610B21" w14:textId="257455B1">
      <w:pPr>
        <w:rPr>
          <w:lang w:val="en-GB"/>
        </w:rPr>
      </w:pPr>
      <w:r w:rsidRPr="00313D34">
        <w:rPr>
          <w:lang w:val="en-GB"/>
        </w:rPr>
        <w:t xml:space="preserve">Chapman PM, Fairbrother A </w:t>
      </w:r>
      <w:r w:rsidR="003C60FB">
        <w:rPr>
          <w:lang w:val="en-GB"/>
        </w:rPr>
        <w:t>and</w:t>
      </w:r>
      <w:r w:rsidRPr="00313D34">
        <w:rPr>
          <w:lang w:val="en-GB"/>
        </w:rPr>
        <w:t xml:space="preserve"> Brown D </w:t>
      </w:r>
      <w:r w:rsidR="00AC74AB">
        <w:rPr>
          <w:lang w:val="en-GB"/>
        </w:rPr>
        <w:t>(</w:t>
      </w:r>
      <w:r w:rsidRPr="00313D34">
        <w:rPr>
          <w:lang w:val="en-GB"/>
        </w:rPr>
        <w:t>1998</w:t>
      </w:r>
      <w:r w:rsidR="00AC74AB">
        <w:rPr>
          <w:lang w:val="en-GB"/>
        </w:rPr>
        <w:t>)</w:t>
      </w:r>
      <w:r w:rsidRPr="00313D34">
        <w:rPr>
          <w:lang w:val="en-GB"/>
        </w:rPr>
        <w:t xml:space="preserve"> </w:t>
      </w:r>
      <w:r w:rsidR="00AC74AB">
        <w:rPr>
          <w:lang w:val="en-GB"/>
        </w:rPr>
        <w:t>‘</w:t>
      </w:r>
      <w:r>
        <w:fldChar w:fldCharType="begin"/>
      </w:r>
      <w:r>
        <w:instrText xml:space="preserve"> HYPERLINK "https://doi.org/10.1002/etc.5620170112" </w:instrText>
      </w:r>
      <w:r>
        <w:fldChar w:fldCharType="separate"/>
      </w:r>
      <w:r w:rsidRPr="00782383">
        <w:rPr>
          <w:rStyle w:val="Hyperlink"/>
          <w:lang w:val="en-GB"/>
        </w:rPr>
        <w:t>A critical evaluation of safety (uncertainty) factors for ecological risk assessment</w:t>
      </w:r>
      <w:r>
        <w:fldChar w:fldCharType="end"/>
      </w:r>
      <w:r w:rsidR="00AC74AB">
        <w:rPr>
          <w:lang w:val="en-GB"/>
        </w:rPr>
        <w:t>’,</w:t>
      </w:r>
      <w:r w:rsidRPr="00313D34">
        <w:rPr>
          <w:lang w:val="en-GB"/>
        </w:rPr>
        <w:t xml:space="preserve"> </w:t>
      </w:r>
      <w:r w:rsidRPr="00805BD9">
        <w:rPr>
          <w:rStyle w:val="Emphasis"/>
        </w:rPr>
        <w:t xml:space="preserve">Environmental Toxicology </w:t>
      </w:r>
      <w:r>
        <w:rPr>
          <w:rStyle w:val="Emphasis"/>
        </w:rPr>
        <w:t xml:space="preserve">and </w:t>
      </w:r>
      <w:r w:rsidRPr="00805BD9">
        <w:rPr>
          <w:rStyle w:val="Emphasis"/>
        </w:rPr>
        <w:t>Chemistry</w:t>
      </w:r>
      <w:r>
        <w:rPr>
          <w:lang w:val="en-GB"/>
        </w:rPr>
        <w:t>,</w:t>
      </w:r>
      <w:r w:rsidRPr="00313D34">
        <w:rPr>
          <w:lang w:val="en-GB"/>
        </w:rPr>
        <w:t xml:space="preserve"> 17</w:t>
      </w:r>
      <w:r w:rsidR="00AC74AB">
        <w:rPr>
          <w:lang w:val="en-GB"/>
        </w:rPr>
        <w:t>:</w:t>
      </w:r>
      <w:r w:rsidRPr="00313D34">
        <w:rPr>
          <w:lang w:val="en-GB"/>
        </w:rPr>
        <w:t>99–108</w:t>
      </w:r>
      <w:r w:rsidR="008C220E">
        <w:rPr>
          <w:lang w:val="en-GB"/>
        </w:rPr>
        <w:t xml:space="preserve">, </w:t>
      </w:r>
      <w:r w:rsidR="002A0E99">
        <w:rPr>
          <w:lang w:val="en-GB"/>
        </w:rPr>
        <w:t>doi:</w:t>
      </w:r>
      <w:r w:rsidRPr="008C220E" w:rsidR="008C220E">
        <w:rPr>
          <w:lang w:val="en-GB"/>
        </w:rPr>
        <w:t>10.1002/etc.5620170112</w:t>
      </w:r>
      <w:r>
        <w:rPr>
          <w:lang w:val="en-GB"/>
        </w:rPr>
        <w:t>.</w:t>
      </w:r>
    </w:p>
    <w:p w:rsidR="005B6FC0" w:rsidP="001B25CD" w14:paraId="06F4DBEA" w14:textId="489C572A">
      <w:pPr>
        <w:rPr>
          <w:lang w:eastAsia="ja-JP"/>
        </w:rPr>
      </w:pPr>
      <w:r>
        <w:rPr>
          <w:lang w:eastAsia="ja-JP"/>
        </w:rPr>
        <w:t xml:space="preserve">Chariton AA, Ho KT, Proestou D, Bik HM, Simpson SL, Portis LM, Cantwell MG, Baguley JG, Burgess RM, Pelletier MM, Perron M, Gunsch C </w:t>
      </w:r>
      <w:r w:rsidR="003C60FB">
        <w:rPr>
          <w:lang w:eastAsia="ja-JP"/>
        </w:rPr>
        <w:t>and</w:t>
      </w:r>
      <w:r>
        <w:rPr>
          <w:lang w:eastAsia="ja-JP"/>
        </w:rPr>
        <w:t xml:space="preserve"> Matthews RA </w:t>
      </w:r>
      <w:r w:rsidR="00AC74AB">
        <w:rPr>
          <w:lang w:eastAsia="ja-JP"/>
        </w:rPr>
        <w:t>(</w:t>
      </w:r>
      <w:r>
        <w:rPr>
          <w:lang w:eastAsia="ja-JP"/>
        </w:rPr>
        <w:t>2014</w:t>
      </w:r>
      <w:r w:rsidR="00AC74AB">
        <w:rPr>
          <w:lang w:eastAsia="ja-JP"/>
        </w:rPr>
        <w:t>)</w:t>
      </w:r>
      <w:r>
        <w:rPr>
          <w:lang w:eastAsia="ja-JP"/>
        </w:rPr>
        <w:t xml:space="preserve"> </w:t>
      </w:r>
      <w:r w:rsidR="00AC74AB">
        <w:rPr>
          <w:lang w:eastAsia="ja-JP"/>
        </w:rPr>
        <w:t>‘</w:t>
      </w:r>
      <w:r>
        <w:fldChar w:fldCharType="begin"/>
      </w:r>
      <w:r>
        <w:instrText xml:space="preserve"> HYPERLINK "https://doi.org/10.1002/etc.2450" </w:instrText>
      </w:r>
      <w:r>
        <w:fldChar w:fldCharType="separate"/>
      </w:r>
      <w:r w:rsidRPr="00782383">
        <w:rPr>
          <w:rStyle w:val="Hyperlink"/>
          <w:lang w:eastAsia="ja-JP"/>
        </w:rPr>
        <w:t>A molecular‐based approach for examining responses of eukaryotes in microcosms to contaminant‐spiked estuarine sediments</w:t>
      </w:r>
      <w:r>
        <w:fldChar w:fldCharType="end"/>
      </w:r>
      <w:r w:rsidR="00AC74AB">
        <w:rPr>
          <w:lang w:eastAsia="ja-JP"/>
        </w:rPr>
        <w:t>’,</w:t>
      </w:r>
      <w:r>
        <w:rPr>
          <w:lang w:eastAsia="ja-JP"/>
        </w:rPr>
        <w:t xml:space="preserve"> </w:t>
      </w:r>
      <w:r w:rsidRPr="00AF3375">
        <w:rPr>
          <w:rStyle w:val="Emphasis"/>
        </w:rPr>
        <w:t>Environmental Toxicology</w:t>
      </w:r>
      <w:r>
        <w:rPr>
          <w:lang w:eastAsia="ja-JP"/>
        </w:rPr>
        <w:t>, 33</w:t>
      </w:r>
      <w:r w:rsidR="00AC74AB">
        <w:rPr>
          <w:lang w:eastAsia="ja-JP"/>
        </w:rPr>
        <w:t>:</w:t>
      </w:r>
      <w:r>
        <w:rPr>
          <w:lang w:eastAsia="ja-JP"/>
        </w:rPr>
        <w:t>359–369</w:t>
      </w:r>
      <w:r w:rsidR="008C220E">
        <w:rPr>
          <w:lang w:eastAsia="ja-JP"/>
        </w:rPr>
        <w:t xml:space="preserve">, </w:t>
      </w:r>
      <w:r w:rsidR="002A0E99">
        <w:rPr>
          <w:lang w:eastAsia="ja-JP"/>
        </w:rPr>
        <w:t>doi:</w:t>
      </w:r>
      <w:r w:rsidRPr="008C220E" w:rsidR="008C220E">
        <w:rPr>
          <w:lang w:eastAsia="ja-JP"/>
        </w:rPr>
        <w:t>10.1002/etc.2450</w:t>
      </w:r>
      <w:r>
        <w:rPr>
          <w:lang w:eastAsia="ja-JP"/>
        </w:rPr>
        <w:t>.</w:t>
      </w:r>
    </w:p>
    <w:p w:rsidR="005B6FC0" w:rsidP="001B25CD" w14:paraId="7AA55B33" w14:textId="51038B02">
      <w:pPr>
        <w:rPr>
          <w:lang w:eastAsia="ja-JP"/>
        </w:rPr>
      </w:pPr>
      <w:r>
        <w:rPr>
          <w:lang w:eastAsia="ja-JP"/>
        </w:rPr>
        <w:t xml:space="preserve">Chariton AA, Sun M, Gibson J, Webb JA, Leung KMY, Hickey CW </w:t>
      </w:r>
      <w:r w:rsidR="003C60FB">
        <w:rPr>
          <w:lang w:eastAsia="ja-JP"/>
        </w:rPr>
        <w:t>and</w:t>
      </w:r>
      <w:r>
        <w:rPr>
          <w:lang w:eastAsia="ja-JP"/>
        </w:rPr>
        <w:t xml:space="preserve"> Hose GC </w:t>
      </w:r>
      <w:r w:rsidR="00AC74AB">
        <w:rPr>
          <w:lang w:eastAsia="ja-JP"/>
        </w:rPr>
        <w:t>(</w:t>
      </w:r>
      <w:r>
        <w:rPr>
          <w:lang w:eastAsia="ja-JP"/>
        </w:rPr>
        <w:t>2016</w:t>
      </w:r>
      <w:r w:rsidR="00AC74AB">
        <w:rPr>
          <w:lang w:eastAsia="ja-JP"/>
        </w:rPr>
        <w:t>)</w:t>
      </w:r>
      <w:r>
        <w:rPr>
          <w:lang w:eastAsia="ja-JP"/>
        </w:rPr>
        <w:t xml:space="preserve"> </w:t>
      </w:r>
      <w:r w:rsidR="00AC74AB">
        <w:rPr>
          <w:lang w:eastAsia="ja-JP"/>
        </w:rPr>
        <w:t>‘</w:t>
      </w:r>
      <w:r>
        <w:fldChar w:fldCharType="begin"/>
      </w:r>
      <w:r>
        <w:instrText xml:space="preserve"> HYPERLINK "https://doi.org/10.1071/MF15190" </w:instrText>
      </w:r>
      <w:r>
        <w:fldChar w:fldCharType="separate"/>
      </w:r>
      <w:r w:rsidRPr="00782383">
        <w:rPr>
          <w:rStyle w:val="Hyperlink"/>
          <w:lang w:eastAsia="ja-JP"/>
        </w:rPr>
        <w:t>Emergent technologies and analytical approaches for understanding the effects of multiple stressors in aquatic environments</w:t>
      </w:r>
      <w:r>
        <w:fldChar w:fldCharType="end"/>
      </w:r>
      <w:r w:rsidR="00AC74AB">
        <w:rPr>
          <w:lang w:eastAsia="ja-JP"/>
        </w:rPr>
        <w:t>’,</w:t>
      </w:r>
      <w:r>
        <w:rPr>
          <w:lang w:eastAsia="ja-JP"/>
        </w:rPr>
        <w:t xml:space="preserve"> </w:t>
      </w:r>
      <w:r w:rsidRPr="00353778">
        <w:rPr>
          <w:rStyle w:val="Emphasis"/>
        </w:rPr>
        <w:t>Marine and Freshwater Research</w:t>
      </w:r>
      <w:r>
        <w:rPr>
          <w:lang w:eastAsia="ja-JP"/>
        </w:rPr>
        <w:t>, 67</w:t>
      </w:r>
      <w:r w:rsidR="00AC74AB">
        <w:rPr>
          <w:lang w:eastAsia="ja-JP"/>
        </w:rPr>
        <w:t>:</w:t>
      </w:r>
      <w:r>
        <w:rPr>
          <w:lang w:eastAsia="ja-JP"/>
        </w:rPr>
        <w:t>414</w:t>
      </w:r>
      <w:r w:rsidR="008C220E">
        <w:rPr>
          <w:lang w:eastAsia="ja-JP"/>
        </w:rPr>
        <w:t>, doi:</w:t>
      </w:r>
      <w:r w:rsidRPr="008C220E" w:rsidR="008C220E">
        <w:rPr>
          <w:lang w:eastAsia="ja-JP"/>
        </w:rPr>
        <w:t>10.1071/MF15190</w:t>
      </w:r>
      <w:r>
        <w:rPr>
          <w:lang w:eastAsia="ja-JP"/>
        </w:rPr>
        <w:t>.</w:t>
      </w:r>
    </w:p>
    <w:p w:rsidR="006B2D82" w:rsidP="006B2D82" w14:paraId="30327EE1" w14:textId="295E3707">
      <w:pPr>
        <w:rPr>
          <w:lang w:val="en-GB" w:eastAsia="ja-JP"/>
        </w:rPr>
      </w:pPr>
      <w:r>
        <w:rPr>
          <w:lang w:eastAsia="ja-JP"/>
        </w:rPr>
        <w:t xml:space="preserve">Chessman BC </w:t>
      </w:r>
      <w:r w:rsidR="00437FC7">
        <w:rPr>
          <w:lang w:eastAsia="ja-JP"/>
        </w:rPr>
        <w:t>(</w:t>
      </w:r>
      <w:r>
        <w:rPr>
          <w:lang w:eastAsia="ja-JP"/>
        </w:rPr>
        <w:t>1995</w:t>
      </w:r>
      <w:r w:rsidR="00437FC7">
        <w:rPr>
          <w:lang w:eastAsia="ja-JP"/>
        </w:rPr>
        <w:t>)</w:t>
      </w:r>
      <w:r>
        <w:rPr>
          <w:lang w:eastAsia="ja-JP"/>
        </w:rPr>
        <w:t xml:space="preserve"> </w:t>
      </w:r>
      <w:r w:rsidR="00437FC7">
        <w:rPr>
          <w:lang w:eastAsia="ja-JP"/>
        </w:rPr>
        <w:t>‘</w:t>
      </w:r>
      <w:r>
        <w:fldChar w:fldCharType="begin"/>
      </w:r>
      <w:r>
        <w:instrText xml:space="preserve"> HYPERLINK "https://doi.org/10.1111/j.1442-9993.1995.tb00526.x" </w:instrText>
      </w:r>
      <w:r>
        <w:fldChar w:fldCharType="separate"/>
      </w:r>
      <w:r w:rsidRPr="00782383">
        <w:rPr>
          <w:rStyle w:val="Hyperlink"/>
          <w:lang w:val="en-GB" w:eastAsia="ja-JP"/>
        </w:rPr>
        <w:t xml:space="preserve">Rapid assessment of rivers using macroinvertebrates: </w:t>
      </w:r>
      <w:r w:rsidRPr="00782383" w:rsidR="00437FC7">
        <w:rPr>
          <w:rStyle w:val="Hyperlink"/>
          <w:lang w:val="en-GB" w:eastAsia="ja-JP"/>
        </w:rPr>
        <w:t>a</w:t>
      </w:r>
      <w:r w:rsidRPr="00782383">
        <w:rPr>
          <w:rStyle w:val="Hyperlink"/>
          <w:lang w:val="en-GB" w:eastAsia="ja-JP"/>
        </w:rPr>
        <w:t xml:space="preserve"> procedure based on habitat-specific sampling, family level identification and a biotic index</w:t>
      </w:r>
      <w:r>
        <w:fldChar w:fldCharType="end"/>
      </w:r>
      <w:r w:rsidR="00437FC7">
        <w:rPr>
          <w:lang w:val="en-GB" w:eastAsia="ja-JP"/>
        </w:rPr>
        <w:t>’,</w:t>
      </w:r>
      <w:r>
        <w:rPr>
          <w:lang w:val="en-GB" w:eastAsia="ja-JP"/>
        </w:rPr>
        <w:t xml:space="preserve"> </w:t>
      </w:r>
      <w:r w:rsidRPr="006B2D82">
        <w:rPr>
          <w:i/>
          <w:iCs/>
          <w:lang w:val="en-GB" w:eastAsia="ja-JP"/>
        </w:rPr>
        <w:t>Australian Journal of Ecology</w:t>
      </w:r>
      <w:r>
        <w:rPr>
          <w:lang w:val="en-GB" w:eastAsia="ja-JP"/>
        </w:rPr>
        <w:t>, 20</w:t>
      </w:r>
      <w:r w:rsidR="00437FC7">
        <w:rPr>
          <w:lang w:val="en-GB" w:eastAsia="ja-JP"/>
        </w:rPr>
        <w:t>:</w:t>
      </w:r>
      <w:r>
        <w:rPr>
          <w:lang w:val="en-GB" w:eastAsia="ja-JP"/>
        </w:rPr>
        <w:t>122–129</w:t>
      </w:r>
      <w:r w:rsidR="008C220E">
        <w:rPr>
          <w:lang w:val="en-GB" w:eastAsia="ja-JP"/>
        </w:rPr>
        <w:t xml:space="preserve">, </w:t>
      </w:r>
      <w:r w:rsidR="002A0E99">
        <w:rPr>
          <w:lang w:val="en-GB" w:eastAsia="ja-JP"/>
        </w:rPr>
        <w:t>doi:</w:t>
      </w:r>
      <w:r w:rsidRPr="008C220E" w:rsidR="008C220E">
        <w:rPr>
          <w:lang w:val="en-GB" w:eastAsia="ja-JP"/>
        </w:rPr>
        <w:t>10.1111/j.1442-9993.1995.tb00526.x</w:t>
      </w:r>
      <w:r>
        <w:rPr>
          <w:lang w:val="en-GB" w:eastAsia="ja-JP"/>
        </w:rPr>
        <w:t>.</w:t>
      </w:r>
    </w:p>
    <w:p w:rsidR="005B6FC0" w:rsidP="001B25CD" w14:paraId="34A8A066" w14:textId="24E8D205">
      <w:pPr>
        <w:rPr>
          <w:lang w:eastAsia="ja-JP"/>
        </w:rPr>
      </w:pPr>
      <w:r>
        <w:rPr>
          <w:lang w:eastAsia="ja-JP"/>
        </w:rPr>
        <w:t xml:space="preserve">Chessman BC </w:t>
      </w:r>
      <w:r w:rsidR="00437FC7">
        <w:rPr>
          <w:lang w:eastAsia="ja-JP"/>
        </w:rPr>
        <w:t>(</w:t>
      </w:r>
      <w:r>
        <w:rPr>
          <w:lang w:eastAsia="ja-JP"/>
        </w:rPr>
        <w:t>2003</w:t>
      </w:r>
      <w:r w:rsidR="00437FC7">
        <w:rPr>
          <w:lang w:eastAsia="ja-JP"/>
        </w:rPr>
        <w:t>)</w:t>
      </w:r>
      <w:r>
        <w:rPr>
          <w:lang w:eastAsia="ja-JP"/>
        </w:rPr>
        <w:t xml:space="preserve"> </w:t>
      </w:r>
      <w:r w:rsidR="00437FC7">
        <w:rPr>
          <w:lang w:eastAsia="ja-JP"/>
        </w:rPr>
        <w:t>‘</w:t>
      </w:r>
      <w:r>
        <w:fldChar w:fldCharType="begin"/>
      </w:r>
      <w:r>
        <w:instrText xml:space="preserve"> HYPERLINK "https://doi.org/10.1071/MF02114" </w:instrText>
      </w:r>
      <w:r>
        <w:fldChar w:fldCharType="separate"/>
      </w:r>
      <w:r w:rsidRPr="00782383">
        <w:rPr>
          <w:rStyle w:val="Hyperlink"/>
          <w:lang w:eastAsia="ja-JP"/>
        </w:rPr>
        <w:t>New sensitivity grades for Australian macroinvertebrates</w:t>
      </w:r>
      <w:r>
        <w:fldChar w:fldCharType="end"/>
      </w:r>
      <w:r w:rsidR="00437FC7">
        <w:rPr>
          <w:lang w:eastAsia="ja-JP"/>
        </w:rPr>
        <w:t>’,</w:t>
      </w:r>
      <w:r>
        <w:rPr>
          <w:lang w:eastAsia="ja-JP"/>
        </w:rPr>
        <w:t xml:space="preserve"> </w:t>
      </w:r>
      <w:r w:rsidRPr="00353778">
        <w:rPr>
          <w:rStyle w:val="Emphasis"/>
        </w:rPr>
        <w:t>Marine and Freshwater Research</w:t>
      </w:r>
      <w:r>
        <w:rPr>
          <w:lang w:eastAsia="ja-JP"/>
        </w:rPr>
        <w:t>, 54</w:t>
      </w:r>
      <w:r w:rsidR="00437FC7">
        <w:rPr>
          <w:lang w:eastAsia="ja-JP"/>
        </w:rPr>
        <w:t>:</w:t>
      </w:r>
      <w:r>
        <w:rPr>
          <w:lang w:eastAsia="ja-JP"/>
        </w:rPr>
        <w:t>95–103</w:t>
      </w:r>
      <w:r w:rsidR="008C220E">
        <w:rPr>
          <w:lang w:eastAsia="ja-JP"/>
        </w:rPr>
        <w:t xml:space="preserve">, </w:t>
      </w:r>
      <w:r w:rsidR="002A0E99">
        <w:rPr>
          <w:lang w:eastAsia="ja-JP"/>
        </w:rPr>
        <w:t>doi:</w:t>
      </w:r>
      <w:r w:rsidRPr="008C220E" w:rsidR="008C220E">
        <w:rPr>
          <w:lang w:eastAsia="ja-JP"/>
        </w:rPr>
        <w:t>10.1071/MF02114</w:t>
      </w:r>
      <w:r>
        <w:rPr>
          <w:lang w:eastAsia="ja-JP"/>
        </w:rPr>
        <w:t>.</w:t>
      </w:r>
    </w:p>
    <w:p w:rsidR="00FD4DB3" w:rsidP="00FD4DB3" w14:paraId="729D4AB8" w14:textId="7CCDAD7E">
      <w:r w:rsidRPr="0096129C">
        <w:t xml:space="preserve">Chessman BC </w:t>
      </w:r>
      <w:r w:rsidR="00437FC7">
        <w:t>(</w:t>
      </w:r>
      <w:r w:rsidRPr="0096129C">
        <w:t>2021</w:t>
      </w:r>
      <w:r w:rsidR="00437FC7">
        <w:t>)</w:t>
      </w:r>
      <w:r w:rsidRPr="0096129C">
        <w:t xml:space="preserve"> </w:t>
      </w:r>
      <w:r w:rsidR="00437FC7">
        <w:t>‘</w:t>
      </w:r>
      <w:r>
        <w:fldChar w:fldCharType="begin"/>
      </w:r>
      <w:r>
        <w:instrText xml:space="preserve"> HYPERLINK "https://doi.org/10.1071/MF20361" </w:instrText>
      </w:r>
      <w:r>
        <w:fldChar w:fldCharType="separate"/>
      </w:r>
      <w:r w:rsidRPr="00782383">
        <w:rPr>
          <w:rStyle w:val="Hyperlink"/>
        </w:rPr>
        <w:t>What’s wrong with the Australian River Assessment System (AUSRIVAS)?</w:t>
      </w:r>
      <w:r>
        <w:fldChar w:fldCharType="end"/>
      </w:r>
      <w:r w:rsidR="00437FC7">
        <w:t>’,</w:t>
      </w:r>
      <w:r w:rsidRPr="0096129C">
        <w:t xml:space="preserve"> </w:t>
      </w:r>
      <w:r w:rsidRPr="00FD4DB3">
        <w:rPr>
          <w:i/>
          <w:iCs/>
        </w:rPr>
        <w:t>Marine and Freshwater Research</w:t>
      </w:r>
      <w:r>
        <w:t>, 72</w:t>
      </w:r>
      <w:r w:rsidR="00437FC7">
        <w:t>:</w:t>
      </w:r>
      <w:r>
        <w:t>1110-1117</w:t>
      </w:r>
      <w:r w:rsidR="008C220E">
        <w:t xml:space="preserve">, </w:t>
      </w:r>
      <w:r w:rsidR="002A0E99">
        <w:t>doi:</w:t>
      </w:r>
      <w:r w:rsidRPr="008C220E" w:rsidR="008C220E">
        <w:t>10.1071/MF20361</w:t>
      </w:r>
      <w:r>
        <w:t xml:space="preserve">. </w:t>
      </w:r>
    </w:p>
    <w:p w:rsidR="004B1CCA" w:rsidP="001B25CD" w14:paraId="00C29729" w14:textId="454F4B4F">
      <w:pPr>
        <w:rPr>
          <w:lang w:eastAsia="ja-JP"/>
        </w:rPr>
      </w:pPr>
      <w:r w:rsidRPr="004B1CCA">
        <w:rPr>
          <w:lang w:eastAsia="ja-JP"/>
        </w:rPr>
        <w:t>Chèvre N</w:t>
      </w:r>
      <w:r>
        <w:rPr>
          <w:lang w:eastAsia="ja-JP"/>
        </w:rPr>
        <w:t xml:space="preserve"> </w:t>
      </w:r>
      <w:r w:rsidR="003C60FB">
        <w:rPr>
          <w:lang w:eastAsia="ja-JP"/>
        </w:rPr>
        <w:t>and</w:t>
      </w:r>
      <w:r w:rsidRPr="004B1CCA">
        <w:rPr>
          <w:lang w:eastAsia="ja-JP"/>
        </w:rPr>
        <w:t xml:space="preserve"> Vallotton N </w:t>
      </w:r>
      <w:r w:rsidR="00437FC7">
        <w:rPr>
          <w:lang w:eastAsia="ja-JP"/>
        </w:rPr>
        <w:t>(</w:t>
      </w:r>
      <w:r w:rsidRPr="004B1CCA">
        <w:rPr>
          <w:lang w:eastAsia="ja-JP"/>
        </w:rPr>
        <w:t>2013</w:t>
      </w:r>
      <w:r w:rsidR="00437FC7">
        <w:rPr>
          <w:lang w:eastAsia="ja-JP"/>
        </w:rPr>
        <w:t>)</w:t>
      </w:r>
      <w:r w:rsidRPr="004B1CCA">
        <w:rPr>
          <w:lang w:eastAsia="ja-JP"/>
        </w:rPr>
        <w:t xml:space="preserve"> </w:t>
      </w:r>
      <w:r w:rsidR="00437FC7">
        <w:rPr>
          <w:lang w:eastAsia="ja-JP"/>
        </w:rPr>
        <w:t>‘</w:t>
      </w:r>
      <w:r>
        <w:fldChar w:fldCharType="begin"/>
      </w:r>
      <w:r>
        <w:instrText xml:space="preserve"> HYPERLINK "https://doi.org/10.1007/978-94-007-5704-2_84" </w:instrText>
      </w:r>
      <w:r>
        <w:fldChar w:fldCharType="separate"/>
      </w:r>
      <w:r w:rsidRPr="00782383">
        <w:rPr>
          <w:rStyle w:val="Hyperlink"/>
          <w:lang w:eastAsia="ja-JP"/>
        </w:rPr>
        <w:t xml:space="preserve">Pulse </w:t>
      </w:r>
      <w:r w:rsidRPr="00782383" w:rsidR="00437FC7">
        <w:rPr>
          <w:rStyle w:val="Hyperlink"/>
          <w:lang w:eastAsia="ja-JP"/>
        </w:rPr>
        <w:t>e</w:t>
      </w:r>
      <w:r w:rsidRPr="00782383">
        <w:rPr>
          <w:rStyle w:val="Hyperlink"/>
          <w:lang w:eastAsia="ja-JP"/>
        </w:rPr>
        <w:t xml:space="preserve">xposure in </w:t>
      </w:r>
      <w:r w:rsidRPr="00782383" w:rsidR="00437FC7">
        <w:rPr>
          <w:rStyle w:val="Hyperlink"/>
          <w:lang w:eastAsia="ja-JP"/>
        </w:rPr>
        <w:t>e</w:t>
      </w:r>
      <w:r w:rsidRPr="00782383">
        <w:rPr>
          <w:rStyle w:val="Hyperlink"/>
          <w:lang w:eastAsia="ja-JP"/>
        </w:rPr>
        <w:t>cotoxicology</w:t>
      </w:r>
      <w:r>
        <w:fldChar w:fldCharType="end"/>
      </w:r>
      <w:r w:rsidR="00437FC7">
        <w:rPr>
          <w:lang w:eastAsia="ja-JP"/>
        </w:rPr>
        <w:t>’,</w:t>
      </w:r>
      <w:r w:rsidRPr="004B1CCA">
        <w:rPr>
          <w:lang w:eastAsia="ja-JP"/>
        </w:rPr>
        <w:t xml:space="preserve"> </w:t>
      </w:r>
      <w:r w:rsidR="00437FC7">
        <w:rPr>
          <w:lang w:eastAsia="ja-JP"/>
        </w:rPr>
        <w:t>i</w:t>
      </w:r>
      <w:r w:rsidRPr="004B1CCA">
        <w:rPr>
          <w:lang w:eastAsia="ja-JP"/>
        </w:rPr>
        <w:t>n Férard JF</w:t>
      </w:r>
      <w:r w:rsidR="00437FC7">
        <w:rPr>
          <w:lang w:eastAsia="ja-JP"/>
        </w:rPr>
        <w:t xml:space="preserve"> and</w:t>
      </w:r>
      <w:r w:rsidRPr="004B1CCA">
        <w:rPr>
          <w:lang w:eastAsia="ja-JP"/>
        </w:rPr>
        <w:t xml:space="preserve"> Blaise C (eds) </w:t>
      </w:r>
      <w:r w:rsidRPr="00437FC7">
        <w:rPr>
          <w:i/>
          <w:iCs/>
          <w:lang w:eastAsia="ja-JP"/>
        </w:rPr>
        <w:t xml:space="preserve">Encyclopedia of </w:t>
      </w:r>
      <w:r w:rsidR="00437FC7">
        <w:rPr>
          <w:i/>
          <w:iCs/>
          <w:lang w:eastAsia="ja-JP"/>
        </w:rPr>
        <w:t>a</w:t>
      </w:r>
      <w:r w:rsidRPr="00437FC7">
        <w:rPr>
          <w:i/>
          <w:iCs/>
          <w:lang w:eastAsia="ja-JP"/>
        </w:rPr>
        <w:t xml:space="preserve">quatic </w:t>
      </w:r>
      <w:r w:rsidR="00437FC7">
        <w:rPr>
          <w:i/>
          <w:iCs/>
          <w:lang w:eastAsia="ja-JP"/>
        </w:rPr>
        <w:t>e</w:t>
      </w:r>
      <w:r w:rsidRPr="00437FC7">
        <w:rPr>
          <w:i/>
          <w:iCs/>
          <w:lang w:eastAsia="ja-JP"/>
        </w:rPr>
        <w:t>cotoxicology</w:t>
      </w:r>
      <w:r w:rsidR="00437FC7">
        <w:rPr>
          <w:lang w:eastAsia="ja-JP"/>
        </w:rPr>
        <w:t>,</w:t>
      </w:r>
      <w:r w:rsidRPr="004B1CCA">
        <w:rPr>
          <w:lang w:eastAsia="ja-JP"/>
        </w:rPr>
        <w:t xml:space="preserve"> Springer, Dordrecht</w:t>
      </w:r>
      <w:r>
        <w:rPr>
          <w:lang w:eastAsia="ja-JP"/>
        </w:rPr>
        <w:t xml:space="preserve">, </w:t>
      </w:r>
      <w:r w:rsidRPr="004B1CCA">
        <w:rPr>
          <w:lang w:eastAsia="ja-JP"/>
        </w:rPr>
        <w:t>doi</w:t>
      </w:r>
      <w:r w:rsidR="00437FC7">
        <w:rPr>
          <w:lang w:eastAsia="ja-JP"/>
        </w:rPr>
        <w:t>:</w:t>
      </w:r>
      <w:r w:rsidRPr="004B1CCA">
        <w:rPr>
          <w:lang w:eastAsia="ja-JP"/>
        </w:rPr>
        <w:t>10.1007/978-94-007-5704-2_84</w:t>
      </w:r>
      <w:r>
        <w:rPr>
          <w:lang w:eastAsia="ja-JP"/>
        </w:rPr>
        <w:t>.</w:t>
      </w:r>
    </w:p>
    <w:p w:rsidR="005B6FC0" w:rsidP="001B25CD" w14:paraId="441E400C" w14:textId="6DDCB867">
      <w:pPr>
        <w:rPr>
          <w:lang w:eastAsia="ja-JP"/>
        </w:rPr>
      </w:pPr>
      <w:r>
        <w:rPr>
          <w:lang w:eastAsia="ja-JP"/>
        </w:rPr>
        <w:t xml:space="preserve">Clapcott JE, Young RG, Neale MW, Doehring K </w:t>
      </w:r>
      <w:r w:rsidR="003C60FB">
        <w:rPr>
          <w:lang w:eastAsia="ja-JP"/>
        </w:rPr>
        <w:t>and</w:t>
      </w:r>
      <w:r>
        <w:rPr>
          <w:lang w:eastAsia="ja-JP"/>
        </w:rPr>
        <w:t xml:space="preserve"> Barmuta LA </w:t>
      </w:r>
      <w:r w:rsidR="00437FC7">
        <w:rPr>
          <w:lang w:eastAsia="ja-JP"/>
        </w:rPr>
        <w:t>(</w:t>
      </w:r>
      <w:r>
        <w:rPr>
          <w:lang w:eastAsia="ja-JP"/>
        </w:rPr>
        <w:t>2016</w:t>
      </w:r>
      <w:r w:rsidR="00437FC7">
        <w:rPr>
          <w:lang w:eastAsia="ja-JP"/>
        </w:rPr>
        <w:t>)</w:t>
      </w:r>
      <w:r>
        <w:rPr>
          <w:lang w:eastAsia="ja-JP"/>
        </w:rPr>
        <w:t xml:space="preserve"> </w:t>
      </w:r>
      <w:r w:rsidR="00437FC7">
        <w:rPr>
          <w:lang w:eastAsia="ja-JP"/>
        </w:rPr>
        <w:t>‘</w:t>
      </w:r>
      <w:r>
        <w:fldChar w:fldCharType="begin"/>
      </w:r>
      <w:r>
        <w:instrText xml:space="preserve"> HYPERLINK "https://doi.org/10.1086/688872" </w:instrText>
      </w:r>
      <w:r>
        <w:fldChar w:fldCharType="separate"/>
      </w:r>
      <w:r w:rsidRPr="00783589">
        <w:rPr>
          <w:rStyle w:val="Hyperlink"/>
          <w:lang w:eastAsia="ja-JP"/>
        </w:rPr>
        <w:t>Land use affects temporal variation in stream metabolis</w:t>
      </w:r>
      <w:r w:rsidRPr="00783589" w:rsidR="00E21710">
        <w:rPr>
          <w:rStyle w:val="Hyperlink"/>
          <w:lang w:eastAsia="ja-JP"/>
        </w:rPr>
        <w:t>m</w:t>
      </w:r>
      <w:r>
        <w:fldChar w:fldCharType="end"/>
      </w:r>
      <w:r w:rsidR="00437FC7">
        <w:rPr>
          <w:lang w:eastAsia="ja-JP"/>
        </w:rPr>
        <w:t>’,</w:t>
      </w:r>
      <w:r>
        <w:rPr>
          <w:lang w:eastAsia="ja-JP"/>
        </w:rPr>
        <w:t xml:space="preserve"> </w:t>
      </w:r>
      <w:r w:rsidRPr="00D56644">
        <w:rPr>
          <w:rStyle w:val="Emphasis"/>
        </w:rPr>
        <w:t>Freshwater Science</w:t>
      </w:r>
      <w:r>
        <w:rPr>
          <w:lang w:eastAsia="ja-JP"/>
        </w:rPr>
        <w:t>, 35</w:t>
      </w:r>
      <w:r w:rsidR="00437FC7">
        <w:rPr>
          <w:lang w:eastAsia="ja-JP"/>
        </w:rPr>
        <w:t>:</w:t>
      </w:r>
      <w:r>
        <w:rPr>
          <w:lang w:eastAsia="ja-JP"/>
        </w:rPr>
        <w:t>1164–1175</w:t>
      </w:r>
      <w:r w:rsidR="00E21710">
        <w:rPr>
          <w:lang w:eastAsia="ja-JP"/>
        </w:rPr>
        <w:t xml:space="preserve">, </w:t>
      </w:r>
      <w:r w:rsidR="002A0E99">
        <w:rPr>
          <w:lang w:eastAsia="ja-JP"/>
        </w:rPr>
        <w:t>doi:</w:t>
      </w:r>
      <w:r w:rsidRPr="00E21710" w:rsidR="00E21710">
        <w:rPr>
          <w:lang w:eastAsia="ja-JP"/>
        </w:rPr>
        <w:t>10.1086/688872</w:t>
      </w:r>
      <w:r>
        <w:rPr>
          <w:lang w:eastAsia="ja-JP"/>
        </w:rPr>
        <w:t>.</w:t>
      </w:r>
    </w:p>
    <w:p w:rsidR="00054868" w:rsidRPr="00054868" w:rsidP="00054868" w14:paraId="6288096B" w14:textId="5A24E65A">
      <w:r w:rsidRPr="00054868">
        <w:t xml:space="preserve">Clarke K </w:t>
      </w:r>
      <w:r w:rsidR="00437FC7">
        <w:t>(</w:t>
      </w:r>
      <w:r w:rsidRPr="00054868">
        <w:t>1993</w:t>
      </w:r>
      <w:r w:rsidR="00437FC7">
        <w:t>)</w:t>
      </w:r>
      <w:r w:rsidRPr="00054868">
        <w:t xml:space="preserve"> </w:t>
      </w:r>
      <w:r w:rsidR="00437FC7">
        <w:t>‘</w:t>
      </w:r>
      <w:r>
        <w:fldChar w:fldCharType="begin"/>
      </w:r>
      <w:r>
        <w:instrText xml:space="preserve"> HYPERLINK "https://doi.org/10.1111/j.1442-9993.1993.tb00438.x" </w:instrText>
      </w:r>
      <w:r>
        <w:fldChar w:fldCharType="separate"/>
      </w:r>
      <w:r w:rsidRPr="00783589">
        <w:rPr>
          <w:rStyle w:val="Hyperlink"/>
        </w:rPr>
        <w:t>Non</w:t>
      </w:r>
      <w:r w:rsidRPr="00783589" w:rsidR="00E21710">
        <w:rPr>
          <w:rStyle w:val="Hyperlink"/>
        </w:rPr>
        <w:t>-</w:t>
      </w:r>
      <w:r w:rsidRPr="00783589">
        <w:rPr>
          <w:rStyle w:val="Hyperlink"/>
        </w:rPr>
        <w:t>parametric multivariate analyses of changes in community structure</w:t>
      </w:r>
      <w:r>
        <w:fldChar w:fldCharType="end"/>
      </w:r>
      <w:r w:rsidR="00437FC7">
        <w:t>’,</w:t>
      </w:r>
      <w:r w:rsidRPr="00054868">
        <w:t xml:space="preserve"> </w:t>
      </w:r>
      <w:r w:rsidRPr="00054868">
        <w:rPr>
          <w:i/>
          <w:iCs/>
        </w:rPr>
        <w:t>Austral Ecology</w:t>
      </w:r>
      <w:r>
        <w:t>,</w:t>
      </w:r>
      <w:r w:rsidRPr="00054868">
        <w:t xml:space="preserve"> 18</w:t>
      </w:r>
      <w:r w:rsidR="00437FC7">
        <w:t>:</w:t>
      </w:r>
      <w:r w:rsidRPr="00054868">
        <w:t>117</w:t>
      </w:r>
      <w:r>
        <w:t>–</w:t>
      </w:r>
      <w:r w:rsidRPr="00054868">
        <w:t>143</w:t>
      </w:r>
      <w:r w:rsidR="00E21710">
        <w:t xml:space="preserve">, </w:t>
      </w:r>
      <w:r w:rsidR="002A0E99">
        <w:t>doi:</w:t>
      </w:r>
      <w:r w:rsidRPr="00E21710" w:rsidR="00E21710">
        <w:t>10.1111/j.1442-9993.1993.tb00438.x</w:t>
      </w:r>
      <w:r w:rsidRPr="00054868">
        <w:t xml:space="preserve">. </w:t>
      </w:r>
    </w:p>
    <w:p w:rsidR="005B6FC0" w:rsidRPr="00D43AFA" w:rsidP="00D43AFA" w14:paraId="578BE1C7" w14:textId="0198D3B8">
      <w:pPr>
        <w:rPr>
          <w:lang w:val="en-GB"/>
        </w:rPr>
      </w:pPr>
      <w:r w:rsidRPr="00D43AFA">
        <w:rPr>
          <w:lang w:val="en-GB"/>
        </w:rPr>
        <w:t xml:space="preserve">Clements WH </w:t>
      </w:r>
      <w:r w:rsidR="003C60FB">
        <w:rPr>
          <w:lang w:val="en-GB"/>
        </w:rPr>
        <w:t>and</w:t>
      </w:r>
      <w:r w:rsidRPr="00D43AFA">
        <w:rPr>
          <w:lang w:val="en-GB"/>
        </w:rPr>
        <w:t xml:space="preserve"> Kiffney PM </w:t>
      </w:r>
      <w:r w:rsidR="00437FC7">
        <w:rPr>
          <w:lang w:val="en-GB"/>
        </w:rPr>
        <w:t>(</w:t>
      </w:r>
      <w:r w:rsidRPr="00D43AFA">
        <w:rPr>
          <w:lang w:val="en-GB"/>
        </w:rPr>
        <w:t>1994</w:t>
      </w:r>
      <w:r w:rsidR="00437FC7">
        <w:rPr>
          <w:lang w:val="en-GB"/>
        </w:rPr>
        <w:t>)</w:t>
      </w:r>
      <w:r w:rsidRPr="00D43AFA">
        <w:rPr>
          <w:lang w:val="en-GB"/>
        </w:rPr>
        <w:t xml:space="preserve"> </w:t>
      </w:r>
      <w:r w:rsidR="00437FC7">
        <w:rPr>
          <w:lang w:val="en-GB"/>
        </w:rPr>
        <w:t>‘</w:t>
      </w:r>
      <w:r>
        <w:fldChar w:fldCharType="begin"/>
      </w:r>
      <w:r>
        <w:instrText xml:space="preserve"> HYPERLINK "https://doi.org/10.1002/ETC.5620130306" </w:instrText>
      </w:r>
      <w:r>
        <w:fldChar w:fldCharType="separate"/>
      </w:r>
      <w:r w:rsidRPr="00783589">
        <w:rPr>
          <w:rStyle w:val="Hyperlink"/>
          <w:lang w:val="en-GB"/>
        </w:rPr>
        <w:t>Integrated laboratory and field approach for assessing impacts of heavy metals at the Arkansas River, Colorado</w:t>
      </w:r>
      <w:r>
        <w:fldChar w:fldCharType="end"/>
      </w:r>
      <w:r w:rsidR="00437FC7">
        <w:rPr>
          <w:lang w:val="en-GB"/>
        </w:rPr>
        <w:t>’,</w:t>
      </w:r>
      <w:r w:rsidRPr="00D43AFA">
        <w:rPr>
          <w:lang w:val="en-GB"/>
        </w:rPr>
        <w:t xml:space="preserve"> </w:t>
      </w:r>
      <w:r w:rsidRPr="00076429">
        <w:rPr>
          <w:rStyle w:val="Emphasis"/>
        </w:rPr>
        <w:t>Environmental Toxicology and Chemistry</w:t>
      </w:r>
      <w:r>
        <w:rPr>
          <w:lang w:val="en-GB"/>
        </w:rPr>
        <w:t>,</w:t>
      </w:r>
      <w:r w:rsidRPr="00D43AFA">
        <w:rPr>
          <w:lang w:val="en-GB"/>
        </w:rPr>
        <w:t xml:space="preserve"> 13</w:t>
      </w:r>
      <w:r w:rsidR="00437FC7">
        <w:rPr>
          <w:lang w:val="en-GB"/>
        </w:rPr>
        <w:t>:</w:t>
      </w:r>
      <w:r w:rsidRPr="00D43AFA">
        <w:rPr>
          <w:lang w:val="en-GB"/>
        </w:rPr>
        <w:t>397–404</w:t>
      </w:r>
      <w:r w:rsidR="00E21710">
        <w:rPr>
          <w:lang w:val="en-GB"/>
        </w:rPr>
        <w:t xml:space="preserve">, </w:t>
      </w:r>
      <w:r w:rsidR="002A0E99">
        <w:rPr>
          <w:lang w:val="en-GB"/>
        </w:rPr>
        <w:t>doi:</w:t>
      </w:r>
      <w:r w:rsidRPr="00E21710" w:rsidR="00E21710">
        <w:rPr>
          <w:lang w:val="en-GB"/>
        </w:rPr>
        <w:t>10.1002/ETC.5620130306</w:t>
      </w:r>
      <w:r w:rsidRPr="00D43AFA">
        <w:rPr>
          <w:lang w:val="en-GB"/>
        </w:rPr>
        <w:t>.</w:t>
      </w:r>
    </w:p>
    <w:p w:rsidR="0096129C" w:rsidRPr="0096129C" w:rsidP="0096129C" w14:paraId="0F506AF9" w14:textId="0DA072FF">
      <w:r w:rsidRPr="0096129C">
        <w:t>Co</w:t>
      </w:r>
      <w:r w:rsidR="002431DE">
        <w:t>x</w:t>
      </w:r>
      <w:r w:rsidRPr="0096129C">
        <w:t xml:space="preserve"> B, Oeding S</w:t>
      </w:r>
      <w:r w:rsidR="00FD4DB3">
        <w:t xml:space="preserve"> </w:t>
      </w:r>
      <w:r w:rsidR="003C60FB">
        <w:t>and</w:t>
      </w:r>
      <w:r w:rsidRPr="0096129C">
        <w:t xml:space="preserve"> Taffs K </w:t>
      </w:r>
      <w:r w:rsidR="00031E94">
        <w:t>(</w:t>
      </w:r>
      <w:r w:rsidRPr="0096129C">
        <w:t>2019</w:t>
      </w:r>
      <w:r w:rsidR="00031E94">
        <w:t>)</w:t>
      </w:r>
      <w:r w:rsidRPr="0096129C">
        <w:t xml:space="preserve"> </w:t>
      </w:r>
      <w:r w:rsidR="00031E94">
        <w:t>‘</w:t>
      </w:r>
      <w:r>
        <w:fldChar w:fldCharType="begin"/>
      </w:r>
      <w:r>
        <w:instrText xml:space="preserve"> HYPERLINK "https://doi.org/10.1016/j.ecolind.2019.105479" </w:instrText>
      </w:r>
      <w:r>
        <w:fldChar w:fldCharType="separate"/>
      </w:r>
      <w:r w:rsidRPr="00E55862">
        <w:rPr>
          <w:rStyle w:val="Hyperlink"/>
        </w:rPr>
        <w:t xml:space="preserve">A comparison of macroinvertebrate-based indices for biological assessment of river health: </w:t>
      </w:r>
      <w:r w:rsidRPr="00E55862" w:rsidR="00031E94">
        <w:rPr>
          <w:rStyle w:val="Hyperlink"/>
        </w:rPr>
        <w:t>a</w:t>
      </w:r>
      <w:r w:rsidRPr="00E55862">
        <w:rPr>
          <w:rStyle w:val="Hyperlink"/>
        </w:rPr>
        <w:t xml:space="preserve"> case example from the sub-tropical Richmond River </w:t>
      </w:r>
      <w:r w:rsidRPr="00E55862" w:rsidR="00031E94">
        <w:rPr>
          <w:rStyle w:val="Hyperlink"/>
        </w:rPr>
        <w:t>c</w:t>
      </w:r>
      <w:r w:rsidRPr="00E55862">
        <w:rPr>
          <w:rStyle w:val="Hyperlink"/>
        </w:rPr>
        <w:t>atchment in northeast New South Wales, Australia</w:t>
      </w:r>
      <w:r>
        <w:fldChar w:fldCharType="end"/>
      </w:r>
      <w:r w:rsidR="00031E94">
        <w:t>’,</w:t>
      </w:r>
      <w:r w:rsidRPr="0096129C">
        <w:t xml:space="preserve"> </w:t>
      </w:r>
      <w:r w:rsidRPr="0096129C">
        <w:rPr>
          <w:i/>
          <w:iCs/>
        </w:rPr>
        <w:t>Ecological Indicators</w:t>
      </w:r>
      <w:r>
        <w:t>,</w:t>
      </w:r>
      <w:r w:rsidRPr="0096129C">
        <w:t xml:space="preserve"> 106</w:t>
      </w:r>
      <w:r w:rsidR="00031E94">
        <w:t>:</w:t>
      </w:r>
      <w:r w:rsidRPr="0096129C">
        <w:t>105479</w:t>
      </w:r>
      <w:r w:rsidR="00031E94">
        <w:t xml:space="preserve">, </w:t>
      </w:r>
      <w:r w:rsidRPr="0096129C">
        <w:t>doi</w:t>
      </w:r>
      <w:r w:rsidR="00031E94">
        <w:t>:</w:t>
      </w:r>
      <w:r w:rsidRPr="0096129C">
        <w:t>10.1016/j.ecolind.2019.105479</w:t>
      </w:r>
      <w:r w:rsidR="00031E94">
        <w:t>.</w:t>
      </w:r>
    </w:p>
    <w:p w:rsidR="00CA6749" w:rsidRPr="00CA6749" w:rsidP="00CA6749" w14:paraId="318EB061" w14:textId="1FC8ECAA">
      <w:pPr>
        <w:rPr>
          <w:lang w:eastAsia="ja-JP"/>
        </w:rPr>
      </w:pPr>
      <w:r w:rsidRPr="00CA6749">
        <w:rPr>
          <w:lang w:eastAsia="ja-JP"/>
        </w:rPr>
        <w:t>Crook</w:t>
      </w:r>
      <w:r>
        <w:rPr>
          <w:lang w:eastAsia="ja-JP"/>
        </w:rPr>
        <w:t xml:space="preserve"> D</w:t>
      </w:r>
      <w:r w:rsidRPr="00CA6749">
        <w:rPr>
          <w:lang w:eastAsia="ja-JP"/>
        </w:rPr>
        <w:t xml:space="preserve">, Wedd </w:t>
      </w:r>
      <w:r>
        <w:rPr>
          <w:lang w:eastAsia="ja-JP"/>
        </w:rPr>
        <w:t xml:space="preserve">D, </w:t>
      </w:r>
      <w:r w:rsidRPr="00CA6749">
        <w:rPr>
          <w:lang w:eastAsia="ja-JP"/>
        </w:rPr>
        <w:t>Adair</w:t>
      </w:r>
      <w:r>
        <w:rPr>
          <w:lang w:eastAsia="ja-JP"/>
        </w:rPr>
        <w:t xml:space="preserve"> B</w:t>
      </w:r>
      <w:r w:rsidRPr="00CA6749">
        <w:rPr>
          <w:lang w:eastAsia="ja-JP"/>
        </w:rPr>
        <w:t>, King</w:t>
      </w:r>
      <w:r>
        <w:rPr>
          <w:lang w:eastAsia="ja-JP"/>
        </w:rPr>
        <w:t xml:space="preserve"> A,</w:t>
      </w:r>
      <w:r w:rsidRPr="00CA6749">
        <w:rPr>
          <w:lang w:eastAsia="ja-JP"/>
        </w:rPr>
        <w:t xml:space="preserve"> Mooney</w:t>
      </w:r>
      <w:r>
        <w:rPr>
          <w:lang w:eastAsia="ja-JP"/>
        </w:rPr>
        <w:t xml:space="preserve"> T</w:t>
      </w:r>
      <w:r w:rsidRPr="00CA6749">
        <w:rPr>
          <w:lang w:eastAsia="ja-JP"/>
        </w:rPr>
        <w:t>, Harford</w:t>
      </w:r>
      <w:r>
        <w:rPr>
          <w:lang w:eastAsia="ja-JP"/>
        </w:rPr>
        <w:t xml:space="preserve"> A </w:t>
      </w:r>
      <w:r w:rsidR="003C60FB">
        <w:rPr>
          <w:lang w:eastAsia="ja-JP"/>
        </w:rPr>
        <w:t>and</w:t>
      </w:r>
      <w:r w:rsidRPr="00CA6749">
        <w:rPr>
          <w:lang w:eastAsia="ja-JP"/>
        </w:rPr>
        <w:t xml:space="preserve"> Humphrey</w:t>
      </w:r>
      <w:r>
        <w:rPr>
          <w:lang w:eastAsia="ja-JP"/>
        </w:rPr>
        <w:t xml:space="preserve"> C</w:t>
      </w:r>
      <w:r w:rsidRPr="00CA6749">
        <w:rPr>
          <w:lang w:eastAsia="ja-JP"/>
        </w:rPr>
        <w:t xml:space="preserve"> </w:t>
      </w:r>
      <w:r w:rsidR="00031E94">
        <w:rPr>
          <w:lang w:eastAsia="ja-JP"/>
        </w:rPr>
        <w:t>(</w:t>
      </w:r>
      <w:r w:rsidRPr="00CA6749">
        <w:rPr>
          <w:lang w:eastAsia="ja-JP"/>
        </w:rPr>
        <w:t>2021</w:t>
      </w:r>
      <w:r w:rsidR="00031E94">
        <w:rPr>
          <w:lang w:eastAsia="ja-JP"/>
        </w:rPr>
        <w:t>)</w:t>
      </w:r>
      <w:r w:rsidRPr="00CA6749">
        <w:rPr>
          <w:lang w:eastAsia="ja-JP"/>
        </w:rPr>
        <w:t xml:space="preserve"> </w:t>
      </w:r>
      <w:r>
        <w:fldChar w:fldCharType="begin"/>
      </w:r>
      <w:r>
        <w:instrText xml:space="preserve"> HYPERLINK "https://nesplandscapes.edu.au/publications/fish-migration-in-magela-creek-and-potential-impacts-of-mining-related-solutes-final-report-2/" </w:instrText>
      </w:r>
      <w:r>
        <w:fldChar w:fldCharType="separate"/>
      </w:r>
      <w:r w:rsidRPr="008A2EA3">
        <w:rPr>
          <w:rStyle w:val="Hyperlink"/>
          <w:i/>
          <w:iCs/>
          <w:lang w:eastAsia="ja-JP"/>
        </w:rPr>
        <w:t>Fish migration in Magela Creek and potential impacts of mining-related solutes</w:t>
      </w:r>
      <w:r>
        <w:fldChar w:fldCharType="end"/>
      </w:r>
      <w:r w:rsidR="00031E94">
        <w:rPr>
          <w:lang w:eastAsia="ja-JP"/>
        </w:rPr>
        <w:t>,</w:t>
      </w:r>
      <w:r w:rsidRPr="00CA6749">
        <w:rPr>
          <w:lang w:eastAsia="ja-JP"/>
        </w:rPr>
        <w:t xml:space="preserve"> </w:t>
      </w:r>
      <w:r w:rsidR="006D1B0F">
        <w:rPr>
          <w:lang w:eastAsia="ja-JP"/>
        </w:rPr>
        <w:t xml:space="preserve">report to the Northern Australia Environmental Resources Hub of the Australian Government’s National Environmental Science Program, </w:t>
      </w:r>
      <w:r w:rsidRPr="00CA6749">
        <w:rPr>
          <w:lang w:eastAsia="ja-JP"/>
        </w:rPr>
        <w:t>Charles Darwin University.</w:t>
      </w:r>
    </w:p>
    <w:p w:rsidR="005B6FC0" w:rsidP="0096129C" w14:paraId="2C616BD5" w14:textId="0610E71A">
      <w:pPr>
        <w:rPr>
          <w:lang w:eastAsia="ja-JP"/>
        </w:rPr>
      </w:pPr>
      <w:r w:rsidRPr="00F90B45">
        <w:t>Dafforn KA, Johnston EA, Ferguson A, Humphrey C, Monk W, Nichols S, Simpson S, Tulbure M</w:t>
      </w:r>
      <w:r>
        <w:t xml:space="preserve"> </w:t>
      </w:r>
      <w:r w:rsidR="003C60FB">
        <w:t>and</w:t>
      </w:r>
      <w:r w:rsidRPr="00F90B45">
        <w:t xml:space="preserve"> Baird DJ </w:t>
      </w:r>
      <w:r w:rsidR="006D1B0F">
        <w:t>(</w:t>
      </w:r>
      <w:r w:rsidRPr="00F90B45">
        <w:t>2016</w:t>
      </w:r>
      <w:r w:rsidR="006D1B0F">
        <w:t>)</w:t>
      </w:r>
      <w:r w:rsidRPr="00F90B45">
        <w:t xml:space="preserve"> </w:t>
      </w:r>
      <w:r w:rsidR="006D1B0F">
        <w:t>‘</w:t>
      </w:r>
      <w:r>
        <w:fldChar w:fldCharType="begin"/>
      </w:r>
      <w:r>
        <w:instrText xml:space="preserve"> HYPERLINK "https://doi.org/10.1071/MF15108" </w:instrText>
      </w:r>
      <w:r>
        <w:fldChar w:fldCharType="separate"/>
      </w:r>
      <w:r w:rsidRPr="008A2EA3">
        <w:rPr>
          <w:rStyle w:val="Hyperlink"/>
        </w:rPr>
        <w:t>Big data opportunities for assessing multiple stressors across scales in aquatic ecosystems</w:t>
      </w:r>
      <w:r>
        <w:fldChar w:fldCharType="end"/>
      </w:r>
      <w:r w:rsidR="006D1B0F">
        <w:t>’,</w:t>
      </w:r>
      <w:r w:rsidRPr="00F90B45">
        <w:t xml:space="preserve"> </w:t>
      </w:r>
      <w:r w:rsidRPr="00582758">
        <w:rPr>
          <w:rStyle w:val="Emphasis"/>
        </w:rPr>
        <w:t>Marine and Freshwater Research</w:t>
      </w:r>
      <w:r>
        <w:t>,</w:t>
      </w:r>
      <w:r w:rsidRPr="00F90B45">
        <w:t xml:space="preserve"> 67</w:t>
      </w:r>
      <w:r w:rsidR="006D1B0F">
        <w:t>:</w:t>
      </w:r>
      <w:r w:rsidRPr="00F90B45">
        <w:t>393–413</w:t>
      </w:r>
      <w:r w:rsidR="0022610E">
        <w:t xml:space="preserve">, </w:t>
      </w:r>
      <w:r w:rsidR="002A0E99">
        <w:t>doi:</w:t>
      </w:r>
      <w:r w:rsidRPr="0022610E" w:rsidR="0022610E">
        <w:t>10.1071/MF15108</w:t>
      </w:r>
      <w:r w:rsidRPr="00F90B45">
        <w:t>.</w:t>
      </w:r>
    </w:p>
    <w:p w:rsidR="005B6FC0" w:rsidP="001B25CD" w14:paraId="30728A5E" w14:textId="37D06595">
      <w:pPr>
        <w:rPr>
          <w:lang w:eastAsia="ja-JP"/>
        </w:rPr>
      </w:pPr>
      <w:r>
        <w:rPr>
          <w:lang w:eastAsia="ja-JP"/>
        </w:rPr>
        <w:t xml:space="preserve">De Laender F, De Schamphelaere KAC, Vanrolleghem PA </w:t>
      </w:r>
      <w:r w:rsidR="003C60FB">
        <w:rPr>
          <w:lang w:eastAsia="ja-JP"/>
        </w:rPr>
        <w:t>and</w:t>
      </w:r>
      <w:r>
        <w:rPr>
          <w:lang w:eastAsia="ja-JP"/>
        </w:rPr>
        <w:t xml:space="preserve"> Janssen CR </w:t>
      </w:r>
      <w:r w:rsidR="006D1B0F">
        <w:rPr>
          <w:lang w:eastAsia="ja-JP"/>
        </w:rPr>
        <w:t>(</w:t>
      </w:r>
      <w:r>
        <w:rPr>
          <w:lang w:eastAsia="ja-JP"/>
        </w:rPr>
        <w:t>2009</w:t>
      </w:r>
      <w:r w:rsidR="006D1B0F">
        <w:rPr>
          <w:lang w:eastAsia="ja-JP"/>
        </w:rPr>
        <w:t>)</w:t>
      </w:r>
      <w:r>
        <w:rPr>
          <w:lang w:eastAsia="ja-JP"/>
        </w:rPr>
        <w:t xml:space="preserve"> </w:t>
      </w:r>
      <w:r w:rsidR="006D1B0F">
        <w:rPr>
          <w:lang w:eastAsia="ja-JP"/>
        </w:rPr>
        <w:t>‘</w:t>
      </w:r>
      <w:r>
        <w:fldChar w:fldCharType="begin"/>
      </w:r>
      <w:r>
        <w:instrText xml:space="preserve"> HYPERLINK "https://doi.org/10.1016/j.ecoenv.2008.07.014" </w:instrText>
      </w:r>
      <w:r>
        <w:fldChar w:fldCharType="separate"/>
      </w:r>
      <w:r w:rsidRPr="008A2EA3">
        <w:rPr>
          <w:rStyle w:val="Hyperlink"/>
          <w:lang w:eastAsia="ja-JP"/>
        </w:rPr>
        <w:t>Comparing ecotoxicological effect concentrations of chemicals established in multi-species vs. single-species toxicity test systems</w:t>
      </w:r>
      <w:r>
        <w:fldChar w:fldCharType="end"/>
      </w:r>
      <w:r w:rsidR="006D1B0F">
        <w:rPr>
          <w:lang w:eastAsia="ja-JP"/>
        </w:rPr>
        <w:t>’,</w:t>
      </w:r>
      <w:r>
        <w:rPr>
          <w:lang w:eastAsia="ja-JP"/>
        </w:rPr>
        <w:t xml:space="preserve"> </w:t>
      </w:r>
      <w:r w:rsidRPr="006E20FA">
        <w:rPr>
          <w:rStyle w:val="Emphasis"/>
        </w:rPr>
        <w:t>Ecotoxicology and Environmental Safety</w:t>
      </w:r>
      <w:r>
        <w:rPr>
          <w:lang w:eastAsia="ja-JP"/>
        </w:rPr>
        <w:t>, 72</w:t>
      </w:r>
      <w:r w:rsidR="006D1B0F">
        <w:rPr>
          <w:lang w:eastAsia="ja-JP"/>
        </w:rPr>
        <w:t>:</w:t>
      </w:r>
      <w:r>
        <w:rPr>
          <w:lang w:eastAsia="ja-JP"/>
        </w:rPr>
        <w:t>310–315</w:t>
      </w:r>
      <w:r w:rsidR="0022610E">
        <w:rPr>
          <w:lang w:eastAsia="ja-JP"/>
        </w:rPr>
        <w:t xml:space="preserve">, </w:t>
      </w:r>
      <w:r w:rsidR="002A0E99">
        <w:rPr>
          <w:lang w:eastAsia="ja-JP"/>
        </w:rPr>
        <w:t>doi:</w:t>
      </w:r>
      <w:r w:rsidRPr="0022610E" w:rsidR="0022610E">
        <w:rPr>
          <w:lang w:eastAsia="ja-JP"/>
        </w:rPr>
        <w:t>10.1016/j.ecoenv.2008.07.014</w:t>
      </w:r>
      <w:r>
        <w:rPr>
          <w:lang w:eastAsia="ja-JP"/>
        </w:rPr>
        <w:t>.</w:t>
      </w:r>
    </w:p>
    <w:p w:rsidR="005B6FC0" w:rsidRPr="00313D34" w:rsidP="00F6192C" w14:paraId="353316A2" w14:textId="785774FA">
      <w:pPr>
        <w:rPr>
          <w:lang w:val="en-GB"/>
        </w:rPr>
      </w:pPr>
      <w:r w:rsidRPr="00313D34">
        <w:rPr>
          <w:lang w:val="en-GB"/>
        </w:rPr>
        <w:t xml:space="preserve">de Vlaming V </w:t>
      </w:r>
      <w:r w:rsidR="003C60FB">
        <w:rPr>
          <w:lang w:val="en-GB"/>
        </w:rPr>
        <w:t>and</w:t>
      </w:r>
      <w:r w:rsidRPr="00313D34">
        <w:rPr>
          <w:lang w:val="en-GB"/>
        </w:rPr>
        <w:t xml:space="preserve"> Norberg-King TJ </w:t>
      </w:r>
      <w:r w:rsidR="006D1B0F">
        <w:rPr>
          <w:lang w:val="en-GB"/>
        </w:rPr>
        <w:t>(</w:t>
      </w:r>
      <w:r w:rsidRPr="00313D34">
        <w:rPr>
          <w:lang w:val="en-GB"/>
        </w:rPr>
        <w:t>1999</w:t>
      </w:r>
      <w:r w:rsidR="006D1B0F">
        <w:rPr>
          <w:lang w:val="en-GB"/>
        </w:rPr>
        <w:t>)</w:t>
      </w:r>
      <w:r w:rsidRPr="00313D34">
        <w:rPr>
          <w:lang w:val="en-GB"/>
        </w:rPr>
        <w:t xml:space="preserve"> </w:t>
      </w:r>
      <w:r w:rsidRPr="00E53744">
        <w:rPr>
          <w:i/>
          <w:iCs/>
          <w:lang w:val="en-GB"/>
        </w:rPr>
        <w:t xml:space="preserve">A review of single species toxicity tests: </w:t>
      </w:r>
      <w:r w:rsidRPr="00E53744" w:rsidR="006D1B0F">
        <w:rPr>
          <w:i/>
          <w:iCs/>
          <w:lang w:val="en-GB"/>
        </w:rPr>
        <w:t>a</w:t>
      </w:r>
      <w:r w:rsidRPr="00E53744">
        <w:rPr>
          <w:i/>
          <w:iCs/>
          <w:lang w:val="en-GB"/>
        </w:rPr>
        <w:t>re the tests reliable predictors of aquatic ecosystem community responses?</w:t>
      </w:r>
      <w:r w:rsidRPr="008E036C" w:rsidR="00620036">
        <w:rPr>
          <w:lang w:val="en-GB"/>
        </w:rPr>
        <w:t>,</w:t>
      </w:r>
      <w:r w:rsidRPr="00313D34">
        <w:rPr>
          <w:lang w:val="en-GB"/>
        </w:rPr>
        <w:t xml:space="preserve"> </w:t>
      </w:r>
      <w:r w:rsidRPr="00313D34" w:rsidR="00620036">
        <w:rPr>
          <w:lang w:val="en-GB"/>
        </w:rPr>
        <w:t>EPA 440/5-80-029</w:t>
      </w:r>
      <w:r w:rsidR="00620036">
        <w:rPr>
          <w:lang w:val="en-GB"/>
        </w:rPr>
        <w:t xml:space="preserve">, </w:t>
      </w:r>
      <w:r w:rsidRPr="00313D34">
        <w:rPr>
          <w:lang w:val="en-GB"/>
        </w:rPr>
        <w:t xml:space="preserve">Office of Research and Development, </w:t>
      </w:r>
      <w:r w:rsidR="00013C69">
        <w:rPr>
          <w:lang w:val="en-GB"/>
        </w:rPr>
        <w:t xml:space="preserve">United States </w:t>
      </w:r>
      <w:r w:rsidRPr="00313D34">
        <w:rPr>
          <w:lang w:val="en-GB"/>
        </w:rPr>
        <w:t>Environmental Protection Agency</w:t>
      </w:r>
      <w:r w:rsidR="00AA610C">
        <w:rPr>
          <w:lang w:val="en-GB"/>
        </w:rPr>
        <w:t xml:space="preserve">, </w:t>
      </w:r>
      <w:r w:rsidRPr="00313D34" w:rsidR="00AA610C">
        <w:rPr>
          <w:lang w:val="en-GB"/>
        </w:rPr>
        <w:t>U</w:t>
      </w:r>
      <w:r w:rsidR="00AA610C">
        <w:rPr>
          <w:lang w:val="en-GB"/>
        </w:rPr>
        <w:t xml:space="preserve">nited </w:t>
      </w:r>
      <w:r w:rsidRPr="00313D34" w:rsidR="00AA610C">
        <w:rPr>
          <w:lang w:val="en-GB"/>
        </w:rPr>
        <w:t>S</w:t>
      </w:r>
      <w:r w:rsidR="00AA610C">
        <w:rPr>
          <w:lang w:val="en-GB"/>
        </w:rPr>
        <w:t>tates Government</w:t>
      </w:r>
      <w:r w:rsidRPr="00313D34">
        <w:rPr>
          <w:lang w:val="en-GB"/>
        </w:rPr>
        <w:t>.</w:t>
      </w:r>
    </w:p>
    <w:p w:rsidR="005B6FC0" w:rsidRPr="00313D34" w:rsidP="00F6192C" w14:paraId="03F82091" w14:textId="28B737AC">
      <w:pPr>
        <w:rPr>
          <w:lang w:val="en-GB"/>
        </w:rPr>
      </w:pPr>
      <w:r w:rsidRPr="00313D34">
        <w:rPr>
          <w:lang w:val="en-GB"/>
        </w:rPr>
        <w:t xml:space="preserve">de Vlaming V, Connor V, DiGiorgio C, Bailey HC, Deanovic LA </w:t>
      </w:r>
      <w:r w:rsidR="003C60FB">
        <w:rPr>
          <w:lang w:val="en-GB"/>
        </w:rPr>
        <w:t>and</w:t>
      </w:r>
      <w:r w:rsidRPr="00313D34">
        <w:rPr>
          <w:lang w:val="en-GB"/>
        </w:rPr>
        <w:t xml:space="preserve"> Hinton DE </w:t>
      </w:r>
      <w:r w:rsidR="00620036">
        <w:rPr>
          <w:lang w:val="en-GB"/>
        </w:rPr>
        <w:t>(</w:t>
      </w:r>
      <w:r w:rsidRPr="00313D34">
        <w:rPr>
          <w:lang w:val="en-GB"/>
        </w:rPr>
        <w:t>2000</w:t>
      </w:r>
      <w:r w:rsidR="00620036">
        <w:rPr>
          <w:lang w:val="en-GB"/>
        </w:rPr>
        <w:t>)</w:t>
      </w:r>
      <w:r w:rsidRPr="00313D34">
        <w:rPr>
          <w:lang w:val="en-GB"/>
        </w:rPr>
        <w:t xml:space="preserve"> </w:t>
      </w:r>
      <w:r w:rsidR="00620036">
        <w:rPr>
          <w:lang w:val="en-GB"/>
        </w:rPr>
        <w:t>‘</w:t>
      </w:r>
      <w:r>
        <w:fldChar w:fldCharType="begin"/>
      </w:r>
      <w:r>
        <w:instrText xml:space="preserve"> HYPERLINK "https://doi.org/10.1002/etc.5620190106" </w:instrText>
      </w:r>
      <w:r>
        <w:fldChar w:fldCharType="separate"/>
      </w:r>
      <w:r w:rsidRPr="008A2EA3">
        <w:rPr>
          <w:rStyle w:val="Hyperlink"/>
          <w:lang w:val="en-GB"/>
        </w:rPr>
        <w:t>Application of whole effluent toxicity test procedures to ambient water quality assessment</w:t>
      </w:r>
      <w:r>
        <w:fldChar w:fldCharType="end"/>
      </w:r>
      <w:r w:rsidR="00620036">
        <w:rPr>
          <w:lang w:val="en-GB"/>
        </w:rPr>
        <w:t>’,</w:t>
      </w:r>
      <w:r w:rsidRPr="00313D34">
        <w:rPr>
          <w:lang w:val="en-GB"/>
        </w:rPr>
        <w:t xml:space="preserve"> </w:t>
      </w:r>
      <w:r w:rsidRPr="00582758">
        <w:rPr>
          <w:rStyle w:val="Emphasis"/>
        </w:rPr>
        <w:t>Environmental Toxicology and Chemistry</w:t>
      </w:r>
      <w:r>
        <w:rPr>
          <w:lang w:val="en-GB"/>
        </w:rPr>
        <w:t>,</w:t>
      </w:r>
      <w:r w:rsidRPr="00313D34">
        <w:rPr>
          <w:lang w:val="en-GB"/>
        </w:rPr>
        <w:t xml:space="preserve"> 19</w:t>
      </w:r>
      <w:r w:rsidR="00620036">
        <w:rPr>
          <w:lang w:val="en-GB"/>
        </w:rPr>
        <w:t>:</w:t>
      </w:r>
      <w:r w:rsidRPr="00313D34">
        <w:rPr>
          <w:lang w:val="en-GB"/>
        </w:rPr>
        <w:t>42–62</w:t>
      </w:r>
      <w:r w:rsidR="0022610E">
        <w:rPr>
          <w:lang w:val="en-GB"/>
        </w:rPr>
        <w:t xml:space="preserve">, </w:t>
      </w:r>
      <w:r w:rsidR="002A0E99">
        <w:rPr>
          <w:lang w:val="en-GB"/>
        </w:rPr>
        <w:t>doi:</w:t>
      </w:r>
      <w:r w:rsidRPr="0022610E" w:rsidR="0022610E">
        <w:rPr>
          <w:lang w:val="en-GB"/>
        </w:rPr>
        <w:t>10.1002/etc.5620190106</w:t>
      </w:r>
      <w:r w:rsidRPr="00313D34">
        <w:rPr>
          <w:lang w:val="en-GB"/>
        </w:rPr>
        <w:t>.</w:t>
      </w:r>
    </w:p>
    <w:p w:rsidR="005B6FC0" w:rsidP="001B25CD" w14:paraId="61061ABD" w14:textId="73410A54">
      <w:pPr>
        <w:rPr>
          <w:lang w:eastAsia="ja-JP"/>
        </w:rPr>
      </w:pPr>
      <w:r>
        <w:rPr>
          <w:lang w:eastAsia="ja-JP"/>
        </w:rPr>
        <w:t xml:space="preserve">de Vos A, Faux CE, Marthick J, Dickinson J </w:t>
      </w:r>
      <w:r w:rsidR="003C60FB">
        <w:rPr>
          <w:lang w:eastAsia="ja-JP"/>
        </w:rPr>
        <w:t>and</w:t>
      </w:r>
      <w:r>
        <w:rPr>
          <w:lang w:eastAsia="ja-JP"/>
        </w:rPr>
        <w:t xml:space="preserve"> Jarman SN </w:t>
      </w:r>
      <w:r w:rsidR="00620036">
        <w:rPr>
          <w:lang w:eastAsia="ja-JP"/>
        </w:rPr>
        <w:t>(</w:t>
      </w:r>
      <w:r>
        <w:rPr>
          <w:lang w:eastAsia="ja-JP"/>
        </w:rPr>
        <w:t>2018</w:t>
      </w:r>
      <w:r w:rsidR="00620036">
        <w:rPr>
          <w:lang w:eastAsia="ja-JP"/>
        </w:rPr>
        <w:t>)</w:t>
      </w:r>
      <w:r>
        <w:rPr>
          <w:lang w:eastAsia="ja-JP"/>
        </w:rPr>
        <w:t xml:space="preserve"> </w:t>
      </w:r>
      <w:r w:rsidR="00620036">
        <w:rPr>
          <w:lang w:eastAsia="ja-JP"/>
        </w:rPr>
        <w:t>‘</w:t>
      </w:r>
      <w:r>
        <w:fldChar w:fldCharType="begin"/>
      </w:r>
      <w:r>
        <w:instrText xml:space="preserve"> HYPERLINK "https://doi.org/10.3389/fmars.2018.00104" </w:instrText>
      </w:r>
      <w:r>
        <w:fldChar w:fldCharType="separate"/>
      </w:r>
      <w:r w:rsidRPr="008A2EA3" w:rsidR="00620036">
        <w:rPr>
          <w:rStyle w:val="Hyperlink"/>
          <w:lang w:eastAsia="ja-JP"/>
        </w:rPr>
        <w:t>N</w:t>
      </w:r>
      <w:r w:rsidRPr="008A2EA3" w:rsidR="00623152">
        <w:rPr>
          <w:rStyle w:val="Hyperlink"/>
          <w:lang w:eastAsia="ja-JP"/>
        </w:rPr>
        <w:t>ew determination of prey and parasite species fo</w:t>
      </w:r>
      <w:r w:rsidRPr="008A2EA3">
        <w:rPr>
          <w:rStyle w:val="Hyperlink"/>
          <w:lang w:eastAsia="ja-JP"/>
        </w:rPr>
        <w:t xml:space="preserve">r </w:t>
      </w:r>
      <w:r w:rsidRPr="008A2EA3" w:rsidR="00620036">
        <w:rPr>
          <w:rStyle w:val="Hyperlink"/>
          <w:lang w:eastAsia="ja-JP"/>
        </w:rPr>
        <w:t>n</w:t>
      </w:r>
      <w:r w:rsidRPr="008A2EA3">
        <w:rPr>
          <w:rStyle w:val="Hyperlink"/>
          <w:lang w:eastAsia="ja-JP"/>
        </w:rPr>
        <w:t xml:space="preserve">orthern Indian Ocean </w:t>
      </w:r>
      <w:r w:rsidRPr="008A2EA3" w:rsidR="00623152">
        <w:rPr>
          <w:rStyle w:val="Hyperlink"/>
          <w:lang w:eastAsia="ja-JP"/>
        </w:rPr>
        <w:t>blue w</w:t>
      </w:r>
      <w:r w:rsidRPr="008A2EA3">
        <w:rPr>
          <w:rStyle w:val="Hyperlink"/>
          <w:lang w:eastAsia="ja-JP"/>
        </w:rPr>
        <w:t>hales</w:t>
      </w:r>
      <w:r>
        <w:fldChar w:fldCharType="end"/>
      </w:r>
      <w:r w:rsidR="00620036">
        <w:rPr>
          <w:lang w:eastAsia="ja-JP"/>
        </w:rPr>
        <w:t>’,</w:t>
      </w:r>
      <w:r>
        <w:rPr>
          <w:lang w:eastAsia="ja-JP"/>
        </w:rPr>
        <w:t xml:space="preserve"> </w:t>
      </w:r>
      <w:r w:rsidRPr="00C21A20">
        <w:rPr>
          <w:i/>
          <w:iCs/>
          <w:lang w:eastAsia="ja-JP"/>
        </w:rPr>
        <w:t>Frontiers in Marine Science</w:t>
      </w:r>
      <w:r>
        <w:rPr>
          <w:lang w:eastAsia="ja-JP"/>
        </w:rPr>
        <w:t>, 5</w:t>
      </w:r>
      <w:r w:rsidR="00620036">
        <w:rPr>
          <w:lang w:eastAsia="ja-JP"/>
        </w:rPr>
        <w:t>:</w:t>
      </w:r>
      <w:r>
        <w:rPr>
          <w:lang w:eastAsia="ja-JP"/>
        </w:rPr>
        <w:t>104</w:t>
      </w:r>
      <w:r w:rsidR="0022610E">
        <w:rPr>
          <w:lang w:eastAsia="ja-JP"/>
        </w:rPr>
        <w:t xml:space="preserve">, </w:t>
      </w:r>
      <w:r w:rsidR="002A0E99">
        <w:rPr>
          <w:lang w:eastAsia="ja-JP"/>
        </w:rPr>
        <w:t>doi:</w:t>
      </w:r>
      <w:r w:rsidRPr="0022610E" w:rsidR="0022610E">
        <w:rPr>
          <w:lang w:eastAsia="ja-JP"/>
        </w:rPr>
        <w:t>10.3389/fmars.2018.00104</w:t>
      </w:r>
      <w:r>
        <w:rPr>
          <w:lang w:eastAsia="ja-JP"/>
        </w:rPr>
        <w:t>.</w:t>
      </w:r>
    </w:p>
    <w:p w:rsidR="005B6FC0" w:rsidRPr="004D69FA" w:rsidP="004D69FA" w14:paraId="423CAA1D" w14:textId="32A8E133">
      <w:pPr>
        <w:rPr>
          <w:lang w:eastAsia="ja-JP"/>
        </w:rPr>
      </w:pPr>
      <w:r w:rsidRPr="004D69FA">
        <w:rPr>
          <w:lang w:eastAsia="ja-JP"/>
        </w:rPr>
        <w:t>de Zwart D</w:t>
      </w:r>
      <w:r>
        <w:rPr>
          <w:lang w:eastAsia="ja-JP"/>
        </w:rPr>
        <w:t xml:space="preserve"> </w:t>
      </w:r>
      <w:r w:rsidR="003C60FB">
        <w:rPr>
          <w:lang w:eastAsia="ja-JP"/>
        </w:rPr>
        <w:t>and</w:t>
      </w:r>
      <w:r w:rsidRPr="004D69FA">
        <w:rPr>
          <w:lang w:eastAsia="ja-JP"/>
        </w:rPr>
        <w:t xml:space="preserve"> Posthuma L </w:t>
      </w:r>
      <w:r w:rsidR="00620036">
        <w:rPr>
          <w:lang w:eastAsia="ja-JP"/>
        </w:rPr>
        <w:t>(</w:t>
      </w:r>
      <w:r w:rsidRPr="004D69FA">
        <w:rPr>
          <w:lang w:eastAsia="ja-JP"/>
        </w:rPr>
        <w:t>2005</w:t>
      </w:r>
      <w:r w:rsidR="00620036">
        <w:rPr>
          <w:lang w:eastAsia="ja-JP"/>
        </w:rPr>
        <w:t>)</w:t>
      </w:r>
      <w:r w:rsidRPr="004D69FA">
        <w:rPr>
          <w:lang w:eastAsia="ja-JP"/>
        </w:rPr>
        <w:t xml:space="preserve"> </w:t>
      </w:r>
      <w:r w:rsidR="00620036">
        <w:rPr>
          <w:lang w:eastAsia="ja-JP"/>
        </w:rPr>
        <w:t>‘</w:t>
      </w:r>
      <w:r>
        <w:fldChar w:fldCharType="begin"/>
      </w:r>
      <w:r>
        <w:instrText xml:space="preserve"> HYPERLINK "https://doi.org/10.1897/04-639r.1" </w:instrText>
      </w:r>
      <w:r>
        <w:fldChar w:fldCharType="separate"/>
      </w:r>
      <w:r w:rsidRPr="008A2EA3">
        <w:rPr>
          <w:rStyle w:val="Hyperlink"/>
          <w:lang w:eastAsia="ja-JP"/>
        </w:rPr>
        <w:t xml:space="preserve">Complex mixture toxicity for single and multiple species: </w:t>
      </w:r>
      <w:r w:rsidRPr="008A2EA3" w:rsidR="00620036">
        <w:rPr>
          <w:rStyle w:val="Hyperlink"/>
          <w:lang w:eastAsia="ja-JP"/>
        </w:rPr>
        <w:t>p</w:t>
      </w:r>
      <w:r w:rsidRPr="008A2EA3">
        <w:rPr>
          <w:rStyle w:val="Hyperlink"/>
          <w:lang w:eastAsia="ja-JP"/>
        </w:rPr>
        <w:t>roposed methodologies</w:t>
      </w:r>
      <w:r>
        <w:fldChar w:fldCharType="end"/>
      </w:r>
      <w:r w:rsidR="00620036">
        <w:rPr>
          <w:lang w:eastAsia="ja-JP"/>
        </w:rPr>
        <w:t>’,</w:t>
      </w:r>
      <w:r w:rsidRPr="004D69FA">
        <w:rPr>
          <w:lang w:eastAsia="ja-JP"/>
        </w:rPr>
        <w:t xml:space="preserve"> </w:t>
      </w:r>
      <w:r w:rsidRPr="00B510CA">
        <w:rPr>
          <w:rStyle w:val="Emphasis"/>
        </w:rPr>
        <w:t>Environmental Toxicology and Chemistry</w:t>
      </w:r>
      <w:r w:rsidRPr="00B510CA">
        <w:rPr>
          <w:rStyle w:val="Emphasis"/>
          <w:i w:val="0"/>
        </w:rPr>
        <w:t>,</w:t>
      </w:r>
      <w:r w:rsidRPr="00B510CA">
        <w:rPr>
          <w:i/>
          <w:lang w:eastAsia="ja-JP"/>
        </w:rPr>
        <w:t xml:space="preserve"> </w:t>
      </w:r>
      <w:r w:rsidRPr="004D69FA">
        <w:rPr>
          <w:lang w:eastAsia="ja-JP"/>
        </w:rPr>
        <w:t>24</w:t>
      </w:r>
      <w:r w:rsidR="00620036">
        <w:rPr>
          <w:lang w:eastAsia="ja-JP"/>
        </w:rPr>
        <w:t>:</w:t>
      </w:r>
      <w:r w:rsidRPr="004D69FA">
        <w:rPr>
          <w:lang w:eastAsia="ja-JP"/>
        </w:rPr>
        <w:t>2665–2676</w:t>
      </w:r>
      <w:r w:rsidR="0022610E">
        <w:rPr>
          <w:lang w:eastAsia="ja-JP"/>
        </w:rPr>
        <w:t xml:space="preserve">, </w:t>
      </w:r>
      <w:r w:rsidR="002A0E99">
        <w:rPr>
          <w:lang w:eastAsia="ja-JP"/>
        </w:rPr>
        <w:t>doi:</w:t>
      </w:r>
      <w:r w:rsidRPr="0022610E" w:rsidR="0022610E">
        <w:rPr>
          <w:lang w:eastAsia="ja-JP"/>
        </w:rPr>
        <w:t>10.1897/04-639r.1</w:t>
      </w:r>
      <w:r>
        <w:rPr>
          <w:lang w:eastAsia="ja-JP"/>
        </w:rPr>
        <w:t>.</w:t>
      </w:r>
    </w:p>
    <w:p w:rsidR="005B6FC0" w:rsidP="001B25CD" w14:paraId="2C56F221" w14:textId="1AF8BE1C">
      <w:pPr>
        <w:rPr>
          <w:lang w:eastAsia="ja-JP"/>
        </w:rPr>
      </w:pPr>
      <w:r>
        <w:rPr>
          <w:lang w:eastAsia="ja-JP"/>
        </w:rPr>
        <w:t xml:space="preserve">DeForest DK, Brix KV </w:t>
      </w:r>
      <w:r w:rsidR="003C60FB">
        <w:rPr>
          <w:lang w:eastAsia="ja-JP"/>
        </w:rPr>
        <w:t>and</w:t>
      </w:r>
      <w:r>
        <w:rPr>
          <w:lang w:eastAsia="ja-JP"/>
        </w:rPr>
        <w:t xml:space="preserve"> Adams WJ </w:t>
      </w:r>
      <w:r w:rsidR="00620036">
        <w:rPr>
          <w:lang w:eastAsia="ja-JP"/>
        </w:rPr>
        <w:t>(</w:t>
      </w:r>
      <w:r>
        <w:rPr>
          <w:lang w:eastAsia="ja-JP"/>
        </w:rPr>
        <w:t>2007</w:t>
      </w:r>
      <w:r w:rsidR="00620036">
        <w:rPr>
          <w:lang w:eastAsia="ja-JP"/>
        </w:rPr>
        <w:t>)</w:t>
      </w:r>
      <w:r>
        <w:rPr>
          <w:lang w:eastAsia="ja-JP"/>
        </w:rPr>
        <w:t xml:space="preserve"> </w:t>
      </w:r>
      <w:r w:rsidR="00620036">
        <w:rPr>
          <w:lang w:eastAsia="ja-JP"/>
        </w:rPr>
        <w:t>‘</w:t>
      </w:r>
      <w:r>
        <w:fldChar w:fldCharType="begin"/>
      </w:r>
      <w:r>
        <w:instrText xml:space="preserve"> HYPERLINK "https://doi.org/10.1016/j.aquatox.2007.02.022" </w:instrText>
      </w:r>
      <w:r>
        <w:fldChar w:fldCharType="separate"/>
      </w:r>
      <w:r w:rsidRPr="008A2EA3">
        <w:rPr>
          <w:rStyle w:val="Hyperlink"/>
          <w:lang w:eastAsia="ja-JP"/>
        </w:rPr>
        <w:t xml:space="preserve">Assessing metal bioaccumulation in aquatic environments: </w:t>
      </w:r>
      <w:r w:rsidRPr="008A2EA3" w:rsidR="00620036">
        <w:rPr>
          <w:rStyle w:val="Hyperlink"/>
          <w:lang w:eastAsia="ja-JP"/>
        </w:rPr>
        <w:t>t</w:t>
      </w:r>
      <w:r w:rsidRPr="008A2EA3">
        <w:rPr>
          <w:rStyle w:val="Hyperlink"/>
          <w:lang w:eastAsia="ja-JP"/>
        </w:rPr>
        <w:t>he inverse relationship between bioaccumulation factors, trophic transfer factors and exposure concentration</w:t>
      </w:r>
      <w:r>
        <w:fldChar w:fldCharType="end"/>
      </w:r>
      <w:r w:rsidR="00620036">
        <w:rPr>
          <w:lang w:eastAsia="ja-JP"/>
        </w:rPr>
        <w:t>’,</w:t>
      </w:r>
      <w:r>
        <w:rPr>
          <w:lang w:eastAsia="ja-JP"/>
        </w:rPr>
        <w:t xml:space="preserve"> </w:t>
      </w:r>
      <w:r w:rsidRPr="006E20FA">
        <w:rPr>
          <w:rStyle w:val="Emphasis"/>
        </w:rPr>
        <w:t>Aquatic Toxicology</w:t>
      </w:r>
      <w:r>
        <w:rPr>
          <w:lang w:eastAsia="ja-JP"/>
        </w:rPr>
        <w:t>, 84</w:t>
      </w:r>
      <w:r w:rsidR="00620036">
        <w:rPr>
          <w:lang w:eastAsia="ja-JP"/>
        </w:rPr>
        <w:t>:</w:t>
      </w:r>
      <w:r>
        <w:rPr>
          <w:lang w:eastAsia="ja-JP"/>
        </w:rPr>
        <w:t>236–246</w:t>
      </w:r>
      <w:r w:rsidR="0022610E">
        <w:rPr>
          <w:lang w:eastAsia="ja-JP"/>
        </w:rPr>
        <w:t xml:space="preserve">, </w:t>
      </w:r>
      <w:r w:rsidR="002A0E99">
        <w:rPr>
          <w:lang w:eastAsia="ja-JP"/>
        </w:rPr>
        <w:t>doi:</w:t>
      </w:r>
      <w:r w:rsidRPr="0022610E" w:rsidR="0022610E">
        <w:rPr>
          <w:lang w:eastAsia="ja-JP"/>
        </w:rPr>
        <w:t>10.1016/j.aquatox.2007.02.022</w:t>
      </w:r>
      <w:r>
        <w:rPr>
          <w:lang w:eastAsia="ja-JP"/>
        </w:rPr>
        <w:t>.</w:t>
      </w:r>
    </w:p>
    <w:p w:rsidR="005B6FC0" w:rsidP="001B25CD" w14:paraId="1E939C6E" w14:textId="267B7B49">
      <w:pPr>
        <w:rPr>
          <w:lang w:eastAsia="ja-JP"/>
        </w:rPr>
      </w:pPr>
      <w:r>
        <w:rPr>
          <w:lang w:eastAsia="ja-JP"/>
        </w:rPr>
        <w:t xml:space="preserve">Dolédec S </w:t>
      </w:r>
      <w:r w:rsidR="003C60FB">
        <w:rPr>
          <w:lang w:eastAsia="ja-JP"/>
        </w:rPr>
        <w:t>and</w:t>
      </w:r>
      <w:r>
        <w:rPr>
          <w:lang w:eastAsia="ja-JP"/>
        </w:rPr>
        <w:t xml:space="preserve"> Statzner B </w:t>
      </w:r>
      <w:r w:rsidR="00620036">
        <w:rPr>
          <w:lang w:eastAsia="ja-JP"/>
        </w:rPr>
        <w:t>(</w:t>
      </w:r>
      <w:r>
        <w:rPr>
          <w:lang w:eastAsia="ja-JP"/>
        </w:rPr>
        <w:t>2008</w:t>
      </w:r>
      <w:r w:rsidR="00620036">
        <w:rPr>
          <w:lang w:eastAsia="ja-JP"/>
        </w:rPr>
        <w:t>)</w:t>
      </w:r>
      <w:r>
        <w:rPr>
          <w:lang w:eastAsia="ja-JP"/>
        </w:rPr>
        <w:t xml:space="preserve"> </w:t>
      </w:r>
      <w:r w:rsidR="00620036">
        <w:rPr>
          <w:lang w:eastAsia="ja-JP"/>
        </w:rPr>
        <w:t>‘</w:t>
      </w:r>
      <w:r>
        <w:fldChar w:fldCharType="begin"/>
      </w:r>
      <w:r>
        <w:instrText xml:space="preserve"> HYPERLINK "https://doi.org/10.1111/j.1365-2427.2007.01924.x" </w:instrText>
      </w:r>
      <w:r>
        <w:fldChar w:fldCharType="separate"/>
      </w:r>
      <w:r w:rsidRPr="00165FF3">
        <w:rPr>
          <w:rStyle w:val="Hyperlink"/>
          <w:lang w:eastAsia="ja-JP"/>
        </w:rPr>
        <w:t xml:space="preserve">Invertebrate traits for the biomonitoring of large European rivers: </w:t>
      </w:r>
      <w:r w:rsidRPr="00165FF3" w:rsidR="00620036">
        <w:rPr>
          <w:rStyle w:val="Hyperlink"/>
          <w:lang w:eastAsia="ja-JP"/>
        </w:rPr>
        <w:t>a</w:t>
      </w:r>
      <w:r w:rsidRPr="00165FF3">
        <w:rPr>
          <w:rStyle w:val="Hyperlink"/>
          <w:lang w:eastAsia="ja-JP"/>
        </w:rPr>
        <w:t>n assessment of specific types of human impact</w:t>
      </w:r>
      <w:r>
        <w:fldChar w:fldCharType="end"/>
      </w:r>
      <w:r w:rsidR="00620036">
        <w:rPr>
          <w:lang w:eastAsia="ja-JP"/>
        </w:rPr>
        <w:t>’,</w:t>
      </w:r>
      <w:r>
        <w:rPr>
          <w:lang w:eastAsia="ja-JP"/>
        </w:rPr>
        <w:t xml:space="preserve"> </w:t>
      </w:r>
      <w:r w:rsidRPr="00077BAF">
        <w:rPr>
          <w:i/>
          <w:lang w:eastAsia="ja-JP"/>
        </w:rPr>
        <w:t>Freshwater Biology</w:t>
      </w:r>
      <w:r>
        <w:rPr>
          <w:lang w:eastAsia="ja-JP"/>
        </w:rPr>
        <w:t>, 53</w:t>
      </w:r>
      <w:r w:rsidR="00620036">
        <w:rPr>
          <w:lang w:eastAsia="ja-JP"/>
        </w:rPr>
        <w:t>:</w:t>
      </w:r>
      <w:r>
        <w:rPr>
          <w:lang w:eastAsia="ja-JP"/>
        </w:rPr>
        <w:t>617–634</w:t>
      </w:r>
      <w:r w:rsidR="00D10AF0">
        <w:rPr>
          <w:lang w:eastAsia="ja-JP"/>
        </w:rPr>
        <w:t xml:space="preserve">, </w:t>
      </w:r>
      <w:r w:rsidR="002A0E99">
        <w:rPr>
          <w:lang w:eastAsia="ja-JP"/>
        </w:rPr>
        <w:t>doi:</w:t>
      </w:r>
      <w:r w:rsidRPr="00D10AF0" w:rsidR="00D10AF0">
        <w:rPr>
          <w:lang w:eastAsia="ja-JP"/>
        </w:rPr>
        <w:t>10.1111/j.1365-2427.2007.01924.x</w:t>
      </w:r>
      <w:r>
        <w:rPr>
          <w:lang w:eastAsia="ja-JP"/>
        </w:rPr>
        <w:t>.</w:t>
      </w:r>
    </w:p>
    <w:p w:rsidR="005B6FC0" w:rsidP="001B25CD" w14:paraId="1FE4E388" w14:textId="1BF33FBC">
      <w:pPr>
        <w:rPr>
          <w:lang w:eastAsia="ja-JP"/>
        </w:rPr>
      </w:pPr>
      <w:r>
        <w:rPr>
          <w:lang w:eastAsia="ja-JP"/>
        </w:rPr>
        <w:t xml:space="preserve">Downes BJ, Barmuta LA, Fairweather PG, Faith DP, Keough MJ, Lake PS, Mapstone BD </w:t>
      </w:r>
      <w:r w:rsidR="003C60FB">
        <w:rPr>
          <w:lang w:eastAsia="ja-JP"/>
        </w:rPr>
        <w:t>and</w:t>
      </w:r>
      <w:r>
        <w:rPr>
          <w:lang w:eastAsia="ja-JP"/>
        </w:rPr>
        <w:t xml:space="preserve"> Quinn GP </w:t>
      </w:r>
      <w:r w:rsidR="00620036">
        <w:rPr>
          <w:lang w:eastAsia="ja-JP"/>
        </w:rPr>
        <w:t>(</w:t>
      </w:r>
      <w:r>
        <w:rPr>
          <w:lang w:eastAsia="ja-JP"/>
        </w:rPr>
        <w:t>2002</w:t>
      </w:r>
      <w:r w:rsidR="00620036">
        <w:rPr>
          <w:lang w:eastAsia="ja-JP"/>
        </w:rPr>
        <w:t>)</w:t>
      </w:r>
      <w:r>
        <w:rPr>
          <w:lang w:eastAsia="ja-JP"/>
        </w:rPr>
        <w:t xml:space="preserve"> </w:t>
      </w:r>
      <w:r>
        <w:fldChar w:fldCharType="begin"/>
      </w:r>
      <w:r>
        <w:instrText xml:space="preserve"> HYPERLINK "https://doi.org/10.1017/CBO9780511542015" </w:instrText>
      </w:r>
      <w:r>
        <w:fldChar w:fldCharType="separate"/>
      </w:r>
      <w:r w:rsidRPr="00E409D8">
        <w:rPr>
          <w:rStyle w:val="Hyperlink"/>
          <w:i/>
          <w:iCs/>
          <w:lang w:eastAsia="ja-JP"/>
        </w:rPr>
        <w:t xml:space="preserve">Monitoring </w:t>
      </w:r>
      <w:r w:rsidRPr="00E409D8" w:rsidR="00620036">
        <w:rPr>
          <w:rStyle w:val="Hyperlink"/>
          <w:i/>
          <w:iCs/>
          <w:lang w:eastAsia="ja-JP"/>
        </w:rPr>
        <w:t>e</w:t>
      </w:r>
      <w:r w:rsidRPr="00E409D8">
        <w:rPr>
          <w:rStyle w:val="Hyperlink"/>
          <w:i/>
          <w:iCs/>
          <w:lang w:eastAsia="ja-JP"/>
        </w:rPr>
        <w:t xml:space="preserve">cological </w:t>
      </w:r>
      <w:r w:rsidRPr="00E409D8" w:rsidR="00620036">
        <w:rPr>
          <w:rStyle w:val="Hyperlink"/>
          <w:i/>
          <w:iCs/>
          <w:lang w:eastAsia="ja-JP"/>
        </w:rPr>
        <w:t>i</w:t>
      </w:r>
      <w:r w:rsidRPr="00E409D8">
        <w:rPr>
          <w:rStyle w:val="Hyperlink"/>
          <w:i/>
          <w:iCs/>
          <w:lang w:eastAsia="ja-JP"/>
        </w:rPr>
        <w:t xml:space="preserve">mpacts: </w:t>
      </w:r>
      <w:r w:rsidRPr="00E409D8" w:rsidR="00620036">
        <w:rPr>
          <w:rStyle w:val="Hyperlink"/>
          <w:i/>
          <w:iCs/>
          <w:lang w:eastAsia="ja-JP"/>
        </w:rPr>
        <w:t>c</w:t>
      </w:r>
      <w:r w:rsidRPr="00E409D8">
        <w:rPr>
          <w:rStyle w:val="Hyperlink"/>
          <w:i/>
          <w:iCs/>
          <w:lang w:eastAsia="ja-JP"/>
        </w:rPr>
        <w:t>oncepts and practice in flowing waters</w:t>
      </w:r>
      <w:r>
        <w:fldChar w:fldCharType="end"/>
      </w:r>
      <w:r w:rsidR="00620036">
        <w:rPr>
          <w:lang w:eastAsia="ja-JP"/>
        </w:rPr>
        <w:t>,</w:t>
      </w:r>
      <w:r>
        <w:rPr>
          <w:lang w:eastAsia="ja-JP"/>
        </w:rPr>
        <w:t xml:space="preserve"> Cambridge University Press, Cambridge</w:t>
      </w:r>
      <w:r w:rsidR="00E409D8">
        <w:rPr>
          <w:lang w:eastAsia="ja-JP"/>
        </w:rPr>
        <w:t>, doi:</w:t>
      </w:r>
      <w:r w:rsidRPr="00E409D8" w:rsidR="00E409D8">
        <w:t xml:space="preserve"> </w:t>
      </w:r>
      <w:r w:rsidRPr="00E409D8" w:rsidR="00E409D8">
        <w:rPr>
          <w:lang w:eastAsia="ja-JP"/>
        </w:rPr>
        <w:t>10.1017/CBO9780511542015</w:t>
      </w:r>
      <w:r>
        <w:rPr>
          <w:lang w:eastAsia="ja-JP"/>
        </w:rPr>
        <w:t>.</w:t>
      </w:r>
    </w:p>
    <w:p w:rsidR="005B6FC0" w:rsidRPr="00D43AFA" w:rsidP="00D43AFA" w14:paraId="2AF99B65" w14:textId="7FF0E277">
      <w:pPr>
        <w:rPr>
          <w:lang w:val="en-GB" w:eastAsia="ja-JP"/>
        </w:rPr>
      </w:pPr>
      <w:r w:rsidRPr="00D43AFA">
        <w:rPr>
          <w:lang w:val="en-GB" w:eastAsia="ja-JP"/>
        </w:rPr>
        <w:t xml:space="preserve">Durhan EJ, Norberg-King TJ </w:t>
      </w:r>
      <w:r w:rsidR="003C60FB">
        <w:rPr>
          <w:lang w:val="en-GB" w:eastAsia="ja-JP"/>
        </w:rPr>
        <w:t>and</w:t>
      </w:r>
      <w:r w:rsidRPr="00D43AFA">
        <w:rPr>
          <w:lang w:val="en-GB" w:eastAsia="ja-JP"/>
        </w:rPr>
        <w:t xml:space="preserve"> Burkhard LP (eds) </w:t>
      </w:r>
      <w:r w:rsidR="00620036">
        <w:rPr>
          <w:lang w:val="en-GB" w:eastAsia="ja-JP"/>
        </w:rPr>
        <w:t>(</w:t>
      </w:r>
      <w:r w:rsidRPr="00D43AFA">
        <w:rPr>
          <w:lang w:val="en-GB" w:eastAsia="ja-JP"/>
        </w:rPr>
        <w:t>1993</w:t>
      </w:r>
      <w:r w:rsidR="00620036">
        <w:rPr>
          <w:lang w:val="en-GB" w:eastAsia="ja-JP"/>
        </w:rPr>
        <w:t>)</w:t>
      </w:r>
      <w:r w:rsidRPr="00D43AFA">
        <w:rPr>
          <w:lang w:val="en-GB" w:eastAsia="ja-JP"/>
        </w:rPr>
        <w:t xml:space="preserve"> </w:t>
      </w:r>
      <w:r w:rsidRPr="00E53744">
        <w:rPr>
          <w:i/>
          <w:iCs/>
          <w:lang w:val="en-GB" w:eastAsia="ja-JP"/>
        </w:rPr>
        <w:t xml:space="preserve">Methods for aquatic toxicity identification evaluations: </w:t>
      </w:r>
      <w:r w:rsidRPr="00E53744" w:rsidR="00620036">
        <w:rPr>
          <w:i/>
          <w:iCs/>
          <w:lang w:val="en-GB" w:eastAsia="ja-JP"/>
        </w:rPr>
        <w:t>p</w:t>
      </w:r>
      <w:r w:rsidRPr="00E53744">
        <w:rPr>
          <w:i/>
          <w:iCs/>
          <w:lang w:val="en-GB" w:eastAsia="ja-JP"/>
        </w:rPr>
        <w:t>hase II toxicity identification procedures for samples exhibiting acute and chronic toxicity</w:t>
      </w:r>
      <w:r w:rsidR="00620036">
        <w:rPr>
          <w:lang w:val="en-GB" w:eastAsia="ja-JP"/>
        </w:rPr>
        <w:t>,</w:t>
      </w:r>
      <w:r w:rsidRPr="00D43AFA">
        <w:rPr>
          <w:lang w:val="en-GB" w:eastAsia="ja-JP"/>
        </w:rPr>
        <w:t xml:space="preserve"> </w:t>
      </w:r>
      <w:r w:rsidRPr="00D43AFA" w:rsidR="00620036">
        <w:rPr>
          <w:lang w:val="en-GB" w:eastAsia="ja-JP"/>
        </w:rPr>
        <w:t>EPA/600/R-92/080</w:t>
      </w:r>
      <w:r w:rsidR="00620036">
        <w:rPr>
          <w:lang w:val="en-GB" w:eastAsia="ja-JP"/>
        </w:rPr>
        <w:t xml:space="preserve">, </w:t>
      </w:r>
      <w:r w:rsidRPr="00D43AFA">
        <w:rPr>
          <w:lang w:val="en-GB" w:eastAsia="ja-JP"/>
        </w:rPr>
        <w:t>Office of Research and Development</w:t>
      </w:r>
      <w:r>
        <w:rPr>
          <w:lang w:val="en-GB" w:eastAsia="ja-JP"/>
        </w:rPr>
        <w:t>,</w:t>
      </w:r>
      <w:r w:rsidRPr="00D43AFA">
        <w:rPr>
          <w:lang w:val="en-GB" w:eastAsia="ja-JP"/>
        </w:rPr>
        <w:t xml:space="preserve"> </w:t>
      </w:r>
      <w:r w:rsidR="00013C69">
        <w:rPr>
          <w:lang w:val="en-GB" w:eastAsia="ja-JP"/>
        </w:rPr>
        <w:t xml:space="preserve">United States </w:t>
      </w:r>
      <w:r w:rsidRPr="00D43AFA">
        <w:rPr>
          <w:lang w:val="en-GB" w:eastAsia="ja-JP"/>
        </w:rPr>
        <w:t>Environmental Protection Agency</w:t>
      </w:r>
      <w:r w:rsidR="00AA610C">
        <w:rPr>
          <w:lang w:val="en-GB" w:eastAsia="ja-JP"/>
        </w:rPr>
        <w:t xml:space="preserve">, </w:t>
      </w:r>
      <w:r w:rsidRPr="00D43AFA" w:rsidR="00AA610C">
        <w:rPr>
          <w:lang w:val="en-GB" w:eastAsia="ja-JP"/>
        </w:rPr>
        <w:t>U</w:t>
      </w:r>
      <w:r w:rsidR="00AA610C">
        <w:rPr>
          <w:lang w:val="en-GB" w:eastAsia="ja-JP"/>
        </w:rPr>
        <w:t xml:space="preserve">nited </w:t>
      </w:r>
      <w:r w:rsidRPr="00D43AFA" w:rsidR="00AA610C">
        <w:rPr>
          <w:lang w:val="en-GB" w:eastAsia="ja-JP"/>
        </w:rPr>
        <w:t>S</w:t>
      </w:r>
      <w:r w:rsidR="00AA610C">
        <w:rPr>
          <w:lang w:val="en-GB" w:eastAsia="ja-JP"/>
        </w:rPr>
        <w:t>tates Government</w:t>
      </w:r>
      <w:r w:rsidRPr="00D43AFA">
        <w:rPr>
          <w:lang w:val="en-GB" w:eastAsia="ja-JP"/>
        </w:rPr>
        <w:t>.</w:t>
      </w:r>
    </w:p>
    <w:p w:rsidR="005B6FC0" w:rsidRPr="00D43AFA" w:rsidP="00D43AFA" w14:paraId="44CB3401" w14:textId="597BC4E9">
      <w:pPr>
        <w:rPr>
          <w:lang w:val="en-GB" w:eastAsia="ja-JP"/>
        </w:rPr>
      </w:pPr>
      <w:r w:rsidRPr="00D43AFA">
        <w:rPr>
          <w:lang w:val="en-GB" w:eastAsia="ja-JP"/>
        </w:rPr>
        <w:t xml:space="preserve">Eagleson KW, Lenat DL, Ausley LW </w:t>
      </w:r>
      <w:r w:rsidR="003C60FB">
        <w:rPr>
          <w:lang w:val="en-GB" w:eastAsia="ja-JP"/>
        </w:rPr>
        <w:t>and</w:t>
      </w:r>
      <w:r w:rsidRPr="00D43AFA">
        <w:rPr>
          <w:lang w:val="en-GB" w:eastAsia="ja-JP"/>
        </w:rPr>
        <w:t xml:space="preserve"> Winborne FB </w:t>
      </w:r>
      <w:r w:rsidR="00AA610C">
        <w:rPr>
          <w:lang w:val="en-GB" w:eastAsia="ja-JP"/>
        </w:rPr>
        <w:t>(</w:t>
      </w:r>
      <w:r w:rsidRPr="00D43AFA">
        <w:rPr>
          <w:lang w:val="en-GB" w:eastAsia="ja-JP"/>
        </w:rPr>
        <w:t>1990</w:t>
      </w:r>
      <w:r w:rsidR="00AA610C">
        <w:rPr>
          <w:lang w:val="en-GB" w:eastAsia="ja-JP"/>
        </w:rPr>
        <w:t>)</w:t>
      </w:r>
      <w:r w:rsidRPr="00D43AFA">
        <w:rPr>
          <w:lang w:val="en-GB" w:eastAsia="ja-JP"/>
        </w:rPr>
        <w:t xml:space="preserve"> </w:t>
      </w:r>
      <w:r w:rsidR="00AA610C">
        <w:rPr>
          <w:lang w:val="en-GB" w:eastAsia="ja-JP"/>
        </w:rPr>
        <w:t>‘</w:t>
      </w:r>
      <w:r>
        <w:fldChar w:fldCharType="begin"/>
      </w:r>
      <w:r>
        <w:instrText xml:space="preserve"> HYPERLINK "https://doi.org/10.1002/ETC.5620090808." </w:instrText>
      </w:r>
      <w:r>
        <w:fldChar w:fldCharType="separate"/>
      </w:r>
      <w:r w:rsidRPr="00165FF3">
        <w:rPr>
          <w:rStyle w:val="Hyperlink"/>
          <w:lang w:val="en-GB" w:eastAsia="ja-JP"/>
        </w:rPr>
        <w:t xml:space="preserve">Comparison of measured instream biological responses with response predicted using the </w:t>
      </w:r>
      <w:r w:rsidRPr="00165FF3">
        <w:rPr>
          <w:rStyle w:val="Hyperlink"/>
          <w:i/>
          <w:iCs/>
        </w:rPr>
        <w:t>Ceriodaphnia dubia</w:t>
      </w:r>
      <w:r w:rsidRPr="00165FF3">
        <w:rPr>
          <w:rStyle w:val="Hyperlink"/>
          <w:lang w:val="en-GB" w:eastAsia="ja-JP"/>
        </w:rPr>
        <w:t xml:space="preserve"> chronic toxicity test</w:t>
      </w:r>
      <w:r>
        <w:fldChar w:fldCharType="end"/>
      </w:r>
      <w:r w:rsidR="00AA610C">
        <w:rPr>
          <w:lang w:val="en-GB" w:eastAsia="ja-JP"/>
        </w:rPr>
        <w:t>’,</w:t>
      </w:r>
      <w:r w:rsidRPr="00D43AFA">
        <w:rPr>
          <w:lang w:val="en-GB" w:eastAsia="ja-JP"/>
        </w:rPr>
        <w:t xml:space="preserve"> </w:t>
      </w:r>
      <w:r w:rsidRPr="00B510CA">
        <w:rPr>
          <w:rStyle w:val="Emphasis"/>
        </w:rPr>
        <w:t>Environmental Toxicology and Chemistry</w:t>
      </w:r>
      <w:r>
        <w:rPr>
          <w:lang w:val="en-GB" w:eastAsia="ja-JP"/>
        </w:rPr>
        <w:t>,</w:t>
      </w:r>
      <w:r w:rsidRPr="00D43AFA">
        <w:rPr>
          <w:lang w:val="en-GB" w:eastAsia="ja-JP"/>
        </w:rPr>
        <w:t xml:space="preserve"> 9</w:t>
      </w:r>
      <w:r w:rsidR="00AA610C">
        <w:rPr>
          <w:lang w:val="en-GB" w:eastAsia="ja-JP"/>
        </w:rPr>
        <w:t>:</w:t>
      </w:r>
      <w:r w:rsidRPr="00D43AFA">
        <w:rPr>
          <w:lang w:val="en-GB" w:eastAsia="ja-JP"/>
        </w:rPr>
        <w:t>1019–1028</w:t>
      </w:r>
      <w:r w:rsidR="00D10AF0">
        <w:rPr>
          <w:lang w:val="en-GB" w:eastAsia="ja-JP"/>
        </w:rPr>
        <w:t xml:space="preserve">, </w:t>
      </w:r>
      <w:r w:rsidR="002A0E99">
        <w:rPr>
          <w:lang w:val="en-GB" w:eastAsia="ja-JP"/>
        </w:rPr>
        <w:t>doi:</w:t>
      </w:r>
      <w:r w:rsidRPr="00D10AF0" w:rsidR="00D10AF0">
        <w:rPr>
          <w:lang w:val="en-GB" w:eastAsia="ja-JP"/>
        </w:rPr>
        <w:t>10.1002/ETC.5620090808</w:t>
      </w:r>
      <w:r w:rsidRPr="00D43AFA">
        <w:rPr>
          <w:lang w:val="en-GB" w:eastAsia="ja-JP"/>
        </w:rPr>
        <w:t>.</w:t>
      </w:r>
    </w:p>
    <w:p w:rsidR="005B6FC0" w:rsidRPr="006E2389" w:rsidP="006E2389" w14:paraId="4296DAB0" w14:textId="60F9E99B">
      <w:pPr>
        <w:rPr>
          <w:lang w:val="en-GB" w:eastAsia="ja-JP"/>
        </w:rPr>
      </w:pPr>
      <w:r w:rsidRPr="006E2389">
        <w:rPr>
          <w:lang w:val="en-GB" w:eastAsia="ja-JP"/>
        </w:rPr>
        <w:t xml:space="preserve">Environment Canada </w:t>
      </w:r>
      <w:r w:rsidR="00AA610C">
        <w:rPr>
          <w:lang w:val="en-GB" w:eastAsia="ja-JP"/>
        </w:rPr>
        <w:t>(</w:t>
      </w:r>
      <w:r w:rsidRPr="006E2389">
        <w:rPr>
          <w:lang w:val="en-GB" w:eastAsia="ja-JP"/>
        </w:rPr>
        <w:t>1990a</w:t>
      </w:r>
      <w:r w:rsidR="00AA610C">
        <w:rPr>
          <w:lang w:val="en-GB" w:eastAsia="ja-JP"/>
        </w:rPr>
        <w:t>)</w:t>
      </w:r>
      <w:r w:rsidRPr="006E2389">
        <w:rPr>
          <w:lang w:val="en-GB" w:eastAsia="ja-JP"/>
        </w:rPr>
        <w:t xml:space="preserve"> </w:t>
      </w:r>
      <w:r w:rsidR="00DE6011">
        <w:rPr>
          <w:lang w:val="en-GB" w:eastAsia="ja-JP"/>
        </w:rPr>
        <w:t>‘</w:t>
      </w:r>
      <w:r>
        <w:fldChar w:fldCharType="begin"/>
      </w:r>
      <w:r>
        <w:instrText xml:space="preserve"> HYPERLINK "https://www.canada.ca/en/environment-climate-change/services/wildlife-research-landscape-science/biological-test-method-publications/acute-lethality-effluents-rainbow-trout.html" </w:instrText>
      </w:r>
      <w:r>
        <w:fldChar w:fldCharType="separate"/>
      </w:r>
      <w:r w:rsidRPr="00165FF3">
        <w:rPr>
          <w:rStyle w:val="Hyperlink"/>
          <w:lang w:val="en-GB" w:eastAsia="ja-JP"/>
        </w:rPr>
        <w:t xml:space="preserve">Biological test method: </w:t>
      </w:r>
      <w:r w:rsidRPr="00165FF3" w:rsidR="00165FF3">
        <w:rPr>
          <w:rStyle w:val="Hyperlink"/>
          <w:lang w:val="en-GB" w:eastAsia="ja-JP"/>
        </w:rPr>
        <w:t>r</w:t>
      </w:r>
      <w:r w:rsidRPr="00165FF3">
        <w:rPr>
          <w:rStyle w:val="Hyperlink"/>
          <w:lang w:val="en-GB" w:eastAsia="ja-JP"/>
        </w:rPr>
        <w:t>eference method for determining acute lethality of effluents to rainbow trout</w:t>
      </w:r>
      <w:r>
        <w:fldChar w:fldCharType="end"/>
      </w:r>
      <w:r w:rsidR="00DE6011">
        <w:rPr>
          <w:lang w:val="en-GB" w:eastAsia="ja-JP"/>
        </w:rPr>
        <w:t>’</w:t>
      </w:r>
      <w:r w:rsidR="00AA610C">
        <w:rPr>
          <w:lang w:val="en-GB" w:eastAsia="ja-JP"/>
        </w:rPr>
        <w:t>,</w:t>
      </w:r>
      <w:r w:rsidRPr="006E2389">
        <w:rPr>
          <w:lang w:val="en-GB" w:eastAsia="ja-JP"/>
        </w:rPr>
        <w:t xml:space="preserve"> </w:t>
      </w:r>
      <w:r w:rsidRPr="00DE6011">
        <w:rPr>
          <w:i/>
          <w:iCs/>
          <w:lang w:val="en-GB" w:eastAsia="ja-JP"/>
        </w:rPr>
        <w:t>Environmental Protection Series</w:t>
      </w:r>
      <w:r w:rsidRPr="006E2389">
        <w:rPr>
          <w:lang w:val="en-GB" w:eastAsia="ja-JP"/>
        </w:rPr>
        <w:t xml:space="preserve">, Report EPS 1/RM/13, Environment Canada, Conservation and Protection, </w:t>
      </w:r>
      <w:r w:rsidR="00DE6011">
        <w:rPr>
          <w:lang w:val="en-GB" w:eastAsia="ja-JP"/>
        </w:rPr>
        <w:t>Canadian Government, a</w:t>
      </w:r>
      <w:r w:rsidRPr="006E2389">
        <w:rPr>
          <w:lang w:val="en-GB" w:eastAsia="ja-JP"/>
        </w:rPr>
        <w:t>mended May 1996.</w:t>
      </w:r>
    </w:p>
    <w:p w:rsidR="005B6FC0" w:rsidRPr="006E2389" w:rsidP="006E2389" w14:paraId="305060FD" w14:textId="3A520F5A">
      <w:pPr>
        <w:rPr>
          <w:lang w:val="en-GB" w:eastAsia="ja-JP"/>
        </w:rPr>
      </w:pPr>
      <w:r w:rsidRPr="006E2389">
        <w:rPr>
          <w:lang w:val="en-GB" w:eastAsia="ja-JP"/>
        </w:rPr>
        <w:t xml:space="preserve">Environment Canada </w:t>
      </w:r>
      <w:r w:rsidR="00AA610C">
        <w:rPr>
          <w:lang w:val="en-GB" w:eastAsia="ja-JP"/>
        </w:rPr>
        <w:t>(</w:t>
      </w:r>
      <w:r w:rsidRPr="006E2389">
        <w:rPr>
          <w:lang w:val="en-GB" w:eastAsia="ja-JP"/>
        </w:rPr>
        <w:t>1990b</w:t>
      </w:r>
      <w:r w:rsidR="00AA610C">
        <w:rPr>
          <w:lang w:val="en-GB" w:eastAsia="ja-JP"/>
        </w:rPr>
        <w:t>)</w:t>
      </w:r>
      <w:r w:rsidRPr="006E2389">
        <w:rPr>
          <w:lang w:val="en-GB" w:eastAsia="ja-JP"/>
        </w:rPr>
        <w:t xml:space="preserve"> </w:t>
      </w:r>
      <w:r w:rsidR="00DE6011">
        <w:rPr>
          <w:lang w:val="en-GB" w:eastAsia="ja-JP"/>
        </w:rPr>
        <w:t>‘</w:t>
      </w:r>
      <w:r>
        <w:fldChar w:fldCharType="begin"/>
      </w:r>
      <w:r>
        <w:instrText xml:space="preserve"> HYPERLINK "https://www.canada.ca/en/environment-climate-change/services/wildlife-research-landscape-science/biological-test-method-publications/acute-lethality-effluents-daphnia-magna.html" </w:instrText>
      </w:r>
      <w:r>
        <w:fldChar w:fldCharType="separate"/>
      </w:r>
      <w:r w:rsidRPr="00165FF3">
        <w:rPr>
          <w:rStyle w:val="Hyperlink"/>
          <w:lang w:val="en-GB" w:eastAsia="ja-JP"/>
        </w:rPr>
        <w:t xml:space="preserve">Biological test method: </w:t>
      </w:r>
      <w:r w:rsidR="000F16BB">
        <w:rPr>
          <w:rStyle w:val="Hyperlink"/>
          <w:lang w:val="en-GB" w:eastAsia="ja-JP"/>
        </w:rPr>
        <w:t>r</w:t>
      </w:r>
      <w:r w:rsidRPr="00165FF3">
        <w:rPr>
          <w:rStyle w:val="Hyperlink"/>
          <w:lang w:val="en-GB" w:eastAsia="ja-JP"/>
        </w:rPr>
        <w:t xml:space="preserve">eference method for determining acute lethality of effluents to </w:t>
      </w:r>
      <w:r w:rsidRPr="00165FF3">
        <w:rPr>
          <w:rStyle w:val="Hyperlink"/>
          <w:i/>
          <w:iCs/>
        </w:rPr>
        <w:t>Daphnia magna</w:t>
      </w:r>
      <w:r>
        <w:fldChar w:fldCharType="end"/>
      </w:r>
      <w:r w:rsidRPr="00DE6011" w:rsidR="00DE6011">
        <w:rPr>
          <w:rStyle w:val="Emphasis"/>
          <w:i w:val="0"/>
          <w:iCs w:val="0"/>
        </w:rPr>
        <w:t>’</w:t>
      </w:r>
      <w:r w:rsidR="00AA610C">
        <w:rPr>
          <w:lang w:val="en-GB" w:eastAsia="ja-JP"/>
        </w:rPr>
        <w:t>,</w:t>
      </w:r>
      <w:r w:rsidRPr="006E2389">
        <w:rPr>
          <w:lang w:val="en-GB" w:eastAsia="ja-JP"/>
        </w:rPr>
        <w:t xml:space="preserve"> </w:t>
      </w:r>
      <w:r w:rsidRPr="00DE6011">
        <w:rPr>
          <w:i/>
          <w:iCs/>
          <w:lang w:val="en-GB" w:eastAsia="ja-JP"/>
        </w:rPr>
        <w:t>Environmental Protection Series</w:t>
      </w:r>
      <w:r w:rsidRPr="006E2389">
        <w:rPr>
          <w:lang w:val="en-GB" w:eastAsia="ja-JP"/>
        </w:rPr>
        <w:t xml:space="preserve">, Report EPS 1/RM/14, Environment Canada, Conservation and Protection, </w:t>
      </w:r>
      <w:r w:rsidR="00DE6011">
        <w:rPr>
          <w:lang w:val="en-GB" w:eastAsia="ja-JP"/>
        </w:rPr>
        <w:t>Canadian Government, a</w:t>
      </w:r>
      <w:r w:rsidRPr="006E2389">
        <w:rPr>
          <w:lang w:val="en-GB" w:eastAsia="ja-JP"/>
        </w:rPr>
        <w:t>mended May 1996.</w:t>
      </w:r>
    </w:p>
    <w:p w:rsidR="005B6FC0" w:rsidRPr="006E2389" w:rsidP="006E2389" w14:paraId="16A59597" w14:textId="4BD86526">
      <w:pPr>
        <w:rPr>
          <w:lang w:val="en-GB" w:eastAsia="ja-JP"/>
        </w:rPr>
      </w:pPr>
      <w:r w:rsidRPr="006E2389">
        <w:rPr>
          <w:lang w:val="en-GB" w:eastAsia="ja-JP"/>
        </w:rPr>
        <w:t xml:space="preserve">Environment Canada </w:t>
      </w:r>
      <w:r w:rsidR="00AA610C">
        <w:rPr>
          <w:lang w:val="en-GB" w:eastAsia="ja-JP"/>
        </w:rPr>
        <w:t>(</w:t>
      </w:r>
      <w:r w:rsidRPr="006E2389">
        <w:rPr>
          <w:lang w:val="en-GB" w:eastAsia="ja-JP"/>
        </w:rPr>
        <w:t>1992a</w:t>
      </w:r>
      <w:r w:rsidR="00AA610C">
        <w:rPr>
          <w:lang w:val="en-GB" w:eastAsia="ja-JP"/>
        </w:rPr>
        <w:t>)</w:t>
      </w:r>
      <w:r w:rsidRPr="006E2389">
        <w:rPr>
          <w:lang w:val="en-GB" w:eastAsia="ja-JP"/>
        </w:rPr>
        <w:t xml:space="preserve"> </w:t>
      </w:r>
      <w:r w:rsidR="00DE6011">
        <w:rPr>
          <w:lang w:val="en-GB" w:eastAsia="ja-JP"/>
        </w:rPr>
        <w:t>‘</w:t>
      </w:r>
      <w:r>
        <w:fldChar w:fldCharType="begin"/>
      </w:r>
      <w:r>
        <w:instrText xml:space="preserve"> HYPERLINK "https://www.canada.ca/en/environment-climate-change/services/wildlife-research-landscape-science/biological-test-method-publications/larval-growth-survival-fathead-minnows.html" </w:instrText>
      </w:r>
      <w:r>
        <w:fldChar w:fldCharType="separate"/>
      </w:r>
      <w:r w:rsidRPr="00165FF3">
        <w:rPr>
          <w:rStyle w:val="Hyperlink"/>
          <w:lang w:val="en-GB" w:eastAsia="ja-JP"/>
        </w:rPr>
        <w:t xml:space="preserve">Biological test method: </w:t>
      </w:r>
      <w:r w:rsidR="000F16BB">
        <w:rPr>
          <w:rStyle w:val="Hyperlink"/>
          <w:lang w:val="en-GB" w:eastAsia="ja-JP"/>
        </w:rPr>
        <w:t>t</w:t>
      </w:r>
      <w:r w:rsidRPr="00165FF3">
        <w:rPr>
          <w:rStyle w:val="Hyperlink"/>
          <w:lang w:val="en-GB" w:eastAsia="ja-JP"/>
        </w:rPr>
        <w:t>est of larval growth and survival using fathead minnows</w:t>
      </w:r>
      <w:r>
        <w:fldChar w:fldCharType="end"/>
      </w:r>
      <w:r w:rsidR="00DE6011">
        <w:rPr>
          <w:lang w:val="en-GB" w:eastAsia="ja-JP"/>
        </w:rPr>
        <w:t>’</w:t>
      </w:r>
      <w:r w:rsidR="00AA610C">
        <w:rPr>
          <w:lang w:val="en-GB" w:eastAsia="ja-JP"/>
        </w:rPr>
        <w:t>,</w:t>
      </w:r>
      <w:r w:rsidRPr="006E2389">
        <w:rPr>
          <w:lang w:val="en-GB" w:eastAsia="ja-JP"/>
        </w:rPr>
        <w:t xml:space="preserve"> </w:t>
      </w:r>
      <w:r w:rsidRPr="00DE6011">
        <w:rPr>
          <w:i/>
          <w:iCs/>
          <w:lang w:val="en-GB" w:eastAsia="ja-JP"/>
        </w:rPr>
        <w:t>Environmental Protection Series</w:t>
      </w:r>
      <w:r w:rsidRPr="006E2389">
        <w:rPr>
          <w:lang w:val="en-GB" w:eastAsia="ja-JP"/>
        </w:rPr>
        <w:t xml:space="preserve">, Report EPS 1/RM/22, Environment Canada, Conservation and Protection, </w:t>
      </w:r>
      <w:r w:rsidR="00DE6011">
        <w:rPr>
          <w:lang w:val="en-GB" w:eastAsia="ja-JP"/>
        </w:rPr>
        <w:t>Canadian Government, a</w:t>
      </w:r>
      <w:r w:rsidRPr="006E2389">
        <w:rPr>
          <w:lang w:val="en-GB" w:eastAsia="ja-JP"/>
        </w:rPr>
        <w:t>mended November 1997 and March 1998.</w:t>
      </w:r>
    </w:p>
    <w:p w:rsidR="005B6FC0" w:rsidRPr="006E2389" w:rsidP="006E2389" w14:paraId="696886DD" w14:textId="78B00D2E">
      <w:pPr>
        <w:rPr>
          <w:lang w:val="en-GB" w:eastAsia="ja-JP"/>
        </w:rPr>
      </w:pPr>
      <w:r w:rsidRPr="006E2389">
        <w:rPr>
          <w:lang w:val="en-GB" w:eastAsia="ja-JP"/>
        </w:rPr>
        <w:t xml:space="preserve">Environment Canada </w:t>
      </w:r>
      <w:r w:rsidR="00AA610C">
        <w:rPr>
          <w:lang w:val="en-GB" w:eastAsia="ja-JP"/>
        </w:rPr>
        <w:t>(</w:t>
      </w:r>
      <w:r w:rsidRPr="006E2389">
        <w:rPr>
          <w:lang w:val="en-GB" w:eastAsia="ja-JP"/>
        </w:rPr>
        <w:t>1992b</w:t>
      </w:r>
      <w:r w:rsidR="00AA610C">
        <w:rPr>
          <w:lang w:val="en-GB" w:eastAsia="ja-JP"/>
        </w:rPr>
        <w:t>)</w:t>
      </w:r>
      <w:r w:rsidRPr="006E2389">
        <w:rPr>
          <w:lang w:val="en-GB" w:eastAsia="ja-JP"/>
        </w:rPr>
        <w:t xml:space="preserve"> </w:t>
      </w:r>
      <w:r w:rsidR="00DE6011">
        <w:rPr>
          <w:lang w:val="en-GB" w:eastAsia="ja-JP"/>
        </w:rPr>
        <w:t>‘</w:t>
      </w:r>
      <w:r>
        <w:fldChar w:fldCharType="begin"/>
      </w:r>
      <w:r>
        <w:instrText xml:space="preserve"> HYPERLINK "https://www.canada.ca/en/environment-climate-change/services/wildlife-research-landscape-science/biological-test-method-publications/reproduction-survival-test-cladoceran-ceriodaphnia-dubia.html" </w:instrText>
      </w:r>
      <w:r>
        <w:fldChar w:fldCharType="separate"/>
      </w:r>
      <w:r w:rsidRPr="00165FF3">
        <w:rPr>
          <w:rStyle w:val="Hyperlink"/>
          <w:lang w:val="en-GB" w:eastAsia="ja-JP"/>
        </w:rPr>
        <w:t xml:space="preserve">Biological test method: test of reproduction and survival using the cladoceran </w:t>
      </w:r>
      <w:r w:rsidRPr="00165FF3">
        <w:rPr>
          <w:rStyle w:val="Hyperlink"/>
          <w:i/>
          <w:iCs/>
        </w:rPr>
        <w:t>Ceriodaphnia dubia</w:t>
      </w:r>
      <w:r>
        <w:fldChar w:fldCharType="end"/>
      </w:r>
      <w:r w:rsidRPr="00DE6011" w:rsidR="00DE6011">
        <w:rPr>
          <w:rStyle w:val="Emphasis"/>
          <w:i w:val="0"/>
          <w:iCs w:val="0"/>
        </w:rPr>
        <w:t>’</w:t>
      </w:r>
      <w:r w:rsidR="00AA610C">
        <w:rPr>
          <w:lang w:val="en-GB" w:eastAsia="ja-JP"/>
        </w:rPr>
        <w:t>,</w:t>
      </w:r>
      <w:r w:rsidRPr="006E2389">
        <w:rPr>
          <w:lang w:val="en-GB" w:eastAsia="ja-JP"/>
        </w:rPr>
        <w:t xml:space="preserve"> </w:t>
      </w:r>
      <w:r w:rsidRPr="00DE6011">
        <w:rPr>
          <w:i/>
          <w:iCs/>
          <w:lang w:val="en-GB" w:eastAsia="ja-JP"/>
        </w:rPr>
        <w:t>Environmental Protection Series</w:t>
      </w:r>
      <w:r w:rsidRPr="006E2389">
        <w:rPr>
          <w:lang w:val="en-GB" w:eastAsia="ja-JP"/>
        </w:rPr>
        <w:t xml:space="preserve">, Report EPS 1/RM/21, Environment Canada, Conservation and Protection, </w:t>
      </w:r>
      <w:r w:rsidR="00DE6011">
        <w:rPr>
          <w:lang w:val="en-GB" w:eastAsia="ja-JP"/>
        </w:rPr>
        <w:t>Canadian Government, a</w:t>
      </w:r>
      <w:r w:rsidRPr="006E2389">
        <w:rPr>
          <w:lang w:val="en-GB" w:eastAsia="ja-JP"/>
        </w:rPr>
        <w:t>mended November 1997.</w:t>
      </w:r>
    </w:p>
    <w:p w:rsidR="005B6FC0" w:rsidRPr="006E2389" w:rsidP="006E2389" w14:paraId="6A0AB149" w14:textId="0331EC3F">
      <w:pPr>
        <w:rPr>
          <w:lang w:val="en-GB" w:eastAsia="ja-JP"/>
        </w:rPr>
      </w:pPr>
      <w:r w:rsidRPr="006E2389">
        <w:rPr>
          <w:lang w:val="en-GB" w:eastAsia="ja-JP"/>
        </w:rPr>
        <w:t xml:space="preserve">Environment Canada </w:t>
      </w:r>
      <w:r w:rsidR="00AA610C">
        <w:rPr>
          <w:lang w:val="en-GB" w:eastAsia="ja-JP"/>
        </w:rPr>
        <w:t>(</w:t>
      </w:r>
      <w:r w:rsidRPr="006E2389">
        <w:rPr>
          <w:lang w:val="en-GB" w:eastAsia="ja-JP"/>
        </w:rPr>
        <w:t>1992c</w:t>
      </w:r>
      <w:r w:rsidR="00AA610C">
        <w:rPr>
          <w:lang w:val="en-GB" w:eastAsia="ja-JP"/>
        </w:rPr>
        <w:t>)</w:t>
      </w:r>
      <w:r w:rsidRPr="006E2389">
        <w:rPr>
          <w:lang w:val="en-GB" w:eastAsia="ja-JP"/>
        </w:rPr>
        <w:t xml:space="preserve"> </w:t>
      </w:r>
      <w:r w:rsidR="00DE6011">
        <w:rPr>
          <w:lang w:val="en-GB" w:eastAsia="ja-JP"/>
        </w:rPr>
        <w:t>‘</w:t>
      </w:r>
      <w:r>
        <w:fldChar w:fldCharType="begin"/>
      </w:r>
      <w:r>
        <w:instrText xml:space="preserve"> HYPERLINK "https://www.canada.ca/en/environment-climate-change/services/wildlife-research-landscape-science/biological-test-method-publications/growth-inhibition-test-freshwater-alga.html" </w:instrText>
      </w:r>
      <w:r>
        <w:fldChar w:fldCharType="separate"/>
      </w:r>
      <w:r w:rsidRPr="00165FF3">
        <w:rPr>
          <w:rStyle w:val="Hyperlink"/>
          <w:lang w:val="en-GB" w:eastAsia="ja-JP"/>
        </w:rPr>
        <w:t xml:space="preserve">Biological test method: </w:t>
      </w:r>
      <w:r w:rsidR="000F16BB">
        <w:rPr>
          <w:rStyle w:val="Hyperlink"/>
          <w:lang w:val="en-GB" w:eastAsia="ja-JP"/>
        </w:rPr>
        <w:t>g</w:t>
      </w:r>
      <w:r w:rsidRPr="00165FF3">
        <w:rPr>
          <w:rStyle w:val="Hyperlink"/>
          <w:lang w:val="en-GB" w:eastAsia="ja-JP"/>
        </w:rPr>
        <w:t xml:space="preserve">rowth inhibition test using the freshwater alga </w:t>
      </w:r>
      <w:r w:rsidRPr="00165FF3">
        <w:rPr>
          <w:rStyle w:val="Hyperlink"/>
          <w:i/>
          <w:iCs/>
        </w:rPr>
        <w:t>Selenastrum capricornutum</w:t>
      </w:r>
      <w:r>
        <w:fldChar w:fldCharType="end"/>
      </w:r>
      <w:r w:rsidR="00DE6011">
        <w:rPr>
          <w:rStyle w:val="Emphasis"/>
          <w:i w:val="0"/>
          <w:iCs w:val="0"/>
        </w:rPr>
        <w:t>’</w:t>
      </w:r>
      <w:r w:rsidRPr="00DE6011" w:rsidR="00AA610C">
        <w:rPr>
          <w:lang w:val="en-GB" w:eastAsia="ja-JP"/>
        </w:rPr>
        <w:t>,</w:t>
      </w:r>
      <w:r w:rsidRPr="006E2389">
        <w:rPr>
          <w:lang w:val="en-GB" w:eastAsia="ja-JP"/>
        </w:rPr>
        <w:t xml:space="preserve"> </w:t>
      </w:r>
      <w:r w:rsidRPr="00DE6011">
        <w:rPr>
          <w:i/>
          <w:iCs/>
          <w:lang w:val="en-GB" w:eastAsia="ja-JP"/>
        </w:rPr>
        <w:t>Environmental Protection Series</w:t>
      </w:r>
      <w:r w:rsidRPr="006E2389">
        <w:rPr>
          <w:lang w:val="en-GB" w:eastAsia="ja-JP"/>
        </w:rPr>
        <w:t xml:space="preserve">, Report EPS 1/RM/25, Environment Canada, Conservation and Protection, </w:t>
      </w:r>
      <w:r w:rsidR="00DE6011">
        <w:rPr>
          <w:lang w:val="en-GB" w:eastAsia="ja-JP"/>
        </w:rPr>
        <w:t>Canadian Government, a</w:t>
      </w:r>
      <w:r w:rsidRPr="006E2389">
        <w:rPr>
          <w:lang w:val="en-GB" w:eastAsia="ja-JP"/>
        </w:rPr>
        <w:t>mended November 1997 and March 1998.</w:t>
      </w:r>
    </w:p>
    <w:p w:rsidR="005B6FC0" w:rsidP="006E2389" w14:paraId="37403807" w14:textId="091EE3BF">
      <w:pPr>
        <w:rPr>
          <w:lang w:val="en-GB" w:eastAsia="ja-JP"/>
        </w:rPr>
      </w:pPr>
      <w:r w:rsidRPr="006E2389">
        <w:rPr>
          <w:lang w:val="en-GB" w:eastAsia="ja-JP"/>
        </w:rPr>
        <w:t xml:space="preserve">Environment Canada </w:t>
      </w:r>
      <w:r w:rsidR="00AA610C">
        <w:rPr>
          <w:lang w:val="en-GB" w:eastAsia="ja-JP"/>
        </w:rPr>
        <w:t>(</w:t>
      </w:r>
      <w:r w:rsidRPr="006E2389">
        <w:rPr>
          <w:lang w:val="en-GB" w:eastAsia="ja-JP"/>
        </w:rPr>
        <w:t>1992d</w:t>
      </w:r>
      <w:r w:rsidR="00AA610C">
        <w:rPr>
          <w:lang w:val="en-GB" w:eastAsia="ja-JP"/>
        </w:rPr>
        <w:t>)</w:t>
      </w:r>
      <w:r w:rsidRPr="006E2389">
        <w:rPr>
          <w:lang w:val="en-GB" w:eastAsia="ja-JP"/>
        </w:rPr>
        <w:t xml:space="preserve"> </w:t>
      </w:r>
      <w:r w:rsidR="00DE6011">
        <w:rPr>
          <w:lang w:val="en-GB" w:eastAsia="ja-JP"/>
        </w:rPr>
        <w:t>‘</w:t>
      </w:r>
      <w:r>
        <w:fldChar w:fldCharType="begin"/>
      </w:r>
      <w:r>
        <w:instrText xml:space="preserve"> HYPERLINK "https://www.canada.ca/en/environment-climate-change/services/wildlife-research-landscape-science/biological-test-method-publications/fertilization-assay-echinoids.html" </w:instrText>
      </w:r>
      <w:r>
        <w:fldChar w:fldCharType="separate"/>
      </w:r>
      <w:r w:rsidRPr="00165FF3">
        <w:rPr>
          <w:rStyle w:val="Hyperlink"/>
          <w:lang w:val="en-GB" w:eastAsia="ja-JP"/>
        </w:rPr>
        <w:t xml:space="preserve">Biological test method: </w:t>
      </w:r>
      <w:r w:rsidR="000F16BB">
        <w:rPr>
          <w:rStyle w:val="Hyperlink"/>
          <w:lang w:val="en-GB" w:eastAsia="ja-JP"/>
        </w:rPr>
        <w:t>f</w:t>
      </w:r>
      <w:r w:rsidRPr="00165FF3">
        <w:rPr>
          <w:rStyle w:val="Hyperlink"/>
          <w:lang w:val="en-GB" w:eastAsia="ja-JP"/>
        </w:rPr>
        <w:t>ertilization assay using echinoids (sea urchins and sand dollars)</w:t>
      </w:r>
      <w:r>
        <w:fldChar w:fldCharType="end"/>
      </w:r>
      <w:r w:rsidR="00DE6011">
        <w:rPr>
          <w:lang w:val="en-GB" w:eastAsia="ja-JP"/>
        </w:rPr>
        <w:t>’</w:t>
      </w:r>
      <w:r w:rsidR="00AA610C">
        <w:rPr>
          <w:lang w:val="en-GB" w:eastAsia="ja-JP"/>
        </w:rPr>
        <w:t>,</w:t>
      </w:r>
      <w:r w:rsidRPr="006E2389">
        <w:rPr>
          <w:lang w:val="en-GB" w:eastAsia="ja-JP"/>
        </w:rPr>
        <w:t xml:space="preserve"> </w:t>
      </w:r>
      <w:r w:rsidRPr="00DE6011">
        <w:rPr>
          <w:i/>
          <w:iCs/>
          <w:lang w:val="en-GB" w:eastAsia="ja-JP"/>
        </w:rPr>
        <w:t>Environmental Protection Series</w:t>
      </w:r>
      <w:r w:rsidRPr="006E2389">
        <w:rPr>
          <w:lang w:val="en-GB" w:eastAsia="ja-JP"/>
        </w:rPr>
        <w:t xml:space="preserve">, Report EPS 1/RM/27, Environment Canada, Conservation and Protection, </w:t>
      </w:r>
      <w:r w:rsidR="00DE6011">
        <w:rPr>
          <w:lang w:val="en-GB" w:eastAsia="ja-JP"/>
        </w:rPr>
        <w:t>Canadian Government, a</w:t>
      </w:r>
      <w:r w:rsidRPr="006E2389">
        <w:rPr>
          <w:lang w:val="en-GB" w:eastAsia="ja-JP"/>
        </w:rPr>
        <w:t>mended November 1997.</w:t>
      </w:r>
    </w:p>
    <w:p w:rsidR="00D441BB" w:rsidRPr="006E2389" w:rsidP="00D441BB" w14:paraId="502A381B" w14:textId="3449D21E">
      <w:pPr>
        <w:rPr>
          <w:lang w:val="en-GB" w:eastAsia="ja-JP"/>
        </w:rPr>
      </w:pPr>
      <w:r w:rsidRPr="00D441BB">
        <w:rPr>
          <w:lang w:val="en-GB" w:eastAsia="ja-JP"/>
        </w:rPr>
        <w:t>European Commission</w:t>
      </w:r>
      <w:r w:rsidR="00D223A2">
        <w:rPr>
          <w:lang w:val="en-GB" w:eastAsia="ja-JP"/>
        </w:rPr>
        <w:t>, Directorate-General for Health and Food Safety</w:t>
      </w:r>
      <w:r w:rsidRPr="00D441BB">
        <w:rPr>
          <w:lang w:val="en-GB" w:eastAsia="ja-JP"/>
        </w:rPr>
        <w:t xml:space="preserve"> </w:t>
      </w:r>
      <w:r w:rsidR="00EE7332">
        <w:rPr>
          <w:lang w:val="en-GB" w:eastAsia="ja-JP"/>
        </w:rPr>
        <w:t>(</w:t>
      </w:r>
      <w:r w:rsidRPr="00D441BB">
        <w:rPr>
          <w:lang w:val="en-GB" w:eastAsia="ja-JP"/>
        </w:rPr>
        <w:t>201</w:t>
      </w:r>
      <w:r w:rsidR="00D223A2">
        <w:rPr>
          <w:lang w:val="en-GB" w:eastAsia="ja-JP"/>
        </w:rPr>
        <w:t>8</w:t>
      </w:r>
      <w:r w:rsidR="00EE7332">
        <w:rPr>
          <w:lang w:val="en-GB" w:eastAsia="ja-JP"/>
        </w:rPr>
        <w:t>)</w:t>
      </w:r>
      <w:r w:rsidRPr="00D441BB">
        <w:rPr>
          <w:lang w:val="en-GB" w:eastAsia="ja-JP"/>
        </w:rPr>
        <w:t xml:space="preserve"> </w:t>
      </w:r>
      <w:r>
        <w:fldChar w:fldCharType="begin"/>
      </w:r>
      <w:r>
        <w:instrText xml:space="preserve"> HYPERLINK "https://data.europa.eu/doi/10.2875/018826" </w:instrText>
      </w:r>
      <w:r>
        <w:fldChar w:fldCharType="separate"/>
      </w:r>
      <w:r w:rsidRPr="00D223A2">
        <w:rPr>
          <w:rStyle w:val="Hyperlink"/>
          <w:i/>
          <w:iCs/>
          <w:lang w:val="en-GB" w:eastAsia="ja-JP"/>
        </w:rPr>
        <w:t>Technical guidance for deriving environmental quality standards</w:t>
      </w:r>
      <w:r>
        <w:fldChar w:fldCharType="end"/>
      </w:r>
      <w:r w:rsidR="008E036C">
        <w:rPr>
          <w:lang w:val="en-GB" w:eastAsia="ja-JP"/>
        </w:rPr>
        <w:t>,</w:t>
      </w:r>
      <w:r w:rsidRPr="00D441BB">
        <w:rPr>
          <w:lang w:val="en-GB" w:eastAsia="ja-JP"/>
        </w:rPr>
        <w:t xml:space="preserve"> European </w:t>
      </w:r>
      <w:r w:rsidR="00D223A2">
        <w:rPr>
          <w:lang w:val="en-GB" w:eastAsia="ja-JP"/>
        </w:rPr>
        <w:t>Commission, doi:10.2875/018826</w:t>
      </w:r>
      <w:r w:rsidRPr="00D441BB">
        <w:rPr>
          <w:lang w:val="en-GB" w:eastAsia="ja-JP"/>
        </w:rPr>
        <w:t xml:space="preserve">. </w:t>
      </w:r>
    </w:p>
    <w:p w:rsidR="005B6FC0" w:rsidP="001B25CD" w14:paraId="35B23DB5" w14:textId="588B18D4">
      <w:pPr>
        <w:rPr>
          <w:lang w:eastAsia="ja-JP"/>
        </w:rPr>
      </w:pPr>
      <w:r>
        <w:rPr>
          <w:lang w:eastAsia="ja-JP"/>
        </w:rPr>
        <w:t xml:space="preserve">Eyre BD </w:t>
      </w:r>
      <w:r w:rsidR="003C60FB">
        <w:rPr>
          <w:lang w:eastAsia="ja-JP"/>
        </w:rPr>
        <w:t>and</w:t>
      </w:r>
      <w:r>
        <w:rPr>
          <w:lang w:eastAsia="ja-JP"/>
        </w:rPr>
        <w:t xml:space="preserve"> Ferguson AJP </w:t>
      </w:r>
      <w:r w:rsidR="008E036C">
        <w:rPr>
          <w:lang w:eastAsia="ja-JP"/>
        </w:rPr>
        <w:t>(</w:t>
      </w:r>
      <w:r>
        <w:rPr>
          <w:lang w:eastAsia="ja-JP"/>
        </w:rPr>
        <w:t>2009</w:t>
      </w:r>
      <w:r w:rsidR="008E036C">
        <w:rPr>
          <w:lang w:eastAsia="ja-JP"/>
        </w:rPr>
        <w:t>)</w:t>
      </w:r>
      <w:r>
        <w:rPr>
          <w:lang w:eastAsia="ja-JP"/>
        </w:rPr>
        <w:t xml:space="preserve"> </w:t>
      </w:r>
      <w:r w:rsidR="008E036C">
        <w:rPr>
          <w:lang w:eastAsia="ja-JP"/>
        </w:rPr>
        <w:t>‘</w:t>
      </w:r>
      <w:r>
        <w:fldChar w:fldCharType="begin"/>
      </w:r>
      <w:r>
        <w:instrText xml:space="preserve"> HYPERLINK "https://doi.org/10.1007/978-90-481-3385-7_12" </w:instrText>
      </w:r>
      <w:r>
        <w:fldChar w:fldCharType="separate"/>
      </w:r>
      <w:r w:rsidRPr="00490FF0">
        <w:rPr>
          <w:rStyle w:val="Hyperlink"/>
          <w:lang w:eastAsia="ja-JP"/>
        </w:rPr>
        <w:t>Denitrification efficiency for defining critical loads of carbon in shallow coastal ecosystems</w:t>
      </w:r>
      <w:r>
        <w:fldChar w:fldCharType="end"/>
      </w:r>
      <w:r w:rsidR="008E036C">
        <w:rPr>
          <w:lang w:eastAsia="ja-JP"/>
        </w:rPr>
        <w:t>’,</w:t>
      </w:r>
      <w:r>
        <w:rPr>
          <w:lang w:eastAsia="ja-JP"/>
        </w:rPr>
        <w:t xml:space="preserve"> </w:t>
      </w:r>
      <w:r w:rsidRPr="00755F90">
        <w:rPr>
          <w:rStyle w:val="Emphasis"/>
        </w:rPr>
        <w:t>Hydrobiologia</w:t>
      </w:r>
      <w:r>
        <w:rPr>
          <w:lang w:eastAsia="ja-JP"/>
        </w:rPr>
        <w:t>, 629</w:t>
      </w:r>
      <w:r w:rsidR="008E036C">
        <w:rPr>
          <w:lang w:eastAsia="ja-JP"/>
        </w:rPr>
        <w:t>:</w:t>
      </w:r>
      <w:r>
        <w:rPr>
          <w:lang w:eastAsia="ja-JP"/>
        </w:rPr>
        <w:t>137–146</w:t>
      </w:r>
      <w:r w:rsidR="00D10AF0">
        <w:rPr>
          <w:lang w:eastAsia="ja-JP"/>
        </w:rPr>
        <w:t xml:space="preserve">, </w:t>
      </w:r>
      <w:r w:rsidR="002A0E99">
        <w:rPr>
          <w:lang w:eastAsia="ja-JP"/>
        </w:rPr>
        <w:t>doi:</w:t>
      </w:r>
      <w:r w:rsidRPr="00D10AF0" w:rsidR="00D10AF0">
        <w:rPr>
          <w:lang w:eastAsia="ja-JP"/>
        </w:rPr>
        <w:t>10.1007/978-90-481-3385-7_12</w:t>
      </w:r>
      <w:r>
        <w:rPr>
          <w:lang w:eastAsia="ja-JP"/>
        </w:rPr>
        <w:t>.</w:t>
      </w:r>
    </w:p>
    <w:p w:rsidR="005B6FC0" w:rsidP="001B25CD" w14:paraId="11F62871" w14:textId="3C228FEB">
      <w:pPr>
        <w:rPr>
          <w:lang w:eastAsia="ja-JP"/>
        </w:rPr>
      </w:pPr>
      <w:r>
        <w:rPr>
          <w:lang w:eastAsia="ja-JP"/>
        </w:rPr>
        <w:t xml:space="preserve">Fairbrother A, Wenstel R, Sappington K </w:t>
      </w:r>
      <w:r w:rsidR="003C60FB">
        <w:rPr>
          <w:lang w:eastAsia="ja-JP"/>
        </w:rPr>
        <w:t>and</w:t>
      </w:r>
      <w:r>
        <w:rPr>
          <w:lang w:eastAsia="ja-JP"/>
        </w:rPr>
        <w:t xml:space="preserve"> Wood W </w:t>
      </w:r>
      <w:r w:rsidR="008E036C">
        <w:rPr>
          <w:lang w:eastAsia="ja-JP"/>
        </w:rPr>
        <w:t>(</w:t>
      </w:r>
      <w:r>
        <w:rPr>
          <w:lang w:eastAsia="ja-JP"/>
        </w:rPr>
        <w:t>2007</w:t>
      </w:r>
      <w:r w:rsidR="008E036C">
        <w:rPr>
          <w:lang w:eastAsia="ja-JP"/>
        </w:rPr>
        <w:t>)</w:t>
      </w:r>
      <w:r>
        <w:rPr>
          <w:lang w:eastAsia="ja-JP"/>
        </w:rPr>
        <w:t xml:space="preserve"> </w:t>
      </w:r>
      <w:r w:rsidR="008E036C">
        <w:rPr>
          <w:lang w:eastAsia="ja-JP"/>
        </w:rPr>
        <w:t>‘</w:t>
      </w:r>
      <w:r>
        <w:fldChar w:fldCharType="begin"/>
      </w:r>
      <w:r>
        <w:instrText xml:space="preserve"> HYPERLINK "https://doi.org/10.1016/j.ecoenv.2007.03.015" </w:instrText>
      </w:r>
      <w:r>
        <w:fldChar w:fldCharType="separate"/>
      </w:r>
      <w:r w:rsidRPr="00490FF0">
        <w:rPr>
          <w:rStyle w:val="Hyperlink"/>
          <w:lang w:eastAsia="ja-JP"/>
        </w:rPr>
        <w:t>Framework for metals risk assessment</w:t>
      </w:r>
      <w:r>
        <w:fldChar w:fldCharType="end"/>
      </w:r>
      <w:r w:rsidR="008E036C">
        <w:rPr>
          <w:lang w:eastAsia="ja-JP"/>
        </w:rPr>
        <w:t>’,</w:t>
      </w:r>
      <w:r>
        <w:rPr>
          <w:lang w:eastAsia="ja-JP"/>
        </w:rPr>
        <w:t xml:space="preserve"> </w:t>
      </w:r>
      <w:r w:rsidRPr="00260681">
        <w:rPr>
          <w:rStyle w:val="Emphasis"/>
        </w:rPr>
        <w:t>Ecotoxicology and Environmental Safety</w:t>
      </w:r>
      <w:r>
        <w:rPr>
          <w:lang w:eastAsia="ja-JP"/>
        </w:rPr>
        <w:t>, 68</w:t>
      </w:r>
      <w:r w:rsidR="008E036C">
        <w:rPr>
          <w:lang w:eastAsia="ja-JP"/>
        </w:rPr>
        <w:t>:</w:t>
      </w:r>
      <w:r>
        <w:rPr>
          <w:lang w:eastAsia="ja-JP"/>
        </w:rPr>
        <w:t>145–227</w:t>
      </w:r>
      <w:r w:rsidR="009766C1">
        <w:rPr>
          <w:lang w:eastAsia="ja-JP"/>
        </w:rPr>
        <w:t xml:space="preserve">, </w:t>
      </w:r>
      <w:r w:rsidR="002A0E99">
        <w:rPr>
          <w:lang w:eastAsia="ja-JP"/>
        </w:rPr>
        <w:t>doi:</w:t>
      </w:r>
      <w:r w:rsidRPr="009766C1" w:rsidR="009766C1">
        <w:rPr>
          <w:lang w:eastAsia="ja-JP"/>
        </w:rPr>
        <w:t>10.1016/j.ecoenv.2007.03.015</w:t>
      </w:r>
      <w:r>
        <w:rPr>
          <w:lang w:eastAsia="ja-JP"/>
        </w:rPr>
        <w:t>.</w:t>
      </w:r>
    </w:p>
    <w:p w:rsidR="005B6FC0" w:rsidP="004A2DDD" w14:paraId="2B7A28CE" w14:textId="0248D608">
      <w:pPr>
        <w:rPr>
          <w:lang w:eastAsia="ja-JP"/>
        </w:rPr>
      </w:pPr>
      <w:r>
        <w:rPr>
          <w:lang w:eastAsia="ja-JP"/>
        </w:rPr>
        <w:t xml:space="preserve">Faith DP, Dostine PL </w:t>
      </w:r>
      <w:r w:rsidR="003C60FB">
        <w:rPr>
          <w:lang w:eastAsia="ja-JP"/>
        </w:rPr>
        <w:t>and</w:t>
      </w:r>
      <w:r>
        <w:rPr>
          <w:lang w:eastAsia="ja-JP"/>
        </w:rPr>
        <w:t xml:space="preserve"> Humphrey CL </w:t>
      </w:r>
      <w:r w:rsidR="008E036C">
        <w:rPr>
          <w:lang w:eastAsia="ja-JP"/>
        </w:rPr>
        <w:t>(</w:t>
      </w:r>
      <w:r>
        <w:rPr>
          <w:lang w:eastAsia="ja-JP"/>
        </w:rPr>
        <w:t>1995</w:t>
      </w:r>
      <w:r w:rsidR="008E036C">
        <w:rPr>
          <w:lang w:eastAsia="ja-JP"/>
        </w:rPr>
        <w:t>)</w:t>
      </w:r>
      <w:r>
        <w:rPr>
          <w:lang w:eastAsia="ja-JP"/>
        </w:rPr>
        <w:t xml:space="preserve"> </w:t>
      </w:r>
      <w:r w:rsidR="008E036C">
        <w:rPr>
          <w:lang w:eastAsia="ja-JP"/>
        </w:rPr>
        <w:t>‘</w:t>
      </w:r>
      <w:r>
        <w:fldChar w:fldCharType="begin"/>
      </w:r>
      <w:r>
        <w:instrText xml:space="preserve"> HYPERLINK "https://doi.org/10.1111/j.1442-9993.1995.tb00530.x" </w:instrText>
      </w:r>
      <w:r>
        <w:fldChar w:fldCharType="separate"/>
      </w:r>
      <w:r w:rsidRPr="00490FF0">
        <w:rPr>
          <w:rStyle w:val="Hyperlink"/>
          <w:lang w:eastAsia="ja-JP"/>
        </w:rPr>
        <w:t xml:space="preserve">Detection of mining impacts on aquatic macroinvertebrate communities: </w:t>
      </w:r>
      <w:r w:rsidRPr="00490FF0" w:rsidR="008E036C">
        <w:rPr>
          <w:rStyle w:val="Hyperlink"/>
          <w:lang w:eastAsia="ja-JP"/>
        </w:rPr>
        <w:t>r</w:t>
      </w:r>
      <w:r w:rsidRPr="00490FF0">
        <w:rPr>
          <w:rStyle w:val="Hyperlink"/>
          <w:lang w:eastAsia="ja-JP"/>
        </w:rPr>
        <w:t>esults of a disturbance experiment and the design of a multivariate BACIP monitoring programme at Coronation Hill, Northern Territory</w:t>
      </w:r>
      <w:r>
        <w:fldChar w:fldCharType="end"/>
      </w:r>
      <w:r w:rsidR="008E036C">
        <w:rPr>
          <w:lang w:eastAsia="ja-JP"/>
        </w:rPr>
        <w:t>’,</w:t>
      </w:r>
      <w:r>
        <w:rPr>
          <w:lang w:eastAsia="ja-JP"/>
        </w:rPr>
        <w:t xml:space="preserve"> </w:t>
      </w:r>
      <w:r w:rsidRPr="00A93DFE">
        <w:rPr>
          <w:rStyle w:val="Emphasis"/>
        </w:rPr>
        <w:t>Austral Ecology</w:t>
      </w:r>
      <w:r>
        <w:rPr>
          <w:lang w:eastAsia="ja-JP"/>
        </w:rPr>
        <w:t>, 20</w:t>
      </w:r>
      <w:r w:rsidR="008E036C">
        <w:rPr>
          <w:lang w:eastAsia="ja-JP"/>
        </w:rPr>
        <w:t>:</w:t>
      </w:r>
      <w:r>
        <w:rPr>
          <w:lang w:eastAsia="ja-JP"/>
        </w:rPr>
        <w:t>167–180</w:t>
      </w:r>
      <w:r w:rsidR="00490FF0">
        <w:rPr>
          <w:lang w:eastAsia="ja-JP"/>
        </w:rPr>
        <w:t xml:space="preserve">, </w:t>
      </w:r>
      <w:r w:rsidR="002A0E99">
        <w:rPr>
          <w:lang w:eastAsia="ja-JP"/>
        </w:rPr>
        <w:t>doi:</w:t>
      </w:r>
      <w:r w:rsidRPr="00490FF0" w:rsidR="00490FF0">
        <w:rPr>
          <w:lang w:eastAsia="ja-JP"/>
        </w:rPr>
        <w:t>10.1111/j.1442-9993.1995.tb00530.x</w:t>
      </w:r>
      <w:r>
        <w:rPr>
          <w:lang w:eastAsia="ja-JP"/>
        </w:rPr>
        <w:t>.</w:t>
      </w:r>
    </w:p>
    <w:p w:rsidR="005B6FC0" w:rsidP="001B25CD" w14:paraId="087C31B1" w14:textId="73131456">
      <w:pPr>
        <w:rPr>
          <w:lang w:eastAsia="ja-JP"/>
        </w:rPr>
      </w:pPr>
      <w:r>
        <w:rPr>
          <w:lang w:eastAsia="ja-JP"/>
        </w:rPr>
        <w:t xml:space="preserve">Ferrier S, Drielsma M, Manion G </w:t>
      </w:r>
      <w:r w:rsidR="003C60FB">
        <w:rPr>
          <w:lang w:eastAsia="ja-JP"/>
        </w:rPr>
        <w:t>and</w:t>
      </w:r>
      <w:r>
        <w:rPr>
          <w:lang w:eastAsia="ja-JP"/>
        </w:rPr>
        <w:t xml:space="preserve"> Watson G </w:t>
      </w:r>
      <w:r w:rsidR="008E036C">
        <w:rPr>
          <w:lang w:eastAsia="ja-JP"/>
        </w:rPr>
        <w:t>(</w:t>
      </w:r>
      <w:r>
        <w:rPr>
          <w:lang w:eastAsia="ja-JP"/>
        </w:rPr>
        <w:t>2002</w:t>
      </w:r>
      <w:r w:rsidR="008E036C">
        <w:rPr>
          <w:lang w:eastAsia="ja-JP"/>
        </w:rPr>
        <w:t>)</w:t>
      </w:r>
      <w:r>
        <w:rPr>
          <w:lang w:eastAsia="ja-JP"/>
        </w:rPr>
        <w:t xml:space="preserve"> </w:t>
      </w:r>
      <w:r w:rsidR="008E036C">
        <w:rPr>
          <w:lang w:eastAsia="ja-JP"/>
        </w:rPr>
        <w:t>‘</w:t>
      </w:r>
      <w:r>
        <w:fldChar w:fldCharType="begin"/>
      </w:r>
      <w:r>
        <w:instrText xml:space="preserve"> HYPERLINK "https://doi.org/10.1023/A:1021374009951" </w:instrText>
      </w:r>
      <w:r>
        <w:fldChar w:fldCharType="separate"/>
      </w:r>
      <w:r w:rsidRPr="006410A2">
        <w:rPr>
          <w:rStyle w:val="Hyperlink"/>
          <w:lang w:eastAsia="ja-JP"/>
        </w:rPr>
        <w:t>Extended statistical approaches to modelling spatial pattern in biodiversity in northeast New South Wales. II. Community-level modelling</w:t>
      </w:r>
      <w:r>
        <w:fldChar w:fldCharType="end"/>
      </w:r>
      <w:r w:rsidR="008E036C">
        <w:rPr>
          <w:lang w:eastAsia="ja-JP"/>
        </w:rPr>
        <w:t>’,</w:t>
      </w:r>
      <w:r>
        <w:rPr>
          <w:lang w:eastAsia="ja-JP"/>
        </w:rPr>
        <w:t xml:space="preserve"> </w:t>
      </w:r>
      <w:r w:rsidRPr="00A93DFE">
        <w:rPr>
          <w:rStyle w:val="Emphasis"/>
        </w:rPr>
        <w:t>Biodiversity and Conservation</w:t>
      </w:r>
      <w:r>
        <w:rPr>
          <w:lang w:eastAsia="ja-JP"/>
        </w:rPr>
        <w:t>, 11</w:t>
      </w:r>
      <w:r w:rsidR="008E036C">
        <w:rPr>
          <w:lang w:eastAsia="ja-JP"/>
        </w:rPr>
        <w:t>:</w:t>
      </w:r>
      <w:r>
        <w:rPr>
          <w:lang w:eastAsia="ja-JP"/>
        </w:rPr>
        <w:t>2309–2338</w:t>
      </w:r>
      <w:r w:rsidR="006410A2">
        <w:rPr>
          <w:lang w:eastAsia="ja-JP"/>
        </w:rPr>
        <w:t xml:space="preserve">, </w:t>
      </w:r>
      <w:r w:rsidR="002A0E99">
        <w:rPr>
          <w:lang w:eastAsia="ja-JP"/>
        </w:rPr>
        <w:t>doi:</w:t>
      </w:r>
      <w:r w:rsidRPr="006410A2" w:rsidR="006410A2">
        <w:rPr>
          <w:lang w:eastAsia="ja-JP"/>
        </w:rPr>
        <w:t>10.1023/A:1021374009951</w:t>
      </w:r>
      <w:r>
        <w:rPr>
          <w:lang w:eastAsia="ja-JP"/>
        </w:rPr>
        <w:t>.</w:t>
      </w:r>
    </w:p>
    <w:p w:rsidR="005B6FC0" w:rsidP="001B25CD" w14:paraId="1F8B1863" w14:textId="4D3B03D7">
      <w:pPr>
        <w:rPr>
          <w:lang w:eastAsia="ja-JP"/>
        </w:rPr>
      </w:pPr>
      <w:r>
        <w:rPr>
          <w:lang w:eastAsia="ja-JP"/>
        </w:rPr>
        <w:t xml:space="preserve">Forbes VE, Salice CJ, Birnir B, Bruins RJF, Calow P, Ducrot V, Galic N, Garber K, Harvey BC, Jager H, Kanarek A, Pastorok R, Railsback SF, Rebaraber R </w:t>
      </w:r>
      <w:r w:rsidR="003C60FB">
        <w:rPr>
          <w:lang w:eastAsia="ja-JP"/>
        </w:rPr>
        <w:t>and</w:t>
      </w:r>
      <w:r>
        <w:rPr>
          <w:lang w:eastAsia="ja-JP"/>
        </w:rPr>
        <w:t xml:space="preserve"> Thorbek P </w:t>
      </w:r>
      <w:r w:rsidR="008E036C">
        <w:rPr>
          <w:lang w:eastAsia="ja-JP"/>
        </w:rPr>
        <w:t>(</w:t>
      </w:r>
      <w:r>
        <w:rPr>
          <w:lang w:eastAsia="ja-JP"/>
        </w:rPr>
        <w:t>2017</w:t>
      </w:r>
      <w:r w:rsidR="008E036C">
        <w:rPr>
          <w:lang w:eastAsia="ja-JP"/>
        </w:rPr>
        <w:t>)</w:t>
      </w:r>
      <w:r>
        <w:rPr>
          <w:lang w:eastAsia="ja-JP"/>
        </w:rPr>
        <w:t xml:space="preserve"> </w:t>
      </w:r>
      <w:r w:rsidR="008E036C">
        <w:rPr>
          <w:lang w:eastAsia="ja-JP"/>
        </w:rPr>
        <w:t>‘</w:t>
      </w:r>
      <w:r>
        <w:fldChar w:fldCharType="begin"/>
      </w:r>
      <w:r>
        <w:instrText xml:space="preserve"> HYPERLINK "https://doi.org/10.1002/etc.3720" </w:instrText>
      </w:r>
      <w:r>
        <w:fldChar w:fldCharType="separate"/>
      </w:r>
      <w:r w:rsidRPr="006410A2">
        <w:rPr>
          <w:rStyle w:val="Hyperlink"/>
          <w:lang w:eastAsia="ja-JP"/>
        </w:rPr>
        <w:t>A framework for predicting impacts on ecosystem services from (sub)organismal responses to chemicals</w:t>
      </w:r>
      <w:r>
        <w:fldChar w:fldCharType="end"/>
      </w:r>
      <w:r w:rsidR="008E036C">
        <w:rPr>
          <w:lang w:eastAsia="ja-JP"/>
        </w:rPr>
        <w:t>’,</w:t>
      </w:r>
      <w:r>
        <w:rPr>
          <w:lang w:eastAsia="ja-JP"/>
        </w:rPr>
        <w:t xml:space="preserve"> </w:t>
      </w:r>
      <w:r w:rsidRPr="00A93DFE">
        <w:rPr>
          <w:rStyle w:val="Emphasis"/>
        </w:rPr>
        <w:t>Environmental Toxicology and Chemistry</w:t>
      </w:r>
      <w:r>
        <w:rPr>
          <w:lang w:eastAsia="ja-JP"/>
        </w:rPr>
        <w:t>, 36</w:t>
      </w:r>
      <w:r w:rsidR="008E036C">
        <w:rPr>
          <w:lang w:eastAsia="ja-JP"/>
        </w:rPr>
        <w:t>:</w:t>
      </w:r>
      <w:r>
        <w:rPr>
          <w:lang w:eastAsia="ja-JP"/>
        </w:rPr>
        <w:t>845–859</w:t>
      </w:r>
      <w:r w:rsidR="006410A2">
        <w:rPr>
          <w:lang w:eastAsia="ja-JP"/>
        </w:rPr>
        <w:t xml:space="preserve">, </w:t>
      </w:r>
      <w:r w:rsidR="002A0E99">
        <w:rPr>
          <w:lang w:eastAsia="ja-JP"/>
        </w:rPr>
        <w:t>doi:</w:t>
      </w:r>
      <w:r w:rsidRPr="006410A2" w:rsidR="006410A2">
        <w:rPr>
          <w:lang w:eastAsia="ja-JP"/>
        </w:rPr>
        <w:t>10.1002/etc.3720</w:t>
      </w:r>
      <w:r>
        <w:rPr>
          <w:lang w:eastAsia="ja-JP"/>
        </w:rPr>
        <w:t>.</w:t>
      </w:r>
    </w:p>
    <w:p w:rsidR="005B6FC0" w:rsidP="0077502D" w14:paraId="36335393" w14:textId="7AE6D34C">
      <w:pPr>
        <w:rPr>
          <w:lang w:eastAsia="ja-JP"/>
        </w:rPr>
      </w:pPr>
      <w:r w:rsidRPr="0077502D">
        <w:rPr>
          <w:lang w:eastAsia="ja-JP"/>
        </w:rPr>
        <w:t xml:space="preserve">Fore LS, Karr JR </w:t>
      </w:r>
      <w:r w:rsidR="003C60FB">
        <w:rPr>
          <w:lang w:eastAsia="ja-JP"/>
        </w:rPr>
        <w:t>and</w:t>
      </w:r>
      <w:r w:rsidRPr="0077502D">
        <w:rPr>
          <w:lang w:eastAsia="ja-JP"/>
        </w:rPr>
        <w:t xml:space="preserve"> Wisseman RW </w:t>
      </w:r>
      <w:r w:rsidR="008E036C">
        <w:rPr>
          <w:lang w:eastAsia="ja-JP"/>
        </w:rPr>
        <w:t>(</w:t>
      </w:r>
      <w:r w:rsidRPr="0077502D">
        <w:rPr>
          <w:lang w:eastAsia="ja-JP"/>
        </w:rPr>
        <w:t>1996</w:t>
      </w:r>
      <w:r w:rsidR="008E036C">
        <w:rPr>
          <w:lang w:eastAsia="ja-JP"/>
        </w:rPr>
        <w:t>)</w:t>
      </w:r>
      <w:r w:rsidRPr="0077502D">
        <w:rPr>
          <w:lang w:eastAsia="ja-JP"/>
        </w:rPr>
        <w:t xml:space="preserve"> </w:t>
      </w:r>
      <w:r w:rsidR="008E036C">
        <w:rPr>
          <w:lang w:eastAsia="ja-JP"/>
        </w:rPr>
        <w:t>‘</w:t>
      </w:r>
      <w:r>
        <w:fldChar w:fldCharType="begin"/>
      </w:r>
      <w:r>
        <w:instrText xml:space="preserve"> HYPERLINK "https://doi.org/10.2307/1467949" </w:instrText>
      </w:r>
      <w:r>
        <w:fldChar w:fldCharType="separate"/>
      </w:r>
      <w:r w:rsidRPr="009A3F83">
        <w:rPr>
          <w:rStyle w:val="Hyperlink"/>
          <w:lang w:eastAsia="ja-JP"/>
        </w:rPr>
        <w:t xml:space="preserve">Assessing invertebrate responses to human activities: </w:t>
      </w:r>
      <w:r w:rsidRPr="009A3F83" w:rsidR="008E036C">
        <w:rPr>
          <w:rStyle w:val="Hyperlink"/>
          <w:lang w:eastAsia="ja-JP"/>
        </w:rPr>
        <w:t>e</w:t>
      </w:r>
      <w:r w:rsidRPr="009A3F83">
        <w:rPr>
          <w:rStyle w:val="Hyperlink"/>
          <w:lang w:eastAsia="ja-JP"/>
        </w:rPr>
        <w:t>valuating alternative approaches</w:t>
      </w:r>
      <w:r>
        <w:fldChar w:fldCharType="end"/>
      </w:r>
      <w:r w:rsidR="008E036C">
        <w:rPr>
          <w:lang w:eastAsia="ja-JP"/>
        </w:rPr>
        <w:t>’,</w:t>
      </w:r>
      <w:r w:rsidRPr="0077502D">
        <w:rPr>
          <w:lang w:eastAsia="ja-JP"/>
        </w:rPr>
        <w:t xml:space="preserve"> </w:t>
      </w:r>
      <w:r w:rsidRPr="00D62CE7">
        <w:rPr>
          <w:rStyle w:val="Emphasis"/>
        </w:rPr>
        <w:t>Journal of the North American Benthological Society</w:t>
      </w:r>
      <w:r w:rsidRPr="0077502D">
        <w:rPr>
          <w:lang w:eastAsia="ja-JP"/>
        </w:rPr>
        <w:t>, 15</w:t>
      </w:r>
      <w:r w:rsidR="008E036C">
        <w:rPr>
          <w:lang w:eastAsia="ja-JP"/>
        </w:rPr>
        <w:t>:</w:t>
      </w:r>
      <w:r w:rsidRPr="0077502D">
        <w:rPr>
          <w:lang w:eastAsia="ja-JP"/>
        </w:rPr>
        <w:t>212</w:t>
      </w:r>
      <w:r>
        <w:rPr>
          <w:lang w:eastAsia="ja-JP"/>
        </w:rPr>
        <w:t>–</w:t>
      </w:r>
      <w:r w:rsidRPr="0077502D">
        <w:rPr>
          <w:lang w:eastAsia="ja-JP"/>
        </w:rPr>
        <w:t>231</w:t>
      </w:r>
      <w:r w:rsidR="009A3F83">
        <w:rPr>
          <w:lang w:eastAsia="ja-JP"/>
        </w:rPr>
        <w:t xml:space="preserve">, </w:t>
      </w:r>
      <w:r w:rsidR="002A0E99">
        <w:rPr>
          <w:lang w:eastAsia="ja-JP"/>
        </w:rPr>
        <w:t>doi:</w:t>
      </w:r>
      <w:r w:rsidRPr="009A3F83" w:rsidR="009A3F83">
        <w:rPr>
          <w:lang w:eastAsia="ja-JP"/>
        </w:rPr>
        <w:t>10.2307/1467949</w:t>
      </w:r>
      <w:r w:rsidRPr="0077502D">
        <w:rPr>
          <w:lang w:eastAsia="ja-JP"/>
        </w:rPr>
        <w:t xml:space="preserve">. </w:t>
      </w:r>
    </w:p>
    <w:p w:rsidR="005B6FC0" w:rsidP="0077502D" w14:paraId="6A19FE6C" w14:textId="7733623F">
      <w:pPr>
        <w:rPr>
          <w:lang w:eastAsia="ja-JP"/>
        </w:rPr>
      </w:pPr>
      <w:r w:rsidRPr="00083C33">
        <w:rPr>
          <w:lang w:val="en-GB" w:eastAsia="ja-JP"/>
        </w:rPr>
        <w:t xml:space="preserve">Fox DR, van Dam RA, Fisher R, Batley GE, Tillmans AR, Thorley J, Schwarz CJ, Spry DJ </w:t>
      </w:r>
      <w:r w:rsidR="003C60FB">
        <w:rPr>
          <w:lang w:val="en-GB" w:eastAsia="ja-JP"/>
        </w:rPr>
        <w:t>and</w:t>
      </w:r>
      <w:r w:rsidRPr="00083C33">
        <w:rPr>
          <w:lang w:val="en-GB" w:eastAsia="ja-JP"/>
        </w:rPr>
        <w:t xml:space="preserve"> McTavish K </w:t>
      </w:r>
      <w:r w:rsidR="008E036C">
        <w:rPr>
          <w:lang w:val="en-GB" w:eastAsia="ja-JP"/>
        </w:rPr>
        <w:t>(</w:t>
      </w:r>
      <w:r w:rsidRPr="00083C33">
        <w:rPr>
          <w:lang w:val="en-GB" w:eastAsia="ja-JP"/>
        </w:rPr>
        <w:t>2021</w:t>
      </w:r>
      <w:r w:rsidR="008E036C">
        <w:rPr>
          <w:lang w:val="en-GB" w:eastAsia="ja-JP"/>
        </w:rPr>
        <w:t>)</w:t>
      </w:r>
      <w:r w:rsidRPr="00083C33">
        <w:rPr>
          <w:lang w:val="en-GB" w:eastAsia="ja-JP"/>
        </w:rPr>
        <w:t xml:space="preserve"> </w:t>
      </w:r>
      <w:r w:rsidR="008E036C">
        <w:rPr>
          <w:lang w:val="en-GB" w:eastAsia="ja-JP"/>
        </w:rPr>
        <w:t>‘</w:t>
      </w:r>
      <w:r>
        <w:fldChar w:fldCharType="begin"/>
      </w:r>
      <w:r>
        <w:instrText xml:space="preserve"> HYPERLINK "https://doi.org/10.1002/etc.4925" </w:instrText>
      </w:r>
      <w:r>
        <w:fldChar w:fldCharType="separate"/>
      </w:r>
      <w:r w:rsidRPr="009A3F83">
        <w:rPr>
          <w:rStyle w:val="Hyperlink"/>
          <w:lang w:val="en-GB" w:eastAsia="ja-JP"/>
        </w:rPr>
        <w:t xml:space="preserve">Recent developments in </w:t>
      </w:r>
      <w:r w:rsidRPr="009A3F83" w:rsidR="009A3F83">
        <w:rPr>
          <w:rStyle w:val="Hyperlink"/>
          <w:lang w:val="en-GB" w:eastAsia="ja-JP"/>
        </w:rPr>
        <w:t>species sensitivity distribution</w:t>
      </w:r>
      <w:r w:rsidRPr="009A3F83">
        <w:rPr>
          <w:rStyle w:val="Hyperlink"/>
          <w:lang w:val="en-GB" w:eastAsia="ja-JP"/>
        </w:rPr>
        <w:t xml:space="preserve"> modelling</w:t>
      </w:r>
      <w:r w:rsidRPr="009A3F83" w:rsidR="008E036C">
        <w:rPr>
          <w:rStyle w:val="Hyperlink"/>
          <w:lang w:val="en-GB" w:eastAsia="ja-JP"/>
        </w:rPr>
        <w:t>’</w:t>
      </w:r>
      <w:r>
        <w:fldChar w:fldCharType="end"/>
      </w:r>
      <w:r w:rsidR="008E036C">
        <w:rPr>
          <w:lang w:val="en-GB" w:eastAsia="ja-JP"/>
        </w:rPr>
        <w:t>,</w:t>
      </w:r>
      <w:r w:rsidRPr="00083C33">
        <w:rPr>
          <w:lang w:val="en-GB" w:eastAsia="ja-JP"/>
        </w:rPr>
        <w:t xml:space="preserve"> </w:t>
      </w:r>
      <w:r w:rsidRPr="00BA2474">
        <w:rPr>
          <w:rStyle w:val="Emphasis"/>
        </w:rPr>
        <w:t>Environmental Toxicology and Chemistry</w:t>
      </w:r>
      <w:r>
        <w:rPr>
          <w:rStyle w:val="Emphasis"/>
          <w:i w:val="0"/>
          <w:iCs w:val="0"/>
        </w:rPr>
        <w:t>,</w:t>
      </w:r>
      <w:r w:rsidRPr="00083C33">
        <w:rPr>
          <w:i/>
          <w:iCs/>
          <w:lang w:eastAsia="ja-JP"/>
        </w:rPr>
        <w:t xml:space="preserve"> </w:t>
      </w:r>
      <w:r w:rsidRPr="00083C33">
        <w:rPr>
          <w:bCs/>
          <w:lang w:eastAsia="ja-JP"/>
        </w:rPr>
        <w:t>40</w:t>
      </w:r>
      <w:r w:rsidR="008E036C">
        <w:rPr>
          <w:bCs/>
          <w:lang w:eastAsia="ja-JP"/>
        </w:rPr>
        <w:t>:</w:t>
      </w:r>
      <w:r w:rsidRPr="00083C33">
        <w:rPr>
          <w:bCs/>
          <w:lang w:eastAsia="ja-JP"/>
        </w:rPr>
        <w:t>293–308</w:t>
      </w:r>
      <w:r w:rsidR="009A3F83">
        <w:rPr>
          <w:bCs/>
          <w:lang w:eastAsia="ja-JP"/>
        </w:rPr>
        <w:t xml:space="preserve">, </w:t>
      </w:r>
      <w:r w:rsidR="002A0E99">
        <w:rPr>
          <w:bCs/>
          <w:lang w:eastAsia="ja-JP"/>
        </w:rPr>
        <w:t>doi:</w:t>
      </w:r>
      <w:r w:rsidRPr="009A3F83" w:rsidR="009A3F83">
        <w:rPr>
          <w:bCs/>
          <w:lang w:eastAsia="ja-JP"/>
        </w:rPr>
        <w:t>10.1002/etc.4925</w:t>
      </w:r>
      <w:r w:rsidRPr="00083C33">
        <w:rPr>
          <w:bCs/>
          <w:lang w:eastAsia="ja-JP"/>
        </w:rPr>
        <w:t>.</w:t>
      </w:r>
    </w:p>
    <w:p w:rsidR="00760F45" w:rsidP="00760F45" w14:paraId="5A52B34D" w14:textId="32FBE701">
      <w:pPr>
        <w:rPr>
          <w:lang w:eastAsia="ja-JP"/>
        </w:rPr>
      </w:pPr>
      <w:r w:rsidRPr="00760F45">
        <w:rPr>
          <w:lang w:val="en-GB" w:eastAsia="ja-JP"/>
        </w:rPr>
        <w:t>Gholizadeh</w:t>
      </w:r>
      <w:r>
        <w:rPr>
          <w:lang w:val="en-GB" w:eastAsia="ja-JP"/>
        </w:rPr>
        <w:t xml:space="preserve"> MH,</w:t>
      </w:r>
      <w:r w:rsidRPr="00760F45">
        <w:rPr>
          <w:lang w:val="en-GB" w:eastAsia="ja-JP"/>
        </w:rPr>
        <w:t xml:space="preserve"> Melesse</w:t>
      </w:r>
      <w:r>
        <w:rPr>
          <w:lang w:val="en-GB" w:eastAsia="ja-JP"/>
        </w:rPr>
        <w:t xml:space="preserve"> AM </w:t>
      </w:r>
      <w:r w:rsidR="003C60FB">
        <w:rPr>
          <w:lang w:val="en-GB" w:eastAsia="ja-JP"/>
        </w:rPr>
        <w:t>and</w:t>
      </w:r>
      <w:r w:rsidRPr="00760F45">
        <w:rPr>
          <w:lang w:val="en-GB" w:eastAsia="ja-JP"/>
        </w:rPr>
        <w:t xml:space="preserve"> Reddi</w:t>
      </w:r>
      <w:r>
        <w:rPr>
          <w:lang w:val="en-GB" w:eastAsia="ja-JP"/>
        </w:rPr>
        <w:t xml:space="preserve"> L </w:t>
      </w:r>
      <w:r w:rsidR="008E036C">
        <w:rPr>
          <w:lang w:val="en-GB" w:eastAsia="ja-JP"/>
        </w:rPr>
        <w:t>(</w:t>
      </w:r>
      <w:r>
        <w:rPr>
          <w:lang w:val="en-GB" w:eastAsia="ja-JP"/>
        </w:rPr>
        <w:t>2016</w:t>
      </w:r>
      <w:r w:rsidR="008E036C">
        <w:rPr>
          <w:lang w:val="en-GB" w:eastAsia="ja-JP"/>
        </w:rPr>
        <w:t>)</w:t>
      </w:r>
      <w:r>
        <w:rPr>
          <w:lang w:val="en-GB" w:eastAsia="ja-JP"/>
        </w:rPr>
        <w:t xml:space="preserve"> </w:t>
      </w:r>
      <w:r w:rsidR="008E036C">
        <w:rPr>
          <w:lang w:val="en-GB" w:eastAsia="ja-JP"/>
        </w:rPr>
        <w:t>‘</w:t>
      </w:r>
      <w:r>
        <w:fldChar w:fldCharType="begin"/>
      </w:r>
      <w:r>
        <w:instrText xml:space="preserve"> HYPERLINK "https://doi.org/10.3390/s16081298" </w:instrText>
      </w:r>
      <w:r>
        <w:fldChar w:fldCharType="separate"/>
      </w:r>
      <w:r w:rsidRPr="002A62F9">
        <w:rPr>
          <w:rStyle w:val="Hyperlink"/>
          <w:lang w:val="en-GB" w:eastAsia="ja-JP"/>
        </w:rPr>
        <w:t>A comprehensive review on water quality parameters estimation using remote sensing techniques</w:t>
      </w:r>
      <w:r>
        <w:fldChar w:fldCharType="end"/>
      </w:r>
      <w:r w:rsidR="008E036C">
        <w:rPr>
          <w:lang w:val="en-GB" w:eastAsia="ja-JP"/>
        </w:rPr>
        <w:t>’,</w:t>
      </w:r>
      <w:r>
        <w:rPr>
          <w:lang w:val="en-GB" w:eastAsia="ja-JP"/>
        </w:rPr>
        <w:t xml:space="preserve"> </w:t>
      </w:r>
      <w:r w:rsidRPr="00760F45">
        <w:rPr>
          <w:i/>
          <w:iCs/>
          <w:lang w:val="en-GB" w:eastAsia="ja-JP"/>
        </w:rPr>
        <w:t>Sensors</w:t>
      </w:r>
      <w:r>
        <w:rPr>
          <w:lang w:val="en-GB" w:eastAsia="ja-JP"/>
        </w:rPr>
        <w:t xml:space="preserve">, </w:t>
      </w:r>
      <w:r w:rsidRPr="00760F45">
        <w:rPr>
          <w:lang w:val="en-GB" w:eastAsia="ja-JP"/>
        </w:rPr>
        <w:t>16</w:t>
      </w:r>
      <w:r w:rsidR="008E036C">
        <w:rPr>
          <w:lang w:val="en-GB" w:eastAsia="ja-JP"/>
        </w:rPr>
        <w:t>:</w:t>
      </w:r>
      <w:r w:rsidRPr="00760F45">
        <w:rPr>
          <w:lang w:val="en-GB" w:eastAsia="ja-JP"/>
        </w:rPr>
        <w:t>1298; doi:10.3390/s16081298</w:t>
      </w:r>
      <w:r>
        <w:rPr>
          <w:lang w:val="en-GB" w:eastAsia="ja-JP"/>
        </w:rPr>
        <w:t xml:space="preserve">. </w:t>
      </w:r>
    </w:p>
    <w:p w:rsidR="005B6FC0" w:rsidP="001B25CD" w14:paraId="02427524" w14:textId="11B23033">
      <w:pPr>
        <w:rPr>
          <w:lang w:eastAsia="ja-JP"/>
        </w:rPr>
      </w:pPr>
      <w:r>
        <w:rPr>
          <w:lang w:eastAsia="ja-JP"/>
        </w:rPr>
        <w:t xml:space="preserve">Golob JL, Margolis E, Hoffman NG </w:t>
      </w:r>
      <w:r w:rsidR="003C60FB">
        <w:rPr>
          <w:lang w:eastAsia="ja-JP"/>
        </w:rPr>
        <w:t>and</w:t>
      </w:r>
      <w:r>
        <w:rPr>
          <w:lang w:eastAsia="ja-JP"/>
        </w:rPr>
        <w:t xml:space="preserve"> Fredricks DN </w:t>
      </w:r>
      <w:r w:rsidR="008E036C">
        <w:rPr>
          <w:lang w:eastAsia="ja-JP"/>
        </w:rPr>
        <w:t>(</w:t>
      </w:r>
      <w:r>
        <w:rPr>
          <w:lang w:eastAsia="ja-JP"/>
        </w:rPr>
        <w:t>2017</w:t>
      </w:r>
      <w:r w:rsidR="008E036C">
        <w:rPr>
          <w:lang w:eastAsia="ja-JP"/>
        </w:rPr>
        <w:t>)</w:t>
      </w:r>
      <w:r>
        <w:rPr>
          <w:lang w:eastAsia="ja-JP"/>
        </w:rPr>
        <w:t xml:space="preserve"> </w:t>
      </w:r>
      <w:r w:rsidR="008E036C">
        <w:rPr>
          <w:lang w:eastAsia="ja-JP"/>
        </w:rPr>
        <w:t>‘</w:t>
      </w:r>
      <w:r>
        <w:fldChar w:fldCharType="begin"/>
      </w:r>
      <w:r>
        <w:instrText xml:space="preserve"> HYPERLINK "https://doi.org/10.1186/s12859-017-1690-0" </w:instrText>
      </w:r>
      <w:r>
        <w:fldChar w:fldCharType="separate"/>
      </w:r>
      <w:r w:rsidRPr="002A62F9">
        <w:rPr>
          <w:rStyle w:val="Hyperlink"/>
          <w:lang w:eastAsia="ja-JP"/>
        </w:rPr>
        <w:t>Evaluating the accuracy of amplicon-based microbiome computational pipelines on simulated human gut microbial communities</w:t>
      </w:r>
      <w:r>
        <w:fldChar w:fldCharType="end"/>
      </w:r>
      <w:r w:rsidR="008E036C">
        <w:rPr>
          <w:lang w:eastAsia="ja-JP"/>
        </w:rPr>
        <w:t>’,</w:t>
      </w:r>
      <w:r>
        <w:rPr>
          <w:lang w:eastAsia="ja-JP"/>
        </w:rPr>
        <w:t xml:space="preserve"> </w:t>
      </w:r>
      <w:r w:rsidRPr="00A93DFE">
        <w:rPr>
          <w:rStyle w:val="Emphasis"/>
        </w:rPr>
        <w:t>BMC Bioinformatics</w:t>
      </w:r>
      <w:r>
        <w:rPr>
          <w:lang w:eastAsia="ja-JP"/>
        </w:rPr>
        <w:t>, 18</w:t>
      </w:r>
      <w:r w:rsidR="008E036C">
        <w:rPr>
          <w:lang w:eastAsia="ja-JP"/>
        </w:rPr>
        <w:t>:</w:t>
      </w:r>
      <w:r>
        <w:rPr>
          <w:lang w:eastAsia="ja-JP"/>
        </w:rPr>
        <w:t>283</w:t>
      </w:r>
      <w:r w:rsidR="002A62F9">
        <w:rPr>
          <w:lang w:eastAsia="ja-JP"/>
        </w:rPr>
        <w:t xml:space="preserve">, </w:t>
      </w:r>
      <w:r w:rsidR="002A0E99">
        <w:rPr>
          <w:lang w:eastAsia="ja-JP"/>
        </w:rPr>
        <w:t>doi:</w:t>
      </w:r>
      <w:r w:rsidRPr="002A62F9" w:rsidR="002A62F9">
        <w:rPr>
          <w:lang w:eastAsia="ja-JP"/>
        </w:rPr>
        <w:t>10.1186/s12859-017-1690-0</w:t>
      </w:r>
      <w:r>
        <w:rPr>
          <w:lang w:eastAsia="ja-JP"/>
        </w:rPr>
        <w:t>.</w:t>
      </w:r>
    </w:p>
    <w:p w:rsidR="00134A1A" w:rsidRPr="00134A1A" w:rsidP="00134A1A" w14:paraId="54678B5D" w14:textId="227CD417">
      <w:pPr>
        <w:rPr>
          <w:lang w:eastAsia="ja-JP"/>
        </w:rPr>
      </w:pPr>
      <w:r w:rsidRPr="00134A1A">
        <w:rPr>
          <w:lang w:val="en" w:eastAsia="ja-JP"/>
        </w:rPr>
        <w:t>Gray PC</w:t>
      </w:r>
      <w:r>
        <w:rPr>
          <w:lang w:val="en" w:eastAsia="ja-JP"/>
        </w:rPr>
        <w:t>,</w:t>
      </w:r>
      <w:r w:rsidRPr="00134A1A">
        <w:rPr>
          <w:lang w:val="en" w:eastAsia="ja-JP"/>
        </w:rPr>
        <w:t xml:space="preserve"> Ridge JT</w:t>
      </w:r>
      <w:r>
        <w:rPr>
          <w:lang w:val="en" w:eastAsia="ja-JP"/>
        </w:rPr>
        <w:t>,</w:t>
      </w:r>
      <w:r w:rsidRPr="00134A1A">
        <w:rPr>
          <w:lang w:val="en" w:eastAsia="ja-JP"/>
        </w:rPr>
        <w:t xml:space="preserve"> Poulin SK</w:t>
      </w:r>
      <w:r>
        <w:rPr>
          <w:lang w:val="en" w:eastAsia="ja-JP"/>
        </w:rPr>
        <w:t>,</w:t>
      </w:r>
      <w:r w:rsidRPr="00134A1A">
        <w:rPr>
          <w:lang w:val="en" w:eastAsia="ja-JP"/>
        </w:rPr>
        <w:t xml:space="preserve"> Seymour AC</w:t>
      </w:r>
      <w:r>
        <w:rPr>
          <w:lang w:val="en" w:eastAsia="ja-JP"/>
        </w:rPr>
        <w:t>,</w:t>
      </w:r>
      <w:r w:rsidRPr="00134A1A">
        <w:rPr>
          <w:lang w:val="en" w:eastAsia="ja-JP"/>
        </w:rPr>
        <w:t xml:space="preserve"> Schwantes AM</w:t>
      </w:r>
      <w:r>
        <w:rPr>
          <w:lang w:val="en" w:eastAsia="ja-JP"/>
        </w:rPr>
        <w:t>,</w:t>
      </w:r>
      <w:r w:rsidRPr="00134A1A">
        <w:rPr>
          <w:lang w:val="en" w:eastAsia="ja-JP"/>
        </w:rPr>
        <w:t xml:space="preserve"> Swenson </w:t>
      </w:r>
      <w:r>
        <w:rPr>
          <w:lang w:val="en" w:eastAsia="ja-JP"/>
        </w:rPr>
        <w:t>J</w:t>
      </w:r>
      <w:r w:rsidRPr="00134A1A">
        <w:rPr>
          <w:lang w:val="en" w:eastAsia="ja-JP"/>
        </w:rPr>
        <w:t>J</w:t>
      </w:r>
      <w:r>
        <w:rPr>
          <w:lang w:val="en" w:eastAsia="ja-JP"/>
        </w:rPr>
        <w:t xml:space="preserve"> </w:t>
      </w:r>
      <w:r w:rsidR="003C60FB">
        <w:rPr>
          <w:lang w:val="en" w:eastAsia="ja-JP"/>
        </w:rPr>
        <w:t>and</w:t>
      </w:r>
      <w:r w:rsidRPr="00134A1A">
        <w:rPr>
          <w:lang w:val="en" w:eastAsia="ja-JP"/>
        </w:rPr>
        <w:t xml:space="preserve"> Johnston DW</w:t>
      </w:r>
      <w:r>
        <w:rPr>
          <w:lang w:val="en" w:eastAsia="ja-JP"/>
        </w:rPr>
        <w:t xml:space="preserve"> </w:t>
      </w:r>
      <w:r w:rsidR="008E036C">
        <w:rPr>
          <w:lang w:val="en" w:eastAsia="ja-JP"/>
        </w:rPr>
        <w:t>(</w:t>
      </w:r>
      <w:r>
        <w:rPr>
          <w:lang w:val="en" w:eastAsia="ja-JP"/>
        </w:rPr>
        <w:t>2018</w:t>
      </w:r>
      <w:r w:rsidR="008E036C">
        <w:rPr>
          <w:lang w:val="en" w:eastAsia="ja-JP"/>
        </w:rPr>
        <w:t>)</w:t>
      </w:r>
      <w:r w:rsidRPr="00134A1A">
        <w:rPr>
          <w:lang w:val="en" w:eastAsia="ja-JP"/>
        </w:rPr>
        <w:t xml:space="preserve"> </w:t>
      </w:r>
      <w:r w:rsidR="008E036C">
        <w:rPr>
          <w:lang w:val="en" w:eastAsia="ja-JP"/>
        </w:rPr>
        <w:t>‘</w:t>
      </w:r>
      <w:r>
        <w:fldChar w:fldCharType="begin"/>
      </w:r>
      <w:r>
        <w:instrText xml:space="preserve"> HYPERLINK "https://doi.org/10.3390/rs10081257" </w:instrText>
      </w:r>
      <w:r>
        <w:fldChar w:fldCharType="separate"/>
      </w:r>
      <w:r w:rsidRPr="002A62F9">
        <w:rPr>
          <w:rStyle w:val="Hyperlink"/>
          <w:lang w:val="en" w:eastAsia="ja-JP"/>
        </w:rPr>
        <w:t>Integrating drone imagery into high resolution satellite remote sensing assessments of estuarine environments</w:t>
      </w:r>
      <w:r>
        <w:fldChar w:fldCharType="end"/>
      </w:r>
      <w:r w:rsidR="008E036C">
        <w:rPr>
          <w:lang w:val="en" w:eastAsia="ja-JP"/>
        </w:rPr>
        <w:t>’,</w:t>
      </w:r>
      <w:r w:rsidRPr="00134A1A">
        <w:rPr>
          <w:lang w:val="en" w:eastAsia="ja-JP"/>
        </w:rPr>
        <w:t xml:space="preserve"> </w:t>
      </w:r>
      <w:r w:rsidRPr="00134A1A">
        <w:rPr>
          <w:i/>
          <w:iCs/>
          <w:lang w:val="en" w:eastAsia="ja-JP"/>
        </w:rPr>
        <w:t>Remote Sens</w:t>
      </w:r>
      <w:r>
        <w:rPr>
          <w:i/>
          <w:iCs/>
          <w:lang w:val="en" w:eastAsia="ja-JP"/>
        </w:rPr>
        <w:t>ing</w:t>
      </w:r>
      <w:r>
        <w:rPr>
          <w:lang w:val="en" w:eastAsia="ja-JP"/>
        </w:rPr>
        <w:t>,</w:t>
      </w:r>
      <w:r w:rsidRPr="00134A1A">
        <w:rPr>
          <w:lang w:val="en" w:eastAsia="ja-JP"/>
        </w:rPr>
        <w:t xml:space="preserve"> 10</w:t>
      </w:r>
      <w:r w:rsidR="008E036C">
        <w:rPr>
          <w:lang w:val="en" w:eastAsia="ja-JP"/>
        </w:rPr>
        <w:t>:</w:t>
      </w:r>
      <w:r w:rsidRPr="00134A1A">
        <w:rPr>
          <w:lang w:val="en" w:eastAsia="ja-JP"/>
        </w:rPr>
        <w:t>1257</w:t>
      </w:r>
      <w:r w:rsidR="008E036C">
        <w:rPr>
          <w:lang w:val="en" w:eastAsia="ja-JP"/>
        </w:rPr>
        <w:t xml:space="preserve">, </w:t>
      </w:r>
      <w:r w:rsidRPr="00134A1A">
        <w:rPr>
          <w:lang w:val="en" w:eastAsia="ja-JP"/>
        </w:rPr>
        <w:t>doi</w:t>
      </w:r>
      <w:r w:rsidR="008E036C">
        <w:rPr>
          <w:lang w:val="en" w:eastAsia="ja-JP"/>
        </w:rPr>
        <w:t>:</w:t>
      </w:r>
      <w:r w:rsidRPr="00134A1A">
        <w:rPr>
          <w:lang w:val="en" w:eastAsia="ja-JP"/>
        </w:rPr>
        <w:t>10.3390/rs10081257</w:t>
      </w:r>
      <w:r w:rsidR="008E036C">
        <w:rPr>
          <w:lang w:val="en" w:eastAsia="ja-JP"/>
        </w:rPr>
        <w:t>.</w:t>
      </w:r>
    </w:p>
    <w:p w:rsidR="0024796E" w:rsidP="0024796E" w14:paraId="15FA9980" w14:textId="3E2D0730">
      <w:pPr>
        <w:rPr>
          <w:lang w:eastAsia="ja-JP"/>
        </w:rPr>
      </w:pPr>
      <w:r w:rsidRPr="0024796E">
        <w:rPr>
          <w:lang w:val="en-GB" w:eastAsia="ja-JP"/>
        </w:rPr>
        <w:t>Groom S</w:t>
      </w:r>
      <w:r>
        <w:rPr>
          <w:lang w:val="en-GB" w:eastAsia="ja-JP"/>
        </w:rPr>
        <w:t>,</w:t>
      </w:r>
      <w:r w:rsidRPr="0024796E">
        <w:rPr>
          <w:lang w:val="en-GB" w:eastAsia="ja-JP"/>
        </w:rPr>
        <w:t xml:space="preserve"> Sathyendranath S</w:t>
      </w:r>
      <w:r>
        <w:rPr>
          <w:lang w:val="en-GB" w:eastAsia="ja-JP"/>
        </w:rPr>
        <w:t>,</w:t>
      </w:r>
      <w:r w:rsidRPr="0024796E">
        <w:rPr>
          <w:lang w:val="en-GB" w:eastAsia="ja-JP"/>
        </w:rPr>
        <w:t xml:space="preserve"> Ban Y</w:t>
      </w:r>
      <w:r>
        <w:rPr>
          <w:lang w:val="en-GB" w:eastAsia="ja-JP"/>
        </w:rPr>
        <w:t>,</w:t>
      </w:r>
      <w:r w:rsidRPr="0024796E">
        <w:rPr>
          <w:lang w:val="en-GB" w:eastAsia="ja-JP"/>
        </w:rPr>
        <w:t xml:space="preserve"> Bernard S</w:t>
      </w:r>
      <w:r>
        <w:rPr>
          <w:lang w:val="en-GB" w:eastAsia="ja-JP"/>
        </w:rPr>
        <w:t>,</w:t>
      </w:r>
      <w:r w:rsidRPr="0024796E">
        <w:rPr>
          <w:lang w:val="en-GB" w:eastAsia="ja-JP"/>
        </w:rPr>
        <w:t xml:space="preserve"> Brewin R</w:t>
      </w:r>
      <w:r>
        <w:rPr>
          <w:lang w:val="en-GB" w:eastAsia="ja-JP"/>
        </w:rPr>
        <w:t>,</w:t>
      </w:r>
      <w:r w:rsidRPr="0024796E">
        <w:rPr>
          <w:lang w:val="en-GB" w:eastAsia="ja-JP"/>
        </w:rPr>
        <w:t xml:space="preserve"> Brotas V</w:t>
      </w:r>
      <w:r>
        <w:rPr>
          <w:lang w:val="en-GB" w:eastAsia="ja-JP"/>
        </w:rPr>
        <w:t>,</w:t>
      </w:r>
      <w:r w:rsidRPr="0024796E">
        <w:rPr>
          <w:lang w:val="en-GB" w:eastAsia="ja-JP"/>
        </w:rPr>
        <w:t xml:space="preserve"> Brockmann C</w:t>
      </w:r>
      <w:r>
        <w:rPr>
          <w:lang w:val="en-GB" w:eastAsia="ja-JP"/>
        </w:rPr>
        <w:t>,</w:t>
      </w:r>
      <w:r w:rsidRPr="0024796E">
        <w:rPr>
          <w:lang w:val="en-GB" w:eastAsia="ja-JP"/>
        </w:rPr>
        <w:t xml:space="preserve"> Chauhan P</w:t>
      </w:r>
      <w:r>
        <w:rPr>
          <w:lang w:val="en-GB" w:eastAsia="ja-JP"/>
        </w:rPr>
        <w:t xml:space="preserve">, </w:t>
      </w:r>
      <w:r w:rsidRPr="0024796E">
        <w:rPr>
          <w:lang w:val="en-GB" w:eastAsia="ja-JP"/>
        </w:rPr>
        <w:t>Choi J</w:t>
      </w:r>
      <w:r>
        <w:rPr>
          <w:lang w:val="en-GB" w:eastAsia="ja-JP"/>
        </w:rPr>
        <w:t>,</w:t>
      </w:r>
      <w:r w:rsidRPr="0024796E">
        <w:rPr>
          <w:lang w:val="en-GB" w:eastAsia="ja-JP"/>
        </w:rPr>
        <w:t xml:space="preserve"> Chuprin A</w:t>
      </w:r>
      <w:r>
        <w:rPr>
          <w:lang w:val="en-GB" w:eastAsia="ja-JP"/>
        </w:rPr>
        <w:t>,</w:t>
      </w:r>
      <w:r w:rsidRPr="0024796E">
        <w:rPr>
          <w:lang w:val="en-GB" w:eastAsia="ja-JP"/>
        </w:rPr>
        <w:t xml:space="preserve"> </w:t>
      </w:r>
      <w:r w:rsidRPr="008E036C" w:rsidR="008E036C">
        <w:rPr>
          <w:lang w:val="en-GB" w:eastAsia="ja-JP"/>
        </w:rPr>
        <w:t>Ciavatta S, Cipollini P, Donlon C, Franz B, He X, Hirata T, Jackson T, Kampel M, Krasemann H, Lavender S, Pardo-Martinez S, Mélin F, Platt T, Santoleri R, Skakala J, Schaeffer B, Smith M, Steinmetz F, Valente A</w:t>
      </w:r>
      <w:r w:rsidR="008E036C">
        <w:rPr>
          <w:lang w:val="en-GB" w:eastAsia="ja-JP"/>
        </w:rPr>
        <w:t xml:space="preserve"> and</w:t>
      </w:r>
      <w:r w:rsidRPr="008E036C" w:rsidR="008E036C">
        <w:rPr>
          <w:lang w:val="en-GB" w:eastAsia="ja-JP"/>
        </w:rPr>
        <w:t xml:space="preserve"> Wang M</w:t>
      </w:r>
      <w:r w:rsidRPr="0024796E">
        <w:rPr>
          <w:lang w:val="en-GB" w:eastAsia="ja-JP"/>
        </w:rPr>
        <w:t xml:space="preserve"> </w:t>
      </w:r>
      <w:r w:rsidR="008E036C">
        <w:rPr>
          <w:lang w:val="en-GB" w:eastAsia="ja-JP"/>
        </w:rPr>
        <w:t>(</w:t>
      </w:r>
      <w:r>
        <w:rPr>
          <w:lang w:val="en-GB" w:eastAsia="ja-JP"/>
        </w:rPr>
        <w:t>2019</w:t>
      </w:r>
      <w:r w:rsidR="008E036C">
        <w:rPr>
          <w:lang w:val="en-GB" w:eastAsia="ja-JP"/>
        </w:rPr>
        <w:t>)</w:t>
      </w:r>
      <w:r>
        <w:rPr>
          <w:lang w:val="en-GB" w:eastAsia="ja-JP"/>
        </w:rPr>
        <w:t xml:space="preserve"> </w:t>
      </w:r>
      <w:r w:rsidR="00D12441">
        <w:rPr>
          <w:lang w:val="en-GB" w:eastAsia="ja-JP"/>
        </w:rPr>
        <w:t>‘</w:t>
      </w:r>
      <w:r>
        <w:fldChar w:fldCharType="begin"/>
      </w:r>
      <w:r>
        <w:instrText xml:space="preserve"> HYPERLINK "https://doi.org/10.3389/fmars.2019.00485" </w:instrText>
      </w:r>
      <w:r>
        <w:fldChar w:fldCharType="separate"/>
      </w:r>
      <w:r w:rsidRPr="00D12441">
        <w:rPr>
          <w:rStyle w:val="Hyperlink"/>
          <w:lang w:val="en-GB" w:eastAsia="ja-JP"/>
        </w:rPr>
        <w:t xml:space="preserve">Satellite ocean colour: </w:t>
      </w:r>
      <w:r w:rsidRPr="00D12441" w:rsidR="008E036C">
        <w:rPr>
          <w:rStyle w:val="Hyperlink"/>
          <w:lang w:val="en-GB" w:eastAsia="ja-JP"/>
        </w:rPr>
        <w:t>c</w:t>
      </w:r>
      <w:r w:rsidRPr="00D12441">
        <w:rPr>
          <w:rStyle w:val="Hyperlink"/>
          <w:lang w:val="en-GB" w:eastAsia="ja-JP"/>
        </w:rPr>
        <w:t>urrent status and future perspective</w:t>
      </w:r>
      <w:r w:rsidRPr="00D12441" w:rsidR="00D12441">
        <w:rPr>
          <w:rStyle w:val="Hyperlink"/>
          <w:lang w:val="en-GB" w:eastAsia="ja-JP"/>
        </w:rPr>
        <w:t>’</w:t>
      </w:r>
      <w:r>
        <w:fldChar w:fldCharType="end"/>
      </w:r>
      <w:r w:rsidR="008E036C">
        <w:rPr>
          <w:lang w:val="en-GB" w:eastAsia="ja-JP"/>
        </w:rPr>
        <w:t>,</w:t>
      </w:r>
      <w:r w:rsidRPr="0024796E">
        <w:rPr>
          <w:lang w:val="en-GB" w:eastAsia="ja-JP"/>
        </w:rPr>
        <w:t xml:space="preserve"> </w:t>
      </w:r>
      <w:r w:rsidRPr="0024796E">
        <w:rPr>
          <w:i/>
          <w:iCs/>
          <w:lang w:val="en-GB" w:eastAsia="ja-JP"/>
        </w:rPr>
        <w:t>Frontiers in Marine Science</w:t>
      </w:r>
      <w:r>
        <w:rPr>
          <w:lang w:val="en-GB" w:eastAsia="ja-JP"/>
        </w:rPr>
        <w:t xml:space="preserve">, </w:t>
      </w:r>
      <w:r w:rsidRPr="0024796E">
        <w:rPr>
          <w:lang w:val="en-GB" w:eastAsia="ja-JP"/>
        </w:rPr>
        <w:t>6</w:t>
      </w:r>
      <w:r w:rsidR="008E036C">
        <w:rPr>
          <w:lang w:val="en-GB" w:eastAsia="ja-JP"/>
        </w:rPr>
        <w:t>:</w:t>
      </w:r>
      <w:r w:rsidRPr="0024796E">
        <w:rPr>
          <w:lang w:val="en-GB" w:eastAsia="ja-JP"/>
        </w:rPr>
        <w:t>485</w:t>
      </w:r>
      <w:r w:rsidR="008E036C">
        <w:rPr>
          <w:lang w:val="en-GB" w:eastAsia="ja-JP"/>
        </w:rPr>
        <w:t xml:space="preserve">, </w:t>
      </w:r>
      <w:r w:rsidRPr="0024796E">
        <w:rPr>
          <w:lang w:val="en-GB" w:eastAsia="ja-JP"/>
        </w:rPr>
        <w:t>doi</w:t>
      </w:r>
      <w:r w:rsidR="008E036C">
        <w:rPr>
          <w:lang w:val="en-GB" w:eastAsia="ja-JP"/>
        </w:rPr>
        <w:t>:</w:t>
      </w:r>
      <w:r w:rsidRPr="0024796E">
        <w:rPr>
          <w:lang w:val="en-GB" w:eastAsia="ja-JP"/>
        </w:rPr>
        <w:t>10.3389/fmars.2019.00485</w:t>
      </w:r>
      <w:r>
        <w:rPr>
          <w:lang w:val="en-GB" w:eastAsia="ja-JP"/>
        </w:rPr>
        <w:t>.</w:t>
      </w:r>
    </w:p>
    <w:p w:rsidR="002431DE" w:rsidRPr="00164470" w:rsidP="002431DE" w14:paraId="4480C76D" w14:textId="77777777">
      <w:pPr>
        <w:rPr>
          <w:lang w:eastAsia="ja-JP"/>
        </w:rPr>
      </w:pPr>
      <w:r w:rsidRPr="00164470">
        <w:rPr>
          <w:lang w:eastAsia="ja-JP"/>
        </w:rPr>
        <w:t>Grosell M, Nielsen C</w:t>
      </w:r>
      <w:r>
        <w:rPr>
          <w:lang w:eastAsia="ja-JP"/>
        </w:rPr>
        <w:t xml:space="preserve"> and </w:t>
      </w:r>
      <w:r w:rsidRPr="00164470">
        <w:rPr>
          <w:lang w:eastAsia="ja-JP"/>
        </w:rPr>
        <w:t xml:space="preserve">Bianchini A </w:t>
      </w:r>
      <w:r>
        <w:rPr>
          <w:lang w:eastAsia="ja-JP"/>
        </w:rPr>
        <w:t>(</w:t>
      </w:r>
      <w:r w:rsidRPr="00164470">
        <w:rPr>
          <w:lang w:eastAsia="ja-JP"/>
        </w:rPr>
        <w:t>2002</w:t>
      </w:r>
      <w:r>
        <w:rPr>
          <w:lang w:eastAsia="ja-JP"/>
        </w:rPr>
        <w:t>)</w:t>
      </w:r>
      <w:r w:rsidRPr="00164470">
        <w:rPr>
          <w:lang w:eastAsia="ja-JP"/>
        </w:rPr>
        <w:t xml:space="preserve"> </w:t>
      </w:r>
      <w:r>
        <w:rPr>
          <w:lang w:eastAsia="ja-JP"/>
        </w:rPr>
        <w:t>‘</w:t>
      </w:r>
      <w:r>
        <w:fldChar w:fldCharType="begin"/>
      </w:r>
      <w:r>
        <w:instrText xml:space="preserve"> HYPERLINK "https://doi.org/10.1016/s1532-0456(02)00085-6" </w:instrText>
      </w:r>
      <w:r>
        <w:fldChar w:fldCharType="separate"/>
      </w:r>
      <w:r w:rsidRPr="00D12441">
        <w:rPr>
          <w:rStyle w:val="Hyperlink"/>
          <w:lang w:eastAsia="ja-JP"/>
        </w:rPr>
        <w:t>Sodium turnover rate determines sensitivity to acute copper and silver exposure in freshwater animals</w:t>
      </w:r>
      <w:r>
        <w:fldChar w:fldCharType="end"/>
      </w:r>
      <w:r>
        <w:rPr>
          <w:lang w:eastAsia="ja-JP"/>
        </w:rPr>
        <w:t>’,</w:t>
      </w:r>
      <w:r w:rsidRPr="00164470">
        <w:rPr>
          <w:lang w:eastAsia="ja-JP"/>
        </w:rPr>
        <w:t xml:space="preserve"> </w:t>
      </w:r>
      <w:r w:rsidRPr="0095246C">
        <w:rPr>
          <w:rStyle w:val="Emphasis"/>
        </w:rPr>
        <w:t>Comp</w:t>
      </w:r>
      <w:r>
        <w:rPr>
          <w:rStyle w:val="Emphasis"/>
        </w:rPr>
        <w:t>arative</w:t>
      </w:r>
      <w:r w:rsidRPr="0095246C">
        <w:rPr>
          <w:rStyle w:val="Emphasis"/>
        </w:rPr>
        <w:t xml:space="preserve"> Biochem</w:t>
      </w:r>
      <w:r>
        <w:rPr>
          <w:rStyle w:val="Emphasis"/>
        </w:rPr>
        <w:t>istry and</w:t>
      </w:r>
      <w:r w:rsidRPr="0095246C">
        <w:rPr>
          <w:rStyle w:val="Emphasis"/>
        </w:rPr>
        <w:t xml:space="preserve"> Physiol</w:t>
      </w:r>
      <w:r>
        <w:rPr>
          <w:rStyle w:val="Emphasis"/>
        </w:rPr>
        <w:t>ogy</w:t>
      </w:r>
      <w:r w:rsidRPr="0095246C">
        <w:rPr>
          <w:rStyle w:val="Emphasis"/>
        </w:rPr>
        <w:t xml:space="preserve"> </w:t>
      </w:r>
      <w:r>
        <w:rPr>
          <w:rStyle w:val="Emphasis"/>
        </w:rPr>
        <w:t xml:space="preserve">Part </w:t>
      </w:r>
      <w:r w:rsidRPr="0095246C">
        <w:rPr>
          <w:rStyle w:val="Emphasis"/>
        </w:rPr>
        <w:t>C</w:t>
      </w:r>
      <w:r>
        <w:rPr>
          <w:rStyle w:val="Emphasis"/>
        </w:rPr>
        <w:t>: Toxicology and Pharmacology</w:t>
      </w:r>
      <w:r>
        <w:rPr>
          <w:lang w:eastAsia="ja-JP"/>
        </w:rPr>
        <w:t>,</w:t>
      </w:r>
      <w:r w:rsidRPr="00164470">
        <w:rPr>
          <w:lang w:eastAsia="ja-JP"/>
        </w:rPr>
        <w:t xml:space="preserve"> 133</w:t>
      </w:r>
      <w:r>
        <w:rPr>
          <w:lang w:eastAsia="ja-JP"/>
        </w:rPr>
        <w:t>:</w:t>
      </w:r>
      <w:r w:rsidRPr="00164470">
        <w:rPr>
          <w:lang w:eastAsia="ja-JP"/>
        </w:rPr>
        <w:t>287</w:t>
      </w:r>
      <w:r>
        <w:rPr>
          <w:lang w:eastAsia="ja-JP"/>
        </w:rPr>
        <w:t>–</w:t>
      </w:r>
      <w:r w:rsidRPr="00164470">
        <w:rPr>
          <w:lang w:eastAsia="ja-JP"/>
        </w:rPr>
        <w:t>303</w:t>
      </w:r>
      <w:r>
        <w:rPr>
          <w:lang w:eastAsia="ja-JP"/>
        </w:rPr>
        <w:t>., doi:</w:t>
      </w:r>
      <w:r w:rsidRPr="00D12441">
        <w:rPr>
          <w:lang w:eastAsia="ja-JP"/>
        </w:rPr>
        <w:t>10.1016/s1532-0456(02)00085-6</w:t>
      </w:r>
      <w:r>
        <w:rPr>
          <w:lang w:eastAsia="ja-JP"/>
        </w:rPr>
        <w:t>.</w:t>
      </w:r>
    </w:p>
    <w:p w:rsidR="005B6FC0" w:rsidP="001B25CD" w14:paraId="4A949BE0" w14:textId="2EF8BDD7">
      <w:pPr>
        <w:rPr>
          <w:lang w:eastAsia="ja-JP"/>
        </w:rPr>
      </w:pPr>
      <w:r>
        <w:rPr>
          <w:lang w:eastAsia="ja-JP"/>
        </w:rPr>
        <w:t xml:space="preserve">Grosell M, Blanchard J, Brix KV </w:t>
      </w:r>
      <w:r w:rsidR="003C60FB">
        <w:rPr>
          <w:lang w:eastAsia="ja-JP"/>
        </w:rPr>
        <w:t>and</w:t>
      </w:r>
      <w:r>
        <w:rPr>
          <w:lang w:eastAsia="ja-JP"/>
        </w:rPr>
        <w:t xml:space="preserve"> Gerdes R </w:t>
      </w:r>
      <w:r w:rsidR="008E036C">
        <w:rPr>
          <w:lang w:eastAsia="ja-JP"/>
        </w:rPr>
        <w:t>(</w:t>
      </w:r>
      <w:r>
        <w:rPr>
          <w:lang w:eastAsia="ja-JP"/>
        </w:rPr>
        <w:t>2007</w:t>
      </w:r>
      <w:r w:rsidR="008E036C">
        <w:rPr>
          <w:lang w:eastAsia="ja-JP"/>
        </w:rPr>
        <w:t>)</w:t>
      </w:r>
      <w:r>
        <w:rPr>
          <w:lang w:eastAsia="ja-JP"/>
        </w:rPr>
        <w:t xml:space="preserve"> </w:t>
      </w:r>
      <w:r w:rsidR="008E036C">
        <w:rPr>
          <w:lang w:eastAsia="ja-JP"/>
        </w:rPr>
        <w:t>‘</w:t>
      </w:r>
      <w:r>
        <w:fldChar w:fldCharType="begin"/>
      </w:r>
      <w:r>
        <w:instrText xml:space="preserve"> HYPERLINK "https://doi.org/10.1016/j.aquatox.2007.03.026" </w:instrText>
      </w:r>
      <w:r>
        <w:fldChar w:fldCharType="separate"/>
      </w:r>
      <w:r w:rsidRPr="00D12441">
        <w:rPr>
          <w:rStyle w:val="Hyperlink"/>
          <w:lang w:eastAsia="ja-JP"/>
        </w:rPr>
        <w:t>Physiology is pivotal for interactions between salinity and acute copper toxicity to fish and invertebrates</w:t>
      </w:r>
      <w:r>
        <w:fldChar w:fldCharType="end"/>
      </w:r>
      <w:r w:rsidR="008E036C">
        <w:rPr>
          <w:lang w:eastAsia="ja-JP"/>
        </w:rPr>
        <w:t>’,</w:t>
      </w:r>
      <w:r>
        <w:rPr>
          <w:lang w:eastAsia="ja-JP"/>
        </w:rPr>
        <w:t xml:space="preserve"> </w:t>
      </w:r>
      <w:r w:rsidRPr="00A93DFE">
        <w:rPr>
          <w:rStyle w:val="Emphasis"/>
        </w:rPr>
        <w:t>Aquatic Toxicology</w:t>
      </w:r>
      <w:r>
        <w:rPr>
          <w:lang w:eastAsia="ja-JP"/>
        </w:rPr>
        <w:t>, 84</w:t>
      </w:r>
      <w:r w:rsidR="008E036C">
        <w:rPr>
          <w:lang w:eastAsia="ja-JP"/>
        </w:rPr>
        <w:t>:</w:t>
      </w:r>
      <w:r>
        <w:rPr>
          <w:lang w:eastAsia="ja-JP"/>
        </w:rPr>
        <w:t>162–172</w:t>
      </w:r>
      <w:r w:rsidR="00D12441">
        <w:rPr>
          <w:lang w:eastAsia="ja-JP"/>
        </w:rPr>
        <w:t xml:space="preserve"> </w:t>
      </w:r>
      <w:r w:rsidR="002A0E99">
        <w:rPr>
          <w:lang w:eastAsia="ja-JP"/>
        </w:rPr>
        <w:t>doi:</w:t>
      </w:r>
      <w:r w:rsidRPr="00D12441" w:rsidR="00D12441">
        <w:rPr>
          <w:lang w:eastAsia="ja-JP"/>
        </w:rPr>
        <w:t>10.1016/j.aquatox.2007.03.026</w:t>
      </w:r>
      <w:r>
        <w:rPr>
          <w:lang w:eastAsia="ja-JP"/>
        </w:rPr>
        <w:t>.</w:t>
      </w:r>
    </w:p>
    <w:p w:rsidR="005B6FC0" w:rsidRPr="00F6192C" w:rsidP="00F6192C" w14:paraId="4B57DCFB" w14:textId="33E77AFC">
      <w:pPr>
        <w:rPr>
          <w:lang w:val="en-GB" w:eastAsia="ja-JP"/>
        </w:rPr>
      </w:pPr>
      <w:r w:rsidRPr="00F6192C">
        <w:rPr>
          <w:lang w:val="en-GB" w:eastAsia="ja-JP"/>
        </w:rPr>
        <w:t xml:space="preserve">Grothe DR </w:t>
      </w:r>
      <w:r w:rsidR="003C60FB">
        <w:rPr>
          <w:lang w:val="en-GB" w:eastAsia="ja-JP"/>
        </w:rPr>
        <w:t>and</w:t>
      </w:r>
      <w:r w:rsidRPr="00F6192C">
        <w:rPr>
          <w:lang w:val="en-GB" w:eastAsia="ja-JP"/>
        </w:rPr>
        <w:t xml:space="preserve"> Johnson DE </w:t>
      </w:r>
      <w:r w:rsidR="00B40C9C">
        <w:rPr>
          <w:lang w:val="en-GB" w:eastAsia="ja-JP"/>
        </w:rPr>
        <w:t>(</w:t>
      </w:r>
      <w:r w:rsidRPr="00F6192C">
        <w:rPr>
          <w:lang w:val="en-GB" w:eastAsia="ja-JP"/>
        </w:rPr>
        <w:t>1996</w:t>
      </w:r>
      <w:r w:rsidR="00B40C9C">
        <w:rPr>
          <w:lang w:val="en-GB" w:eastAsia="ja-JP"/>
        </w:rPr>
        <w:t>)</w:t>
      </w:r>
      <w:r w:rsidRPr="00F6192C">
        <w:rPr>
          <w:lang w:val="en-GB" w:eastAsia="ja-JP"/>
        </w:rPr>
        <w:t xml:space="preserve"> </w:t>
      </w:r>
      <w:r w:rsidR="00B40C9C">
        <w:rPr>
          <w:lang w:val="en-GB" w:eastAsia="ja-JP"/>
        </w:rPr>
        <w:t>‘</w:t>
      </w:r>
      <w:r>
        <w:fldChar w:fldCharType="begin"/>
      </w:r>
      <w:r>
        <w:instrText xml:space="preserve"> HYPERLINK "https://doi.org/10.1002/etc.5620150523" </w:instrText>
      </w:r>
      <w:r>
        <w:fldChar w:fldCharType="separate"/>
      </w:r>
      <w:r w:rsidRPr="00A04695">
        <w:rPr>
          <w:rStyle w:val="Hyperlink"/>
          <w:lang w:val="en-GB" w:eastAsia="ja-JP"/>
        </w:rPr>
        <w:t>Bacterial interference in whole-effluent toxicity tests</w:t>
      </w:r>
      <w:r>
        <w:fldChar w:fldCharType="end"/>
      </w:r>
      <w:r w:rsidR="00B40C9C">
        <w:rPr>
          <w:lang w:val="en-GB" w:eastAsia="ja-JP"/>
        </w:rPr>
        <w:t>’,</w:t>
      </w:r>
      <w:r w:rsidRPr="00F6192C">
        <w:rPr>
          <w:lang w:val="en-GB" w:eastAsia="ja-JP"/>
        </w:rPr>
        <w:t xml:space="preserve"> </w:t>
      </w:r>
      <w:r w:rsidRPr="0095246C">
        <w:rPr>
          <w:rStyle w:val="Emphasis"/>
        </w:rPr>
        <w:t>Environmental Toxicology and Chemistry</w:t>
      </w:r>
      <w:r>
        <w:rPr>
          <w:iCs/>
          <w:lang w:val="en-GB" w:eastAsia="ja-JP"/>
        </w:rPr>
        <w:t>,</w:t>
      </w:r>
      <w:r w:rsidRPr="00F6192C">
        <w:rPr>
          <w:lang w:val="en-GB" w:eastAsia="ja-JP"/>
        </w:rPr>
        <w:t xml:space="preserve"> 15</w:t>
      </w:r>
      <w:r w:rsidR="00B40C9C">
        <w:rPr>
          <w:lang w:val="en-GB" w:eastAsia="ja-JP"/>
        </w:rPr>
        <w:t>:</w:t>
      </w:r>
      <w:r w:rsidRPr="00F6192C">
        <w:rPr>
          <w:lang w:val="en-GB" w:eastAsia="ja-JP"/>
        </w:rPr>
        <w:t>761–764</w:t>
      </w:r>
      <w:r w:rsidR="00A04695">
        <w:rPr>
          <w:lang w:val="en-GB" w:eastAsia="ja-JP"/>
        </w:rPr>
        <w:t xml:space="preserve"> </w:t>
      </w:r>
      <w:r w:rsidR="002A0E99">
        <w:rPr>
          <w:lang w:val="en-GB" w:eastAsia="ja-JP"/>
        </w:rPr>
        <w:t>doi:</w:t>
      </w:r>
      <w:r w:rsidRPr="00A04695" w:rsidR="00A04695">
        <w:rPr>
          <w:lang w:val="en-GB" w:eastAsia="ja-JP"/>
        </w:rPr>
        <w:t>10.1002/etc.5620150523</w:t>
      </w:r>
      <w:r w:rsidRPr="00F6192C">
        <w:rPr>
          <w:lang w:val="en-GB" w:eastAsia="ja-JP"/>
        </w:rPr>
        <w:t>.</w:t>
      </w:r>
    </w:p>
    <w:p w:rsidR="005B6FC0" w:rsidP="00D43AFA" w14:paraId="04C559F6" w14:textId="3BDDB871">
      <w:pPr>
        <w:rPr>
          <w:lang w:val="en-GB"/>
        </w:rPr>
      </w:pPr>
      <w:r w:rsidRPr="00CA66BF">
        <w:rPr>
          <w:lang w:val="en-GB"/>
        </w:rPr>
        <w:t xml:space="preserve">Grothe DR, Dickson KL </w:t>
      </w:r>
      <w:r w:rsidR="003C60FB">
        <w:rPr>
          <w:lang w:val="en-GB"/>
        </w:rPr>
        <w:t>and</w:t>
      </w:r>
      <w:r w:rsidRPr="00CA66BF">
        <w:rPr>
          <w:lang w:val="en-GB"/>
        </w:rPr>
        <w:t xml:space="preserve"> Reed-Judkins DK (eds) </w:t>
      </w:r>
      <w:r w:rsidR="00B40C9C">
        <w:rPr>
          <w:lang w:val="en-GB"/>
        </w:rPr>
        <w:t>(</w:t>
      </w:r>
      <w:r w:rsidRPr="00CA66BF">
        <w:rPr>
          <w:lang w:val="en-GB"/>
        </w:rPr>
        <w:t>1996</w:t>
      </w:r>
      <w:r w:rsidR="00B40C9C">
        <w:rPr>
          <w:lang w:val="en-GB"/>
        </w:rPr>
        <w:t>)</w:t>
      </w:r>
      <w:r w:rsidRPr="00CA66BF">
        <w:rPr>
          <w:lang w:val="en-GB"/>
        </w:rPr>
        <w:t xml:space="preserve"> </w:t>
      </w:r>
      <w:r w:rsidR="00991222">
        <w:rPr>
          <w:lang w:val="en-GB"/>
        </w:rPr>
        <w:t>‘</w:t>
      </w:r>
      <w:r w:rsidRPr="00CA66BF">
        <w:rPr>
          <w:lang w:val="en-GB"/>
        </w:rPr>
        <w:t xml:space="preserve">Whole effluent toxicity testing: </w:t>
      </w:r>
      <w:r w:rsidR="00991222">
        <w:rPr>
          <w:lang w:val="en-GB"/>
        </w:rPr>
        <w:t>a</w:t>
      </w:r>
      <w:r w:rsidRPr="00CA66BF">
        <w:rPr>
          <w:lang w:val="en-GB"/>
        </w:rPr>
        <w:t>n evaluation of methods</w:t>
      </w:r>
      <w:r>
        <w:rPr>
          <w:lang w:val="en-GB"/>
        </w:rPr>
        <w:t xml:space="preserve"> </w:t>
      </w:r>
      <w:r w:rsidRPr="00CA66BF">
        <w:rPr>
          <w:lang w:val="en-GB"/>
        </w:rPr>
        <w:t>and prediction of receiving system impacts</w:t>
      </w:r>
      <w:r w:rsidR="00991222">
        <w:rPr>
          <w:lang w:val="en-GB"/>
        </w:rPr>
        <w:t>’,</w:t>
      </w:r>
      <w:r w:rsidRPr="00CA66BF">
        <w:rPr>
          <w:lang w:val="en-GB"/>
        </w:rPr>
        <w:t xml:space="preserve"> </w:t>
      </w:r>
      <w:r w:rsidR="00942A21">
        <w:rPr>
          <w:lang w:val="en-GB"/>
        </w:rPr>
        <w:t xml:space="preserve">in </w:t>
      </w:r>
      <w:r w:rsidRPr="00991222" w:rsidR="00991222">
        <w:rPr>
          <w:i/>
          <w:iCs/>
          <w:lang w:val="en-GB"/>
        </w:rPr>
        <w:t xml:space="preserve">Proceedings of the Pellston </w:t>
      </w:r>
      <w:r w:rsidR="00991222">
        <w:rPr>
          <w:i/>
          <w:iCs/>
          <w:lang w:val="en-GB"/>
        </w:rPr>
        <w:t>w</w:t>
      </w:r>
      <w:r w:rsidRPr="00991222" w:rsidR="00991222">
        <w:rPr>
          <w:i/>
          <w:iCs/>
          <w:lang w:val="en-GB"/>
        </w:rPr>
        <w:t xml:space="preserve">orkshop on </w:t>
      </w:r>
      <w:r w:rsidR="00991222">
        <w:rPr>
          <w:i/>
          <w:iCs/>
          <w:lang w:val="en-GB"/>
        </w:rPr>
        <w:t>w</w:t>
      </w:r>
      <w:r w:rsidRPr="00991222" w:rsidR="00991222">
        <w:rPr>
          <w:i/>
          <w:iCs/>
          <w:lang w:val="en-GB"/>
        </w:rPr>
        <w:t xml:space="preserve">hole </w:t>
      </w:r>
      <w:r w:rsidR="00991222">
        <w:rPr>
          <w:i/>
          <w:iCs/>
          <w:lang w:val="en-GB"/>
        </w:rPr>
        <w:t>e</w:t>
      </w:r>
      <w:r w:rsidRPr="00991222" w:rsidR="00991222">
        <w:rPr>
          <w:i/>
          <w:iCs/>
          <w:lang w:val="en-GB"/>
        </w:rPr>
        <w:t xml:space="preserve">ffluent </w:t>
      </w:r>
      <w:r w:rsidR="00991222">
        <w:rPr>
          <w:i/>
          <w:iCs/>
          <w:lang w:val="en-GB"/>
        </w:rPr>
        <w:t>t</w:t>
      </w:r>
      <w:r w:rsidRPr="00991222" w:rsidR="00991222">
        <w:rPr>
          <w:i/>
          <w:iCs/>
          <w:lang w:val="en-GB"/>
        </w:rPr>
        <w:t>oxicity, 16</w:t>
      </w:r>
      <w:r w:rsidR="00991222">
        <w:rPr>
          <w:i/>
          <w:iCs/>
          <w:lang w:val="en-GB"/>
        </w:rPr>
        <w:t>–</w:t>
      </w:r>
      <w:r w:rsidRPr="00991222" w:rsidR="00991222">
        <w:rPr>
          <w:i/>
          <w:iCs/>
          <w:lang w:val="en-GB"/>
        </w:rPr>
        <w:t>21 September 1995, University of Michigan Biological Station, Douglas Lake, Pellston, Michigan</w:t>
      </w:r>
      <w:r w:rsidRPr="00CA66BF">
        <w:rPr>
          <w:lang w:val="en-GB"/>
        </w:rPr>
        <w:t>, S</w:t>
      </w:r>
      <w:r w:rsidR="004A1DF5">
        <w:rPr>
          <w:lang w:val="en-GB"/>
        </w:rPr>
        <w:t xml:space="preserve">ociety of </w:t>
      </w:r>
      <w:r w:rsidRPr="00CA66BF">
        <w:rPr>
          <w:lang w:val="en-GB"/>
        </w:rPr>
        <w:t>E</w:t>
      </w:r>
      <w:r w:rsidR="004A1DF5">
        <w:rPr>
          <w:lang w:val="en-GB"/>
        </w:rPr>
        <w:t xml:space="preserve">nvironmental </w:t>
      </w:r>
      <w:r w:rsidRPr="00CA66BF">
        <w:rPr>
          <w:lang w:val="en-GB"/>
        </w:rPr>
        <w:t>T</w:t>
      </w:r>
      <w:r w:rsidR="004A1DF5">
        <w:rPr>
          <w:lang w:val="en-GB"/>
        </w:rPr>
        <w:t xml:space="preserve">oxicology and </w:t>
      </w:r>
      <w:r w:rsidRPr="00CA66BF">
        <w:rPr>
          <w:lang w:val="en-GB"/>
        </w:rPr>
        <w:t>C</w:t>
      </w:r>
      <w:r w:rsidR="004A1DF5">
        <w:rPr>
          <w:lang w:val="en-GB"/>
        </w:rPr>
        <w:t>hemistry</w:t>
      </w:r>
      <w:r w:rsidRPr="00CA66BF">
        <w:rPr>
          <w:lang w:val="en-GB"/>
        </w:rPr>
        <w:t xml:space="preserve"> Press, Pensacola.</w:t>
      </w:r>
    </w:p>
    <w:p w:rsidR="006B2D82" w:rsidP="006B2D82" w14:paraId="75C2863A" w14:textId="10B8EEEA">
      <w:pPr>
        <w:rPr>
          <w:lang w:val="en-GB" w:eastAsia="ja-JP"/>
        </w:rPr>
      </w:pPr>
      <w:r>
        <w:rPr>
          <w:lang w:val="en-GB" w:eastAsia="ja-JP"/>
        </w:rPr>
        <w:t xml:space="preserve">Growns JE, Chessman BC, McEvoy PK </w:t>
      </w:r>
      <w:r w:rsidR="003C60FB">
        <w:rPr>
          <w:lang w:val="en-GB" w:eastAsia="ja-JP"/>
        </w:rPr>
        <w:t>and</w:t>
      </w:r>
      <w:r>
        <w:rPr>
          <w:lang w:val="en-GB" w:eastAsia="ja-JP"/>
        </w:rPr>
        <w:t xml:space="preserve"> Wright IA </w:t>
      </w:r>
      <w:r w:rsidR="00991222">
        <w:rPr>
          <w:lang w:val="en-GB" w:eastAsia="ja-JP"/>
        </w:rPr>
        <w:t>(</w:t>
      </w:r>
      <w:r>
        <w:rPr>
          <w:lang w:val="en-GB" w:eastAsia="ja-JP"/>
        </w:rPr>
        <w:t>1995</w:t>
      </w:r>
      <w:r w:rsidR="00991222">
        <w:rPr>
          <w:lang w:val="en-GB" w:eastAsia="ja-JP"/>
        </w:rPr>
        <w:t>)</w:t>
      </w:r>
      <w:r>
        <w:rPr>
          <w:lang w:val="en-GB" w:eastAsia="ja-JP"/>
        </w:rPr>
        <w:t xml:space="preserve"> </w:t>
      </w:r>
      <w:r w:rsidR="00991222">
        <w:rPr>
          <w:lang w:val="en-GB" w:eastAsia="ja-JP"/>
        </w:rPr>
        <w:t>‘</w:t>
      </w:r>
      <w:r>
        <w:fldChar w:fldCharType="begin"/>
      </w:r>
      <w:r>
        <w:instrText xml:space="preserve"> HYPERLINK "https://doi.org/10.1111/j.1442-9993.1995.tb00527.x" </w:instrText>
      </w:r>
      <w:r>
        <w:fldChar w:fldCharType="separate"/>
      </w:r>
      <w:r w:rsidRPr="00A04695">
        <w:rPr>
          <w:rStyle w:val="Hyperlink"/>
          <w:lang w:val="en-GB" w:eastAsia="ja-JP"/>
        </w:rPr>
        <w:t xml:space="preserve">Rapid assessment of rivers using macroinvertebrates: </w:t>
      </w:r>
      <w:r w:rsidRPr="00A04695" w:rsidR="00991222">
        <w:rPr>
          <w:rStyle w:val="Hyperlink"/>
          <w:lang w:val="en-GB" w:eastAsia="ja-JP"/>
        </w:rPr>
        <w:t>c</w:t>
      </w:r>
      <w:r w:rsidRPr="00A04695">
        <w:rPr>
          <w:rStyle w:val="Hyperlink"/>
          <w:lang w:val="en-GB" w:eastAsia="ja-JP"/>
        </w:rPr>
        <w:t>ase studies in the Nepean River and Blue Mountains, NSW</w:t>
      </w:r>
      <w:r>
        <w:fldChar w:fldCharType="end"/>
      </w:r>
      <w:r w:rsidR="00991222">
        <w:rPr>
          <w:lang w:val="en-GB" w:eastAsia="ja-JP"/>
        </w:rPr>
        <w:t>’,</w:t>
      </w:r>
      <w:r>
        <w:rPr>
          <w:lang w:val="en-GB" w:eastAsia="ja-JP"/>
        </w:rPr>
        <w:t xml:space="preserve"> </w:t>
      </w:r>
      <w:r w:rsidRPr="006B2D82">
        <w:rPr>
          <w:i/>
          <w:iCs/>
          <w:lang w:val="en-GB" w:eastAsia="ja-JP"/>
        </w:rPr>
        <w:t>Australian Journal of Ecology</w:t>
      </w:r>
      <w:r>
        <w:rPr>
          <w:lang w:val="en-GB" w:eastAsia="ja-JP"/>
        </w:rPr>
        <w:t>, 20</w:t>
      </w:r>
      <w:r w:rsidR="00991222">
        <w:rPr>
          <w:lang w:val="en-GB" w:eastAsia="ja-JP"/>
        </w:rPr>
        <w:t>:</w:t>
      </w:r>
      <w:r>
        <w:rPr>
          <w:lang w:val="en-GB" w:eastAsia="ja-JP"/>
        </w:rPr>
        <w:t>130–141</w:t>
      </w:r>
      <w:r w:rsidR="00A04695">
        <w:rPr>
          <w:lang w:val="en-GB" w:eastAsia="ja-JP"/>
        </w:rPr>
        <w:t xml:space="preserve">, </w:t>
      </w:r>
      <w:r w:rsidR="002A0E99">
        <w:rPr>
          <w:lang w:val="en-GB" w:eastAsia="ja-JP"/>
        </w:rPr>
        <w:t>doi:</w:t>
      </w:r>
      <w:r w:rsidRPr="00A04695" w:rsidR="00A04695">
        <w:rPr>
          <w:lang w:val="en-GB" w:eastAsia="ja-JP"/>
        </w:rPr>
        <w:t>10.1111/j.1442-9993.1995.tb00527.x</w:t>
      </w:r>
      <w:r>
        <w:rPr>
          <w:lang w:val="en-GB" w:eastAsia="ja-JP"/>
        </w:rPr>
        <w:t>.</w:t>
      </w:r>
    </w:p>
    <w:p w:rsidR="005B6FC0" w:rsidP="00B800DE" w14:paraId="2218DE81" w14:textId="0BA9B44F">
      <w:pPr>
        <w:rPr>
          <w:lang w:eastAsia="ja-JP"/>
        </w:rPr>
      </w:pPr>
      <w:r w:rsidRPr="00B800DE">
        <w:rPr>
          <w:lang w:val="en-GB" w:eastAsia="ja-JP"/>
        </w:rPr>
        <w:t xml:space="preserve">Gunther AJ, Spies RB, Stegeman J, Woodin B, Carney D, Oakden J </w:t>
      </w:r>
      <w:r w:rsidR="003C60FB">
        <w:rPr>
          <w:lang w:val="en-GB" w:eastAsia="ja-JP"/>
        </w:rPr>
        <w:t>and</w:t>
      </w:r>
      <w:r w:rsidRPr="00B800DE">
        <w:rPr>
          <w:lang w:val="en-GB" w:eastAsia="ja-JP"/>
        </w:rPr>
        <w:t xml:space="preserve"> Hain L </w:t>
      </w:r>
      <w:r w:rsidR="00991222">
        <w:rPr>
          <w:lang w:val="en-GB" w:eastAsia="ja-JP"/>
        </w:rPr>
        <w:t>(</w:t>
      </w:r>
      <w:r w:rsidRPr="00B800DE">
        <w:rPr>
          <w:lang w:val="en-GB" w:eastAsia="ja-JP"/>
        </w:rPr>
        <w:t>1997</w:t>
      </w:r>
      <w:r w:rsidR="00991222">
        <w:rPr>
          <w:lang w:val="en-GB" w:eastAsia="ja-JP"/>
        </w:rPr>
        <w:t>)</w:t>
      </w:r>
      <w:r w:rsidRPr="00B800DE">
        <w:rPr>
          <w:lang w:val="en-GB" w:eastAsia="ja-JP"/>
        </w:rPr>
        <w:t xml:space="preserve"> </w:t>
      </w:r>
      <w:r w:rsidR="00991222">
        <w:rPr>
          <w:lang w:val="en-GB" w:eastAsia="ja-JP"/>
        </w:rPr>
        <w:t>‘</w:t>
      </w:r>
      <w:r>
        <w:fldChar w:fldCharType="begin"/>
      </w:r>
      <w:r>
        <w:instrText xml:space="preserve"> HYPERLINK "https://doi.org/10.1016/S0141-1136(96)00101-8" </w:instrText>
      </w:r>
      <w:r>
        <w:fldChar w:fldCharType="separate"/>
      </w:r>
      <w:r w:rsidRPr="00A04695">
        <w:rPr>
          <w:rStyle w:val="Hyperlink"/>
          <w:lang w:val="en-GB" w:eastAsia="ja-JP"/>
        </w:rPr>
        <w:t>EROD activity in fish as an independent measure of contaminant-induced mortality of invertebrates in sediment bioassays</w:t>
      </w:r>
      <w:r>
        <w:fldChar w:fldCharType="end"/>
      </w:r>
      <w:r w:rsidR="00991222">
        <w:rPr>
          <w:lang w:val="en-GB" w:eastAsia="ja-JP"/>
        </w:rPr>
        <w:t>’,</w:t>
      </w:r>
      <w:r w:rsidRPr="00B800DE">
        <w:rPr>
          <w:lang w:val="en-GB" w:eastAsia="ja-JP"/>
        </w:rPr>
        <w:t xml:space="preserve"> </w:t>
      </w:r>
      <w:r w:rsidRPr="00BA2474">
        <w:rPr>
          <w:rStyle w:val="Emphasis"/>
        </w:rPr>
        <w:t>Marine Environmental Research</w:t>
      </w:r>
      <w:r>
        <w:rPr>
          <w:lang w:val="en-GB" w:eastAsia="ja-JP"/>
        </w:rPr>
        <w:t>,</w:t>
      </w:r>
      <w:r w:rsidRPr="00B800DE">
        <w:rPr>
          <w:lang w:val="en-GB" w:eastAsia="ja-JP"/>
        </w:rPr>
        <w:t xml:space="preserve"> 44</w:t>
      </w:r>
      <w:r w:rsidR="00991222">
        <w:rPr>
          <w:lang w:val="en-GB" w:eastAsia="ja-JP"/>
        </w:rPr>
        <w:t>:</w:t>
      </w:r>
      <w:r w:rsidRPr="00B800DE">
        <w:rPr>
          <w:lang w:val="en-GB" w:eastAsia="ja-JP"/>
        </w:rPr>
        <w:t>41–49</w:t>
      </w:r>
      <w:r w:rsidR="00A04695">
        <w:rPr>
          <w:lang w:val="en-GB" w:eastAsia="ja-JP"/>
        </w:rPr>
        <w:t xml:space="preserve">, </w:t>
      </w:r>
      <w:r w:rsidR="002A0E99">
        <w:rPr>
          <w:lang w:val="en-GB" w:eastAsia="ja-JP"/>
        </w:rPr>
        <w:t>doi:</w:t>
      </w:r>
      <w:r w:rsidRPr="00A04695" w:rsidR="00A04695">
        <w:rPr>
          <w:lang w:val="en-GB" w:eastAsia="ja-JP"/>
        </w:rPr>
        <w:t>10.1016/S0141-1136(96)00101-8</w:t>
      </w:r>
      <w:r w:rsidRPr="00B800DE">
        <w:rPr>
          <w:lang w:val="en-GB" w:eastAsia="ja-JP"/>
        </w:rPr>
        <w:t>.</w:t>
      </w:r>
    </w:p>
    <w:p w:rsidR="005B6FC0" w:rsidP="001B25CD" w14:paraId="2F1CADD1" w14:textId="27816ADC">
      <w:pPr>
        <w:rPr>
          <w:lang w:eastAsia="ja-JP"/>
        </w:rPr>
      </w:pPr>
      <w:r>
        <w:rPr>
          <w:lang w:eastAsia="ja-JP"/>
        </w:rPr>
        <w:t xml:space="preserve">Gwinn DC, Beesley LS, Close P, Gawne B </w:t>
      </w:r>
      <w:r w:rsidR="003C60FB">
        <w:rPr>
          <w:lang w:eastAsia="ja-JP"/>
        </w:rPr>
        <w:t>and</w:t>
      </w:r>
      <w:r>
        <w:rPr>
          <w:lang w:eastAsia="ja-JP"/>
        </w:rPr>
        <w:t xml:space="preserve"> Davies PM </w:t>
      </w:r>
      <w:r w:rsidR="00BF5148">
        <w:rPr>
          <w:lang w:eastAsia="ja-JP"/>
        </w:rPr>
        <w:t>(</w:t>
      </w:r>
      <w:r>
        <w:rPr>
          <w:lang w:eastAsia="ja-JP"/>
        </w:rPr>
        <w:t>2016</w:t>
      </w:r>
      <w:r w:rsidR="00BF5148">
        <w:rPr>
          <w:lang w:eastAsia="ja-JP"/>
        </w:rPr>
        <w:t>)</w:t>
      </w:r>
      <w:r>
        <w:rPr>
          <w:lang w:eastAsia="ja-JP"/>
        </w:rPr>
        <w:t xml:space="preserve"> </w:t>
      </w:r>
      <w:r w:rsidR="00BF5148">
        <w:rPr>
          <w:lang w:eastAsia="ja-JP"/>
        </w:rPr>
        <w:t>‘</w:t>
      </w:r>
      <w:r>
        <w:fldChar w:fldCharType="begin"/>
      </w:r>
      <w:r>
        <w:instrText xml:space="preserve"> HYPERLINK "https://doi.org/10.1111/fwb.12684" </w:instrText>
      </w:r>
      <w:r>
        <w:fldChar w:fldCharType="separate"/>
      </w:r>
      <w:r w:rsidRPr="00A04695">
        <w:rPr>
          <w:rStyle w:val="Hyperlink"/>
          <w:lang w:eastAsia="ja-JP"/>
        </w:rPr>
        <w:t xml:space="preserve">Imperfect detection and the determination of environmental flows for fish: </w:t>
      </w:r>
      <w:r w:rsidRPr="00A04695" w:rsidR="00BF5148">
        <w:rPr>
          <w:rStyle w:val="Hyperlink"/>
          <w:lang w:eastAsia="ja-JP"/>
        </w:rPr>
        <w:t>c</w:t>
      </w:r>
      <w:r w:rsidRPr="00A04695">
        <w:rPr>
          <w:rStyle w:val="Hyperlink"/>
          <w:lang w:eastAsia="ja-JP"/>
        </w:rPr>
        <w:t>hallenges, implications and solutions</w:t>
      </w:r>
      <w:r>
        <w:fldChar w:fldCharType="end"/>
      </w:r>
      <w:r w:rsidR="00BF5148">
        <w:rPr>
          <w:lang w:eastAsia="ja-JP"/>
        </w:rPr>
        <w:t>’,</w:t>
      </w:r>
      <w:r>
        <w:rPr>
          <w:lang w:eastAsia="ja-JP"/>
        </w:rPr>
        <w:t xml:space="preserve"> </w:t>
      </w:r>
      <w:r w:rsidRPr="00E45D0D">
        <w:rPr>
          <w:rStyle w:val="Emphasis"/>
        </w:rPr>
        <w:t>Freshwater Biology</w:t>
      </w:r>
      <w:r>
        <w:rPr>
          <w:lang w:eastAsia="ja-JP"/>
        </w:rPr>
        <w:t>, 61</w:t>
      </w:r>
      <w:r w:rsidR="00BF5148">
        <w:rPr>
          <w:lang w:eastAsia="ja-JP"/>
        </w:rPr>
        <w:t>:</w:t>
      </w:r>
      <w:r>
        <w:rPr>
          <w:lang w:eastAsia="ja-JP"/>
        </w:rPr>
        <w:t>172–180</w:t>
      </w:r>
      <w:r w:rsidR="00A04695">
        <w:rPr>
          <w:lang w:eastAsia="ja-JP"/>
        </w:rPr>
        <w:t xml:space="preserve">, </w:t>
      </w:r>
      <w:r w:rsidR="002A0E99">
        <w:rPr>
          <w:lang w:eastAsia="ja-JP"/>
        </w:rPr>
        <w:t>doi:</w:t>
      </w:r>
      <w:r w:rsidRPr="00A04695" w:rsidR="00A04695">
        <w:rPr>
          <w:lang w:eastAsia="ja-JP"/>
        </w:rPr>
        <w:t>10.1111/fwb.12684</w:t>
      </w:r>
      <w:r>
        <w:rPr>
          <w:lang w:eastAsia="ja-JP"/>
        </w:rPr>
        <w:t>.</w:t>
      </w:r>
    </w:p>
    <w:p w:rsidR="005B6FC0" w:rsidP="001B25CD" w14:paraId="7A44F22E" w14:textId="37FAA2A2">
      <w:pPr>
        <w:rPr>
          <w:lang w:eastAsia="ja-JP"/>
        </w:rPr>
      </w:pPr>
      <w:r>
        <w:rPr>
          <w:lang w:eastAsia="ja-JP"/>
        </w:rPr>
        <w:t xml:space="preserve">Hall JA </w:t>
      </w:r>
      <w:r w:rsidR="003C60FB">
        <w:rPr>
          <w:lang w:eastAsia="ja-JP"/>
        </w:rPr>
        <w:t>and</w:t>
      </w:r>
      <w:r>
        <w:rPr>
          <w:lang w:eastAsia="ja-JP"/>
        </w:rPr>
        <w:t xml:space="preserve"> Golding L </w:t>
      </w:r>
      <w:r w:rsidR="00BF5148">
        <w:rPr>
          <w:lang w:eastAsia="ja-JP"/>
        </w:rPr>
        <w:t>(</w:t>
      </w:r>
      <w:r>
        <w:rPr>
          <w:lang w:eastAsia="ja-JP"/>
        </w:rPr>
        <w:t>1998</w:t>
      </w:r>
      <w:r w:rsidR="00BF5148">
        <w:rPr>
          <w:lang w:eastAsia="ja-JP"/>
        </w:rPr>
        <w:t>)</w:t>
      </w:r>
      <w:r>
        <w:rPr>
          <w:lang w:eastAsia="ja-JP"/>
        </w:rPr>
        <w:t xml:space="preserve"> </w:t>
      </w:r>
      <w:r w:rsidRPr="00BF5148">
        <w:rPr>
          <w:i/>
          <w:iCs/>
          <w:lang w:eastAsia="ja-JP"/>
        </w:rPr>
        <w:t xml:space="preserve">Standard methods for whole effluent toxicity testing: </w:t>
      </w:r>
      <w:r w:rsidR="00BF5148">
        <w:rPr>
          <w:i/>
          <w:iCs/>
          <w:lang w:eastAsia="ja-JP"/>
        </w:rPr>
        <w:t>d</w:t>
      </w:r>
      <w:r w:rsidRPr="00BF5148">
        <w:rPr>
          <w:i/>
          <w:iCs/>
          <w:lang w:eastAsia="ja-JP"/>
        </w:rPr>
        <w:t>evelopment and application</w:t>
      </w:r>
      <w:r w:rsidR="00BF5148">
        <w:rPr>
          <w:lang w:eastAsia="ja-JP"/>
        </w:rPr>
        <w:t>,</w:t>
      </w:r>
      <w:r>
        <w:rPr>
          <w:lang w:eastAsia="ja-JP"/>
        </w:rPr>
        <w:t xml:space="preserve"> National Institute of Water and Atmospheric </w:t>
      </w:r>
      <w:r w:rsidR="00BF5148">
        <w:rPr>
          <w:lang w:eastAsia="ja-JP"/>
        </w:rPr>
        <w:t>R</w:t>
      </w:r>
      <w:r>
        <w:rPr>
          <w:lang w:eastAsia="ja-JP"/>
        </w:rPr>
        <w:t>esearch Ltd, Hamilton.</w:t>
      </w:r>
    </w:p>
    <w:p w:rsidR="006B086E" w:rsidP="001B25CD" w14:paraId="29921EAD" w14:textId="6F04A51F">
      <w:pPr>
        <w:rPr>
          <w:lang w:eastAsia="ja-JP"/>
        </w:rPr>
      </w:pPr>
      <w:r>
        <w:rPr>
          <w:lang w:eastAsia="ja-JP"/>
        </w:rPr>
        <w:t xml:space="preserve">Hamer M, Maynard SK </w:t>
      </w:r>
      <w:r w:rsidR="003C60FB">
        <w:rPr>
          <w:lang w:eastAsia="ja-JP"/>
        </w:rPr>
        <w:t>and</w:t>
      </w:r>
      <w:r>
        <w:rPr>
          <w:lang w:eastAsia="ja-JP"/>
        </w:rPr>
        <w:t xml:space="preserve"> Schneider S </w:t>
      </w:r>
      <w:r w:rsidR="00BF5148">
        <w:rPr>
          <w:lang w:eastAsia="ja-JP"/>
        </w:rPr>
        <w:t>(</w:t>
      </w:r>
      <w:r>
        <w:rPr>
          <w:lang w:eastAsia="ja-JP"/>
        </w:rPr>
        <w:t>2019</w:t>
      </w:r>
      <w:r w:rsidR="00BF5148">
        <w:rPr>
          <w:lang w:eastAsia="ja-JP"/>
        </w:rPr>
        <w:t>)</w:t>
      </w:r>
      <w:r>
        <w:rPr>
          <w:lang w:eastAsia="ja-JP"/>
        </w:rPr>
        <w:t xml:space="preserve"> </w:t>
      </w:r>
      <w:r w:rsidR="00BF5148">
        <w:rPr>
          <w:lang w:eastAsia="ja-JP"/>
        </w:rPr>
        <w:t>‘</w:t>
      </w:r>
      <w:r>
        <w:fldChar w:fldCharType="begin"/>
      </w:r>
      <w:r>
        <w:instrText xml:space="preserve"> HYPERLINK "https://doi.org/10.1002/etc.4421" </w:instrText>
      </w:r>
      <w:r>
        <w:fldChar w:fldCharType="separate"/>
      </w:r>
      <w:r w:rsidRPr="00A04695">
        <w:rPr>
          <w:rStyle w:val="Hyperlink"/>
          <w:lang w:eastAsia="ja-JP"/>
        </w:rPr>
        <w:t xml:space="preserve">A pulsed‐dose study evaluating chronic toxicity of chlorothalonil to fish: </w:t>
      </w:r>
      <w:r w:rsidRPr="00A04695" w:rsidR="00BF5148">
        <w:rPr>
          <w:rStyle w:val="Hyperlink"/>
          <w:lang w:eastAsia="ja-JP"/>
        </w:rPr>
        <w:t>a</w:t>
      </w:r>
      <w:r w:rsidRPr="00A04695">
        <w:rPr>
          <w:rStyle w:val="Hyperlink"/>
          <w:lang w:eastAsia="ja-JP"/>
        </w:rPr>
        <w:t xml:space="preserve"> case study for environmental risk assessment</w:t>
      </w:r>
      <w:r>
        <w:fldChar w:fldCharType="end"/>
      </w:r>
      <w:r w:rsidR="00BF5148">
        <w:rPr>
          <w:lang w:eastAsia="ja-JP"/>
        </w:rPr>
        <w:t>’,</w:t>
      </w:r>
      <w:r>
        <w:rPr>
          <w:lang w:eastAsia="ja-JP"/>
        </w:rPr>
        <w:t xml:space="preserve"> </w:t>
      </w:r>
      <w:r w:rsidRPr="006B086E">
        <w:rPr>
          <w:i/>
          <w:iCs/>
          <w:lang w:eastAsia="ja-JP"/>
        </w:rPr>
        <w:t>Environmental Toxicology and Chemistry</w:t>
      </w:r>
      <w:r>
        <w:rPr>
          <w:lang w:eastAsia="ja-JP"/>
        </w:rPr>
        <w:t>, 38</w:t>
      </w:r>
      <w:r w:rsidR="00BF5148">
        <w:rPr>
          <w:lang w:eastAsia="ja-JP"/>
        </w:rPr>
        <w:t>:</w:t>
      </w:r>
      <w:r>
        <w:rPr>
          <w:lang w:eastAsia="ja-JP"/>
        </w:rPr>
        <w:t>1549-1559</w:t>
      </w:r>
      <w:r w:rsidR="00A04695">
        <w:rPr>
          <w:lang w:eastAsia="ja-JP"/>
        </w:rPr>
        <w:t xml:space="preserve">, </w:t>
      </w:r>
      <w:r w:rsidR="002A0E99">
        <w:rPr>
          <w:lang w:eastAsia="ja-JP"/>
        </w:rPr>
        <w:t>doi:</w:t>
      </w:r>
      <w:r w:rsidRPr="00A04695" w:rsidR="00A04695">
        <w:rPr>
          <w:lang w:eastAsia="ja-JP"/>
        </w:rPr>
        <w:t>10.1002/etc.4421</w:t>
      </w:r>
      <w:r>
        <w:rPr>
          <w:lang w:eastAsia="ja-JP"/>
        </w:rPr>
        <w:t>.</w:t>
      </w:r>
    </w:p>
    <w:p w:rsidR="005B6FC0" w:rsidP="001B25CD" w14:paraId="420BC4F3" w14:textId="3884CEA0">
      <w:pPr>
        <w:rPr>
          <w:lang w:eastAsia="ja-JP"/>
        </w:rPr>
      </w:pPr>
      <w:r>
        <w:rPr>
          <w:lang w:eastAsia="ja-JP"/>
        </w:rPr>
        <w:t xml:space="preserve">Hamilton SJ </w:t>
      </w:r>
      <w:r w:rsidR="00BF5148">
        <w:rPr>
          <w:lang w:eastAsia="ja-JP"/>
        </w:rPr>
        <w:t>(</w:t>
      </w:r>
      <w:r>
        <w:rPr>
          <w:lang w:eastAsia="ja-JP"/>
        </w:rPr>
        <w:t>2002</w:t>
      </w:r>
      <w:r w:rsidR="00BF5148">
        <w:rPr>
          <w:lang w:eastAsia="ja-JP"/>
        </w:rPr>
        <w:t>)</w:t>
      </w:r>
      <w:r>
        <w:rPr>
          <w:lang w:eastAsia="ja-JP"/>
        </w:rPr>
        <w:t xml:space="preserve"> </w:t>
      </w:r>
      <w:r w:rsidR="00BF5148">
        <w:rPr>
          <w:lang w:eastAsia="ja-JP"/>
        </w:rPr>
        <w:t>‘</w:t>
      </w:r>
      <w:r>
        <w:fldChar w:fldCharType="begin"/>
      </w:r>
      <w:r>
        <w:instrText xml:space="preserve"> HYPERLINK "https://doi.org/10.1016/s0166-445x(01)00262-4" </w:instrText>
      </w:r>
      <w:r>
        <w:fldChar w:fldCharType="separate"/>
      </w:r>
      <w:r w:rsidRPr="00A04695">
        <w:rPr>
          <w:rStyle w:val="Hyperlink"/>
          <w:lang w:eastAsia="ja-JP"/>
        </w:rPr>
        <w:t>Rationale for a tissue-based selenium criterion for aquatic life</w:t>
      </w:r>
      <w:r>
        <w:fldChar w:fldCharType="end"/>
      </w:r>
      <w:r w:rsidR="00BF5148">
        <w:rPr>
          <w:lang w:eastAsia="ja-JP"/>
        </w:rPr>
        <w:t>’,</w:t>
      </w:r>
      <w:r>
        <w:rPr>
          <w:lang w:eastAsia="ja-JP"/>
        </w:rPr>
        <w:t xml:space="preserve"> </w:t>
      </w:r>
      <w:r w:rsidRPr="006F5B92">
        <w:rPr>
          <w:rStyle w:val="Emphasis"/>
        </w:rPr>
        <w:t>Aquatic Toxicology</w:t>
      </w:r>
      <w:r>
        <w:rPr>
          <w:lang w:eastAsia="ja-JP"/>
        </w:rPr>
        <w:t>, 57</w:t>
      </w:r>
      <w:r w:rsidR="00BF5148">
        <w:rPr>
          <w:lang w:eastAsia="ja-JP"/>
        </w:rPr>
        <w:t>:</w:t>
      </w:r>
      <w:r>
        <w:rPr>
          <w:lang w:eastAsia="ja-JP"/>
        </w:rPr>
        <w:t>85–100</w:t>
      </w:r>
      <w:r w:rsidR="00A04695">
        <w:rPr>
          <w:lang w:eastAsia="ja-JP"/>
        </w:rPr>
        <w:t xml:space="preserve">, </w:t>
      </w:r>
      <w:r w:rsidR="002A0E99">
        <w:rPr>
          <w:lang w:eastAsia="ja-JP"/>
        </w:rPr>
        <w:t>doi:</w:t>
      </w:r>
      <w:r w:rsidRPr="00A04695" w:rsidR="00A04695">
        <w:rPr>
          <w:lang w:eastAsia="ja-JP"/>
        </w:rPr>
        <w:t>10.1016/s0166-445x(01)00262-4</w:t>
      </w:r>
      <w:r>
        <w:rPr>
          <w:lang w:eastAsia="ja-JP"/>
        </w:rPr>
        <w:t>.</w:t>
      </w:r>
    </w:p>
    <w:p w:rsidR="005B6FC0" w:rsidP="001B25CD" w14:paraId="588F6A07" w14:textId="250B52C9">
      <w:pPr>
        <w:rPr>
          <w:lang w:eastAsia="ja-JP"/>
        </w:rPr>
      </w:pPr>
      <w:r>
        <w:rPr>
          <w:lang w:eastAsia="ja-JP"/>
        </w:rPr>
        <w:t xml:space="preserve">Harford AJ, Simpson SL, Chariton AA, van Dam RA </w:t>
      </w:r>
      <w:r w:rsidR="003C60FB">
        <w:rPr>
          <w:lang w:eastAsia="ja-JP"/>
        </w:rPr>
        <w:t>and</w:t>
      </w:r>
      <w:r>
        <w:rPr>
          <w:lang w:eastAsia="ja-JP"/>
        </w:rPr>
        <w:t xml:space="preserve"> Humphrey CL </w:t>
      </w:r>
      <w:r w:rsidR="00BF5148">
        <w:rPr>
          <w:lang w:eastAsia="ja-JP"/>
        </w:rPr>
        <w:t>(</w:t>
      </w:r>
      <w:r>
        <w:rPr>
          <w:lang w:eastAsia="ja-JP"/>
        </w:rPr>
        <w:t>2013</w:t>
      </w:r>
      <w:r w:rsidR="00BF5148">
        <w:rPr>
          <w:lang w:eastAsia="ja-JP"/>
        </w:rPr>
        <w:t>)</w:t>
      </w:r>
      <w:r>
        <w:rPr>
          <w:lang w:eastAsia="ja-JP"/>
        </w:rPr>
        <w:t xml:space="preserve"> </w:t>
      </w:r>
      <w:r w:rsidR="00BF5148">
        <w:rPr>
          <w:lang w:eastAsia="ja-JP"/>
        </w:rPr>
        <w:t>‘</w:t>
      </w:r>
      <w:r>
        <w:rPr>
          <w:lang w:eastAsia="ja-JP"/>
        </w:rPr>
        <w:t>The toxicity of uranium (U) to sediment biota of Magela Creek backflow billabong environments</w:t>
      </w:r>
      <w:r w:rsidR="00BF5148">
        <w:rPr>
          <w:lang w:eastAsia="ja-JP"/>
        </w:rPr>
        <w:t>’,</w:t>
      </w:r>
      <w:r>
        <w:rPr>
          <w:lang w:eastAsia="ja-JP"/>
        </w:rPr>
        <w:t xml:space="preserve"> </w:t>
      </w:r>
      <w:r w:rsidR="00BF5148">
        <w:rPr>
          <w:lang w:eastAsia="ja-JP"/>
        </w:rPr>
        <w:t>i</w:t>
      </w:r>
      <w:r>
        <w:rPr>
          <w:lang w:eastAsia="ja-JP"/>
        </w:rPr>
        <w:t>n</w:t>
      </w:r>
      <w:r w:rsidR="00BF5148">
        <w:rPr>
          <w:lang w:eastAsia="ja-JP"/>
        </w:rPr>
        <w:t xml:space="preserve"> Supervising Scientist Division (ed)</w:t>
      </w:r>
      <w:r>
        <w:rPr>
          <w:lang w:eastAsia="ja-JP"/>
        </w:rPr>
        <w:t xml:space="preserve"> </w:t>
      </w:r>
      <w:r>
        <w:fldChar w:fldCharType="begin"/>
      </w:r>
      <w:r>
        <w:instrText xml:space="preserve"> HYPERLINK "https://www.dcceew.gov.au/science-research/supervising-scientist/publications/ssr/eriss-research-summary-2012-2013" </w:instrText>
      </w:r>
      <w:r>
        <w:fldChar w:fldCharType="separate"/>
      </w:r>
      <w:r w:rsidRPr="00893634" w:rsidR="008F11C5">
        <w:rPr>
          <w:rStyle w:val="Hyperlink"/>
          <w:i/>
          <w:iCs/>
          <w:lang w:eastAsia="ja-JP"/>
        </w:rPr>
        <w:t xml:space="preserve">ERISS </w:t>
      </w:r>
      <w:r w:rsidRPr="00893634" w:rsidR="00BF5148">
        <w:rPr>
          <w:rStyle w:val="Hyperlink"/>
          <w:i/>
          <w:iCs/>
          <w:lang w:eastAsia="ja-JP"/>
        </w:rPr>
        <w:t>r</w:t>
      </w:r>
      <w:r w:rsidRPr="00893634" w:rsidR="008F11C5">
        <w:rPr>
          <w:rStyle w:val="Hyperlink"/>
          <w:i/>
          <w:iCs/>
          <w:lang w:eastAsia="ja-JP"/>
        </w:rPr>
        <w:t xml:space="preserve">esearch </w:t>
      </w:r>
      <w:r w:rsidRPr="00893634" w:rsidR="00BF5148">
        <w:rPr>
          <w:rStyle w:val="Hyperlink"/>
          <w:i/>
          <w:iCs/>
          <w:lang w:eastAsia="ja-JP"/>
        </w:rPr>
        <w:t>s</w:t>
      </w:r>
      <w:r w:rsidRPr="00893634" w:rsidR="008F11C5">
        <w:rPr>
          <w:rStyle w:val="Hyperlink"/>
          <w:i/>
          <w:iCs/>
          <w:lang w:eastAsia="ja-JP"/>
        </w:rPr>
        <w:t xml:space="preserve">ummary </w:t>
      </w:r>
      <w:r w:rsidRPr="00893634">
        <w:rPr>
          <w:rStyle w:val="Hyperlink"/>
          <w:i/>
          <w:iCs/>
          <w:lang w:eastAsia="ja-JP"/>
        </w:rPr>
        <w:t>2012–2013</w:t>
      </w:r>
      <w:r>
        <w:fldChar w:fldCharType="end"/>
      </w:r>
      <w:r w:rsidR="00BF5148">
        <w:rPr>
          <w:lang w:eastAsia="ja-JP"/>
        </w:rPr>
        <w:t>,</w:t>
      </w:r>
      <w:r>
        <w:rPr>
          <w:lang w:eastAsia="ja-JP"/>
        </w:rPr>
        <w:t xml:space="preserve"> Supervising Scientist Report 205, Supervising Scientist</w:t>
      </w:r>
      <w:r w:rsidR="00A61DAC">
        <w:rPr>
          <w:lang w:eastAsia="ja-JP"/>
        </w:rPr>
        <w:t xml:space="preserve"> Division</w:t>
      </w:r>
      <w:r>
        <w:rPr>
          <w:lang w:eastAsia="ja-JP"/>
        </w:rPr>
        <w:t xml:space="preserve">, </w:t>
      </w:r>
      <w:r w:rsidR="00BF5148">
        <w:rPr>
          <w:lang w:eastAsia="ja-JP"/>
        </w:rPr>
        <w:t>Australian Government</w:t>
      </w:r>
      <w:r>
        <w:rPr>
          <w:lang w:eastAsia="ja-JP"/>
        </w:rPr>
        <w:t>.</w:t>
      </w:r>
    </w:p>
    <w:p w:rsidR="005B6FC0" w:rsidRPr="0077502D" w:rsidP="0077502D" w14:paraId="10E380E3" w14:textId="27DD379F">
      <w:pPr>
        <w:rPr>
          <w:lang w:eastAsia="ja-JP"/>
        </w:rPr>
      </w:pPr>
      <w:r w:rsidRPr="0077502D">
        <w:rPr>
          <w:lang w:eastAsia="ja-JP"/>
        </w:rPr>
        <w:t xml:space="preserve">Harris JH </w:t>
      </w:r>
      <w:r w:rsidR="003C60FB">
        <w:rPr>
          <w:lang w:eastAsia="ja-JP"/>
        </w:rPr>
        <w:t>and</w:t>
      </w:r>
      <w:r w:rsidRPr="0077502D">
        <w:rPr>
          <w:lang w:eastAsia="ja-JP"/>
        </w:rPr>
        <w:t xml:space="preserve"> Silveira R </w:t>
      </w:r>
      <w:r w:rsidR="00BF5148">
        <w:rPr>
          <w:lang w:eastAsia="ja-JP"/>
        </w:rPr>
        <w:t>(</w:t>
      </w:r>
      <w:r w:rsidRPr="0077502D">
        <w:rPr>
          <w:lang w:eastAsia="ja-JP"/>
        </w:rPr>
        <w:t>1999</w:t>
      </w:r>
      <w:r w:rsidR="00BF5148">
        <w:rPr>
          <w:lang w:eastAsia="ja-JP"/>
        </w:rPr>
        <w:t>)</w:t>
      </w:r>
      <w:r w:rsidRPr="0077502D">
        <w:rPr>
          <w:lang w:eastAsia="ja-JP"/>
        </w:rPr>
        <w:t xml:space="preserve"> </w:t>
      </w:r>
      <w:r w:rsidR="00BF5148">
        <w:rPr>
          <w:lang w:eastAsia="ja-JP"/>
        </w:rPr>
        <w:t>‘</w:t>
      </w:r>
      <w:r>
        <w:fldChar w:fldCharType="begin"/>
      </w:r>
      <w:r>
        <w:instrText xml:space="preserve"> HYPERLINK "http://dx.doi.org/10.1046/j.1365-2427.1999.00428.x" </w:instrText>
      </w:r>
      <w:r>
        <w:fldChar w:fldCharType="separate"/>
      </w:r>
      <w:r w:rsidRPr="00AB7481">
        <w:rPr>
          <w:rStyle w:val="Hyperlink"/>
          <w:lang w:eastAsia="ja-JP"/>
        </w:rPr>
        <w:t>Large-scale assessments of river health using an index of biotic integrity with low diversity fish communities</w:t>
      </w:r>
      <w:r>
        <w:fldChar w:fldCharType="end"/>
      </w:r>
      <w:r w:rsidR="00BF5148">
        <w:rPr>
          <w:lang w:eastAsia="ja-JP"/>
        </w:rPr>
        <w:t>’,</w:t>
      </w:r>
      <w:r w:rsidRPr="0077502D">
        <w:rPr>
          <w:lang w:eastAsia="ja-JP"/>
        </w:rPr>
        <w:t xml:space="preserve"> </w:t>
      </w:r>
      <w:r w:rsidRPr="0095246C">
        <w:rPr>
          <w:rStyle w:val="Emphasis"/>
        </w:rPr>
        <w:t>Freshwater Biology</w:t>
      </w:r>
      <w:r w:rsidRPr="0077502D">
        <w:rPr>
          <w:lang w:eastAsia="ja-JP"/>
        </w:rPr>
        <w:t>, 41</w:t>
      </w:r>
      <w:r w:rsidR="00BF5148">
        <w:rPr>
          <w:lang w:eastAsia="ja-JP"/>
        </w:rPr>
        <w:t>:</w:t>
      </w:r>
      <w:r w:rsidRPr="0077502D">
        <w:rPr>
          <w:lang w:eastAsia="ja-JP"/>
        </w:rPr>
        <w:t>235–252</w:t>
      </w:r>
      <w:r w:rsidR="00AB7481">
        <w:rPr>
          <w:lang w:eastAsia="ja-JP"/>
        </w:rPr>
        <w:t xml:space="preserve">, </w:t>
      </w:r>
      <w:r w:rsidR="002A0E99">
        <w:rPr>
          <w:lang w:eastAsia="ja-JP"/>
        </w:rPr>
        <w:t>doi:</w:t>
      </w:r>
      <w:r w:rsidRPr="00AB7481" w:rsidR="00AB7481">
        <w:rPr>
          <w:lang w:eastAsia="ja-JP"/>
        </w:rPr>
        <w:t>10.1046/j.1365-2427.1999.00428.x</w:t>
      </w:r>
      <w:r w:rsidRPr="0077502D">
        <w:rPr>
          <w:lang w:eastAsia="ja-JP"/>
        </w:rPr>
        <w:t xml:space="preserve">. </w:t>
      </w:r>
    </w:p>
    <w:p w:rsidR="005B6FC0" w:rsidP="001B25CD" w14:paraId="02D43EFD" w14:textId="4080B979">
      <w:pPr>
        <w:rPr>
          <w:lang w:eastAsia="ja-JP"/>
        </w:rPr>
      </w:pPr>
      <w:r>
        <w:rPr>
          <w:lang w:eastAsia="ja-JP"/>
        </w:rPr>
        <w:t xml:space="preserve">Harvey JBJ, Johnson SB, Fisher JL, Peterson WT </w:t>
      </w:r>
      <w:r w:rsidR="003C60FB">
        <w:rPr>
          <w:lang w:eastAsia="ja-JP"/>
        </w:rPr>
        <w:t>and</w:t>
      </w:r>
      <w:r>
        <w:rPr>
          <w:lang w:eastAsia="ja-JP"/>
        </w:rPr>
        <w:t xml:space="preserve"> Vrijenhoek RC </w:t>
      </w:r>
      <w:r w:rsidR="00BF5148">
        <w:rPr>
          <w:lang w:eastAsia="ja-JP"/>
        </w:rPr>
        <w:t>(</w:t>
      </w:r>
      <w:r>
        <w:rPr>
          <w:lang w:eastAsia="ja-JP"/>
        </w:rPr>
        <w:t>2017</w:t>
      </w:r>
      <w:r w:rsidR="00BF5148">
        <w:rPr>
          <w:lang w:eastAsia="ja-JP"/>
        </w:rPr>
        <w:t>)</w:t>
      </w:r>
      <w:r>
        <w:rPr>
          <w:lang w:eastAsia="ja-JP"/>
        </w:rPr>
        <w:t xml:space="preserve"> </w:t>
      </w:r>
      <w:r w:rsidR="00BF5148">
        <w:rPr>
          <w:lang w:eastAsia="ja-JP"/>
        </w:rPr>
        <w:t>‘</w:t>
      </w:r>
      <w:r>
        <w:fldChar w:fldCharType="begin"/>
      </w:r>
      <w:r>
        <w:instrText xml:space="preserve"> HYPERLINK "https://doi.org/10.1016/j.jembe.2016.12.002" </w:instrText>
      </w:r>
      <w:r>
        <w:fldChar w:fldCharType="separate"/>
      </w:r>
      <w:r w:rsidRPr="006A1865">
        <w:rPr>
          <w:rStyle w:val="Hyperlink"/>
          <w:lang w:eastAsia="ja-JP"/>
        </w:rPr>
        <w:t>Comparison of morphological and next generation DNA sequencing methods for assessing zooplankton assemblages</w:t>
      </w:r>
      <w:r>
        <w:fldChar w:fldCharType="end"/>
      </w:r>
      <w:r w:rsidR="00BF5148">
        <w:rPr>
          <w:lang w:eastAsia="ja-JP"/>
        </w:rPr>
        <w:t>’,</w:t>
      </w:r>
      <w:r>
        <w:rPr>
          <w:lang w:eastAsia="ja-JP"/>
        </w:rPr>
        <w:t xml:space="preserve"> </w:t>
      </w:r>
      <w:r w:rsidRPr="0046343E">
        <w:rPr>
          <w:rStyle w:val="Emphasis"/>
        </w:rPr>
        <w:t>Journal of Experimental Marine Biology and Ecology</w:t>
      </w:r>
      <w:r>
        <w:rPr>
          <w:lang w:eastAsia="ja-JP"/>
        </w:rPr>
        <w:t>, 487</w:t>
      </w:r>
      <w:r w:rsidR="00BF5148">
        <w:rPr>
          <w:lang w:eastAsia="ja-JP"/>
        </w:rPr>
        <w:t>:</w:t>
      </w:r>
      <w:r>
        <w:rPr>
          <w:lang w:eastAsia="ja-JP"/>
        </w:rPr>
        <w:t>113–126</w:t>
      </w:r>
      <w:r w:rsidR="006A1865">
        <w:rPr>
          <w:lang w:eastAsia="ja-JP"/>
        </w:rPr>
        <w:t xml:space="preserve">, </w:t>
      </w:r>
      <w:r w:rsidR="002A0E99">
        <w:rPr>
          <w:lang w:eastAsia="ja-JP"/>
        </w:rPr>
        <w:t>doi:</w:t>
      </w:r>
      <w:r w:rsidRPr="006A1865" w:rsidR="006A1865">
        <w:rPr>
          <w:lang w:eastAsia="ja-JP"/>
        </w:rPr>
        <w:t>10.1016/j.jembe.2016.12.002</w:t>
      </w:r>
      <w:r>
        <w:rPr>
          <w:lang w:eastAsia="ja-JP"/>
        </w:rPr>
        <w:t>.</w:t>
      </w:r>
    </w:p>
    <w:p w:rsidR="005B6FC0" w:rsidP="001B25CD" w14:paraId="2B6B47D3" w14:textId="498AA1FC">
      <w:r>
        <w:t xml:space="preserve">Healthy Land </w:t>
      </w:r>
      <w:r w:rsidR="003C60FB">
        <w:t>and</w:t>
      </w:r>
      <w:r>
        <w:t xml:space="preserve"> Water </w:t>
      </w:r>
      <w:r w:rsidR="001B0F4E">
        <w:t>(</w:t>
      </w:r>
      <w:r>
        <w:t>20</w:t>
      </w:r>
      <w:r w:rsidR="00D223A2">
        <w:t>21</w:t>
      </w:r>
      <w:r w:rsidR="001B0F4E">
        <w:t>)</w:t>
      </w:r>
      <w:r>
        <w:t xml:space="preserve"> </w:t>
      </w:r>
      <w:r>
        <w:fldChar w:fldCharType="begin"/>
      </w:r>
      <w:r>
        <w:instrText xml:space="preserve"> HYPERLINK "https://hlw.org.au/resources/downloads/report-card/135-2021-report-card-methods-manual/file" </w:instrText>
      </w:r>
      <w:r>
        <w:fldChar w:fldCharType="separate"/>
      </w:r>
      <w:r w:rsidRPr="00D223A2">
        <w:rPr>
          <w:rStyle w:val="Hyperlink"/>
          <w:i/>
          <w:iCs/>
        </w:rPr>
        <w:t xml:space="preserve">Report </w:t>
      </w:r>
      <w:r w:rsidRPr="00D223A2" w:rsidR="001B0F4E">
        <w:rPr>
          <w:rStyle w:val="Hyperlink"/>
          <w:i/>
          <w:iCs/>
        </w:rPr>
        <w:t>c</w:t>
      </w:r>
      <w:r w:rsidRPr="00D223A2">
        <w:rPr>
          <w:rStyle w:val="Hyperlink"/>
          <w:i/>
          <w:iCs/>
        </w:rPr>
        <w:t xml:space="preserve">ard </w:t>
      </w:r>
      <w:r w:rsidRPr="00D223A2" w:rsidR="001B0F4E">
        <w:rPr>
          <w:rStyle w:val="Hyperlink"/>
          <w:i/>
          <w:iCs/>
        </w:rPr>
        <w:t>m</w:t>
      </w:r>
      <w:r w:rsidRPr="00D223A2">
        <w:rPr>
          <w:rStyle w:val="Hyperlink"/>
          <w:i/>
          <w:iCs/>
        </w:rPr>
        <w:t xml:space="preserve">ethods </w:t>
      </w:r>
      <w:r w:rsidRPr="00D223A2" w:rsidR="001B0F4E">
        <w:rPr>
          <w:rStyle w:val="Hyperlink"/>
          <w:i/>
          <w:iCs/>
        </w:rPr>
        <w:t>m</w:t>
      </w:r>
      <w:r w:rsidRPr="00D223A2">
        <w:rPr>
          <w:rStyle w:val="Hyperlink"/>
          <w:i/>
          <w:iCs/>
        </w:rPr>
        <w:t xml:space="preserve">anual, </w:t>
      </w:r>
      <w:r w:rsidRPr="00D223A2" w:rsidR="00D223A2">
        <w:rPr>
          <w:rStyle w:val="Hyperlink"/>
          <w:i/>
          <w:iCs/>
        </w:rPr>
        <w:t>updated July 2021</w:t>
      </w:r>
      <w:r>
        <w:fldChar w:fldCharType="end"/>
      </w:r>
      <w:r>
        <w:t xml:space="preserve">. Healthy Land </w:t>
      </w:r>
      <w:r w:rsidR="003C60FB">
        <w:t>and</w:t>
      </w:r>
      <w:r>
        <w:t xml:space="preserve"> Water, Brisbane.</w:t>
      </w:r>
    </w:p>
    <w:p w:rsidR="005B6FC0" w:rsidP="001B25CD" w14:paraId="4DAF255F" w14:textId="305F1B88">
      <w:pPr>
        <w:rPr>
          <w:lang w:eastAsia="ja-JP"/>
        </w:rPr>
      </w:pPr>
      <w:r w:rsidRPr="00C51A4B">
        <w:rPr>
          <w:lang w:val="en-US" w:eastAsia="ja-JP"/>
        </w:rPr>
        <w:t xml:space="preserve">Hogan AC, Trenfield MA, Harford AJ </w:t>
      </w:r>
      <w:r w:rsidR="003C60FB">
        <w:rPr>
          <w:lang w:val="en-US" w:eastAsia="ja-JP"/>
        </w:rPr>
        <w:t>and</w:t>
      </w:r>
      <w:r w:rsidRPr="00C51A4B">
        <w:rPr>
          <w:lang w:val="en-US" w:eastAsia="ja-JP"/>
        </w:rPr>
        <w:t xml:space="preserve"> </w:t>
      </w:r>
      <w:r w:rsidRPr="00C51A4B">
        <w:rPr>
          <w:bCs/>
          <w:lang w:val="en-US" w:eastAsia="ja-JP"/>
        </w:rPr>
        <w:t>van Dam RA</w:t>
      </w:r>
      <w:r w:rsidRPr="00C51A4B">
        <w:rPr>
          <w:lang w:val="en-US" w:eastAsia="ja-JP"/>
        </w:rPr>
        <w:t xml:space="preserve"> </w:t>
      </w:r>
      <w:r w:rsidR="001B0F4E">
        <w:rPr>
          <w:lang w:val="en-US" w:eastAsia="ja-JP"/>
        </w:rPr>
        <w:t>(</w:t>
      </w:r>
      <w:r w:rsidRPr="00C51A4B">
        <w:rPr>
          <w:lang w:val="en-US" w:eastAsia="ja-JP"/>
        </w:rPr>
        <w:t>2013</w:t>
      </w:r>
      <w:r w:rsidR="001B0F4E">
        <w:rPr>
          <w:lang w:val="en-US" w:eastAsia="ja-JP"/>
        </w:rPr>
        <w:t>)</w:t>
      </w:r>
      <w:r w:rsidRPr="00C51A4B">
        <w:rPr>
          <w:lang w:val="en-US" w:eastAsia="ja-JP"/>
        </w:rPr>
        <w:t xml:space="preserve"> </w:t>
      </w:r>
      <w:r w:rsidR="001B0F4E">
        <w:rPr>
          <w:lang w:val="en-US" w:eastAsia="ja-JP"/>
        </w:rPr>
        <w:t>‘</w:t>
      </w:r>
      <w:r>
        <w:fldChar w:fldCharType="begin"/>
      </w:r>
      <w:r>
        <w:instrText xml:space="preserve"> HYPERLINK "https://doi.org/10.1002/etc.2251" </w:instrText>
      </w:r>
      <w:r>
        <w:fldChar w:fldCharType="separate"/>
      </w:r>
      <w:r w:rsidRPr="00DE2D48">
        <w:rPr>
          <w:rStyle w:val="Hyperlink"/>
          <w:lang w:val="en-US" w:eastAsia="ja-JP"/>
        </w:rPr>
        <w:t>Toxicity of magnesium pulses to tropical freshwater species and the development of a duration-based water quality guideline</w:t>
      </w:r>
      <w:r>
        <w:fldChar w:fldCharType="end"/>
      </w:r>
      <w:r w:rsidR="001B0F4E">
        <w:rPr>
          <w:lang w:val="en-US" w:eastAsia="ja-JP"/>
        </w:rPr>
        <w:t>’,</w:t>
      </w:r>
      <w:r w:rsidRPr="00C51A4B">
        <w:rPr>
          <w:lang w:val="en-US" w:eastAsia="ja-JP"/>
        </w:rPr>
        <w:t xml:space="preserve"> </w:t>
      </w:r>
      <w:r w:rsidRPr="0095246C">
        <w:rPr>
          <w:rStyle w:val="Emphasis"/>
        </w:rPr>
        <w:t>Environmental Toxicology and Chemistry</w:t>
      </w:r>
      <w:r>
        <w:rPr>
          <w:lang w:val="en-US" w:eastAsia="ja-JP"/>
        </w:rPr>
        <w:t>,</w:t>
      </w:r>
      <w:r w:rsidRPr="00C51A4B">
        <w:rPr>
          <w:lang w:val="en-US" w:eastAsia="ja-JP"/>
        </w:rPr>
        <w:t xml:space="preserve"> 32</w:t>
      </w:r>
      <w:r w:rsidR="001B0F4E">
        <w:rPr>
          <w:lang w:val="en-US" w:eastAsia="ja-JP"/>
        </w:rPr>
        <w:t>:</w:t>
      </w:r>
      <w:r w:rsidRPr="00C51A4B">
        <w:rPr>
          <w:lang w:val="en-US" w:eastAsia="ja-JP"/>
        </w:rPr>
        <w:t>1969</w:t>
      </w:r>
      <w:r>
        <w:rPr>
          <w:lang w:val="en-US" w:eastAsia="ja-JP"/>
        </w:rPr>
        <w:t>–</w:t>
      </w:r>
      <w:r w:rsidRPr="00C51A4B">
        <w:rPr>
          <w:lang w:val="en-US" w:eastAsia="ja-JP"/>
        </w:rPr>
        <w:t>1980</w:t>
      </w:r>
      <w:r w:rsidR="00DE2D48">
        <w:rPr>
          <w:lang w:val="en-US" w:eastAsia="ja-JP"/>
        </w:rPr>
        <w:t xml:space="preserve">, </w:t>
      </w:r>
      <w:r w:rsidR="002A0E99">
        <w:rPr>
          <w:lang w:val="en-US" w:eastAsia="ja-JP"/>
        </w:rPr>
        <w:t>doi:</w:t>
      </w:r>
      <w:r w:rsidRPr="00DE2D48" w:rsidR="00DE2D48">
        <w:rPr>
          <w:lang w:val="en-US" w:eastAsia="ja-JP"/>
        </w:rPr>
        <w:t>10.1002/etc.2251</w:t>
      </w:r>
      <w:r w:rsidRPr="00C51A4B">
        <w:rPr>
          <w:lang w:val="en-US" w:eastAsia="ja-JP"/>
        </w:rPr>
        <w:t>.</w:t>
      </w:r>
    </w:p>
    <w:p w:rsidR="005B6FC0" w:rsidRPr="004D69FA" w:rsidP="004D69FA" w14:paraId="53397E6F" w14:textId="5F8CEF56">
      <w:pPr>
        <w:rPr>
          <w:lang w:val="en-GB" w:eastAsia="ja-JP"/>
        </w:rPr>
      </w:pPr>
      <w:r w:rsidRPr="004D69FA">
        <w:rPr>
          <w:lang w:val="en-GB" w:eastAsia="ja-JP"/>
        </w:rPr>
        <w:t xml:space="preserve">Holdway DA </w:t>
      </w:r>
      <w:r w:rsidR="001B0F4E">
        <w:rPr>
          <w:lang w:val="en-GB" w:eastAsia="ja-JP"/>
        </w:rPr>
        <w:t>(</w:t>
      </w:r>
      <w:r w:rsidRPr="004D69FA">
        <w:rPr>
          <w:lang w:val="en-GB" w:eastAsia="ja-JP"/>
        </w:rPr>
        <w:t>1992</w:t>
      </w:r>
      <w:r w:rsidR="001B0F4E">
        <w:rPr>
          <w:lang w:val="en-GB" w:eastAsia="ja-JP"/>
        </w:rPr>
        <w:t>)</w:t>
      </w:r>
      <w:r w:rsidRPr="004D69FA">
        <w:rPr>
          <w:lang w:val="en-GB" w:eastAsia="ja-JP"/>
        </w:rPr>
        <w:t xml:space="preserve"> </w:t>
      </w:r>
      <w:r w:rsidR="001B0F4E">
        <w:rPr>
          <w:lang w:val="en-GB" w:eastAsia="ja-JP"/>
        </w:rPr>
        <w:t>‘</w:t>
      </w:r>
      <w:r w:rsidRPr="004D69FA">
        <w:rPr>
          <w:lang w:val="en-GB" w:eastAsia="ja-JP"/>
        </w:rPr>
        <w:t>Control of metal pollution in tropical rivers in Australia</w:t>
      </w:r>
      <w:r w:rsidR="001B0F4E">
        <w:rPr>
          <w:lang w:val="en-GB" w:eastAsia="ja-JP"/>
        </w:rPr>
        <w:t>’,</w:t>
      </w:r>
      <w:r w:rsidRPr="004D69FA">
        <w:rPr>
          <w:lang w:val="en-GB" w:eastAsia="ja-JP"/>
        </w:rPr>
        <w:t xml:space="preserve"> </w:t>
      </w:r>
      <w:r w:rsidR="001B0F4E">
        <w:rPr>
          <w:lang w:val="en-GB" w:eastAsia="ja-JP"/>
        </w:rPr>
        <w:t>i</w:t>
      </w:r>
      <w:r w:rsidRPr="004D69FA">
        <w:rPr>
          <w:lang w:val="en-GB" w:eastAsia="ja-JP"/>
        </w:rPr>
        <w:t>n Connell</w:t>
      </w:r>
      <w:r w:rsidR="001B0F4E">
        <w:rPr>
          <w:lang w:val="en-GB" w:eastAsia="ja-JP"/>
        </w:rPr>
        <w:t xml:space="preserve"> DW</w:t>
      </w:r>
      <w:r w:rsidRPr="004D69FA">
        <w:rPr>
          <w:lang w:val="en-GB" w:eastAsia="ja-JP"/>
        </w:rPr>
        <w:t xml:space="preserve"> </w:t>
      </w:r>
      <w:r w:rsidR="003C60FB">
        <w:rPr>
          <w:lang w:val="en-GB" w:eastAsia="ja-JP"/>
        </w:rPr>
        <w:t>and</w:t>
      </w:r>
      <w:r w:rsidRPr="004D69FA">
        <w:rPr>
          <w:lang w:val="en-GB" w:eastAsia="ja-JP"/>
        </w:rPr>
        <w:t xml:space="preserve"> Hawker</w:t>
      </w:r>
      <w:r w:rsidR="001B0F4E">
        <w:rPr>
          <w:lang w:val="en-GB" w:eastAsia="ja-JP"/>
        </w:rPr>
        <w:t xml:space="preserve"> DW</w:t>
      </w:r>
      <w:r w:rsidRPr="004D69FA">
        <w:rPr>
          <w:lang w:val="en-GB" w:eastAsia="ja-JP"/>
        </w:rPr>
        <w:t xml:space="preserve"> </w:t>
      </w:r>
      <w:r>
        <w:rPr>
          <w:lang w:val="en-GB" w:eastAsia="ja-JP"/>
        </w:rPr>
        <w:t xml:space="preserve">(eds) </w:t>
      </w:r>
      <w:r>
        <w:fldChar w:fldCharType="begin"/>
      </w:r>
      <w:r>
        <w:instrText xml:space="preserve"> HYPERLINK "https://doi.org/10.1201/9781351075879" </w:instrText>
      </w:r>
      <w:r>
        <w:fldChar w:fldCharType="separate"/>
      </w:r>
      <w:r w:rsidRPr="00071DE9">
        <w:rPr>
          <w:rStyle w:val="Hyperlink"/>
          <w:i/>
          <w:iCs/>
          <w:lang w:val="en-GB" w:eastAsia="ja-JP"/>
        </w:rPr>
        <w:t>Pollution in tropical aquatic systems</w:t>
      </w:r>
      <w:r>
        <w:fldChar w:fldCharType="end"/>
      </w:r>
      <w:r w:rsidR="001B0F4E">
        <w:rPr>
          <w:lang w:val="en-GB" w:eastAsia="ja-JP"/>
        </w:rPr>
        <w:t>,</w:t>
      </w:r>
      <w:r w:rsidRPr="004D69FA">
        <w:rPr>
          <w:lang w:val="en-GB" w:eastAsia="ja-JP"/>
        </w:rPr>
        <w:t xml:space="preserve"> CRC Press, Boca Raton</w:t>
      </w:r>
      <w:r w:rsidR="00071DE9">
        <w:rPr>
          <w:lang w:val="en-GB" w:eastAsia="ja-JP"/>
        </w:rPr>
        <w:t>,</w:t>
      </w:r>
      <w:r w:rsidR="00071DE9">
        <w:t xml:space="preserve"> doi:</w:t>
      </w:r>
      <w:r w:rsidRPr="00071DE9" w:rsidR="00071DE9">
        <w:t>10.1201/9781351075879</w:t>
      </w:r>
      <w:r w:rsidRPr="004D69FA">
        <w:rPr>
          <w:lang w:val="en-GB" w:eastAsia="ja-JP"/>
        </w:rPr>
        <w:t>.</w:t>
      </w:r>
    </w:p>
    <w:p w:rsidR="005B6FC0" w:rsidP="001B25CD" w14:paraId="5FB448C1" w14:textId="6B65EB7A">
      <w:pPr>
        <w:rPr>
          <w:lang w:eastAsia="ja-JP"/>
        </w:rPr>
      </w:pPr>
      <w:r>
        <w:rPr>
          <w:lang w:eastAsia="ja-JP"/>
        </w:rPr>
        <w:t xml:space="preserve">Hook SE, Gallagher EP </w:t>
      </w:r>
      <w:r w:rsidR="003C60FB">
        <w:rPr>
          <w:lang w:eastAsia="ja-JP"/>
        </w:rPr>
        <w:t>and</w:t>
      </w:r>
      <w:r>
        <w:rPr>
          <w:lang w:eastAsia="ja-JP"/>
        </w:rPr>
        <w:t xml:space="preserve"> Batley GE </w:t>
      </w:r>
      <w:r w:rsidR="001B0F4E">
        <w:rPr>
          <w:lang w:eastAsia="ja-JP"/>
        </w:rPr>
        <w:t>(</w:t>
      </w:r>
      <w:r>
        <w:rPr>
          <w:lang w:eastAsia="ja-JP"/>
        </w:rPr>
        <w:t>2014</w:t>
      </w:r>
      <w:r w:rsidR="001B0F4E">
        <w:rPr>
          <w:lang w:eastAsia="ja-JP"/>
        </w:rPr>
        <w:t>)</w:t>
      </w:r>
      <w:r>
        <w:rPr>
          <w:lang w:eastAsia="ja-JP"/>
        </w:rPr>
        <w:t xml:space="preserve"> </w:t>
      </w:r>
      <w:r w:rsidR="001B0F4E">
        <w:rPr>
          <w:lang w:eastAsia="ja-JP"/>
        </w:rPr>
        <w:t>‘</w:t>
      </w:r>
      <w:r>
        <w:fldChar w:fldCharType="begin"/>
      </w:r>
      <w:r>
        <w:instrText xml:space="preserve"> HYPERLINK "https://doi.org/10.1002/ieam.1530" </w:instrText>
      </w:r>
      <w:r>
        <w:fldChar w:fldCharType="separate"/>
      </w:r>
      <w:r w:rsidRPr="00732DFD">
        <w:rPr>
          <w:rStyle w:val="Hyperlink"/>
          <w:lang w:eastAsia="ja-JP"/>
        </w:rPr>
        <w:t>The role of biomarkers in the assessment of aquatic ecosystem health</w:t>
      </w:r>
      <w:r>
        <w:fldChar w:fldCharType="end"/>
      </w:r>
      <w:r w:rsidR="001B0F4E">
        <w:rPr>
          <w:lang w:eastAsia="ja-JP"/>
        </w:rPr>
        <w:t>’,</w:t>
      </w:r>
      <w:r>
        <w:rPr>
          <w:lang w:eastAsia="ja-JP"/>
        </w:rPr>
        <w:t xml:space="preserve"> </w:t>
      </w:r>
      <w:r w:rsidRPr="0046343E">
        <w:rPr>
          <w:rStyle w:val="Emphasis"/>
        </w:rPr>
        <w:t>Integrated Environmental Assessment and Management</w:t>
      </w:r>
      <w:r>
        <w:rPr>
          <w:lang w:eastAsia="ja-JP"/>
        </w:rPr>
        <w:t>, 10</w:t>
      </w:r>
      <w:r w:rsidR="001B0F4E">
        <w:rPr>
          <w:lang w:eastAsia="ja-JP"/>
        </w:rPr>
        <w:t>:</w:t>
      </w:r>
      <w:r>
        <w:rPr>
          <w:lang w:eastAsia="ja-JP"/>
        </w:rPr>
        <w:t>327–341</w:t>
      </w:r>
      <w:r w:rsidR="00732DFD">
        <w:rPr>
          <w:lang w:eastAsia="ja-JP"/>
        </w:rPr>
        <w:t xml:space="preserve">, </w:t>
      </w:r>
      <w:r w:rsidR="002A0E99">
        <w:rPr>
          <w:lang w:eastAsia="ja-JP"/>
        </w:rPr>
        <w:t>doi:</w:t>
      </w:r>
      <w:r w:rsidRPr="00732DFD" w:rsidR="00732DFD">
        <w:rPr>
          <w:lang w:eastAsia="ja-JP"/>
        </w:rPr>
        <w:t>10.1002/ieam.1530</w:t>
      </w:r>
      <w:r>
        <w:rPr>
          <w:lang w:eastAsia="ja-JP"/>
        </w:rPr>
        <w:t>.</w:t>
      </w:r>
    </w:p>
    <w:p w:rsidR="005B6FC0" w:rsidP="001B25CD" w14:paraId="22580B8D" w14:textId="16A86021">
      <w:pPr>
        <w:rPr>
          <w:lang w:eastAsia="ja-JP"/>
        </w:rPr>
      </w:pPr>
      <w:r w:rsidRPr="007F3A6C">
        <w:t>Hopkinson CS Jr</w:t>
      </w:r>
      <w:r>
        <w:t xml:space="preserve"> </w:t>
      </w:r>
      <w:r w:rsidR="003C60FB">
        <w:t>and</w:t>
      </w:r>
      <w:r w:rsidRPr="007F3A6C">
        <w:t xml:space="preserve"> Vallino</w:t>
      </w:r>
      <w:r>
        <w:t xml:space="preserve"> JJ </w:t>
      </w:r>
      <w:r w:rsidR="001B0F4E">
        <w:t>(</w:t>
      </w:r>
      <w:r>
        <w:t>1995</w:t>
      </w:r>
      <w:r w:rsidR="001B0F4E">
        <w:t>)</w:t>
      </w:r>
      <w:r w:rsidRPr="007F3A6C">
        <w:t xml:space="preserve"> </w:t>
      </w:r>
      <w:r w:rsidR="001B0F4E">
        <w:t>‘</w:t>
      </w:r>
      <w:r>
        <w:fldChar w:fldCharType="begin"/>
      </w:r>
      <w:r>
        <w:instrText xml:space="preserve"> HYPERLINK "https://doi.org/10.2307/1352380" </w:instrText>
      </w:r>
      <w:r>
        <w:fldChar w:fldCharType="separate"/>
      </w:r>
      <w:r w:rsidRPr="004109E5">
        <w:rPr>
          <w:rStyle w:val="Hyperlink"/>
        </w:rPr>
        <w:t xml:space="preserve">The relationships among man's activities in watersheds and estuaries: </w:t>
      </w:r>
      <w:r w:rsidRPr="004109E5" w:rsidR="001B0F4E">
        <w:rPr>
          <w:rStyle w:val="Hyperlink"/>
        </w:rPr>
        <w:t>a</w:t>
      </w:r>
      <w:r w:rsidRPr="004109E5">
        <w:rPr>
          <w:rStyle w:val="Hyperlink"/>
        </w:rPr>
        <w:t xml:space="preserve"> model of runoff effects on patterns of estuarine community metabolism</w:t>
      </w:r>
      <w:r>
        <w:fldChar w:fldCharType="end"/>
      </w:r>
      <w:r w:rsidR="001B0F4E">
        <w:t>’,</w:t>
      </w:r>
      <w:r>
        <w:t xml:space="preserve"> </w:t>
      </w:r>
      <w:r w:rsidRPr="0095246C">
        <w:rPr>
          <w:rStyle w:val="Emphasis"/>
        </w:rPr>
        <w:t>Estuaries</w:t>
      </w:r>
      <w:r w:rsidRPr="007F3A6C">
        <w:t>,</w:t>
      </w:r>
      <w:r>
        <w:t xml:space="preserve"> </w:t>
      </w:r>
      <w:r w:rsidRPr="007F3A6C">
        <w:t>18</w:t>
      </w:r>
      <w:r w:rsidR="001B0F4E">
        <w:t>:</w:t>
      </w:r>
      <w:r w:rsidRPr="007F3A6C">
        <w:t>598</w:t>
      </w:r>
      <w:r>
        <w:rPr>
          <w:lang w:eastAsia="ja-JP"/>
        </w:rPr>
        <w:t>–</w:t>
      </w:r>
      <w:r w:rsidRPr="007F3A6C">
        <w:t>621</w:t>
      </w:r>
      <w:r w:rsidR="004109E5">
        <w:t xml:space="preserve">, </w:t>
      </w:r>
      <w:r w:rsidR="002A0E99">
        <w:t>doi:</w:t>
      </w:r>
      <w:r w:rsidRPr="004109E5" w:rsidR="004109E5">
        <w:t>10.2307/1352380</w:t>
      </w:r>
      <w:r>
        <w:t>.</w:t>
      </w:r>
    </w:p>
    <w:p w:rsidR="005B6FC0" w:rsidP="001B25CD" w14:paraId="26BFE83B" w14:textId="50B0F9FB">
      <w:pPr>
        <w:rPr>
          <w:lang w:eastAsia="ja-JP"/>
        </w:rPr>
      </w:pPr>
      <w:r>
        <w:rPr>
          <w:lang w:eastAsia="ja-JP"/>
        </w:rPr>
        <w:t xml:space="preserve">Hose GC </w:t>
      </w:r>
      <w:r w:rsidR="003C60FB">
        <w:rPr>
          <w:lang w:eastAsia="ja-JP"/>
        </w:rPr>
        <w:t>and</w:t>
      </w:r>
      <w:r>
        <w:rPr>
          <w:lang w:eastAsia="ja-JP"/>
        </w:rPr>
        <w:t xml:space="preserve"> Van den Brink PJ </w:t>
      </w:r>
      <w:r w:rsidR="001B0F4E">
        <w:rPr>
          <w:lang w:eastAsia="ja-JP"/>
        </w:rPr>
        <w:t>(</w:t>
      </w:r>
      <w:r>
        <w:rPr>
          <w:lang w:eastAsia="ja-JP"/>
        </w:rPr>
        <w:t>2004</w:t>
      </w:r>
      <w:r w:rsidR="001B0F4E">
        <w:rPr>
          <w:lang w:eastAsia="ja-JP"/>
        </w:rPr>
        <w:t>)</w:t>
      </w:r>
      <w:r>
        <w:rPr>
          <w:lang w:eastAsia="ja-JP"/>
        </w:rPr>
        <w:t xml:space="preserve"> </w:t>
      </w:r>
      <w:r w:rsidR="001B0F4E">
        <w:rPr>
          <w:lang w:eastAsia="ja-JP"/>
        </w:rPr>
        <w:t>‘</w:t>
      </w:r>
      <w:r>
        <w:fldChar w:fldCharType="begin"/>
      </w:r>
      <w:r>
        <w:instrText xml:space="preserve"> HYPERLINK "https://doi.org/10.1007/s00244-003-3212-5" </w:instrText>
      </w:r>
      <w:r>
        <w:fldChar w:fldCharType="separate"/>
      </w:r>
      <w:r w:rsidRPr="004109E5">
        <w:rPr>
          <w:rStyle w:val="Hyperlink"/>
          <w:lang w:eastAsia="ja-JP"/>
        </w:rPr>
        <w:t xml:space="preserve">Confirming the </w:t>
      </w:r>
      <w:r w:rsidRPr="004109E5" w:rsidR="001B0F4E">
        <w:rPr>
          <w:rStyle w:val="Hyperlink"/>
          <w:lang w:eastAsia="ja-JP"/>
        </w:rPr>
        <w:t>s</w:t>
      </w:r>
      <w:r w:rsidRPr="004109E5">
        <w:rPr>
          <w:rStyle w:val="Hyperlink"/>
          <w:lang w:eastAsia="ja-JP"/>
        </w:rPr>
        <w:t>pecies-</w:t>
      </w:r>
      <w:r w:rsidRPr="004109E5" w:rsidR="001B0F4E">
        <w:rPr>
          <w:rStyle w:val="Hyperlink"/>
          <w:lang w:eastAsia="ja-JP"/>
        </w:rPr>
        <w:t>s</w:t>
      </w:r>
      <w:r w:rsidRPr="004109E5">
        <w:rPr>
          <w:rStyle w:val="Hyperlink"/>
          <w:lang w:eastAsia="ja-JP"/>
        </w:rPr>
        <w:t xml:space="preserve">ensitivity </w:t>
      </w:r>
      <w:r w:rsidRPr="004109E5" w:rsidR="001B0F4E">
        <w:rPr>
          <w:rStyle w:val="Hyperlink"/>
          <w:lang w:eastAsia="ja-JP"/>
        </w:rPr>
        <w:t>d</w:t>
      </w:r>
      <w:r w:rsidRPr="004109E5">
        <w:rPr>
          <w:rStyle w:val="Hyperlink"/>
          <w:lang w:eastAsia="ja-JP"/>
        </w:rPr>
        <w:t xml:space="preserve">istribution </w:t>
      </w:r>
      <w:r w:rsidRPr="004109E5" w:rsidR="001B0F4E">
        <w:rPr>
          <w:rStyle w:val="Hyperlink"/>
          <w:lang w:eastAsia="ja-JP"/>
        </w:rPr>
        <w:t>c</w:t>
      </w:r>
      <w:r w:rsidRPr="004109E5">
        <w:rPr>
          <w:rStyle w:val="Hyperlink"/>
          <w:lang w:eastAsia="ja-JP"/>
        </w:rPr>
        <w:t xml:space="preserve">oncept for Endosulfan </w:t>
      </w:r>
      <w:r w:rsidRPr="004109E5" w:rsidR="001B0F4E">
        <w:rPr>
          <w:rStyle w:val="Hyperlink"/>
          <w:lang w:eastAsia="ja-JP"/>
        </w:rPr>
        <w:t>u</w:t>
      </w:r>
      <w:r w:rsidRPr="004109E5">
        <w:rPr>
          <w:rStyle w:val="Hyperlink"/>
          <w:lang w:eastAsia="ja-JP"/>
        </w:rPr>
        <w:t xml:space="preserve">sing </w:t>
      </w:r>
      <w:r w:rsidRPr="004109E5" w:rsidR="001B0F4E">
        <w:rPr>
          <w:rStyle w:val="Hyperlink"/>
          <w:lang w:eastAsia="ja-JP"/>
        </w:rPr>
        <w:t>l</w:t>
      </w:r>
      <w:r w:rsidRPr="004109E5">
        <w:rPr>
          <w:rStyle w:val="Hyperlink"/>
          <w:lang w:eastAsia="ja-JP"/>
        </w:rPr>
        <w:t xml:space="preserve">aboratory, </w:t>
      </w:r>
      <w:r w:rsidRPr="004109E5" w:rsidR="001B0F4E">
        <w:rPr>
          <w:rStyle w:val="Hyperlink"/>
          <w:lang w:eastAsia="ja-JP"/>
        </w:rPr>
        <w:t>m</w:t>
      </w:r>
      <w:r w:rsidRPr="004109E5">
        <w:rPr>
          <w:rStyle w:val="Hyperlink"/>
          <w:lang w:eastAsia="ja-JP"/>
        </w:rPr>
        <w:t xml:space="preserve">esocosm and </w:t>
      </w:r>
      <w:r w:rsidRPr="004109E5" w:rsidR="001B0F4E">
        <w:rPr>
          <w:rStyle w:val="Hyperlink"/>
          <w:lang w:eastAsia="ja-JP"/>
        </w:rPr>
        <w:t>f</w:t>
      </w:r>
      <w:r w:rsidRPr="004109E5">
        <w:rPr>
          <w:rStyle w:val="Hyperlink"/>
          <w:lang w:eastAsia="ja-JP"/>
        </w:rPr>
        <w:t xml:space="preserve">ield </w:t>
      </w:r>
      <w:r w:rsidRPr="004109E5" w:rsidR="001B0F4E">
        <w:rPr>
          <w:rStyle w:val="Hyperlink"/>
          <w:lang w:eastAsia="ja-JP"/>
        </w:rPr>
        <w:t>d</w:t>
      </w:r>
      <w:r w:rsidRPr="004109E5">
        <w:rPr>
          <w:rStyle w:val="Hyperlink"/>
          <w:lang w:eastAsia="ja-JP"/>
        </w:rPr>
        <w:t>ata</w:t>
      </w:r>
      <w:r>
        <w:fldChar w:fldCharType="end"/>
      </w:r>
      <w:r w:rsidR="004109E5">
        <w:rPr>
          <w:lang w:eastAsia="ja-JP"/>
        </w:rPr>
        <w:t>’,</w:t>
      </w:r>
      <w:r>
        <w:rPr>
          <w:lang w:eastAsia="ja-JP"/>
        </w:rPr>
        <w:t xml:space="preserve"> </w:t>
      </w:r>
      <w:r w:rsidRPr="004E3CAE">
        <w:rPr>
          <w:rStyle w:val="Emphasis"/>
        </w:rPr>
        <w:t>Archives of Environmental Contamination and Toxicology</w:t>
      </w:r>
      <w:r>
        <w:rPr>
          <w:lang w:eastAsia="ja-JP"/>
        </w:rPr>
        <w:t>, 47</w:t>
      </w:r>
      <w:r w:rsidR="001B0F4E">
        <w:rPr>
          <w:lang w:eastAsia="ja-JP"/>
        </w:rPr>
        <w:t>:</w:t>
      </w:r>
      <w:r>
        <w:rPr>
          <w:lang w:eastAsia="ja-JP"/>
        </w:rPr>
        <w:t>511–520.</w:t>
      </w:r>
    </w:p>
    <w:p w:rsidR="00525C8D" w:rsidRPr="00525C8D" w:rsidP="00525C8D" w14:paraId="00332F85" w14:textId="478CB253">
      <w:pPr>
        <w:rPr>
          <w:lang w:eastAsia="ja-JP"/>
        </w:rPr>
      </w:pPr>
      <w:r w:rsidRPr="00525C8D">
        <w:rPr>
          <w:lang w:eastAsia="ja-JP"/>
        </w:rPr>
        <w:t>Hui FKC, Taskinen S, Pledger S, Foster SD</w:t>
      </w:r>
      <w:r>
        <w:rPr>
          <w:lang w:eastAsia="ja-JP"/>
        </w:rPr>
        <w:t xml:space="preserve"> </w:t>
      </w:r>
      <w:r w:rsidR="003C60FB">
        <w:rPr>
          <w:lang w:eastAsia="ja-JP"/>
        </w:rPr>
        <w:t>and</w:t>
      </w:r>
      <w:r w:rsidRPr="00525C8D">
        <w:rPr>
          <w:lang w:eastAsia="ja-JP"/>
        </w:rPr>
        <w:t xml:space="preserve"> Warton DI </w:t>
      </w:r>
      <w:r w:rsidR="00CA7787">
        <w:rPr>
          <w:lang w:eastAsia="ja-JP"/>
        </w:rPr>
        <w:t>(</w:t>
      </w:r>
      <w:r w:rsidRPr="00525C8D">
        <w:rPr>
          <w:lang w:eastAsia="ja-JP"/>
        </w:rPr>
        <w:t>2015</w:t>
      </w:r>
      <w:r w:rsidR="00CA7787">
        <w:rPr>
          <w:lang w:eastAsia="ja-JP"/>
        </w:rPr>
        <w:t>)</w:t>
      </w:r>
      <w:r w:rsidRPr="00525C8D">
        <w:rPr>
          <w:lang w:eastAsia="ja-JP"/>
        </w:rPr>
        <w:t xml:space="preserve"> </w:t>
      </w:r>
      <w:r w:rsidR="00CA7787">
        <w:rPr>
          <w:lang w:eastAsia="ja-JP"/>
        </w:rPr>
        <w:t>‘</w:t>
      </w:r>
      <w:r>
        <w:fldChar w:fldCharType="begin"/>
      </w:r>
      <w:r>
        <w:instrText xml:space="preserve"> HYPERLINK "https://doi.org/10.1111/2041-210X.12236" </w:instrText>
      </w:r>
      <w:r>
        <w:fldChar w:fldCharType="separate"/>
      </w:r>
      <w:r w:rsidRPr="00771BEB">
        <w:rPr>
          <w:rStyle w:val="Hyperlink"/>
          <w:lang w:eastAsia="ja-JP"/>
        </w:rPr>
        <w:t>Model-based approaches to unconstrained ordination</w:t>
      </w:r>
      <w:r>
        <w:fldChar w:fldCharType="end"/>
      </w:r>
      <w:r w:rsidR="00CA7787">
        <w:rPr>
          <w:lang w:eastAsia="ja-JP"/>
        </w:rPr>
        <w:t>’,</w:t>
      </w:r>
      <w:r w:rsidRPr="00525C8D">
        <w:rPr>
          <w:lang w:eastAsia="ja-JP"/>
        </w:rPr>
        <w:t xml:space="preserve"> </w:t>
      </w:r>
      <w:r w:rsidRPr="00525C8D">
        <w:rPr>
          <w:i/>
          <w:iCs/>
          <w:lang w:eastAsia="ja-JP"/>
        </w:rPr>
        <w:t>Methods in Ecology and Evolution</w:t>
      </w:r>
      <w:r>
        <w:rPr>
          <w:lang w:eastAsia="ja-JP"/>
        </w:rPr>
        <w:t>,</w:t>
      </w:r>
      <w:r w:rsidRPr="00525C8D">
        <w:rPr>
          <w:lang w:eastAsia="ja-JP"/>
        </w:rPr>
        <w:t xml:space="preserve"> 6</w:t>
      </w:r>
      <w:r w:rsidR="00CA7787">
        <w:rPr>
          <w:lang w:eastAsia="ja-JP"/>
        </w:rPr>
        <w:t>:</w:t>
      </w:r>
      <w:r w:rsidRPr="00525C8D">
        <w:rPr>
          <w:lang w:eastAsia="ja-JP"/>
        </w:rPr>
        <w:t>399–411</w:t>
      </w:r>
      <w:r w:rsidR="00771BEB">
        <w:rPr>
          <w:lang w:eastAsia="ja-JP"/>
        </w:rPr>
        <w:t xml:space="preserve">, </w:t>
      </w:r>
      <w:r w:rsidR="002A0E99">
        <w:rPr>
          <w:lang w:eastAsia="ja-JP"/>
        </w:rPr>
        <w:t>doi:</w:t>
      </w:r>
      <w:r w:rsidRPr="00771BEB" w:rsidR="00771BEB">
        <w:rPr>
          <w:lang w:eastAsia="ja-JP"/>
        </w:rPr>
        <w:t>10.1111/2041-210X.12236</w:t>
      </w:r>
      <w:r w:rsidR="00FD63EE">
        <w:rPr>
          <w:lang w:eastAsia="ja-JP"/>
        </w:rPr>
        <w:t>.</w:t>
      </w:r>
    </w:p>
    <w:p w:rsidR="00CA6749" w:rsidRPr="00CA6749" w:rsidP="00CA6749" w14:paraId="5D036CD3" w14:textId="0746346F">
      <w:pPr>
        <w:rPr>
          <w:lang w:eastAsia="ja-JP"/>
        </w:rPr>
      </w:pPr>
      <w:r w:rsidRPr="00CA6749">
        <w:rPr>
          <w:lang w:eastAsia="ja-JP"/>
        </w:rPr>
        <w:t>Jalal A, Salman A, Mian A, Shortis M</w:t>
      </w:r>
      <w:r>
        <w:rPr>
          <w:lang w:eastAsia="ja-JP"/>
        </w:rPr>
        <w:t xml:space="preserve"> </w:t>
      </w:r>
      <w:r w:rsidR="003C60FB">
        <w:rPr>
          <w:lang w:eastAsia="ja-JP"/>
        </w:rPr>
        <w:t>and</w:t>
      </w:r>
      <w:r w:rsidRPr="00CA6749">
        <w:rPr>
          <w:lang w:eastAsia="ja-JP"/>
        </w:rPr>
        <w:t xml:space="preserve"> Shafait F </w:t>
      </w:r>
      <w:r w:rsidR="00CA7787">
        <w:rPr>
          <w:lang w:eastAsia="ja-JP"/>
        </w:rPr>
        <w:t>(</w:t>
      </w:r>
      <w:r w:rsidRPr="00CA6749">
        <w:rPr>
          <w:lang w:eastAsia="ja-JP"/>
        </w:rPr>
        <w:t>2020</w:t>
      </w:r>
      <w:r w:rsidR="00CA7787">
        <w:rPr>
          <w:lang w:eastAsia="ja-JP"/>
        </w:rPr>
        <w:t>)</w:t>
      </w:r>
      <w:r w:rsidRPr="00CA6749">
        <w:rPr>
          <w:lang w:eastAsia="ja-JP"/>
        </w:rPr>
        <w:t xml:space="preserve"> </w:t>
      </w:r>
      <w:r w:rsidR="00CA7787">
        <w:rPr>
          <w:lang w:eastAsia="ja-JP"/>
        </w:rPr>
        <w:t>‘</w:t>
      </w:r>
      <w:r>
        <w:fldChar w:fldCharType="begin"/>
      </w:r>
      <w:r>
        <w:instrText xml:space="preserve"> HYPERLINK "https://doi.org/10.1016/j.ecoinf.2020.101088" </w:instrText>
      </w:r>
      <w:r>
        <w:fldChar w:fldCharType="separate"/>
      </w:r>
      <w:r w:rsidRPr="00771BEB">
        <w:rPr>
          <w:rStyle w:val="Hyperlink"/>
          <w:lang w:eastAsia="ja-JP"/>
        </w:rPr>
        <w:t>Fish detection and species classification in underwater environments using deep learning with temporal information</w:t>
      </w:r>
      <w:r>
        <w:fldChar w:fldCharType="end"/>
      </w:r>
      <w:r w:rsidR="00CA7787">
        <w:rPr>
          <w:lang w:eastAsia="ja-JP"/>
        </w:rPr>
        <w:t>’,</w:t>
      </w:r>
      <w:r>
        <w:rPr>
          <w:lang w:eastAsia="ja-JP"/>
        </w:rPr>
        <w:t xml:space="preserve"> </w:t>
      </w:r>
      <w:r w:rsidRPr="00CA6749">
        <w:rPr>
          <w:i/>
          <w:iCs/>
          <w:lang w:eastAsia="ja-JP"/>
        </w:rPr>
        <w:t>Ecological Informatics</w:t>
      </w:r>
      <w:r w:rsidRPr="00CA6749">
        <w:rPr>
          <w:lang w:eastAsia="ja-JP"/>
        </w:rPr>
        <w:t>,</w:t>
      </w:r>
      <w:r>
        <w:rPr>
          <w:lang w:eastAsia="ja-JP"/>
        </w:rPr>
        <w:t xml:space="preserve"> </w:t>
      </w:r>
      <w:r w:rsidRPr="00CA6749">
        <w:rPr>
          <w:lang w:eastAsia="ja-JP"/>
        </w:rPr>
        <w:t>57</w:t>
      </w:r>
      <w:r w:rsidR="00CA7787">
        <w:rPr>
          <w:lang w:eastAsia="ja-JP"/>
        </w:rPr>
        <w:t>:</w:t>
      </w:r>
      <w:r w:rsidRPr="00CA6749">
        <w:rPr>
          <w:lang w:eastAsia="ja-JP"/>
        </w:rPr>
        <w:t>101088</w:t>
      </w:r>
      <w:r w:rsidR="00CA7787">
        <w:rPr>
          <w:lang w:eastAsia="ja-JP"/>
        </w:rPr>
        <w:t>,</w:t>
      </w:r>
      <w:r>
        <w:rPr>
          <w:lang w:eastAsia="ja-JP"/>
        </w:rPr>
        <w:t xml:space="preserve"> </w:t>
      </w:r>
      <w:r w:rsidRPr="00CA6749">
        <w:rPr>
          <w:lang w:eastAsia="ja-JP"/>
        </w:rPr>
        <w:t>doi</w:t>
      </w:r>
      <w:r w:rsidR="00CA7787">
        <w:rPr>
          <w:lang w:eastAsia="ja-JP"/>
        </w:rPr>
        <w:t>:</w:t>
      </w:r>
      <w:r w:rsidRPr="00CA6749">
        <w:rPr>
          <w:lang w:eastAsia="ja-JP"/>
        </w:rPr>
        <w:t>10.1016/j.ecoinf.2020.101088</w:t>
      </w:r>
      <w:r>
        <w:rPr>
          <w:lang w:eastAsia="ja-JP"/>
        </w:rPr>
        <w:t>.</w:t>
      </w:r>
    </w:p>
    <w:p w:rsidR="005B6FC0" w:rsidP="001B25CD" w14:paraId="2B3CE844" w14:textId="62E4340A">
      <w:pPr>
        <w:rPr>
          <w:lang w:eastAsia="ja-JP"/>
        </w:rPr>
      </w:pPr>
      <w:r>
        <w:rPr>
          <w:lang w:eastAsia="ja-JP"/>
        </w:rPr>
        <w:t xml:space="preserve">Jarman SN, Wiseman N, Baker CS </w:t>
      </w:r>
      <w:r w:rsidR="003C60FB">
        <w:rPr>
          <w:lang w:eastAsia="ja-JP"/>
        </w:rPr>
        <w:t>and</w:t>
      </w:r>
      <w:r>
        <w:rPr>
          <w:lang w:eastAsia="ja-JP"/>
        </w:rPr>
        <w:t xml:space="preserve"> Gales NJ </w:t>
      </w:r>
      <w:r w:rsidR="00CA7787">
        <w:rPr>
          <w:lang w:eastAsia="ja-JP"/>
        </w:rPr>
        <w:t>(</w:t>
      </w:r>
      <w:r>
        <w:rPr>
          <w:lang w:eastAsia="ja-JP"/>
        </w:rPr>
        <w:t>2006</w:t>
      </w:r>
      <w:r w:rsidR="00CA7787">
        <w:rPr>
          <w:lang w:eastAsia="ja-JP"/>
        </w:rPr>
        <w:t>)</w:t>
      </w:r>
      <w:r>
        <w:rPr>
          <w:lang w:eastAsia="ja-JP"/>
        </w:rPr>
        <w:t xml:space="preserve"> </w:t>
      </w:r>
      <w:r w:rsidRPr="00CA7787">
        <w:rPr>
          <w:i/>
          <w:iCs/>
          <w:lang w:eastAsia="ja-JP"/>
        </w:rPr>
        <w:t>Incidence of prey DNA types in Bryde’s whale scats</w:t>
      </w:r>
      <w:r w:rsidR="00CA7787">
        <w:rPr>
          <w:lang w:eastAsia="ja-JP"/>
        </w:rPr>
        <w:t>, r</w:t>
      </w:r>
      <w:r>
        <w:rPr>
          <w:lang w:eastAsia="ja-JP"/>
        </w:rPr>
        <w:t xml:space="preserve">eport to the Scientific Committee of the International Whaling Commission, SC/58 E 29, International Whaling Commission, </w:t>
      </w:r>
      <w:r w:rsidRPr="00640FC7">
        <w:rPr>
          <w:lang w:eastAsia="ja-JP"/>
        </w:rPr>
        <w:t>Cambridge.</w:t>
      </w:r>
    </w:p>
    <w:p w:rsidR="005B6FC0" w:rsidRPr="006E2389" w:rsidP="006E2389" w14:paraId="5AA74175" w14:textId="79FB81C6">
      <w:pPr>
        <w:rPr>
          <w:lang w:val="en-GB" w:eastAsia="ja-JP"/>
        </w:rPr>
      </w:pPr>
      <w:r w:rsidRPr="006E2389">
        <w:rPr>
          <w:lang w:val="en-GB" w:eastAsia="ja-JP"/>
        </w:rPr>
        <w:t xml:space="preserve">Jop KM, Kendall TZ, Askew AM </w:t>
      </w:r>
      <w:r w:rsidR="003C60FB">
        <w:rPr>
          <w:lang w:val="en-GB" w:eastAsia="ja-JP"/>
        </w:rPr>
        <w:t>and</w:t>
      </w:r>
      <w:r w:rsidRPr="006E2389">
        <w:rPr>
          <w:lang w:val="en-GB" w:eastAsia="ja-JP"/>
        </w:rPr>
        <w:t xml:space="preserve"> Foster RB </w:t>
      </w:r>
      <w:r w:rsidR="00CA7787">
        <w:rPr>
          <w:lang w:val="en-GB" w:eastAsia="ja-JP"/>
        </w:rPr>
        <w:t>(</w:t>
      </w:r>
      <w:r w:rsidRPr="006E2389">
        <w:rPr>
          <w:lang w:val="en-GB" w:eastAsia="ja-JP"/>
        </w:rPr>
        <w:t>1991</w:t>
      </w:r>
      <w:r w:rsidR="00CA7787">
        <w:rPr>
          <w:lang w:val="en-GB" w:eastAsia="ja-JP"/>
        </w:rPr>
        <w:t>)</w:t>
      </w:r>
      <w:r w:rsidRPr="006E2389">
        <w:rPr>
          <w:lang w:val="en-GB" w:eastAsia="ja-JP"/>
        </w:rPr>
        <w:t xml:space="preserve"> </w:t>
      </w:r>
      <w:r w:rsidR="00CA7787">
        <w:rPr>
          <w:lang w:val="en-GB" w:eastAsia="ja-JP"/>
        </w:rPr>
        <w:t>‘</w:t>
      </w:r>
      <w:r>
        <w:fldChar w:fldCharType="begin"/>
      </w:r>
      <w:r>
        <w:instrText xml:space="preserve"> HYPERLINK "https://doi.org/10.1002/etc.5620100802" </w:instrText>
      </w:r>
      <w:r>
        <w:fldChar w:fldCharType="separate"/>
      </w:r>
      <w:r w:rsidRPr="00771BEB">
        <w:rPr>
          <w:rStyle w:val="Hyperlink"/>
          <w:lang w:val="en-GB" w:eastAsia="ja-JP"/>
        </w:rPr>
        <w:t>Use of fractionation procedures and extensive chemical analysis for toxicity identification of a chemical plant effluent</w:t>
      </w:r>
      <w:r>
        <w:fldChar w:fldCharType="end"/>
      </w:r>
      <w:r w:rsidR="00CA7787">
        <w:rPr>
          <w:lang w:val="en-GB" w:eastAsia="ja-JP"/>
        </w:rPr>
        <w:t>’,</w:t>
      </w:r>
      <w:r w:rsidRPr="006E2389">
        <w:rPr>
          <w:lang w:val="en-GB" w:eastAsia="ja-JP"/>
        </w:rPr>
        <w:t xml:space="preserve"> </w:t>
      </w:r>
      <w:r w:rsidRPr="0095246C">
        <w:rPr>
          <w:rStyle w:val="Emphasis"/>
        </w:rPr>
        <w:t>Environmental Toxicology and Chemistry</w:t>
      </w:r>
      <w:r>
        <w:rPr>
          <w:lang w:val="en-GB" w:eastAsia="ja-JP"/>
        </w:rPr>
        <w:t>,</w:t>
      </w:r>
      <w:r w:rsidRPr="006E2389">
        <w:rPr>
          <w:lang w:val="en-GB" w:eastAsia="ja-JP"/>
        </w:rPr>
        <w:t xml:space="preserve"> 10</w:t>
      </w:r>
      <w:r w:rsidR="00CA7787">
        <w:rPr>
          <w:lang w:val="en-GB" w:eastAsia="ja-JP"/>
        </w:rPr>
        <w:t>:</w:t>
      </w:r>
      <w:r w:rsidRPr="006E2389">
        <w:rPr>
          <w:lang w:val="en-GB" w:eastAsia="ja-JP"/>
        </w:rPr>
        <w:t>981–990</w:t>
      </w:r>
      <w:r w:rsidR="00771BEB">
        <w:rPr>
          <w:lang w:val="en-GB" w:eastAsia="ja-JP"/>
        </w:rPr>
        <w:t xml:space="preserve">, </w:t>
      </w:r>
      <w:r w:rsidR="002A0E99">
        <w:rPr>
          <w:lang w:val="en-GB" w:eastAsia="ja-JP"/>
        </w:rPr>
        <w:t>doi:</w:t>
      </w:r>
      <w:r w:rsidRPr="00771BEB" w:rsidR="00771BEB">
        <w:rPr>
          <w:lang w:val="en-GB" w:eastAsia="ja-JP"/>
        </w:rPr>
        <w:t>10.1002/etc.5620100802</w:t>
      </w:r>
      <w:r w:rsidRPr="006E2389">
        <w:rPr>
          <w:lang w:val="en-GB" w:eastAsia="ja-JP"/>
        </w:rPr>
        <w:t>.</w:t>
      </w:r>
    </w:p>
    <w:p w:rsidR="005B6FC0" w:rsidP="001B25CD" w14:paraId="5D870DA7" w14:textId="24BBBE46">
      <w:pPr>
        <w:rPr>
          <w:lang w:eastAsia="ja-JP"/>
        </w:rPr>
      </w:pPr>
      <w:r>
        <w:rPr>
          <w:lang w:eastAsia="ja-JP"/>
        </w:rPr>
        <w:t xml:space="preserve">Karr RK </w:t>
      </w:r>
      <w:r w:rsidR="003C60FB">
        <w:rPr>
          <w:lang w:eastAsia="ja-JP"/>
        </w:rPr>
        <w:t>and</w:t>
      </w:r>
      <w:r>
        <w:rPr>
          <w:lang w:eastAsia="ja-JP"/>
        </w:rPr>
        <w:t xml:space="preserve"> Chu EW </w:t>
      </w:r>
      <w:r w:rsidR="00CA7787">
        <w:rPr>
          <w:lang w:eastAsia="ja-JP"/>
        </w:rPr>
        <w:t>(</w:t>
      </w:r>
      <w:r>
        <w:rPr>
          <w:lang w:eastAsia="ja-JP"/>
        </w:rPr>
        <w:t>1997</w:t>
      </w:r>
      <w:r w:rsidR="00CA7787">
        <w:rPr>
          <w:lang w:eastAsia="ja-JP"/>
        </w:rPr>
        <w:t>)</w:t>
      </w:r>
      <w:r>
        <w:rPr>
          <w:lang w:eastAsia="ja-JP"/>
        </w:rPr>
        <w:t xml:space="preserve"> </w:t>
      </w:r>
      <w:r>
        <w:fldChar w:fldCharType="begin"/>
      </w:r>
      <w:r>
        <w:instrText xml:space="preserve"> HYPERLINK "https://nepis.epa.gov/Exe/ZyPURL.cgi?Dockey=P1002I4N.TXT" </w:instrText>
      </w:r>
      <w:r>
        <w:fldChar w:fldCharType="separate"/>
      </w:r>
      <w:r w:rsidRPr="00771BEB">
        <w:rPr>
          <w:rStyle w:val="Hyperlink"/>
          <w:i/>
          <w:iCs/>
          <w:lang w:eastAsia="ja-JP"/>
        </w:rPr>
        <w:t xml:space="preserve">Biological monitoring and assessment: </w:t>
      </w:r>
      <w:r w:rsidRPr="00771BEB" w:rsidR="00CA7787">
        <w:rPr>
          <w:rStyle w:val="Hyperlink"/>
          <w:i/>
          <w:iCs/>
          <w:lang w:eastAsia="ja-JP"/>
        </w:rPr>
        <w:t>u</w:t>
      </w:r>
      <w:r w:rsidRPr="00771BEB">
        <w:rPr>
          <w:rStyle w:val="Hyperlink"/>
          <w:i/>
          <w:iCs/>
          <w:lang w:eastAsia="ja-JP"/>
        </w:rPr>
        <w:t>sing multimetric indexes effectively</w:t>
      </w:r>
      <w:r>
        <w:fldChar w:fldCharType="end"/>
      </w:r>
      <w:r w:rsidR="00CA7787">
        <w:rPr>
          <w:i/>
          <w:iCs/>
          <w:lang w:eastAsia="ja-JP"/>
        </w:rPr>
        <w:t>,</w:t>
      </w:r>
      <w:r>
        <w:rPr>
          <w:lang w:eastAsia="ja-JP"/>
        </w:rPr>
        <w:t xml:space="preserve"> EPA 235-R97-001, University of Washington, Seattle.</w:t>
      </w:r>
    </w:p>
    <w:p w:rsidR="00294A0D" w:rsidP="00294A0D" w14:paraId="4F1D9F05" w14:textId="77777777">
      <w:pPr>
        <w:rPr>
          <w:lang w:eastAsia="ja-JP"/>
        </w:rPr>
      </w:pPr>
      <w:r>
        <w:rPr>
          <w:lang w:eastAsia="ja-JP"/>
        </w:rPr>
        <w:t>Kefford BJ, Schaefer RB and Metzeling L (2012) ‘</w:t>
      </w:r>
      <w:r>
        <w:fldChar w:fldCharType="begin"/>
      </w:r>
      <w:r>
        <w:instrText xml:space="preserve"> HYPERLINK "https://doi.org/10.1016/j.scitotenv.2011.05.056" </w:instrText>
      </w:r>
      <w:r>
        <w:fldChar w:fldCharType="separate"/>
      </w:r>
      <w:r w:rsidRPr="00771BEB">
        <w:rPr>
          <w:rStyle w:val="Hyperlink"/>
          <w:lang w:eastAsia="ja-JP"/>
        </w:rPr>
        <w:t>Risk assessment of salinity and turbidity in Victoria (Australia) to stream insects’ community structure does not always protect functional traits</w:t>
      </w:r>
      <w:r>
        <w:fldChar w:fldCharType="end"/>
      </w:r>
      <w:r>
        <w:rPr>
          <w:lang w:eastAsia="ja-JP"/>
        </w:rPr>
        <w:t xml:space="preserve">’, </w:t>
      </w:r>
      <w:r w:rsidRPr="00547968">
        <w:rPr>
          <w:rStyle w:val="Emphasis"/>
        </w:rPr>
        <w:t>Science of the Total Environment</w:t>
      </w:r>
      <w:r>
        <w:rPr>
          <w:lang w:eastAsia="ja-JP"/>
        </w:rPr>
        <w:t>, 415:61–68, doi:</w:t>
      </w:r>
      <w:r w:rsidRPr="00771BEB">
        <w:rPr>
          <w:lang w:eastAsia="ja-JP"/>
        </w:rPr>
        <w:t>10.1016/j.scitotenv.2011.05.056</w:t>
      </w:r>
      <w:r>
        <w:rPr>
          <w:lang w:eastAsia="ja-JP"/>
        </w:rPr>
        <w:t>.</w:t>
      </w:r>
    </w:p>
    <w:p w:rsidR="005B6FC0" w:rsidP="001B25CD" w14:paraId="2123ABF1" w14:textId="21D61887">
      <w:pPr>
        <w:rPr>
          <w:lang w:eastAsia="ja-JP"/>
        </w:rPr>
      </w:pPr>
      <w:r w:rsidRPr="00D36C7A">
        <w:rPr>
          <w:lang w:eastAsia="ja-JP"/>
        </w:rPr>
        <w:t xml:space="preserve">Kefford BJ, Botwe </w:t>
      </w:r>
      <w:r>
        <w:rPr>
          <w:lang w:eastAsia="ja-JP"/>
        </w:rPr>
        <w:t xml:space="preserve">PK, </w:t>
      </w:r>
      <w:r w:rsidRPr="00D36C7A">
        <w:rPr>
          <w:lang w:eastAsia="ja-JP"/>
        </w:rPr>
        <w:t xml:space="preserve">Brooks </w:t>
      </w:r>
      <w:r>
        <w:rPr>
          <w:lang w:eastAsia="ja-JP"/>
        </w:rPr>
        <w:t xml:space="preserve">AJ, </w:t>
      </w:r>
      <w:r w:rsidRPr="00D36C7A">
        <w:rPr>
          <w:lang w:eastAsia="ja-JP"/>
        </w:rPr>
        <w:t xml:space="preserve">Kunz </w:t>
      </w:r>
      <w:r>
        <w:rPr>
          <w:lang w:eastAsia="ja-JP"/>
        </w:rPr>
        <w:t xml:space="preserve">S, </w:t>
      </w:r>
      <w:r w:rsidRPr="00D36C7A">
        <w:rPr>
          <w:lang w:eastAsia="ja-JP"/>
        </w:rPr>
        <w:t xml:space="preserve">Marchant </w:t>
      </w:r>
      <w:r>
        <w:rPr>
          <w:lang w:eastAsia="ja-JP"/>
        </w:rPr>
        <w:t xml:space="preserve">R, </w:t>
      </w:r>
      <w:r w:rsidRPr="00D36C7A">
        <w:rPr>
          <w:lang w:eastAsia="ja-JP"/>
        </w:rPr>
        <w:t xml:space="preserve">Maxwell </w:t>
      </w:r>
      <w:r>
        <w:rPr>
          <w:lang w:eastAsia="ja-JP"/>
        </w:rPr>
        <w:t xml:space="preserve">S, </w:t>
      </w:r>
      <w:r w:rsidRPr="00D36C7A">
        <w:rPr>
          <w:lang w:eastAsia="ja-JP"/>
        </w:rPr>
        <w:t xml:space="preserve">Metzeling </w:t>
      </w:r>
      <w:r>
        <w:rPr>
          <w:lang w:eastAsia="ja-JP"/>
        </w:rPr>
        <w:t xml:space="preserve">L, </w:t>
      </w:r>
      <w:r w:rsidRPr="00D36C7A">
        <w:rPr>
          <w:lang w:eastAsia="ja-JP"/>
        </w:rPr>
        <w:t>Schäfer</w:t>
      </w:r>
      <w:r>
        <w:rPr>
          <w:lang w:eastAsia="ja-JP"/>
        </w:rPr>
        <w:t xml:space="preserve"> RB</w:t>
      </w:r>
      <w:r w:rsidRPr="00D36C7A">
        <w:rPr>
          <w:lang w:eastAsia="ja-JP"/>
        </w:rPr>
        <w:t xml:space="preserve"> </w:t>
      </w:r>
      <w:r w:rsidR="003C60FB">
        <w:rPr>
          <w:lang w:eastAsia="ja-JP"/>
        </w:rPr>
        <w:t>and</w:t>
      </w:r>
      <w:r w:rsidRPr="00D36C7A">
        <w:rPr>
          <w:lang w:eastAsia="ja-JP"/>
        </w:rPr>
        <w:t xml:space="preserve"> Thompson</w:t>
      </w:r>
      <w:r>
        <w:rPr>
          <w:lang w:eastAsia="ja-JP"/>
        </w:rPr>
        <w:t xml:space="preserve"> RM</w:t>
      </w:r>
      <w:r w:rsidRPr="00D36C7A">
        <w:rPr>
          <w:lang w:eastAsia="ja-JP"/>
        </w:rPr>
        <w:t xml:space="preserve"> </w:t>
      </w:r>
      <w:r w:rsidR="00A21739">
        <w:rPr>
          <w:lang w:eastAsia="ja-JP"/>
        </w:rPr>
        <w:t>(</w:t>
      </w:r>
      <w:r w:rsidRPr="00D36C7A">
        <w:rPr>
          <w:lang w:eastAsia="ja-JP"/>
        </w:rPr>
        <w:t>2020</w:t>
      </w:r>
      <w:r w:rsidR="00A21739">
        <w:rPr>
          <w:lang w:eastAsia="ja-JP"/>
        </w:rPr>
        <w:t>)</w:t>
      </w:r>
      <w:r w:rsidRPr="00D36C7A">
        <w:rPr>
          <w:lang w:eastAsia="ja-JP"/>
        </w:rPr>
        <w:t xml:space="preserve"> </w:t>
      </w:r>
      <w:r w:rsidR="00A21739">
        <w:rPr>
          <w:lang w:eastAsia="ja-JP"/>
        </w:rPr>
        <w:t>‘</w:t>
      </w:r>
      <w:r>
        <w:fldChar w:fldCharType="begin"/>
      </w:r>
      <w:r>
        <w:instrText xml:space="preserve"> HYPERLINK "https://doi.org/10.1016/j.ecolind.2020.106280" </w:instrText>
      </w:r>
      <w:r>
        <w:fldChar w:fldCharType="separate"/>
      </w:r>
      <w:r w:rsidRPr="00771BEB">
        <w:rPr>
          <w:rStyle w:val="Hyperlink"/>
          <w:lang w:eastAsia="ja-JP"/>
        </w:rPr>
        <w:t xml:space="preserve">An integrated database of stream macroinvertebrate traits for Australia: </w:t>
      </w:r>
      <w:r w:rsidRPr="00771BEB" w:rsidR="00A21739">
        <w:rPr>
          <w:rStyle w:val="Hyperlink"/>
          <w:lang w:eastAsia="ja-JP"/>
        </w:rPr>
        <w:t>c</w:t>
      </w:r>
      <w:r w:rsidRPr="00771BEB">
        <w:rPr>
          <w:rStyle w:val="Hyperlink"/>
          <w:lang w:eastAsia="ja-JP"/>
        </w:rPr>
        <w:t>oncept and application</w:t>
      </w:r>
      <w:r>
        <w:fldChar w:fldCharType="end"/>
      </w:r>
      <w:r w:rsidR="00A21739">
        <w:rPr>
          <w:lang w:eastAsia="ja-JP"/>
        </w:rPr>
        <w:t>’,</w:t>
      </w:r>
      <w:r w:rsidRPr="00D36C7A">
        <w:rPr>
          <w:lang w:eastAsia="ja-JP"/>
        </w:rPr>
        <w:t xml:space="preserve"> </w:t>
      </w:r>
      <w:r w:rsidRPr="00866FCE">
        <w:rPr>
          <w:rStyle w:val="Emphasis"/>
        </w:rPr>
        <w:t>Ecological Indicators</w:t>
      </w:r>
      <w:r w:rsidRPr="00866FCE">
        <w:rPr>
          <w:lang w:eastAsia="ja-JP"/>
        </w:rPr>
        <w:t xml:space="preserve">, </w:t>
      </w:r>
      <w:r w:rsidRPr="00D36C7A">
        <w:rPr>
          <w:lang w:eastAsia="ja-JP"/>
        </w:rPr>
        <w:t>114</w:t>
      </w:r>
      <w:r w:rsidR="00A21739">
        <w:rPr>
          <w:lang w:eastAsia="ja-JP"/>
        </w:rPr>
        <w:t>:</w:t>
      </w:r>
      <w:r w:rsidRPr="00D36C7A">
        <w:rPr>
          <w:lang w:eastAsia="ja-JP"/>
        </w:rPr>
        <w:t>106280.</w:t>
      </w:r>
      <w:r w:rsidR="00771BEB">
        <w:rPr>
          <w:lang w:eastAsia="ja-JP"/>
        </w:rPr>
        <w:t xml:space="preserve">, </w:t>
      </w:r>
      <w:r w:rsidR="002A0E99">
        <w:rPr>
          <w:lang w:eastAsia="ja-JP"/>
        </w:rPr>
        <w:t>doi:</w:t>
      </w:r>
      <w:r w:rsidRPr="00771BEB" w:rsidR="00771BEB">
        <w:rPr>
          <w:lang w:eastAsia="ja-JP"/>
        </w:rPr>
        <w:t>10.1016/j.ecolind.2020.106280</w:t>
      </w:r>
      <w:r w:rsidRPr="00D36C7A">
        <w:rPr>
          <w:lang w:eastAsia="ja-JP"/>
        </w:rPr>
        <w:t xml:space="preserve"> </w:t>
      </w:r>
    </w:p>
    <w:p w:rsidR="005B6FC0" w:rsidRPr="0077502D" w:rsidP="009F4745" w14:paraId="2CC4CF0C" w14:textId="3BFFA907">
      <w:r w:rsidRPr="0077502D">
        <w:t xml:space="preserve">Kerans BL </w:t>
      </w:r>
      <w:r w:rsidR="003C60FB">
        <w:t>and</w:t>
      </w:r>
      <w:r w:rsidRPr="0077502D">
        <w:t xml:space="preserve"> Karr JR </w:t>
      </w:r>
      <w:r w:rsidR="00A21739">
        <w:t>(</w:t>
      </w:r>
      <w:r w:rsidRPr="0077502D">
        <w:t>1994</w:t>
      </w:r>
      <w:r w:rsidR="00A21739">
        <w:t>)</w:t>
      </w:r>
      <w:r w:rsidRPr="0077502D">
        <w:t xml:space="preserve"> </w:t>
      </w:r>
      <w:r w:rsidR="00A21739">
        <w:t>‘</w:t>
      </w:r>
      <w:r>
        <w:fldChar w:fldCharType="begin"/>
      </w:r>
      <w:r>
        <w:instrText xml:space="preserve"> HYPERLINK "http://dx.doi.org/10.2307/1942007" </w:instrText>
      </w:r>
      <w:r>
        <w:fldChar w:fldCharType="separate"/>
      </w:r>
      <w:r w:rsidRPr="00771BEB">
        <w:rPr>
          <w:rStyle w:val="Hyperlink"/>
        </w:rPr>
        <w:t>A benthic index of biotic integrity (B-IBI) for rivers of the Tennessee Valley</w:t>
      </w:r>
      <w:r>
        <w:fldChar w:fldCharType="end"/>
      </w:r>
      <w:r w:rsidR="00A21739">
        <w:t>’,</w:t>
      </w:r>
      <w:r w:rsidRPr="0077502D">
        <w:t xml:space="preserve"> </w:t>
      </w:r>
      <w:r w:rsidRPr="00E2307B">
        <w:rPr>
          <w:rStyle w:val="Emphasis"/>
        </w:rPr>
        <w:t>Ecological Applications</w:t>
      </w:r>
      <w:r>
        <w:rPr>
          <w:iCs/>
        </w:rPr>
        <w:t>,</w:t>
      </w:r>
      <w:r w:rsidRPr="0077502D">
        <w:rPr>
          <w:i/>
          <w:iCs/>
        </w:rPr>
        <w:t xml:space="preserve"> </w:t>
      </w:r>
      <w:r w:rsidRPr="0077502D">
        <w:t>4</w:t>
      </w:r>
      <w:r w:rsidR="00A21739">
        <w:t>:</w:t>
      </w:r>
      <w:r w:rsidRPr="0077502D">
        <w:t>768–85</w:t>
      </w:r>
      <w:r w:rsidR="00771BEB">
        <w:t xml:space="preserve">, </w:t>
      </w:r>
      <w:r w:rsidR="002A0E99">
        <w:t>doi:</w:t>
      </w:r>
      <w:r w:rsidRPr="00771BEB" w:rsidR="00771BEB">
        <w:t>10.2307/1942007</w:t>
      </w:r>
      <w:r w:rsidRPr="0077502D">
        <w:t>.</w:t>
      </w:r>
    </w:p>
    <w:p w:rsidR="005B6FC0" w:rsidP="009F4745" w14:paraId="1547DD19" w14:textId="54CBAE27">
      <w:r>
        <w:rPr>
          <w:lang w:val="en"/>
        </w:rPr>
        <w:t xml:space="preserve">Kroon F, Streten C </w:t>
      </w:r>
      <w:r w:rsidR="003C60FB">
        <w:rPr>
          <w:lang w:val="en"/>
        </w:rPr>
        <w:t>and</w:t>
      </w:r>
      <w:r>
        <w:rPr>
          <w:lang w:val="en"/>
        </w:rPr>
        <w:t xml:space="preserve"> Harries S </w:t>
      </w:r>
      <w:r w:rsidR="00A21739">
        <w:rPr>
          <w:lang w:val="en"/>
        </w:rPr>
        <w:t>(</w:t>
      </w:r>
      <w:r>
        <w:rPr>
          <w:lang w:val="en"/>
        </w:rPr>
        <w:t>2017</w:t>
      </w:r>
      <w:r w:rsidR="00A21739">
        <w:rPr>
          <w:lang w:val="en"/>
        </w:rPr>
        <w:t>)</w:t>
      </w:r>
      <w:r>
        <w:rPr>
          <w:lang w:val="en"/>
        </w:rPr>
        <w:t xml:space="preserve"> </w:t>
      </w:r>
      <w:r w:rsidR="00A21739">
        <w:rPr>
          <w:lang w:val="en"/>
        </w:rPr>
        <w:t>‘</w:t>
      </w:r>
      <w:r>
        <w:fldChar w:fldCharType="begin"/>
      </w:r>
      <w:r>
        <w:instrText xml:space="preserve"> HYPERLINK "https://doi.org/10.1371/journal.pone.0174762" </w:instrText>
      </w:r>
      <w:r>
        <w:fldChar w:fldCharType="separate"/>
      </w:r>
      <w:r w:rsidRPr="009E1BFE">
        <w:rPr>
          <w:rStyle w:val="Hyperlink"/>
          <w:lang w:val="en"/>
        </w:rPr>
        <w:t xml:space="preserve">A protocol for identifying suitable biomarkers to assess fish health: </w:t>
      </w:r>
      <w:r w:rsidRPr="009E1BFE" w:rsidR="00A21739">
        <w:rPr>
          <w:rStyle w:val="Hyperlink"/>
          <w:lang w:val="en"/>
        </w:rPr>
        <w:t>a</w:t>
      </w:r>
      <w:r w:rsidRPr="009E1BFE">
        <w:rPr>
          <w:rStyle w:val="Hyperlink"/>
          <w:lang w:val="en"/>
        </w:rPr>
        <w:t xml:space="preserve"> systematic review</w:t>
      </w:r>
      <w:r>
        <w:fldChar w:fldCharType="end"/>
      </w:r>
      <w:r w:rsidR="00A21739">
        <w:rPr>
          <w:lang w:val="en"/>
        </w:rPr>
        <w:t>’,</w:t>
      </w:r>
      <w:r>
        <w:rPr>
          <w:lang w:val="en"/>
        </w:rPr>
        <w:t xml:space="preserve"> </w:t>
      </w:r>
      <w:r w:rsidRPr="004A2F84">
        <w:rPr>
          <w:i/>
          <w:iCs/>
          <w:lang w:val="en"/>
        </w:rPr>
        <w:t>PLoS O</w:t>
      </w:r>
      <w:r w:rsidR="00A21739">
        <w:rPr>
          <w:i/>
          <w:iCs/>
          <w:lang w:val="en"/>
        </w:rPr>
        <w:t>NE</w:t>
      </w:r>
      <w:r>
        <w:rPr>
          <w:iCs/>
          <w:lang w:val="en"/>
        </w:rPr>
        <w:t>,</w:t>
      </w:r>
      <w:r>
        <w:rPr>
          <w:lang w:val="en"/>
        </w:rPr>
        <w:t xml:space="preserve"> </w:t>
      </w:r>
      <w:r w:rsidRPr="00710F6C">
        <w:t>12(4):e0174762</w:t>
      </w:r>
      <w:r w:rsidR="009E1BFE">
        <w:t xml:space="preserve">, </w:t>
      </w:r>
      <w:r w:rsidR="002A0E99">
        <w:t>doi:</w:t>
      </w:r>
      <w:r w:rsidRPr="009E1BFE" w:rsidR="009E1BFE">
        <w:t>10.1371/journal.pone.0174762</w:t>
      </w:r>
      <w:r w:rsidR="00A9085E">
        <w:t>.</w:t>
      </w:r>
      <w:r w:rsidRPr="00710F6C">
        <w:t xml:space="preserve"> </w:t>
      </w:r>
    </w:p>
    <w:p w:rsidR="00D223A2" w:rsidP="00D223A2" w14:paraId="40048E83" w14:textId="77777777">
      <w:pPr>
        <w:rPr>
          <w:lang w:eastAsia="ja-JP"/>
        </w:rPr>
      </w:pPr>
      <w:r>
        <w:rPr>
          <w:lang w:eastAsia="ja-JP"/>
        </w:rPr>
        <w:t xml:space="preserve">Lamberti GA and Hauer FR (eds) (2017) </w:t>
      </w:r>
      <w:r w:rsidRPr="00BF5148">
        <w:rPr>
          <w:i/>
          <w:iCs/>
          <w:lang w:eastAsia="ja-JP"/>
        </w:rPr>
        <w:t>Methods in stream ecology</w:t>
      </w:r>
      <w:r>
        <w:rPr>
          <w:lang w:eastAsia="ja-JP"/>
        </w:rPr>
        <w:t>, 3</w:t>
      </w:r>
      <w:r w:rsidRPr="00D223A2">
        <w:rPr>
          <w:lang w:eastAsia="ja-JP"/>
        </w:rPr>
        <w:t>rd</w:t>
      </w:r>
      <w:r>
        <w:rPr>
          <w:lang w:eastAsia="ja-JP"/>
        </w:rPr>
        <w:t xml:space="preserve"> edn, Academic Press, San Diego.</w:t>
      </w:r>
    </w:p>
    <w:p w:rsidR="005B6FC0" w:rsidP="001B25CD" w14:paraId="00F9C47A" w14:textId="3E409A39">
      <w:pPr>
        <w:rPr>
          <w:lang w:eastAsia="ja-JP"/>
        </w:rPr>
      </w:pPr>
      <w:r>
        <w:rPr>
          <w:lang w:eastAsia="ja-JP"/>
        </w:rPr>
        <w:t xml:space="preserve">Laroche O, Wood SA, Tremblay LA, Ellis JI, Lear G, Pochon X </w:t>
      </w:r>
      <w:r w:rsidR="00A21739">
        <w:rPr>
          <w:lang w:eastAsia="ja-JP"/>
        </w:rPr>
        <w:t>(</w:t>
      </w:r>
      <w:r>
        <w:rPr>
          <w:lang w:eastAsia="ja-JP"/>
        </w:rPr>
        <w:t>2018</w:t>
      </w:r>
      <w:r w:rsidR="00A21739">
        <w:rPr>
          <w:lang w:eastAsia="ja-JP"/>
        </w:rPr>
        <w:t>)</w:t>
      </w:r>
      <w:r>
        <w:rPr>
          <w:lang w:eastAsia="ja-JP"/>
        </w:rPr>
        <w:t xml:space="preserve"> </w:t>
      </w:r>
      <w:r w:rsidR="00A21739">
        <w:rPr>
          <w:lang w:eastAsia="ja-JP"/>
        </w:rPr>
        <w:t>‘</w:t>
      </w:r>
      <w:r>
        <w:fldChar w:fldCharType="begin"/>
      </w:r>
      <w:r>
        <w:instrText xml:space="preserve"> HYPERLINK "https://doi.org/10.1016/j.marpolbul.2017.11.042" </w:instrText>
      </w:r>
      <w:r>
        <w:fldChar w:fldCharType="separate"/>
      </w:r>
      <w:r w:rsidRPr="003839A2">
        <w:rPr>
          <w:rStyle w:val="Hyperlink"/>
          <w:lang w:eastAsia="ja-JP"/>
        </w:rPr>
        <w:t>A cross-taxa study using environmental DNA/RNA metabarcoding to measure biological impacts of offshore oil and gas drilling and production operations</w:t>
      </w:r>
      <w:r>
        <w:fldChar w:fldCharType="end"/>
      </w:r>
      <w:r w:rsidR="00A21739">
        <w:rPr>
          <w:lang w:eastAsia="ja-JP"/>
        </w:rPr>
        <w:t>’,</w:t>
      </w:r>
      <w:r>
        <w:rPr>
          <w:lang w:eastAsia="ja-JP"/>
        </w:rPr>
        <w:t xml:space="preserve"> </w:t>
      </w:r>
      <w:r w:rsidRPr="00912ED6">
        <w:rPr>
          <w:rStyle w:val="Emphasis"/>
        </w:rPr>
        <w:t>Marine Pollution Bulletin</w:t>
      </w:r>
      <w:r>
        <w:rPr>
          <w:lang w:eastAsia="ja-JP"/>
        </w:rPr>
        <w:t>, 127</w:t>
      </w:r>
      <w:r w:rsidR="00A21739">
        <w:rPr>
          <w:lang w:eastAsia="ja-JP"/>
        </w:rPr>
        <w:t>:</w:t>
      </w:r>
      <w:r>
        <w:rPr>
          <w:lang w:eastAsia="ja-JP"/>
        </w:rPr>
        <w:t>97–107</w:t>
      </w:r>
      <w:r w:rsidR="003839A2">
        <w:rPr>
          <w:lang w:eastAsia="ja-JP"/>
        </w:rPr>
        <w:t xml:space="preserve">, </w:t>
      </w:r>
      <w:r w:rsidR="002A0E99">
        <w:rPr>
          <w:lang w:eastAsia="ja-JP"/>
        </w:rPr>
        <w:t>doi:</w:t>
      </w:r>
      <w:r w:rsidRPr="003839A2" w:rsidR="003839A2">
        <w:rPr>
          <w:lang w:eastAsia="ja-JP"/>
        </w:rPr>
        <w:t>10.1016/j.marpolbul.2017.11.042</w:t>
      </w:r>
      <w:r w:rsidR="00A21739">
        <w:rPr>
          <w:lang w:eastAsia="ja-JP"/>
        </w:rPr>
        <w:t>.</w:t>
      </w:r>
    </w:p>
    <w:p w:rsidR="005B6FC0" w:rsidP="001B25CD" w14:paraId="08F33F3C" w14:textId="720177FB">
      <w:pPr>
        <w:rPr>
          <w:lang w:eastAsia="ja-JP"/>
        </w:rPr>
      </w:pPr>
      <w:r>
        <w:rPr>
          <w:lang w:eastAsia="ja-JP"/>
        </w:rPr>
        <w:t xml:space="preserve">Legendre P </w:t>
      </w:r>
      <w:r w:rsidR="003C60FB">
        <w:rPr>
          <w:lang w:eastAsia="ja-JP"/>
        </w:rPr>
        <w:t>and</w:t>
      </w:r>
      <w:r>
        <w:rPr>
          <w:lang w:eastAsia="ja-JP"/>
        </w:rPr>
        <w:t xml:space="preserve"> Legendre L </w:t>
      </w:r>
      <w:r w:rsidR="009F25DD">
        <w:rPr>
          <w:lang w:eastAsia="ja-JP"/>
        </w:rPr>
        <w:t>(</w:t>
      </w:r>
      <w:r>
        <w:rPr>
          <w:lang w:eastAsia="ja-JP"/>
        </w:rPr>
        <w:t>2012</w:t>
      </w:r>
      <w:r w:rsidR="009F25DD">
        <w:rPr>
          <w:lang w:eastAsia="ja-JP"/>
        </w:rPr>
        <w:t>)</w:t>
      </w:r>
      <w:r>
        <w:rPr>
          <w:lang w:eastAsia="ja-JP"/>
        </w:rPr>
        <w:t xml:space="preserve"> </w:t>
      </w:r>
      <w:r w:rsidRPr="009F25DD">
        <w:rPr>
          <w:i/>
          <w:iCs/>
          <w:lang w:eastAsia="ja-JP"/>
        </w:rPr>
        <w:t xml:space="preserve">Numerical </w:t>
      </w:r>
      <w:r w:rsidR="009F25DD">
        <w:rPr>
          <w:i/>
          <w:iCs/>
          <w:lang w:eastAsia="ja-JP"/>
        </w:rPr>
        <w:t>e</w:t>
      </w:r>
      <w:r w:rsidRPr="009F25DD">
        <w:rPr>
          <w:i/>
          <w:iCs/>
          <w:lang w:eastAsia="ja-JP"/>
        </w:rPr>
        <w:t>cology</w:t>
      </w:r>
      <w:r>
        <w:rPr>
          <w:lang w:eastAsia="ja-JP"/>
        </w:rPr>
        <w:t xml:space="preserve">, 3rd </w:t>
      </w:r>
      <w:r w:rsidR="009F25DD">
        <w:rPr>
          <w:lang w:eastAsia="ja-JP"/>
        </w:rPr>
        <w:t>e</w:t>
      </w:r>
      <w:r>
        <w:rPr>
          <w:lang w:eastAsia="ja-JP"/>
        </w:rPr>
        <w:t>dn</w:t>
      </w:r>
      <w:r w:rsidR="009F25DD">
        <w:rPr>
          <w:lang w:eastAsia="ja-JP"/>
        </w:rPr>
        <w:t>,</w:t>
      </w:r>
      <w:r>
        <w:rPr>
          <w:lang w:eastAsia="ja-JP"/>
        </w:rPr>
        <w:t xml:space="preserve"> Elsevier, Amsterdam.</w:t>
      </w:r>
    </w:p>
    <w:p w:rsidR="00DF6BFE" w:rsidP="00DF6BFE" w14:paraId="4B922A7C" w14:textId="16A6377A">
      <w:pPr>
        <w:rPr>
          <w:rFonts w:ascii="Times New Roman" w:hAnsi="Times New Roman" w:cs="Times New Roman"/>
          <w:sz w:val="24"/>
          <w:szCs w:val="24"/>
        </w:rPr>
      </w:pPr>
      <w:r>
        <w:rPr>
          <w:lang w:eastAsia="ja-JP"/>
        </w:rPr>
        <w:t xml:space="preserve">Legge R </w:t>
      </w:r>
      <w:r w:rsidR="009F25DD">
        <w:rPr>
          <w:lang w:eastAsia="ja-JP"/>
        </w:rPr>
        <w:t>(</w:t>
      </w:r>
      <w:r>
        <w:rPr>
          <w:lang w:eastAsia="ja-JP"/>
        </w:rPr>
        <w:t>2012</w:t>
      </w:r>
      <w:r w:rsidR="009F25DD">
        <w:rPr>
          <w:lang w:eastAsia="ja-JP"/>
        </w:rPr>
        <w:t>)</w:t>
      </w:r>
      <w:r>
        <w:rPr>
          <w:lang w:eastAsia="ja-JP"/>
        </w:rPr>
        <w:t xml:space="preserve"> </w:t>
      </w:r>
      <w:r>
        <w:fldChar w:fldCharType="begin"/>
      </w:r>
      <w:r>
        <w:instrText xml:space="preserve"> HYPERLINK "https://digitalcommons.unl.edu/foodscidiss/25" </w:instrText>
      </w:r>
      <w:r>
        <w:fldChar w:fldCharType="separate"/>
      </w:r>
      <w:r w:rsidRPr="00DF6BFE">
        <w:rPr>
          <w:rStyle w:val="Hyperlink"/>
          <w:i/>
          <w:iCs/>
          <w:lang w:eastAsia="ja-JP"/>
        </w:rPr>
        <w:t>Analysis of microbial diversity by amplicon pyrosequencing</w:t>
      </w:r>
      <w:r>
        <w:fldChar w:fldCharType="end"/>
      </w:r>
      <w:r w:rsidR="009F25DD">
        <w:rPr>
          <w:lang w:eastAsia="ja-JP"/>
        </w:rPr>
        <w:t>,</w:t>
      </w:r>
      <w:r>
        <w:rPr>
          <w:lang w:eastAsia="ja-JP"/>
        </w:rPr>
        <w:t xml:space="preserve"> PhD </w:t>
      </w:r>
      <w:r>
        <w:rPr>
          <w:rStyle w:val="Emphasis"/>
          <w:i w:val="0"/>
          <w:iCs w:val="0"/>
        </w:rPr>
        <w:t>d</w:t>
      </w:r>
      <w:r w:rsidRPr="00DF6BFE">
        <w:rPr>
          <w:rStyle w:val="Emphasis"/>
          <w:i w:val="0"/>
          <w:iCs w:val="0"/>
        </w:rPr>
        <w:t>issertation, Food Science and Technology</w:t>
      </w:r>
      <w:r>
        <w:rPr>
          <w:rStyle w:val="Emphasis"/>
          <w:i w:val="0"/>
          <w:iCs w:val="0"/>
        </w:rPr>
        <w:t xml:space="preserve"> Department</w:t>
      </w:r>
      <w:r w:rsidRPr="00DF6BFE">
        <w:rPr>
          <w:rStyle w:val="Emphasis"/>
          <w:i w:val="0"/>
          <w:iCs w:val="0"/>
        </w:rPr>
        <w:t>, University of Nebraska–Lincoln</w:t>
      </w:r>
      <w:r>
        <w:rPr>
          <w:lang w:eastAsia="ja-JP"/>
        </w:rPr>
        <w:t xml:space="preserve">. </w:t>
      </w:r>
    </w:p>
    <w:p w:rsidR="005B6FC0" w:rsidP="004A2F84" w14:paraId="48EBF106" w14:textId="7B9AC741">
      <w:pPr>
        <w:rPr>
          <w:lang w:eastAsia="ja-JP"/>
        </w:rPr>
      </w:pPr>
      <w:r>
        <w:rPr>
          <w:lang w:eastAsia="ja-JP"/>
        </w:rPr>
        <w:t xml:space="preserve">Luoma SN </w:t>
      </w:r>
      <w:r w:rsidR="003C60FB">
        <w:rPr>
          <w:lang w:eastAsia="ja-JP"/>
        </w:rPr>
        <w:t>and</w:t>
      </w:r>
      <w:r>
        <w:rPr>
          <w:lang w:eastAsia="ja-JP"/>
        </w:rPr>
        <w:t xml:space="preserve"> Rainbow PS </w:t>
      </w:r>
      <w:r w:rsidR="009F25DD">
        <w:rPr>
          <w:lang w:eastAsia="ja-JP"/>
        </w:rPr>
        <w:t>(</w:t>
      </w:r>
      <w:r>
        <w:rPr>
          <w:lang w:eastAsia="ja-JP"/>
        </w:rPr>
        <w:t>2005</w:t>
      </w:r>
      <w:r w:rsidR="009F25DD">
        <w:rPr>
          <w:lang w:eastAsia="ja-JP"/>
        </w:rPr>
        <w:t>)</w:t>
      </w:r>
      <w:r>
        <w:rPr>
          <w:lang w:eastAsia="ja-JP"/>
        </w:rPr>
        <w:t xml:space="preserve"> </w:t>
      </w:r>
      <w:r w:rsidR="009F25DD">
        <w:rPr>
          <w:lang w:eastAsia="ja-JP"/>
        </w:rPr>
        <w:t>‘</w:t>
      </w:r>
      <w:r>
        <w:fldChar w:fldCharType="begin"/>
      </w:r>
      <w:r>
        <w:instrText xml:space="preserve"> HYPERLINK "https://doi.org/10.1021/es048947e" </w:instrText>
      </w:r>
      <w:r>
        <w:fldChar w:fldCharType="separate"/>
      </w:r>
      <w:r w:rsidRPr="00DF6BFE">
        <w:rPr>
          <w:rStyle w:val="Hyperlink"/>
          <w:lang w:eastAsia="ja-JP"/>
        </w:rPr>
        <w:t>Why is metal bioaccumulation so variable? Biodynamics as a unifying concept</w:t>
      </w:r>
      <w:r>
        <w:fldChar w:fldCharType="end"/>
      </w:r>
      <w:r w:rsidR="009F25DD">
        <w:rPr>
          <w:lang w:eastAsia="ja-JP"/>
        </w:rPr>
        <w:t>’,</w:t>
      </w:r>
      <w:r>
        <w:rPr>
          <w:lang w:eastAsia="ja-JP"/>
        </w:rPr>
        <w:t xml:space="preserve"> </w:t>
      </w:r>
      <w:r w:rsidRPr="00E2307B">
        <w:rPr>
          <w:rStyle w:val="Emphasis"/>
        </w:rPr>
        <w:t>Environmental Science and Technology</w:t>
      </w:r>
      <w:r>
        <w:rPr>
          <w:lang w:eastAsia="ja-JP"/>
        </w:rPr>
        <w:t>, 39</w:t>
      </w:r>
      <w:r w:rsidR="009F25DD">
        <w:rPr>
          <w:lang w:eastAsia="ja-JP"/>
        </w:rPr>
        <w:t>:</w:t>
      </w:r>
      <w:r>
        <w:rPr>
          <w:lang w:eastAsia="ja-JP"/>
        </w:rPr>
        <w:t>1921–1931</w:t>
      </w:r>
      <w:r w:rsidR="00DF6BFE">
        <w:rPr>
          <w:lang w:eastAsia="ja-JP"/>
        </w:rPr>
        <w:t xml:space="preserve">, </w:t>
      </w:r>
      <w:r w:rsidR="002A0E99">
        <w:rPr>
          <w:lang w:eastAsia="ja-JP"/>
        </w:rPr>
        <w:t>doi:</w:t>
      </w:r>
      <w:r w:rsidRPr="00DF6BFE" w:rsidR="00DF6BFE">
        <w:rPr>
          <w:lang w:eastAsia="ja-JP"/>
        </w:rPr>
        <w:t>10.1021/es048947e</w:t>
      </w:r>
      <w:r>
        <w:rPr>
          <w:lang w:eastAsia="ja-JP"/>
        </w:rPr>
        <w:t>.</w:t>
      </w:r>
    </w:p>
    <w:p w:rsidR="005B6FC0" w:rsidP="001B25CD" w14:paraId="1E8A509E" w14:textId="0C151102">
      <w:pPr>
        <w:rPr>
          <w:lang w:eastAsia="ja-JP"/>
        </w:rPr>
      </w:pPr>
      <w:r>
        <w:rPr>
          <w:lang w:eastAsia="ja-JP"/>
        </w:rPr>
        <w:t xml:space="preserve">MacDonald AJ </w:t>
      </w:r>
      <w:r w:rsidR="003C60FB">
        <w:rPr>
          <w:lang w:eastAsia="ja-JP"/>
        </w:rPr>
        <w:t>and</w:t>
      </w:r>
      <w:r>
        <w:rPr>
          <w:lang w:eastAsia="ja-JP"/>
        </w:rPr>
        <w:t xml:space="preserve"> Sarre SD </w:t>
      </w:r>
      <w:r w:rsidR="009F25DD">
        <w:rPr>
          <w:lang w:eastAsia="ja-JP"/>
        </w:rPr>
        <w:t>(</w:t>
      </w:r>
      <w:r>
        <w:rPr>
          <w:lang w:eastAsia="ja-JP"/>
        </w:rPr>
        <w:t>2017</w:t>
      </w:r>
      <w:r w:rsidR="009F25DD">
        <w:rPr>
          <w:lang w:eastAsia="ja-JP"/>
        </w:rPr>
        <w:t>)</w:t>
      </w:r>
      <w:r>
        <w:rPr>
          <w:lang w:eastAsia="ja-JP"/>
        </w:rPr>
        <w:t xml:space="preserve"> </w:t>
      </w:r>
      <w:r w:rsidR="009F25DD">
        <w:rPr>
          <w:lang w:eastAsia="ja-JP"/>
        </w:rPr>
        <w:t>‘</w:t>
      </w:r>
      <w:r>
        <w:fldChar w:fldCharType="begin"/>
      </w:r>
      <w:r>
        <w:instrText xml:space="preserve"> HYPERLINK "https://doi.org/10.1111/1755-0998.12618" </w:instrText>
      </w:r>
      <w:r>
        <w:fldChar w:fldCharType="separate"/>
      </w:r>
      <w:r w:rsidRPr="008C2C9A">
        <w:rPr>
          <w:rStyle w:val="Hyperlink"/>
          <w:lang w:eastAsia="ja-JP"/>
        </w:rPr>
        <w:t>A framework for developing and validating taxon-specific primers for specimen identification from environmental DNA</w:t>
      </w:r>
      <w:r>
        <w:fldChar w:fldCharType="end"/>
      </w:r>
      <w:r w:rsidR="009F25DD">
        <w:rPr>
          <w:lang w:eastAsia="ja-JP"/>
        </w:rPr>
        <w:t>’</w:t>
      </w:r>
      <w:r>
        <w:rPr>
          <w:lang w:eastAsia="ja-JP"/>
        </w:rPr>
        <w:t xml:space="preserve"> </w:t>
      </w:r>
      <w:r w:rsidRPr="005545CE">
        <w:rPr>
          <w:rStyle w:val="Emphasis"/>
        </w:rPr>
        <w:t>Molecular Ecology Resources</w:t>
      </w:r>
      <w:r>
        <w:rPr>
          <w:lang w:eastAsia="ja-JP"/>
        </w:rPr>
        <w:t>, 17</w:t>
      </w:r>
      <w:r w:rsidR="009F25DD">
        <w:rPr>
          <w:lang w:eastAsia="ja-JP"/>
        </w:rPr>
        <w:t>:</w:t>
      </w:r>
      <w:r>
        <w:rPr>
          <w:lang w:eastAsia="ja-JP"/>
        </w:rPr>
        <w:t>708–720</w:t>
      </w:r>
      <w:r w:rsidR="008C2C9A">
        <w:rPr>
          <w:lang w:eastAsia="ja-JP"/>
        </w:rPr>
        <w:t xml:space="preserve">, </w:t>
      </w:r>
      <w:r w:rsidR="002A0E99">
        <w:rPr>
          <w:lang w:eastAsia="ja-JP"/>
        </w:rPr>
        <w:t>doi:</w:t>
      </w:r>
      <w:r w:rsidRPr="008C2C9A" w:rsidR="008C2C9A">
        <w:rPr>
          <w:lang w:eastAsia="ja-JP"/>
        </w:rPr>
        <w:t>10.1111/1755-0998.12618</w:t>
      </w:r>
      <w:r>
        <w:rPr>
          <w:lang w:eastAsia="ja-JP"/>
        </w:rPr>
        <w:t>.</w:t>
      </w:r>
    </w:p>
    <w:p w:rsidR="005B6FC0" w:rsidP="001B25CD" w14:paraId="3B438448" w14:textId="302DDA0F">
      <w:pPr>
        <w:rPr>
          <w:lang w:eastAsia="ja-JP"/>
        </w:rPr>
      </w:pPr>
      <w:r>
        <w:rPr>
          <w:lang w:eastAsia="ja-JP"/>
        </w:rPr>
        <w:t xml:space="preserve">Mackenzie DI </w:t>
      </w:r>
      <w:r w:rsidR="003C60FB">
        <w:rPr>
          <w:lang w:eastAsia="ja-JP"/>
        </w:rPr>
        <w:t>and</w:t>
      </w:r>
      <w:r>
        <w:rPr>
          <w:lang w:eastAsia="ja-JP"/>
        </w:rPr>
        <w:t xml:space="preserve"> Royle JA </w:t>
      </w:r>
      <w:r w:rsidR="009F25DD">
        <w:rPr>
          <w:lang w:eastAsia="ja-JP"/>
        </w:rPr>
        <w:t>(</w:t>
      </w:r>
      <w:r>
        <w:rPr>
          <w:lang w:eastAsia="ja-JP"/>
        </w:rPr>
        <w:t>2005</w:t>
      </w:r>
      <w:r w:rsidR="009F25DD">
        <w:rPr>
          <w:lang w:eastAsia="ja-JP"/>
        </w:rPr>
        <w:t>)</w:t>
      </w:r>
      <w:r>
        <w:rPr>
          <w:lang w:eastAsia="ja-JP"/>
        </w:rPr>
        <w:t xml:space="preserve"> </w:t>
      </w:r>
      <w:r w:rsidR="009F25DD">
        <w:rPr>
          <w:lang w:eastAsia="ja-JP"/>
        </w:rPr>
        <w:t>‘</w:t>
      </w:r>
      <w:r>
        <w:fldChar w:fldCharType="begin"/>
      </w:r>
      <w:r>
        <w:instrText xml:space="preserve"> HYPERLINK "https://doi.org/10.1111/j.1365-2664.2005.01098.x" </w:instrText>
      </w:r>
      <w:r>
        <w:fldChar w:fldCharType="separate"/>
      </w:r>
      <w:r w:rsidRPr="008C2C9A">
        <w:rPr>
          <w:rStyle w:val="Hyperlink"/>
          <w:lang w:eastAsia="ja-JP"/>
        </w:rPr>
        <w:t xml:space="preserve">Designing occupancy studies: </w:t>
      </w:r>
      <w:r w:rsidRPr="008C2C9A" w:rsidR="009F25DD">
        <w:rPr>
          <w:rStyle w:val="Hyperlink"/>
          <w:lang w:eastAsia="ja-JP"/>
        </w:rPr>
        <w:t>g</w:t>
      </w:r>
      <w:r w:rsidRPr="008C2C9A">
        <w:rPr>
          <w:rStyle w:val="Hyperlink"/>
          <w:lang w:eastAsia="ja-JP"/>
        </w:rPr>
        <w:t>eneral advice and allocating survey effort</w:t>
      </w:r>
      <w:r>
        <w:fldChar w:fldCharType="end"/>
      </w:r>
      <w:r w:rsidR="009F25DD">
        <w:rPr>
          <w:lang w:eastAsia="ja-JP"/>
        </w:rPr>
        <w:t>’,</w:t>
      </w:r>
      <w:r>
        <w:rPr>
          <w:lang w:eastAsia="ja-JP"/>
        </w:rPr>
        <w:t xml:space="preserve"> </w:t>
      </w:r>
      <w:r w:rsidRPr="005545CE">
        <w:rPr>
          <w:rStyle w:val="Emphasis"/>
        </w:rPr>
        <w:t>Journal of Applied Ecology</w:t>
      </w:r>
      <w:r>
        <w:rPr>
          <w:lang w:eastAsia="ja-JP"/>
        </w:rPr>
        <w:t>, 42</w:t>
      </w:r>
      <w:r w:rsidR="009F25DD">
        <w:rPr>
          <w:lang w:eastAsia="ja-JP"/>
        </w:rPr>
        <w:t>:</w:t>
      </w:r>
      <w:r>
        <w:rPr>
          <w:lang w:eastAsia="ja-JP"/>
        </w:rPr>
        <w:t>1105–1114</w:t>
      </w:r>
      <w:r w:rsidR="008C2C9A">
        <w:rPr>
          <w:lang w:eastAsia="ja-JP"/>
        </w:rPr>
        <w:t xml:space="preserve">, </w:t>
      </w:r>
      <w:r w:rsidR="002A0E99">
        <w:rPr>
          <w:lang w:eastAsia="ja-JP"/>
        </w:rPr>
        <w:t>doi:</w:t>
      </w:r>
      <w:r w:rsidRPr="008C2C9A" w:rsidR="008C2C9A">
        <w:rPr>
          <w:lang w:eastAsia="ja-JP"/>
        </w:rPr>
        <w:t>10.1111/j.1365-2664.2005.01098.x</w:t>
      </w:r>
      <w:r>
        <w:rPr>
          <w:lang w:eastAsia="ja-JP"/>
        </w:rPr>
        <w:t>.</w:t>
      </w:r>
    </w:p>
    <w:p w:rsidR="005B6FC0" w:rsidP="001B25CD" w14:paraId="2836918E" w14:textId="62B3E734">
      <w:pPr>
        <w:rPr>
          <w:lang w:eastAsia="ja-JP"/>
        </w:rPr>
      </w:pPr>
      <w:r>
        <w:rPr>
          <w:lang w:eastAsia="ja-JP"/>
        </w:rPr>
        <w:t xml:space="preserve">MacKenzie DI </w:t>
      </w:r>
      <w:r w:rsidR="00547ECE">
        <w:rPr>
          <w:lang w:eastAsia="ja-JP"/>
        </w:rPr>
        <w:t>(</w:t>
      </w:r>
      <w:r>
        <w:rPr>
          <w:lang w:eastAsia="ja-JP"/>
        </w:rPr>
        <w:t>2006</w:t>
      </w:r>
      <w:r w:rsidR="00547ECE">
        <w:rPr>
          <w:lang w:eastAsia="ja-JP"/>
        </w:rPr>
        <w:t>)</w:t>
      </w:r>
      <w:r>
        <w:rPr>
          <w:lang w:eastAsia="ja-JP"/>
        </w:rPr>
        <w:t xml:space="preserve"> </w:t>
      </w:r>
      <w:r w:rsidRPr="00547ECE">
        <w:rPr>
          <w:i/>
          <w:iCs/>
          <w:lang w:eastAsia="ja-JP"/>
        </w:rPr>
        <w:t>Occupancy estimation and modeling:</w:t>
      </w:r>
      <w:r w:rsidR="00FA46E1">
        <w:rPr>
          <w:i/>
          <w:iCs/>
          <w:lang w:eastAsia="ja-JP"/>
        </w:rPr>
        <w:t xml:space="preserve"> i</w:t>
      </w:r>
      <w:r w:rsidRPr="00547ECE">
        <w:rPr>
          <w:i/>
          <w:iCs/>
          <w:lang w:eastAsia="ja-JP"/>
        </w:rPr>
        <w:t>nferring patterns and dynamics of species occurrence</w:t>
      </w:r>
      <w:r w:rsidR="00547ECE">
        <w:rPr>
          <w:lang w:eastAsia="ja-JP"/>
        </w:rPr>
        <w:t>,</w:t>
      </w:r>
      <w:r>
        <w:rPr>
          <w:lang w:eastAsia="ja-JP"/>
        </w:rPr>
        <w:t xml:space="preserve"> Elsevier, Burlington.</w:t>
      </w:r>
    </w:p>
    <w:p w:rsidR="005B6FC0" w:rsidP="001B25CD" w14:paraId="507AAE6E" w14:textId="7ADE805E">
      <w:pPr>
        <w:rPr>
          <w:lang w:eastAsia="ja-JP"/>
        </w:rPr>
      </w:pPr>
      <w:r>
        <w:rPr>
          <w:lang w:eastAsia="ja-JP"/>
        </w:rPr>
        <w:t xml:space="preserve">Madden JC, Rogiers V </w:t>
      </w:r>
      <w:r w:rsidR="003C60FB">
        <w:rPr>
          <w:lang w:eastAsia="ja-JP"/>
        </w:rPr>
        <w:t>and</w:t>
      </w:r>
      <w:r>
        <w:rPr>
          <w:lang w:eastAsia="ja-JP"/>
        </w:rPr>
        <w:t xml:space="preserve"> Vinken M </w:t>
      </w:r>
      <w:r w:rsidR="00547ECE">
        <w:rPr>
          <w:lang w:eastAsia="ja-JP"/>
        </w:rPr>
        <w:t>(</w:t>
      </w:r>
      <w:r>
        <w:rPr>
          <w:lang w:eastAsia="ja-JP"/>
        </w:rPr>
        <w:t>2014</w:t>
      </w:r>
      <w:r w:rsidR="00547ECE">
        <w:rPr>
          <w:lang w:eastAsia="ja-JP"/>
        </w:rPr>
        <w:t>)</w:t>
      </w:r>
      <w:r>
        <w:rPr>
          <w:lang w:eastAsia="ja-JP"/>
        </w:rPr>
        <w:t xml:space="preserve"> </w:t>
      </w:r>
      <w:r w:rsidR="00547ECE">
        <w:rPr>
          <w:lang w:eastAsia="ja-JP"/>
        </w:rPr>
        <w:t>‘</w:t>
      </w:r>
      <w:r>
        <w:fldChar w:fldCharType="begin"/>
      </w:r>
      <w:r>
        <w:instrText xml:space="preserve"> HYPERLINK "https://doi.org/10.1098/rstb.2013.0584" </w:instrText>
      </w:r>
      <w:r>
        <w:fldChar w:fldCharType="separate"/>
      </w:r>
      <w:r w:rsidRPr="008C2C9A">
        <w:rPr>
          <w:rStyle w:val="Hyperlink"/>
          <w:lang w:eastAsia="ja-JP"/>
        </w:rPr>
        <w:t xml:space="preserve">Application of </w:t>
      </w:r>
      <w:r w:rsidRPr="008C2C9A">
        <w:rPr>
          <w:rStyle w:val="Hyperlink"/>
          <w:i/>
          <w:iCs/>
          <w:lang w:eastAsia="ja-JP"/>
        </w:rPr>
        <w:t>in silico</w:t>
      </w:r>
      <w:r w:rsidRPr="008C2C9A">
        <w:rPr>
          <w:rStyle w:val="Hyperlink"/>
          <w:lang w:eastAsia="ja-JP"/>
        </w:rPr>
        <w:t xml:space="preserve"> and </w:t>
      </w:r>
      <w:r w:rsidRPr="008C2C9A">
        <w:rPr>
          <w:rStyle w:val="Hyperlink"/>
          <w:i/>
          <w:iCs/>
          <w:lang w:eastAsia="ja-JP"/>
        </w:rPr>
        <w:t>in vitro</w:t>
      </w:r>
      <w:r w:rsidRPr="008C2C9A">
        <w:rPr>
          <w:rStyle w:val="Hyperlink"/>
          <w:lang w:eastAsia="ja-JP"/>
        </w:rPr>
        <w:t xml:space="preserve"> methods in the development of adverse outcome pathway constructs in wildlife</w:t>
      </w:r>
      <w:r>
        <w:fldChar w:fldCharType="end"/>
      </w:r>
      <w:r w:rsidR="00547ECE">
        <w:rPr>
          <w:lang w:eastAsia="ja-JP"/>
        </w:rPr>
        <w:t>’,</w:t>
      </w:r>
      <w:r>
        <w:rPr>
          <w:lang w:eastAsia="ja-JP"/>
        </w:rPr>
        <w:t xml:space="preserve"> </w:t>
      </w:r>
      <w:r w:rsidRPr="005545CE">
        <w:rPr>
          <w:rStyle w:val="Emphasis"/>
        </w:rPr>
        <w:t>Philosophical Transactions of the Royal Society B: Biological Sciences</w:t>
      </w:r>
      <w:r>
        <w:rPr>
          <w:lang w:eastAsia="ja-JP"/>
        </w:rPr>
        <w:t>, 369</w:t>
      </w:r>
      <w:r w:rsidR="00547ECE">
        <w:rPr>
          <w:lang w:eastAsia="ja-JP"/>
        </w:rPr>
        <w:t>:</w:t>
      </w:r>
      <w:r>
        <w:rPr>
          <w:lang w:eastAsia="ja-JP"/>
        </w:rPr>
        <w:t>20130584–20130584</w:t>
      </w:r>
      <w:r w:rsidR="008C2C9A">
        <w:rPr>
          <w:lang w:eastAsia="ja-JP"/>
        </w:rPr>
        <w:t xml:space="preserve">, </w:t>
      </w:r>
      <w:r w:rsidR="002A0E99">
        <w:rPr>
          <w:lang w:eastAsia="ja-JP"/>
        </w:rPr>
        <w:t>doi:</w:t>
      </w:r>
      <w:r w:rsidRPr="008C2C9A" w:rsidR="008C2C9A">
        <w:rPr>
          <w:lang w:eastAsia="ja-JP"/>
        </w:rPr>
        <w:t>10.1098/rstb.2013.0584</w:t>
      </w:r>
      <w:r>
        <w:rPr>
          <w:lang w:eastAsia="ja-JP"/>
        </w:rPr>
        <w:t>.</w:t>
      </w:r>
    </w:p>
    <w:p w:rsidR="00DC235F" w:rsidRPr="00DC235F" w:rsidP="00DC235F" w14:paraId="59D92C15" w14:textId="729022B5">
      <w:pPr>
        <w:rPr>
          <w:lang w:eastAsia="ja-JP"/>
        </w:rPr>
      </w:pPr>
      <w:r w:rsidRPr="00DC235F">
        <w:rPr>
          <w:lang w:eastAsia="ja-JP"/>
        </w:rPr>
        <w:t xml:space="preserve">Magurran AE </w:t>
      </w:r>
      <w:r w:rsidR="00547ECE">
        <w:rPr>
          <w:lang w:eastAsia="ja-JP"/>
        </w:rPr>
        <w:t>(</w:t>
      </w:r>
      <w:r w:rsidRPr="00DC235F">
        <w:rPr>
          <w:lang w:eastAsia="ja-JP"/>
        </w:rPr>
        <w:t>2013</w:t>
      </w:r>
      <w:r w:rsidR="00547ECE">
        <w:rPr>
          <w:lang w:eastAsia="ja-JP"/>
        </w:rPr>
        <w:t>)</w:t>
      </w:r>
      <w:r w:rsidRPr="00DC235F">
        <w:rPr>
          <w:lang w:eastAsia="ja-JP"/>
        </w:rPr>
        <w:t xml:space="preserve"> </w:t>
      </w:r>
      <w:r w:rsidRPr="00547ECE">
        <w:rPr>
          <w:i/>
          <w:iCs/>
          <w:lang w:eastAsia="ja-JP"/>
        </w:rPr>
        <w:t>Measuring biological diversity</w:t>
      </w:r>
      <w:r w:rsidR="00547ECE">
        <w:rPr>
          <w:lang w:eastAsia="ja-JP"/>
        </w:rPr>
        <w:t>,</w:t>
      </w:r>
      <w:r w:rsidRPr="00DC235F">
        <w:rPr>
          <w:lang w:eastAsia="ja-JP"/>
        </w:rPr>
        <w:t xml:space="preserve"> 2nd ed</w:t>
      </w:r>
      <w:r w:rsidR="00547ECE">
        <w:rPr>
          <w:lang w:eastAsia="ja-JP"/>
        </w:rPr>
        <w:t>n,</w:t>
      </w:r>
      <w:r w:rsidRPr="00DC235F">
        <w:rPr>
          <w:lang w:eastAsia="ja-JP"/>
        </w:rPr>
        <w:t xml:space="preserve"> Blackwell </w:t>
      </w:r>
      <w:r>
        <w:rPr>
          <w:lang w:eastAsia="ja-JP"/>
        </w:rPr>
        <w:t>Publishing,</w:t>
      </w:r>
      <w:r w:rsidRPr="00DC235F">
        <w:rPr>
          <w:lang w:eastAsia="ja-JP"/>
        </w:rPr>
        <w:t xml:space="preserve"> Oxford</w:t>
      </w:r>
      <w:r>
        <w:rPr>
          <w:lang w:eastAsia="ja-JP"/>
        </w:rPr>
        <w:t>.</w:t>
      </w:r>
      <w:r w:rsidRPr="00DC235F">
        <w:rPr>
          <w:lang w:eastAsia="ja-JP"/>
        </w:rPr>
        <w:t xml:space="preserve"> </w:t>
      </w:r>
    </w:p>
    <w:p w:rsidR="005B6FC0" w:rsidRPr="00D43AFA" w:rsidP="00D43AFA" w14:paraId="65877A24" w14:textId="7159F74C">
      <w:pPr>
        <w:rPr>
          <w:lang w:val="en-GB" w:eastAsia="ja-JP"/>
        </w:rPr>
      </w:pPr>
      <w:r w:rsidRPr="00D43AFA">
        <w:rPr>
          <w:lang w:val="en-GB" w:eastAsia="ja-JP"/>
        </w:rPr>
        <w:t xml:space="preserve">Maltby L, Clayton SA, Yu H, McLoughlin N, Wood RM </w:t>
      </w:r>
      <w:r w:rsidR="003C60FB">
        <w:rPr>
          <w:lang w:val="en-GB" w:eastAsia="ja-JP"/>
        </w:rPr>
        <w:t>and</w:t>
      </w:r>
      <w:r w:rsidRPr="00D43AFA">
        <w:rPr>
          <w:lang w:val="en-GB" w:eastAsia="ja-JP"/>
        </w:rPr>
        <w:t xml:space="preserve"> Yin D </w:t>
      </w:r>
      <w:r w:rsidR="00547ECE">
        <w:rPr>
          <w:lang w:val="en-GB" w:eastAsia="ja-JP"/>
        </w:rPr>
        <w:t>(</w:t>
      </w:r>
      <w:r w:rsidRPr="00D43AFA">
        <w:rPr>
          <w:lang w:val="en-GB" w:eastAsia="ja-JP"/>
        </w:rPr>
        <w:t>2000</w:t>
      </w:r>
      <w:r w:rsidR="00547ECE">
        <w:rPr>
          <w:lang w:val="en-GB" w:eastAsia="ja-JP"/>
        </w:rPr>
        <w:t>)</w:t>
      </w:r>
      <w:r w:rsidRPr="00D43AFA">
        <w:rPr>
          <w:lang w:val="en-GB" w:eastAsia="ja-JP"/>
        </w:rPr>
        <w:t xml:space="preserve"> </w:t>
      </w:r>
      <w:r w:rsidR="00547ECE">
        <w:rPr>
          <w:lang w:val="en-GB" w:eastAsia="ja-JP"/>
        </w:rPr>
        <w:t>‘</w:t>
      </w:r>
      <w:r>
        <w:fldChar w:fldCharType="begin"/>
      </w:r>
      <w:r>
        <w:instrText xml:space="preserve"> HYPERLINK "http://dx.doi.org/10.1002/etc.5620190118" </w:instrText>
      </w:r>
      <w:r>
        <w:fldChar w:fldCharType="separate"/>
      </w:r>
      <w:r w:rsidRPr="008C2C9A">
        <w:rPr>
          <w:rStyle w:val="Hyperlink"/>
          <w:lang w:val="en-GB" w:eastAsia="ja-JP"/>
        </w:rPr>
        <w:t>Using single-species toxicity tests, community-level responses, and toxicity identification evaluations to investigate effluent impacts</w:t>
      </w:r>
      <w:r>
        <w:fldChar w:fldCharType="end"/>
      </w:r>
      <w:r w:rsidR="00547ECE">
        <w:rPr>
          <w:lang w:val="en-GB" w:eastAsia="ja-JP"/>
        </w:rPr>
        <w:t>’,</w:t>
      </w:r>
      <w:r w:rsidRPr="00D43AFA">
        <w:rPr>
          <w:lang w:val="en-GB" w:eastAsia="ja-JP"/>
        </w:rPr>
        <w:t xml:space="preserve"> </w:t>
      </w:r>
      <w:r w:rsidRPr="00E2307B">
        <w:rPr>
          <w:rStyle w:val="Emphasis"/>
        </w:rPr>
        <w:t>Environmental Toxicology and Chemistry</w:t>
      </w:r>
      <w:r>
        <w:rPr>
          <w:lang w:val="en-GB" w:eastAsia="ja-JP"/>
        </w:rPr>
        <w:t>,</w:t>
      </w:r>
      <w:r w:rsidRPr="00D43AFA">
        <w:rPr>
          <w:lang w:val="en-GB" w:eastAsia="ja-JP"/>
        </w:rPr>
        <w:t xml:space="preserve"> 19</w:t>
      </w:r>
      <w:r w:rsidR="00547ECE">
        <w:rPr>
          <w:lang w:val="en-GB" w:eastAsia="ja-JP"/>
        </w:rPr>
        <w:t>:</w:t>
      </w:r>
      <w:r w:rsidRPr="00D43AFA">
        <w:rPr>
          <w:lang w:val="en-GB" w:eastAsia="ja-JP"/>
        </w:rPr>
        <w:t>151–157</w:t>
      </w:r>
      <w:r w:rsidR="008C2C9A">
        <w:rPr>
          <w:lang w:val="en-GB" w:eastAsia="ja-JP"/>
        </w:rPr>
        <w:t xml:space="preserve">, </w:t>
      </w:r>
      <w:r w:rsidR="002A0E99">
        <w:rPr>
          <w:lang w:val="en-GB" w:eastAsia="ja-JP"/>
        </w:rPr>
        <w:t>doi:</w:t>
      </w:r>
      <w:r w:rsidRPr="008C2C9A" w:rsidR="008C2C9A">
        <w:rPr>
          <w:lang w:val="en-GB" w:eastAsia="ja-JP"/>
        </w:rPr>
        <w:t>10.1002/etc.5620190118</w:t>
      </w:r>
      <w:r w:rsidRPr="00D43AFA">
        <w:rPr>
          <w:lang w:val="en-GB" w:eastAsia="ja-JP"/>
        </w:rPr>
        <w:t>.</w:t>
      </w:r>
    </w:p>
    <w:p w:rsidR="005B6FC0" w:rsidRPr="00D43AFA" w:rsidP="00D43AFA" w14:paraId="1965A527" w14:textId="3DCF9560">
      <w:pPr>
        <w:rPr>
          <w:lang w:val="en-GB" w:eastAsia="ja-JP"/>
        </w:rPr>
      </w:pPr>
      <w:r w:rsidRPr="00D43AFA">
        <w:rPr>
          <w:lang w:val="en-GB" w:eastAsia="ja-JP"/>
        </w:rPr>
        <w:t xml:space="preserve">Manning TM, Evans JL </w:t>
      </w:r>
      <w:r w:rsidR="003C60FB">
        <w:rPr>
          <w:lang w:val="en-GB" w:eastAsia="ja-JP"/>
        </w:rPr>
        <w:t>and</w:t>
      </w:r>
      <w:r w:rsidRPr="00D43AFA">
        <w:rPr>
          <w:lang w:val="en-GB" w:eastAsia="ja-JP"/>
        </w:rPr>
        <w:t xml:space="preserve"> Chapman JC </w:t>
      </w:r>
      <w:r w:rsidR="00547ECE">
        <w:rPr>
          <w:lang w:val="en-GB" w:eastAsia="ja-JP"/>
        </w:rPr>
        <w:t>(</w:t>
      </w:r>
      <w:r w:rsidRPr="00D43AFA">
        <w:rPr>
          <w:lang w:val="en-GB" w:eastAsia="ja-JP"/>
        </w:rPr>
        <w:t>1993</w:t>
      </w:r>
      <w:r w:rsidR="00547ECE">
        <w:rPr>
          <w:lang w:val="en-GB" w:eastAsia="ja-JP"/>
        </w:rPr>
        <w:t>)</w:t>
      </w:r>
      <w:r w:rsidRPr="00D43AFA">
        <w:rPr>
          <w:lang w:val="en-GB" w:eastAsia="ja-JP"/>
        </w:rPr>
        <w:t xml:space="preserve"> </w:t>
      </w:r>
      <w:r w:rsidR="00547ECE">
        <w:rPr>
          <w:lang w:val="en-GB" w:eastAsia="ja-JP"/>
        </w:rPr>
        <w:t>‘</w:t>
      </w:r>
      <w:r w:rsidRPr="00D43AFA">
        <w:rPr>
          <w:lang w:val="en-GB" w:eastAsia="ja-JP"/>
        </w:rPr>
        <w:t>The development of toxicity identification and evaluation procedures in Australia</w:t>
      </w:r>
      <w:r w:rsidR="00547ECE">
        <w:rPr>
          <w:lang w:val="en-GB" w:eastAsia="ja-JP"/>
        </w:rPr>
        <w:t>’,</w:t>
      </w:r>
      <w:r w:rsidRPr="00D43AFA">
        <w:rPr>
          <w:lang w:val="en-GB" w:eastAsia="ja-JP"/>
        </w:rPr>
        <w:t xml:space="preserve"> </w:t>
      </w:r>
      <w:r w:rsidRPr="002B5290">
        <w:rPr>
          <w:rStyle w:val="Emphasis"/>
        </w:rPr>
        <w:t>Chemistry in Australia</w:t>
      </w:r>
      <w:r w:rsidRPr="00D43AFA">
        <w:rPr>
          <w:lang w:val="en-GB" w:eastAsia="ja-JP"/>
        </w:rPr>
        <w:t>, August 1993</w:t>
      </w:r>
      <w:r w:rsidR="00547ECE">
        <w:rPr>
          <w:lang w:val="en-GB" w:eastAsia="ja-JP"/>
        </w:rPr>
        <w:t>:</w:t>
      </w:r>
      <w:r w:rsidRPr="00D43AFA">
        <w:rPr>
          <w:lang w:val="en-GB" w:eastAsia="ja-JP"/>
        </w:rPr>
        <w:t>398–400.</w:t>
      </w:r>
    </w:p>
    <w:p w:rsidR="005B6FC0" w:rsidRPr="00F6192C" w:rsidP="00F6192C" w14:paraId="6B7D761F" w14:textId="084EA299">
      <w:pPr>
        <w:rPr>
          <w:lang w:val="en-GB" w:eastAsia="ja-JP"/>
        </w:rPr>
      </w:pPr>
      <w:r w:rsidRPr="00F6192C">
        <w:rPr>
          <w:lang w:val="en-GB" w:eastAsia="ja-JP"/>
        </w:rPr>
        <w:t xml:space="preserve">Marking LL </w:t>
      </w:r>
      <w:r w:rsidR="00547ECE">
        <w:rPr>
          <w:lang w:val="en-GB" w:eastAsia="ja-JP"/>
        </w:rPr>
        <w:t>(</w:t>
      </w:r>
      <w:r w:rsidRPr="00F6192C">
        <w:rPr>
          <w:lang w:val="en-GB" w:eastAsia="ja-JP"/>
        </w:rPr>
        <w:t>1977</w:t>
      </w:r>
      <w:r w:rsidR="00547ECE">
        <w:rPr>
          <w:lang w:val="en-GB" w:eastAsia="ja-JP"/>
        </w:rPr>
        <w:t>)</w:t>
      </w:r>
      <w:r w:rsidRPr="00F6192C">
        <w:rPr>
          <w:lang w:val="en-GB" w:eastAsia="ja-JP"/>
        </w:rPr>
        <w:t xml:space="preserve"> </w:t>
      </w:r>
      <w:r w:rsidR="00547ECE">
        <w:rPr>
          <w:lang w:val="en-GB" w:eastAsia="ja-JP"/>
        </w:rPr>
        <w:t>‘</w:t>
      </w:r>
      <w:r w:rsidRPr="00F6192C">
        <w:rPr>
          <w:lang w:val="en-GB" w:eastAsia="ja-JP"/>
        </w:rPr>
        <w:t>Method for assessing additive toxicity of chemical mixtures</w:t>
      </w:r>
      <w:r w:rsidR="00547ECE">
        <w:rPr>
          <w:lang w:val="en-GB" w:eastAsia="ja-JP"/>
        </w:rPr>
        <w:t>’,</w:t>
      </w:r>
      <w:r w:rsidRPr="00F6192C">
        <w:rPr>
          <w:lang w:val="en-GB" w:eastAsia="ja-JP"/>
        </w:rPr>
        <w:t xml:space="preserve"> </w:t>
      </w:r>
      <w:r w:rsidR="00547ECE">
        <w:rPr>
          <w:lang w:val="en-GB" w:eastAsia="ja-JP"/>
        </w:rPr>
        <w:t>i</w:t>
      </w:r>
      <w:r w:rsidRPr="00F6192C">
        <w:rPr>
          <w:lang w:val="en-GB" w:eastAsia="ja-JP"/>
        </w:rPr>
        <w:t>n Mayer</w:t>
      </w:r>
      <w:r w:rsidR="00547ECE">
        <w:rPr>
          <w:lang w:val="en-GB" w:eastAsia="ja-JP"/>
        </w:rPr>
        <w:t xml:space="preserve"> FL</w:t>
      </w:r>
      <w:r w:rsidRPr="00F6192C">
        <w:rPr>
          <w:lang w:val="en-GB" w:eastAsia="ja-JP"/>
        </w:rPr>
        <w:t xml:space="preserve"> </w:t>
      </w:r>
      <w:r w:rsidR="003C60FB">
        <w:rPr>
          <w:lang w:val="en-GB" w:eastAsia="ja-JP"/>
        </w:rPr>
        <w:t>and</w:t>
      </w:r>
      <w:r w:rsidRPr="00F6192C">
        <w:rPr>
          <w:lang w:val="en-GB" w:eastAsia="ja-JP"/>
        </w:rPr>
        <w:t xml:space="preserve"> Hamelink</w:t>
      </w:r>
      <w:r w:rsidR="00547ECE">
        <w:rPr>
          <w:lang w:val="en-GB" w:eastAsia="ja-JP"/>
        </w:rPr>
        <w:t xml:space="preserve"> JL</w:t>
      </w:r>
      <w:r w:rsidRPr="00F6192C">
        <w:rPr>
          <w:lang w:val="en-GB" w:eastAsia="ja-JP"/>
        </w:rPr>
        <w:t xml:space="preserve"> </w:t>
      </w:r>
      <w:r>
        <w:rPr>
          <w:lang w:val="en-GB" w:eastAsia="ja-JP"/>
        </w:rPr>
        <w:t xml:space="preserve">(eds) </w:t>
      </w:r>
      <w:r w:rsidRPr="00547ECE">
        <w:rPr>
          <w:i/>
          <w:iCs/>
          <w:lang w:val="en-GB" w:eastAsia="ja-JP"/>
        </w:rPr>
        <w:t>Aquatic toxicology and hazard evaluation</w:t>
      </w:r>
      <w:r>
        <w:rPr>
          <w:lang w:val="en-GB" w:eastAsia="ja-JP"/>
        </w:rPr>
        <w:t>,</w:t>
      </w:r>
      <w:r w:rsidRPr="00F6192C">
        <w:rPr>
          <w:lang w:val="en-GB" w:eastAsia="ja-JP"/>
        </w:rPr>
        <w:t xml:space="preserve"> ASTM STP 634, American Society for Testing and Materials, Philadelphia.</w:t>
      </w:r>
    </w:p>
    <w:p w:rsidR="005B6FC0" w:rsidP="001B25CD" w14:paraId="472982DD" w14:textId="759CD2C7">
      <w:pPr>
        <w:rPr>
          <w:lang w:eastAsia="ja-JP"/>
        </w:rPr>
      </w:pPr>
      <w:r>
        <w:rPr>
          <w:lang w:eastAsia="ja-JP"/>
        </w:rPr>
        <w:t xml:space="preserve">Martín-Díaz ML, DelValls TA, Riba I </w:t>
      </w:r>
      <w:r w:rsidR="003C60FB">
        <w:rPr>
          <w:lang w:eastAsia="ja-JP"/>
        </w:rPr>
        <w:t>and</w:t>
      </w:r>
      <w:r>
        <w:rPr>
          <w:lang w:eastAsia="ja-JP"/>
        </w:rPr>
        <w:t xml:space="preserve"> Blasco J </w:t>
      </w:r>
      <w:r w:rsidR="00547ECE">
        <w:rPr>
          <w:lang w:eastAsia="ja-JP"/>
        </w:rPr>
        <w:t>(</w:t>
      </w:r>
      <w:r>
        <w:rPr>
          <w:lang w:eastAsia="ja-JP"/>
        </w:rPr>
        <w:t>2008</w:t>
      </w:r>
      <w:r w:rsidR="00547ECE">
        <w:rPr>
          <w:lang w:eastAsia="ja-JP"/>
        </w:rPr>
        <w:t>)</w:t>
      </w:r>
      <w:r>
        <w:rPr>
          <w:lang w:eastAsia="ja-JP"/>
        </w:rPr>
        <w:t xml:space="preserve"> </w:t>
      </w:r>
      <w:r w:rsidR="00547ECE">
        <w:rPr>
          <w:lang w:eastAsia="ja-JP"/>
        </w:rPr>
        <w:t>‘</w:t>
      </w:r>
      <w:r>
        <w:fldChar w:fldCharType="begin"/>
      </w:r>
      <w:r>
        <w:instrText xml:space="preserve"> HYPERLINK "https://doi.org/10.1007/s10565-008-9062-1" </w:instrText>
      </w:r>
      <w:r>
        <w:fldChar w:fldCharType="separate"/>
      </w:r>
      <w:r w:rsidRPr="00B30E37">
        <w:rPr>
          <w:rStyle w:val="Hyperlink"/>
          <w:lang w:eastAsia="ja-JP"/>
        </w:rPr>
        <w:t xml:space="preserve">Integrative sediment quality assessment using a biomarker approach: </w:t>
      </w:r>
      <w:r w:rsidRPr="00B30E37" w:rsidR="00B30E37">
        <w:rPr>
          <w:rStyle w:val="Hyperlink"/>
          <w:lang w:eastAsia="ja-JP"/>
        </w:rPr>
        <w:t>r</w:t>
      </w:r>
      <w:r w:rsidRPr="00B30E37">
        <w:rPr>
          <w:rStyle w:val="Hyperlink"/>
          <w:lang w:eastAsia="ja-JP"/>
        </w:rPr>
        <w:t>eview of 3 years of field research</w:t>
      </w:r>
      <w:r>
        <w:fldChar w:fldCharType="end"/>
      </w:r>
      <w:r w:rsidR="00547ECE">
        <w:rPr>
          <w:lang w:eastAsia="ja-JP"/>
        </w:rPr>
        <w:t>’</w:t>
      </w:r>
      <w:r>
        <w:rPr>
          <w:lang w:eastAsia="ja-JP"/>
        </w:rPr>
        <w:t xml:space="preserve"> </w:t>
      </w:r>
      <w:r w:rsidRPr="004769BD">
        <w:rPr>
          <w:rStyle w:val="Emphasis"/>
        </w:rPr>
        <w:t>Cell Biology and Toxicology</w:t>
      </w:r>
      <w:r>
        <w:rPr>
          <w:lang w:eastAsia="ja-JP"/>
        </w:rPr>
        <w:t>, 24</w:t>
      </w:r>
      <w:r w:rsidR="00547ECE">
        <w:rPr>
          <w:lang w:eastAsia="ja-JP"/>
        </w:rPr>
        <w:t>:</w:t>
      </w:r>
      <w:r>
        <w:rPr>
          <w:lang w:eastAsia="ja-JP"/>
        </w:rPr>
        <w:t>513–526</w:t>
      </w:r>
      <w:r w:rsidR="00B30E37">
        <w:rPr>
          <w:lang w:eastAsia="ja-JP"/>
        </w:rPr>
        <w:t xml:space="preserve">, </w:t>
      </w:r>
      <w:r w:rsidR="002A0E99">
        <w:rPr>
          <w:lang w:eastAsia="ja-JP"/>
        </w:rPr>
        <w:t>doi:</w:t>
      </w:r>
      <w:r w:rsidRPr="00B30E37" w:rsidR="00B30E37">
        <w:rPr>
          <w:lang w:eastAsia="ja-JP"/>
        </w:rPr>
        <w:t>10.1007/s10565-008-9062-1</w:t>
      </w:r>
      <w:r>
        <w:rPr>
          <w:lang w:eastAsia="ja-JP"/>
        </w:rPr>
        <w:t>.</w:t>
      </w:r>
    </w:p>
    <w:p w:rsidR="005B6FC0" w:rsidP="001B25CD" w14:paraId="1E8E3F04" w14:textId="23750D84">
      <w:pPr>
        <w:rPr>
          <w:lang w:eastAsia="ja-JP"/>
        </w:rPr>
      </w:pPr>
      <w:r>
        <w:rPr>
          <w:lang w:eastAsia="ja-JP"/>
        </w:rPr>
        <w:t xml:space="preserve">Matozzo V, Gagné F, Marin MG, Ricciardi F </w:t>
      </w:r>
      <w:r w:rsidR="003C60FB">
        <w:rPr>
          <w:lang w:eastAsia="ja-JP"/>
        </w:rPr>
        <w:t>and</w:t>
      </w:r>
      <w:r>
        <w:rPr>
          <w:lang w:eastAsia="ja-JP"/>
        </w:rPr>
        <w:t xml:space="preserve"> Blaise C </w:t>
      </w:r>
      <w:r w:rsidR="00547ECE">
        <w:rPr>
          <w:lang w:eastAsia="ja-JP"/>
        </w:rPr>
        <w:t>(</w:t>
      </w:r>
      <w:r>
        <w:rPr>
          <w:lang w:eastAsia="ja-JP"/>
        </w:rPr>
        <w:t>2008</w:t>
      </w:r>
      <w:r w:rsidR="00547ECE">
        <w:rPr>
          <w:lang w:eastAsia="ja-JP"/>
        </w:rPr>
        <w:t>)</w:t>
      </w:r>
      <w:r>
        <w:rPr>
          <w:lang w:eastAsia="ja-JP"/>
        </w:rPr>
        <w:t xml:space="preserve"> </w:t>
      </w:r>
      <w:r w:rsidR="00547ECE">
        <w:rPr>
          <w:lang w:eastAsia="ja-JP"/>
        </w:rPr>
        <w:t>‘</w:t>
      </w:r>
      <w:r>
        <w:fldChar w:fldCharType="begin"/>
      </w:r>
      <w:r>
        <w:instrText xml:space="preserve"> HYPERLINK "https://doi.org/10.1016/j.envint.2007.09.008" </w:instrText>
      </w:r>
      <w:r>
        <w:fldChar w:fldCharType="separate"/>
      </w:r>
      <w:r w:rsidRPr="00B30E37">
        <w:rPr>
          <w:rStyle w:val="Hyperlink"/>
          <w:lang w:eastAsia="ja-JP"/>
        </w:rPr>
        <w:t xml:space="preserve">Vitellogenin as a biomarker of exposure to estrogenic compounds in aquatic invertebrates: </w:t>
      </w:r>
      <w:r w:rsidRPr="00B30E37" w:rsidR="00547ECE">
        <w:rPr>
          <w:rStyle w:val="Hyperlink"/>
          <w:lang w:eastAsia="ja-JP"/>
        </w:rPr>
        <w:t>a</w:t>
      </w:r>
      <w:r w:rsidRPr="00B30E37">
        <w:rPr>
          <w:rStyle w:val="Hyperlink"/>
          <w:lang w:eastAsia="ja-JP"/>
        </w:rPr>
        <w:t xml:space="preserve"> review</w:t>
      </w:r>
      <w:r>
        <w:fldChar w:fldCharType="end"/>
      </w:r>
      <w:r w:rsidR="00547ECE">
        <w:rPr>
          <w:lang w:eastAsia="ja-JP"/>
        </w:rPr>
        <w:t>’,</w:t>
      </w:r>
      <w:r>
        <w:rPr>
          <w:lang w:eastAsia="ja-JP"/>
        </w:rPr>
        <w:t xml:space="preserve"> </w:t>
      </w:r>
      <w:r w:rsidRPr="00C243D2">
        <w:rPr>
          <w:rStyle w:val="Emphasis"/>
        </w:rPr>
        <w:t>Environment International</w:t>
      </w:r>
      <w:r>
        <w:rPr>
          <w:lang w:eastAsia="ja-JP"/>
        </w:rPr>
        <w:t>, 34</w:t>
      </w:r>
      <w:r w:rsidR="00547ECE">
        <w:rPr>
          <w:lang w:eastAsia="ja-JP"/>
        </w:rPr>
        <w:t>:</w:t>
      </w:r>
      <w:r>
        <w:rPr>
          <w:lang w:eastAsia="ja-JP"/>
        </w:rPr>
        <w:t>531–545</w:t>
      </w:r>
      <w:r w:rsidR="00B30E37">
        <w:rPr>
          <w:lang w:eastAsia="ja-JP"/>
        </w:rPr>
        <w:t>, doi:</w:t>
      </w:r>
      <w:r w:rsidRPr="00B30E37" w:rsidR="00B30E37">
        <w:rPr>
          <w:lang w:eastAsia="ja-JP"/>
        </w:rPr>
        <w:t>10.1016/j.envint.2007.09.008</w:t>
      </w:r>
      <w:r>
        <w:rPr>
          <w:lang w:eastAsia="ja-JP"/>
        </w:rPr>
        <w:t>.</w:t>
      </w:r>
    </w:p>
    <w:p w:rsidR="005B6FC0" w:rsidP="001B25CD" w14:paraId="5214310D" w14:textId="4B66FC26">
      <w:pPr>
        <w:rPr>
          <w:lang w:eastAsia="ja-JP"/>
        </w:rPr>
      </w:pPr>
      <w:r w:rsidRPr="00A16C1F">
        <w:rPr>
          <w:lang w:val="en-GB" w:eastAsia="ja-JP"/>
        </w:rPr>
        <w:t>McGeer JC, Brix KV, Skeaff JM, DeForest DK, Brigham SI,</w:t>
      </w:r>
      <w:r>
        <w:rPr>
          <w:lang w:val="en-GB" w:eastAsia="ja-JP"/>
        </w:rPr>
        <w:t xml:space="preserve"> </w:t>
      </w:r>
      <w:r w:rsidRPr="00A16C1F">
        <w:rPr>
          <w:lang w:val="en-GB" w:eastAsia="ja-JP"/>
        </w:rPr>
        <w:t>Adams WJ</w:t>
      </w:r>
      <w:r>
        <w:rPr>
          <w:lang w:val="en-GB" w:eastAsia="ja-JP"/>
        </w:rPr>
        <w:t xml:space="preserve"> </w:t>
      </w:r>
      <w:r w:rsidR="003C60FB">
        <w:rPr>
          <w:lang w:val="en-GB" w:eastAsia="ja-JP"/>
        </w:rPr>
        <w:t>and</w:t>
      </w:r>
      <w:r w:rsidRPr="00A16C1F">
        <w:rPr>
          <w:lang w:val="en-GB" w:eastAsia="ja-JP"/>
        </w:rPr>
        <w:t xml:space="preserve"> Green A </w:t>
      </w:r>
      <w:r w:rsidR="00547ECE">
        <w:rPr>
          <w:lang w:val="en-GB" w:eastAsia="ja-JP"/>
        </w:rPr>
        <w:t>(</w:t>
      </w:r>
      <w:r w:rsidRPr="00A16C1F">
        <w:rPr>
          <w:lang w:val="en-GB" w:eastAsia="ja-JP"/>
        </w:rPr>
        <w:t>2003</w:t>
      </w:r>
      <w:r w:rsidR="00547ECE">
        <w:rPr>
          <w:lang w:val="en-GB" w:eastAsia="ja-JP"/>
        </w:rPr>
        <w:t>)</w:t>
      </w:r>
      <w:r w:rsidRPr="00A16C1F">
        <w:rPr>
          <w:lang w:val="en-GB" w:eastAsia="ja-JP"/>
        </w:rPr>
        <w:t xml:space="preserve"> </w:t>
      </w:r>
      <w:r w:rsidR="00547ECE">
        <w:rPr>
          <w:lang w:val="en-GB" w:eastAsia="ja-JP"/>
        </w:rPr>
        <w:t>‘</w:t>
      </w:r>
      <w:r>
        <w:fldChar w:fldCharType="begin"/>
      </w:r>
      <w:r>
        <w:instrText xml:space="preserve"> HYPERLINK "https://doi.org/10.1002/etc.5620220509" </w:instrText>
      </w:r>
      <w:r>
        <w:fldChar w:fldCharType="separate"/>
      </w:r>
      <w:r w:rsidRPr="00F70A77">
        <w:rPr>
          <w:rStyle w:val="Hyperlink"/>
          <w:lang w:val="en-GB" w:eastAsia="ja-JP"/>
        </w:rPr>
        <w:t xml:space="preserve">Inverse relationship between bioconcentration factor and exposure concentration for metals: </w:t>
      </w:r>
      <w:r w:rsidRPr="00F70A77" w:rsidR="00547ECE">
        <w:rPr>
          <w:rStyle w:val="Hyperlink"/>
          <w:lang w:val="en-GB" w:eastAsia="ja-JP"/>
        </w:rPr>
        <w:t>i</w:t>
      </w:r>
      <w:r w:rsidRPr="00F70A77">
        <w:rPr>
          <w:rStyle w:val="Hyperlink"/>
          <w:lang w:val="en-GB" w:eastAsia="ja-JP"/>
        </w:rPr>
        <w:t>mplications for hazard assessment of metals in the aquatic environment</w:t>
      </w:r>
      <w:r>
        <w:fldChar w:fldCharType="end"/>
      </w:r>
      <w:r w:rsidR="00547ECE">
        <w:rPr>
          <w:lang w:val="en-GB" w:eastAsia="ja-JP"/>
        </w:rPr>
        <w:t>’,</w:t>
      </w:r>
      <w:r w:rsidRPr="00A16C1F">
        <w:rPr>
          <w:lang w:val="en-GB" w:eastAsia="ja-JP"/>
        </w:rPr>
        <w:t xml:space="preserve"> </w:t>
      </w:r>
      <w:r w:rsidRPr="00866FCE">
        <w:rPr>
          <w:rStyle w:val="Emphasis"/>
        </w:rPr>
        <w:t>Environmental Toxicology and Chemistry</w:t>
      </w:r>
      <w:r>
        <w:rPr>
          <w:lang w:val="en-GB" w:eastAsia="ja-JP"/>
        </w:rPr>
        <w:t>,</w:t>
      </w:r>
      <w:r w:rsidRPr="00A16C1F">
        <w:rPr>
          <w:lang w:val="en-GB" w:eastAsia="ja-JP"/>
        </w:rPr>
        <w:t xml:space="preserve"> 22</w:t>
      </w:r>
      <w:r w:rsidR="00547ECE">
        <w:rPr>
          <w:lang w:val="en-GB" w:eastAsia="ja-JP"/>
        </w:rPr>
        <w:t>:</w:t>
      </w:r>
      <w:r w:rsidRPr="00A16C1F">
        <w:rPr>
          <w:lang w:val="en-GB" w:eastAsia="ja-JP"/>
        </w:rPr>
        <w:t>1017–1037</w:t>
      </w:r>
      <w:r w:rsidR="00F70A77">
        <w:rPr>
          <w:lang w:val="en-GB" w:eastAsia="ja-JP"/>
        </w:rPr>
        <w:t xml:space="preserve">, </w:t>
      </w:r>
      <w:r w:rsidR="002A0E99">
        <w:rPr>
          <w:lang w:val="en-GB" w:eastAsia="ja-JP"/>
        </w:rPr>
        <w:t>doi:</w:t>
      </w:r>
      <w:r w:rsidRPr="00F70A77" w:rsidR="00F70A77">
        <w:rPr>
          <w:lang w:val="en-GB" w:eastAsia="ja-JP"/>
        </w:rPr>
        <w:t>10.1002/etc.5620220509</w:t>
      </w:r>
      <w:r w:rsidRPr="00A16C1F">
        <w:rPr>
          <w:lang w:val="en-GB" w:eastAsia="ja-JP"/>
        </w:rPr>
        <w:t>.</w:t>
      </w:r>
    </w:p>
    <w:p w:rsidR="005B6FC0" w:rsidP="001B25CD" w14:paraId="6BAAAD31" w14:textId="3B02085D">
      <w:pPr>
        <w:rPr>
          <w:lang w:eastAsia="ja-JP"/>
        </w:rPr>
      </w:pPr>
      <w:r>
        <w:rPr>
          <w:lang w:eastAsia="ja-JP"/>
        </w:rPr>
        <w:t xml:space="preserve">McInerney PJ, Rees GN, Gawne B, Suter P, Watson G </w:t>
      </w:r>
      <w:r w:rsidR="003C60FB">
        <w:rPr>
          <w:lang w:eastAsia="ja-JP"/>
        </w:rPr>
        <w:t>and</w:t>
      </w:r>
      <w:r>
        <w:rPr>
          <w:lang w:eastAsia="ja-JP"/>
        </w:rPr>
        <w:t xml:space="preserve"> Stoffels RJ </w:t>
      </w:r>
      <w:r w:rsidR="00E53744">
        <w:rPr>
          <w:lang w:eastAsia="ja-JP"/>
        </w:rPr>
        <w:t>(</w:t>
      </w:r>
      <w:r>
        <w:rPr>
          <w:lang w:eastAsia="ja-JP"/>
        </w:rPr>
        <w:t>2016</w:t>
      </w:r>
      <w:r w:rsidR="00E53744">
        <w:rPr>
          <w:lang w:eastAsia="ja-JP"/>
        </w:rPr>
        <w:t>)</w:t>
      </w:r>
      <w:r>
        <w:rPr>
          <w:lang w:eastAsia="ja-JP"/>
        </w:rPr>
        <w:t xml:space="preserve"> </w:t>
      </w:r>
      <w:r w:rsidR="00E53744">
        <w:rPr>
          <w:lang w:eastAsia="ja-JP"/>
        </w:rPr>
        <w:t>‘</w:t>
      </w:r>
      <w:r>
        <w:fldChar w:fldCharType="begin"/>
      </w:r>
      <w:r>
        <w:instrText xml:space="preserve"> HYPERLINK "http://dx.doi.org/10.1111/fwb.12778" </w:instrText>
      </w:r>
      <w:r>
        <w:fldChar w:fldCharType="separate"/>
      </w:r>
      <w:r w:rsidRPr="00F70A77">
        <w:rPr>
          <w:rStyle w:val="Hyperlink"/>
          <w:lang w:eastAsia="ja-JP"/>
        </w:rPr>
        <w:t>Invasive willows drive instream community structure</w:t>
      </w:r>
      <w:r>
        <w:fldChar w:fldCharType="end"/>
      </w:r>
      <w:r w:rsidR="00E53744">
        <w:rPr>
          <w:lang w:eastAsia="ja-JP"/>
        </w:rPr>
        <w:t>’,</w:t>
      </w:r>
      <w:r>
        <w:rPr>
          <w:lang w:eastAsia="ja-JP"/>
        </w:rPr>
        <w:t xml:space="preserve"> </w:t>
      </w:r>
      <w:r w:rsidRPr="00C243D2">
        <w:rPr>
          <w:rStyle w:val="Emphasis"/>
        </w:rPr>
        <w:t>Freshwater Biology</w:t>
      </w:r>
      <w:r>
        <w:rPr>
          <w:lang w:eastAsia="ja-JP"/>
        </w:rPr>
        <w:t>, 61</w:t>
      </w:r>
      <w:r w:rsidR="00E53744">
        <w:rPr>
          <w:lang w:eastAsia="ja-JP"/>
        </w:rPr>
        <w:t>:</w:t>
      </w:r>
      <w:r>
        <w:rPr>
          <w:lang w:eastAsia="ja-JP"/>
        </w:rPr>
        <w:t>1379–1391</w:t>
      </w:r>
      <w:r w:rsidR="00F70A77">
        <w:rPr>
          <w:lang w:eastAsia="ja-JP"/>
        </w:rPr>
        <w:t xml:space="preserve">, </w:t>
      </w:r>
      <w:r w:rsidR="002A0E99">
        <w:rPr>
          <w:lang w:eastAsia="ja-JP"/>
        </w:rPr>
        <w:t>doi:</w:t>
      </w:r>
      <w:r w:rsidRPr="00F70A77" w:rsidR="00F70A77">
        <w:rPr>
          <w:lang w:eastAsia="ja-JP"/>
        </w:rPr>
        <w:t>10.1111/fwb.12778</w:t>
      </w:r>
      <w:r>
        <w:rPr>
          <w:lang w:eastAsia="ja-JP"/>
        </w:rPr>
        <w:t>.</w:t>
      </w:r>
    </w:p>
    <w:p w:rsidR="005B6FC0" w:rsidP="001B25CD" w14:paraId="0DC3191B" w14:textId="1E64096E">
      <w:pPr>
        <w:rPr>
          <w:lang w:eastAsia="ja-JP"/>
        </w:rPr>
      </w:pPr>
      <w:r>
        <w:rPr>
          <w:lang w:eastAsia="ja-JP"/>
        </w:rPr>
        <w:t xml:space="preserve">McLellan SL, Huse SM, Mueller‐Spitz SR, Andreishcheva EN </w:t>
      </w:r>
      <w:r w:rsidR="003C60FB">
        <w:rPr>
          <w:lang w:eastAsia="ja-JP"/>
        </w:rPr>
        <w:t>and</w:t>
      </w:r>
      <w:r>
        <w:rPr>
          <w:lang w:eastAsia="ja-JP"/>
        </w:rPr>
        <w:t xml:space="preserve"> Sogin ML </w:t>
      </w:r>
      <w:r w:rsidR="00E53744">
        <w:rPr>
          <w:lang w:eastAsia="ja-JP"/>
        </w:rPr>
        <w:t>(</w:t>
      </w:r>
      <w:r>
        <w:rPr>
          <w:lang w:eastAsia="ja-JP"/>
        </w:rPr>
        <w:t>2010</w:t>
      </w:r>
      <w:r w:rsidR="00E53744">
        <w:rPr>
          <w:lang w:eastAsia="ja-JP"/>
        </w:rPr>
        <w:t>)</w:t>
      </w:r>
      <w:r>
        <w:rPr>
          <w:lang w:eastAsia="ja-JP"/>
        </w:rPr>
        <w:t xml:space="preserve"> </w:t>
      </w:r>
      <w:r w:rsidR="00E53744">
        <w:rPr>
          <w:lang w:eastAsia="ja-JP"/>
        </w:rPr>
        <w:t>‘</w:t>
      </w:r>
      <w:r>
        <w:fldChar w:fldCharType="begin"/>
      </w:r>
      <w:r>
        <w:instrText xml:space="preserve"> HYPERLINK "https://doi.org/10.1111/j.1462-2920.2009.02075.x" </w:instrText>
      </w:r>
      <w:r>
        <w:fldChar w:fldCharType="separate"/>
      </w:r>
      <w:r w:rsidRPr="00F70A77">
        <w:rPr>
          <w:rStyle w:val="Hyperlink"/>
          <w:lang w:eastAsia="ja-JP"/>
        </w:rPr>
        <w:t>Diversity and population structure of sewage‐derived microorganisms in wastewater treatment plant influent</w:t>
      </w:r>
      <w:r>
        <w:fldChar w:fldCharType="end"/>
      </w:r>
      <w:r w:rsidR="00E53744">
        <w:rPr>
          <w:lang w:eastAsia="ja-JP"/>
        </w:rPr>
        <w:t>’,</w:t>
      </w:r>
      <w:r>
        <w:rPr>
          <w:lang w:eastAsia="ja-JP"/>
        </w:rPr>
        <w:t xml:space="preserve"> </w:t>
      </w:r>
      <w:r w:rsidRPr="00C243D2">
        <w:rPr>
          <w:rStyle w:val="Emphasis"/>
        </w:rPr>
        <w:t>Environmental Microbiology</w:t>
      </w:r>
      <w:r>
        <w:rPr>
          <w:lang w:eastAsia="ja-JP"/>
        </w:rPr>
        <w:t>, 12</w:t>
      </w:r>
      <w:r w:rsidR="00E53744">
        <w:rPr>
          <w:lang w:eastAsia="ja-JP"/>
        </w:rPr>
        <w:t>:</w:t>
      </w:r>
      <w:r>
        <w:rPr>
          <w:lang w:eastAsia="ja-JP"/>
        </w:rPr>
        <w:t>378–392</w:t>
      </w:r>
      <w:r w:rsidR="00F70A77">
        <w:rPr>
          <w:lang w:eastAsia="ja-JP"/>
        </w:rPr>
        <w:t xml:space="preserve">, </w:t>
      </w:r>
      <w:r w:rsidR="002A0E99">
        <w:rPr>
          <w:lang w:eastAsia="ja-JP"/>
        </w:rPr>
        <w:t>doi:</w:t>
      </w:r>
      <w:r w:rsidRPr="00F70A77" w:rsidR="00F70A77">
        <w:rPr>
          <w:lang w:eastAsia="ja-JP"/>
        </w:rPr>
        <w:t>10.1111/j.1462-2920.2009.02075.x</w:t>
      </w:r>
      <w:r>
        <w:rPr>
          <w:lang w:eastAsia="ja-JP"/>
        </w:rPr>
        <w:t>.</w:t>
      </w:r>
    </w:p>
    <w:p w:rsidR="005B6FC0" w:rsidP="001B25CD" w14:paraId="10A6CE4B" w14:textId="5E1A8E32">
      <w:pPr>
        <w:rPr>
          <w:lang w:eastAsia="ja-JP"/>
        </w:rPr>
      </w:pPr>
      <w:r>
        <w:rPr>
          <w:lang w:eastAsia="ja-JP"/>
        </w:rPr>
        <w:t xml:space="preserve">Merigoux S, Dolédec S </w:t>
      </w:r>
      <w:r w:rsidR="003C60FB">
        <w:rPr>
          <w:lang w:eastAsia="ja-JP"/>
        </w:rPr>
        <w:t>and</w:t>
      </w:r>
      <w:r>
        <w:rPr>
          <w:lang w:eastAsia="ja-JP"/>
        </w:rPr>
        <w:t xml:space="preserve"> Statzner B </w:t>
      </w:r>
      <w:r w:rsidR="00E53744">
        <w:rPr>
          <w:lang w:eastAsia="ja-JP"/>
        </w:rPr>
        <w:t>(</w:t>
      </w:r>
      <w:r>
        <w:rPr>
          <w:lang w:eastAsia="ja-JP"/>
        </w:rPr>
        <w:t>2001</w:t>
      </w:r>
      <w:r w:rsidR="00E53744">
        <w:rPr>
          <w:lang w:eastAsia="ja-JP"/>
        </w:rPr>
        <w:t>)</w:t>
      </w:r>
      <w:r>
        <w:rPr>
          <w:lang w:eastAsia="ja-JP"/>
        </w:rPr>
        <w:t xml:space="preserve"> </w:t>
      </w:r>
      <w:r w:rsidR="00E53744">
        <w:rPr>
          <w:lang w:eastAsia="ja-JP"/>
        </w:rPr>
        <w:t>‘</w:t>
      </w:r>
      <w:r>
        <w:fldChar w:fldCharType="begin"/>
      </w:r>
      <w:r>
        <w:instrText xml:space="preserve"> HYPERLINK "http://dx.doi.org/10.1046/j.1365-2427.2001.00744.x" </w:instrText>
      </w:r>
      <w:r>
        <w:fldChar w:fldCharType="separate"/>
      </w:r>
      <w:r w:rsidRPr="00F70A77">
        <w:rPr>
          <w:rStyle w:val="Hyperlink"/>
          <w:lang w:eastAsia="ja-JP"/>
        </w:rPr>
        <w:t xml:space="preserve">Species traits in relation to habitat variability and state: </w:t>
      </w:r>
      <w:r w:rsidRPr="00F70A77" w:rsidR="00F70A77">
        <w:rPr>
          <w:rStyle w:val="Hyperlink"/>
          <w:lang w:eastAsia="ja-JP"/>
        </w:rPr>
        <w:t>n</w:t>
      </w:r>
      <w:r w:rsidRPr="00F70A77">
        <w:rPr>
          <w:rStyle w:val="Hyperlink"/>
          <w:lang w:eastAsia="ja-JP"/>
        </w:rPr>
        <w:t>eotropical juvenile fish in floodplain creeks</w:t>
      </w:r>
      <w:r>
        <w:fldChar w:fldCharType="end"/>
      </w:r>
      <w:r w:rsidR="00E53744">
        <w:rPr>
          <w:lang w:eastAsia="ja-JP"/>
        </w:rPr>
        <w:t>’,</w:t>
      </w:r>
      <w:r>
        <w:rPr>
          <w:lang w:eastAsia="ja-JP"/>
        </w:rPr>
        <w:t xml:space="preserve"> </w:t>
      </w:r>
      <w:r w:rsidRPr="00C243D2">
        <w:rPr>
          <w:rStyle w:val="Emphasis"/>
        </w:rPr>
        <w:t>Freshwater Biology</w:t>
      </w:r>
      <w:r>
        <w:rPr>
          <w:lang w:eastAsia="ja-JP"/>
        </w:rPr>
        <w:t>, 46</w:t>
      </w:r>
      <w:r w:rsidR="00E53744">
        <w:rPr>
          <w:lang w:eastAsia="ja-JP"/>
        </w:rPr>
        <w:t>:</w:t>
      </w:r>
      <w:r>
        <w:rPr>
          <w:lang w:eastAsia="ja-JP"/>
        </w:rPr>
        <w:t>1251–1267</w:t>
      </w:r>
      <w:r w:rsidR="00F70A77">
        <w:rPr>
          <w:lang w:eastAsia="ja-JP"/>
        </w:rPr>
        <w:t xml:space="preserve">, </w:t>
      </w:r>
      <w:r w:rsidR="002A0E99">
        <w:rPr>
          <w:lang w:eastAsia="ja-JP"/>
        </w:rPr>
        <w:t>doi:</w:t>
      </w:r>
      <w:r w:rsidRPr="00F70A77" w:rsidR="00F70A77">
        <w:rPr>
          <w:lang w:eastAsia="ja-JP"/>
        </w:rPr>
        <w:t>10.1046/j.1365-2427.2001.00744.x</w:t>
      </w:r>
      <w:r>
        <w:rPr>
          <w:lang w:eastAsia="ja-JP"/>
        </w:rPr>
        <w:t>.</w:t>
      </w:r>
    </w:p>
    <w:p w:rsidR="005B6FC0" w:rsidRPr="0077502D" w:rsidP="0077502D" w14:paraId="6A44D089" w14:textId="0D8E15AD">
      <w:pPr>
        <w:rPr>
          <w:lang w:eastAsia="ja-JP"/>
        </w:rPr>
      </w:pPr>
      <w:r w:rsidRPr="0077502D">
        <w:rPr>
          <w:lang w:eastAsia="ja-JP"/>
        </w:rPr>
        <w:t xml:space="preserve">Miller DL, Leonard PM, Hughes RM, Karr JR, Moyle PB, Schrader LH, Thompson BA, Daniels RA, Fausch KD, Fitzhugh GA, Gammon JR, Halliwell DB, Angermeier PL </w:t>
      </w:r>
      <w:r w:rsidR="003C60FB">
        <w:rPr>
          <w:lang w:eastAsia="ja-JP"/>
        </w:rPr>
        <w:t>and</w:t>
      </w:r>
      <w:r w:rsidRPr="0077502D">
        <w:rPr>
          <w:lang w:eastAsia="ja-JP"/>
        </w:rPr>
        <w:t xml:space="preserve"> Orth DJ </w:t>
      </w:r>
      <w:r w:rsidR="00E53744">
        <w:rPr>
          <w:lang w:eastAsia="ja-JP"/>
        </w:rPr>
        <w:t>(</w:t>
      </w:r>
      <w:r w:rsidRPr="0077502D">
        <w:rPr>
          <w:lang w:eastAsia="ja-JP"/>
        </w:rPr>
        <w:t>1988</w:t>
      </w:r>
      <w:r w:rsidR="00E53744">
        <w:rPr>
          <w:lang w:eastAsia="ja-JP"/>
        </w:rPr>
        <w:t>)</w:t>
      </w:r>
      <w:r w:rsidRPr="0077502D">
        <w:rPr>
          <w:lang w:eastAsia="ja-JP"/>
        </w:rPr>
        <w:t xml:space="preserve"> </w:t>
      </w:r>
      <w:r w:rsidR="00E53744">
        <w:rPr>
          <w:lang w:eastAsia="ja-JP"/>
        </w:rPr>
        <w:t>‘</w:t>
      </w:r>
      <w:r>
        <w:fldChar w:fldCharType="begin"/>
      </w:r>
      <w:r>
        <w:instrText xml:space="preserve"> HYPERLINK "https://doi.org/10.1577/1548-8446(1988)013%3C0012:RAOAIO%3E2.0.CO;2" </w:instrText>
      </w:r>
      <w:r>
        <w:fldChar w:fldCharType="separate"/>
      </w:r>
      <w:r w:rsidRPr="00F70A77">
        <w:rPr>
          <w:rStyle w:val="Hyperlink"/>
          <w:lang w:eastAsia="ja-JP"/>
        </w:rPr>
        <w:t>Regional applications of an index of biotic integrity for water resource management</w:t>
      </w:r>
      <w:r>
        <w:fldChar w:fldCharType="end"/>
      </w:r>
      <w:r w:rsidR="00E53744">
        <w:rPr>
          <w:lang w:eastAsia="ja-JP"/>
        </w:rPr>
        <w:t>’,</w:t>
      </w:r>
      <w:r w:rsidRPr="0077502D">
        <w:rPr>
          <w:lang w:eastAsia="ja-JP"/>
        </w:rPr>
        <w:t xml:space="preserve"> </w:t>
      </w:r>
      <w:r w:rsidRPr="00FA48AD">
        <w:rPr>
          <w:rStyle w:val="Emphasis"/>
        </w:rPr>
        <w:t>Fisheries</w:t>
      </w:r>
      <w:r w:rsidRPr="0077502D">
        <w:rPr>
          <w:lang w:eastAsia="ja-JP"/>
        </w:rPr>
        <w:t>, 13</w:t>
      </w:r>
      <w:r w:rsidR="00E53744">
        <w:rPr>
          <w:lang w:eastAsia="ja-JP"/>
        </w:rPr>
        <w:t>:</w:t>
      </w:r>
      <w:r w:rsidRPr="0077502D">
        <w:rPr>
          <w:lang w:eastAsia="ja-JP"/>
        </w:rPr>
        <w:t>12–20</w:t>
      </w:r>
      <w:r w:rsidR="00F70A77">
        <w:rPr>
          <w:lang w:eastAsia="ja-JP"/>
        </w:rPr>
        <w:t>, doi:</w:t>
      </w:r>
      <w:r w:rsidRPr="00F70A77" w:rsidR="00F70A77">
        <w:rPr>
          <w:lang w:eastAsia="ja-JP"/>
        </w:rPr>
        <w:t>10.1577/1548-8446(1988)013%3C0012:RAOAIO%3E2.0.CO;2</w:t>
      </w:r>
      <w:r w:rsidRPr="0077502D">
        <w:rPr>
          <w:lang w:eastAsia="ja-JP"/>
        </w:rPr>
        <w:t xml:space="preserve">. </w:t>
      </w:r>
    </w:p>
    <w:p w:rsidR="005B6FC0" w:rsidRPr="00D43AFA" w:rsidP="00D43AFA" w14:paraId="6D0107EF" w14:textId="17F2D147">
      <w:pPr>
        <w:rPr>
          <w:lang w:val="en-GB" w:eastAsia="ja-JP"/>
        </w:rPr>
      </w:pPr>
      <w:r w:rsidRPr="00D43AFA">
        <w:rPr>
          <w:lang w:val="en-GB" w:eastAsia="ja-JP"/>
        </w:rPr>
        <w:t xml:space="preserve">Moore TF, Canton SP </w:t>
      </w:r>
      <w:r w:rsidR="003C60FB">
        <w:rPr>
          <w:lang w:val="en-GB" w:eastAsia="ja-JP"/>
        </w:rPr>
        <w:t>and</w:t>
      </w:r>
      <w:r w:rsidRPr="00D43AFA">
        <w:rPr>
          <w:lang w:val="en-GB" w:eastAsia="ja-JP"/>
        </w:rPr>
        <w:t xml:space="preserve"> Grimes M </w:t>
      </w:r>
      <w:r w:rsidR="00E53744">
        <w:rPr>
          <w:lang w:val="en-GB" w:eastAsia="ja-JP"/>
        </w:rPr>
        <w:t>(</w:t>
      </w:r>
      <w:r w:rsidRPr="00D43AFA">
        <w:rPr>
          <w:lang w:val="en-GB" w:eastAsia="ja-JP"/>
        </w:rPr>
        <w:t>2000</w:t>
      </w:r>
      <w:r w:rsidR="00E53744">
        <w:rPr>
          <w:lang w:val="en-GB" w:eastAsia="ja-JP"/>
        </w:rPr>
        <w:t>)</w:t>
      </w:r>
      <w:r w:rsidRPr="00D43AFA">
        <w:rPr>
          <w:lang w:val="en-GB" w:eastAsia="ja-JP"/>
        </w:rPr>
        <w:t xml:space="preserve"> </w:t>
      </w:r>
      <w:r w:rsidR="00E53744">
        <w:rPr>
          <w:lang w:val="en-GB" w:eastAsia="ja-JP"/>
        </w:rPr>
        <w:t>‘</w:t>
      </w:r>
      <w:r>
        <w:fldChar w:fldCharType="begin"/>
      </w:r>
      <w:r>
        <w:instrText xml:space="preserve"> HYPERLINK "https://doi.org/10.1897/1551-5028(2000)019%3C0118:ITIOTI%3E2.3.CO;2" </w:instrText>
      </w:r>
      <w:r>
        <w:fldChar w:fldCharType="separate"/>
      </w:r>
      <w:r w:rsidRPr="00F70A77">
        <w:rPr>
          <w:rStyle w:val="Hyperlink"/>
          <w:lang w:val="en-GB" w:eastAsia="ja-JP"/>
        </w:rPr>
        <w:t xml:space="preserve">Investigating the incidence of Type I errors for chronic whole effluent toxicity testing using </w:t>
      </w:r>
      <w:r w:rsidRPr="00FA46E1">
        <w:rPr>
          <w:rStyle w:val="Hyperlink"/>
          <w:i/>
          <w:iCs/>
        </w:rPr>
        <w:t>Ceriodaphnia dubia</w:t>
      </w:r>
      <w:r>
        <w:fldChar w:fldCharType="end"/>
      </w:r>
      <w:r w:rsidRPr="00E53744" w:rsidR="00E53744">
        <w:rPr>
          <w:rStyle w:val="Emphasis"/>
          <w:i w:val="0"/>
          <w:iCs w:val="0"/>
        </w:rPr>
        <w:t>’,</w:t>
      </w:r>
      <w:r w:rsidRPr="00D43AFA">
        <w:rPr>
          <w:lang w:val="en-GB" w:eastAsia="ja-JP"/>
        </w:rPr>
        <w:t xml:space="preserve"> </w:t>
      </w:r>
      <w:r w:rsidRPr="00FA48AD">
        <w:rPr>
          <w:rStyle w:val="Emphasis"/>
        </w:rPr>
        <w:t>Environmental Toxicology and Chemistry</w:t>
      </w:r>
      <w:r>
        <w:rPr>
          <w:lang w:val="en-GB" w:eastAsia="ja-JP"/>
        </w:rPr>
        <w:t>,</w:t>
      </w:r>
      <w:r w:rsidRPr="00D43AFA">
        <w:rPr>
          <w:lang w:val="en-GB" w:eastAsia="ja-JP"/>
        </w:rPr>
        <w:t xml:space="preserve"> 19</w:t>
      </w:r>
      <w:r w:rsidR="00E53744">
        <w:rPr>
          <w:lang w:val="en-GB" w:eastAsia="ja-JP"/>
        </w:rPr>
        <w:t>:</w:t>
      </w:r>
      <w:r w:rsidRPr="00D43AFA">
        <w:rPr>
          <w:lang w:val="en-GB" w:eastAsia="ja-JP"/>
        </w:rPr>
        <w:t>118–122</w:t>
      </w:r>
      <w:r w:rsidR="00F70A77">
        <w:rPr>
          <w:lang w:val="en-GB" w:eastAsia="ja-JP"/>
        </w:rPr>
        <w:t>, doi:</w:t>
      </w:r>
      <w:r w:rsidRPr="00F70A77" w:rsidR="00F70A77">
        <w:rPr>
          <w:lang w:val="en-GB" w:eastAsia="ja-JP"/>
        </w:rPr>
        <w:t>10.1897/1551-5028(2000)019%3C0118:ITIOTI%3E2.3.CO;2</w:t>
      </w:r>
      <w:r w:rsidRPr="00D43AFA">
        <w:rPr>
          <w:lang w:val="en-GB" w:eastAsia="ja-JP"/>
        </w:rPr>
        <w:t>.</w:t>
      </w:r>
    </w:p>
    <w:p w:rsidR="005B6FC0" w:rsidRPr="00D43AFA" w:rsidP="00D43AFA" w14:paraId="5B9A58CE" w14:textId="172C0F6F">
      <w:pPr>
        <w:rPr>
          <w:lang w:val="en-GB" w:eastAsia="ja-JP"/>
        </w:rPr>
      </w:pPr>
      <w:r w:rsidRPr="00D43AFA">
        <w:rPr>
          <w:lang w:val="en-GB" w:eastAsia="ja-JP"/>
        </w:rPr>
        <w:t xml:space="preserve">Mount DI </w:t>
      </w:r>
      <w:r w:rsidR="003C60FB">
        <w:rPr>
          <w:lang w:val="en-GB" w:eastAsia="ja-JP"/>
        </w:rPr>
        <w:t>and</w:t>
      </w:r>
      <w:r w:rsidRPr="00D43AFA">
        <w:rPr>
          <w:lang w:val="en-GB" w:eastAsia="ja-JP"/>
        </w:rPr>
        <w:t xml:space="preserve"> Norberg-King TJ (eds) </w:t>
      </w:r>
      <w:r w:rsidR="00E53744">
        <w:rPr>
          <w:lang w:val="en-GB" w:eastAsia="ja-JP"/>
        </w:rPr>
        <w:t>(</w:t>
      </w:r>
      <w:r w:rsidRPr="00D43AFA">
        <w:rPr>
          <w:lang w:val="en-GB" w:eastAsia="ja-JP"/>
        </w:rPr>
        <w:t>1993</w:t>
      </w:r>
      <w:r w:rsidR="00E53744">
        <w:rPr>
          <w:lang w:val="en-GB" w:eastAsia="ja-JP"/>
        </w:rPr>
        <w:t>)</w:t>
      </w:r>
      <w:r w:rsidRPr="00D43AFA">
        <w:rPr>
          <w:lang w:val="en-GB" w:eastAsia="ja-JP"/>
        </w:rPr>
        <w:t xml:space="preserve"> </w:t>
      </w:r>
      <w:r w:rsidRPr="00E53744">
        <w:rPr>
          <w:i/>
          <w:iCs/>
          <w:lang w:val="en-GB" w:eastAsia="ja-JP"/>
        </w:rPr>
        <w:t xml:space="preserve">Methods for aquatic toxicity identification evaluations: </w:t>
      </w:r>
      <w:r w:rsidR="00E53744">
        <w:rPr>
          <w:i/>
          <w:iCs/>
          <w:lang w:val="en-GB" w:eastAsia="ja-JP"/>
        </w:rPr>
        <w:t>p</w:t>
      </w:r>
      <w:r w:rsidRPr="00E53744">
        <w:rPr>
          <w:i/>
          <w:iCs/>
          <w:lang w:val="en-GB" w:eastAsia="ja-JP"/>
        </w:rPr>
        <w:t>hase III toxicity confirmation procedures for samples exhibiting acute and chronic toxicity</w:t>
      </w:r>
      <w:r w:rsidR="00E53744">
        <w:rPr>
          <w:lang w:val="en-GB" w:eastAsia="ja-JP"/>
        </w:rPr>
        <w:t>,</w:t>
      </w:r>
      <w:r w:rsidRPr="00D43AFA">
        <w:rPr>
          <w:lang w:val="en-GB" w:eastAsia="ja-JP"/>
        </w:rPr>
        <w:t xml:space="preserve"> </w:t>
      </w:r>
      <w:r w:rsidRPr="00D43AFA" w:rsidR="00E53744">
        <w:rPr>
          <w:lang w:val="en-GB" w:eastAsia="ja-JP"/>
        </w:rPr>
        <w:t>EPA/600/R-92/081</w:t>
      </w:r>
      <w:r w:rsidR="00E53744">
        <w:rPr>
          <w:lang w:val="en-GB" w:eastAsia="ja-JP"/>
        </w:rPr>
        <w:t xml:space="preserve">, </w:t>
      </w:r>
      <w:r w:rsidRPr="00D43AFA">
        <w:rPr>
          <w:lang w:val="en-GB" w:eastAsia="ja-JP"/>
        </w:rPr>
        <w:t>Office of Research and Development</w:t>
      </w:r>
      <w:r>
        <w:rPr>
          <w:lang w:val="en-GB" w:eastAsia="ja-JP"/>
        </w:rPr>
        <w:t>,</w:t>
      </w:r>
      <w:r w:rsidRPr="00D43AFA">
        <w:rPr>
          <w:lang w:val="en-GB" w:eastAsia="ja-JP"/>
        </w:rPr>
        <w:t xml:space="preserve"> </w:t>
      </w:r>
      <w:r w:rsidR="00013C69">
        <w:rPr>
          <w:lang w:val="en-GB" w:eastAsia="ja-JP"/>
        </w:rPr>
        <w:t xml:space="preserve">United States </w:t>
      </w:r>
      <w:r w:rsidRPr="00D43AFA">
        <w:rPr>
          <w:lang w:val="en-GB" w:eastAsia="ja-JP"/>
        </w:rPr>
        <w:t>Environmental Protection Agency</w:t>
      </w:r>
      <w:r>
        <w:rPr>
          <w:lang w:val="en-GB" w:eastAsia="ja-JP"/>
        </w:rPr>
        <w:t>,</w:t>
      </w:r>
      <w:r w:rsidRPr="00D43AFA">
        <w:rPr>
          <w:lang w:val="en-GB" w:eastAsia="ja-JP"/>
        </w:rPr>
        <w:t xml:space="preserve"> </w:t>
      </w:r>
      <w:r w:rsidR="00E53744">
        <w:rPr>
          <w:lang w:val="en-GB" w:eastAsia="ja-JP"/>
        </w:rPr>
        <w:t>United States Government</w:t>
      </w:r>
      <w:r w:rsidRPr="00D43AFA">
        <w:rPr>
          <w:lang w:val="en-GB" w:eastAsia="ja-JP"/>
        </w:rPr>
        <w:t>.</w:t>
      </w:r>
    </w:p>
    <w:p w:rsidR="005B6FC0" w:rsidRPr="006E2389" w:rsidP="006E2389" w14:paraId="4B4DAFC7" w14:textId="55EC1B96">
      <w:pPr>
        <w:rPr>
          <w:lang w:val="en-GB" w:eastAsia="ja-JP"/>
        </w:rPr>
      </w:pPr>
      <w:r w:rsidRPr="006E2389">
        <w:rPr>
          <w:lang w:val="en-GB" w:eastAsia="ja-JP"/>
        </w:rPr>
        <w:t xml:space="preserve">Mount DI </w:t>
      </w:r>
      <w:r w:rsidR="00E53744">
        <w:rPr>
          <w:lang w:val="en-GB" w:eastAsia="ja-JP"/>
        </w:rPr>
        <w:t>(</w:t>
      </w:r>
      <w:r w:rsidRPr="006E2389">
        <w:rPr>
          <w:lang w:val="en-GB" w:eastAsia="ja-JP"/>
        </w:rPr>
        <w:t>1986</w:t>
      </w:r>
      <w:r w:rsidR="00E53744">
        <w:rPr>
          <w:lang w:val="en-GB" w:eastAsia="ja-JP"/>
        </w:rPr>
        <w:t>)</w:t>
      </w:r>
      <w:r w:rsidRPr="006E2389">
        <w:rPr>
          <w:lang w:val="en-GB" w:eastAsia="ja-JP"/>
        </w:rPr>
        <w:t xml:space="preserve"> </w:t>
      </w:r>
      <w:r w:rsidR="00E53744">
        <w:rPr>
          <w:lang w:val="en-GB" w:eastAsia="ja-JP"/>
        </w:rPr>
        <w:t>‘</w:t>
      </w:r>
      <w:r w:rsidRPr="006E2389">
        <w:rPr>
          <w:lang w:val="en-GB" w:eastAsia="ja-JP"/>
        </w:rPr>
        <w:t>Principles and concepts of effluent testing</w:t>
      </w:r>
      <w:r w:rsidR="00E53744">
        <w:rPr>
          <w:lang w:val="en-GB" w:eastAsia="ja-JP"/>
        </w:rPr>
        <w:t>’,</w:t>
      </w:r>
      <w:r w:rsidRPr="006E2389">
        <w:rPr>
          <w:lang w:val="en-GB" w:eastAsia="ja-JP"/>
        </w:rPr>
        <w:t xml:space="preserve"> </w:t>
      </w:r>
      <w:r w:rsidR="00E53744">
        <w:rPr>
          <w:lang w:val="en-GB" w:eastAsia="ja-JP"/>
        </w:rPr>
        <w:t>i</w:t>
      </w:r>
      <w:r w:rsidRPr="006E2389">
        <w:rPr>
          <w:lang w:val="en-GB" w:eastAsia="ja-JP"/>
        </w:rPr>
        <w:t>n Bergman</w:t>
      </w:r>
      <w:r w:rsidR="00E53744">
        <w:rPr>
          <w:lang w:val="en-GB" w:eastAsia="ja-JP"/>
        </w:rPr>
        <w:t xml:space="preserve"> L</w:t>
      </w:r>
      <w:r w:rsidRPr="006E2389">
        <w:rPr>
          <w:lang w:val="en-GB" w:eastAsia="ja-JP"/>
        </w:rPr>
        <w:t>, Kimerle</w:t>
      </w:r>
      <w:r w:rsidR="00E53744">
        <w:rPr>
          <w:lang w:val="en-GB" w:eastAsia="ja-JP"/>
        </w:rPr>
        <w:t xml:space="preserve"> RA</w:t>
      </w:r>
      <w:r w:rsidRPr="006E2389">
        <w:rPr>
          <w:lang w:val="en-GB" w:eastAsia="ja-JP"/>
        </w:rPr>
        <w:t xml:space="preserve"> </w:t>
      </w:r>
      <w:r w:rsidR="003C60FB">
        <w:rPr>
          <w:lang w:val="en-GB" w:eastAsia="ja-JP"/>
        </w:rPr>
        <w:t>and</w:t>
      </w:r>
      <w:r w:rsidRPr="006E2389">
        <w:rPr>
          <w:lang w:val="en-GB" w:eastAsia="ja-JP"/>
        </w:rPr>
        <w:t xml:space="preserve"> Maki</w:t>
      </w:r>
      <w:r w:rsidR="00E53744">
        <w:rPr>
          <w:lang w:val="en-GB" w:eastAsia="ja-JP"/>
        </w:rPr>
        <w:t xml:space="preserve"> AW</w:t>
      </w:r>
      <w:r w:rsidRPr="006E2389">
        <w:rPr>
          <w:lang w:val="en-GB" w:eastAsia="ja-JP"/>
        </w:rPr>
        <w:t xml:space="preserve"> </w:t>
      </w:r>
      <w:r>
        <w:rPr>
          <w:lang w:val="en-GB" w:eastAsia="ja-JP"/>
        </w:rPr>
        <w:t xml:space="preserve">(eds) </w:t>
      </w:r>
      <w:r w:rsidRPr="00E53744">
        <w:rPr>
          <w:i/>
          <w:iCs/>
          <w:lang w:val="en-GB" w:eastAsia="ja-JP"/>
        </w:rPr>
        <w:t xml:space="preserve">Environmental </w:t>
      </w:r>
      <w:r w:rsidR="00E53744">
        <w:rPr>
          <w:i/>
          <w:iCs/>
          <w:lang w:val="en-GB" w:eastAsia="ja-JP"/>
        </w:rPr>
        <w:t>h</w:t>
      </w:r>
      <w:r w:rsidRPr="00E53744">
        <w:rPr>
          <w:i/>
          <w:iCs/>
          <w:lang w:val="en-GB" w:eastAsia="ja-JP"/>
        </w:rPr>
        <w:t xml:space="preserve">azard </w:t>
      </w:r>
      <w:r w:rsidR="00E53744">
        <w:rPr>
          <w:i/>
          <w:iCs/>
          <w:lang w:val="en-GB" w:eastAsia="ja-JP"/>
        </w:rPr>
        <w:t>a</w:t>
      </w:r>
      <w:r w:rsidRPr="00E53744">
        <w:rPr>
          <w:i/>
          <w:iCs/>
          <w:lang w:val="en-GB" w:eastAsia="ja-JP"/>
        </w:rPr>
        <w:t xml:space="preserve">ssessment of </w:t>
      </w:r>
      <w:r w:rsidR="00E53744">
        <w:rPr>
          <w:i/>
          <w:iCs/>
          <w:lang w:val="en-GB" w:eastAsia="ja-JP"/>
        </w:rPr>
        <w:t>e</w:t>
      </w:r>
      <w:r w:rsidRPr="00E53744">
        <w:rPr>
          <w:i/>
          <w:iCs/>
          <w:lang w:val="en-GB" w:eastAsia="ja-JP"/>
        </w:rPr>
        <w:t>ffluents</w:t>
      </w:r>
      <w:r w:rsidRPr="006E2389">
        <w:rPr>
          <w:lang w:val="en-GB" w:eastAsia="ja-JP"/>
        </w:rPr>
        <w:t>, Permagon Press, Oxford.</w:t>
      </w:r>
    </w:p>
    <w:p w:rsidR="00EE00AE" w:rsidRPr="00525C8D" w:rsidP="00EE00AE" w14:paraId="361DA47E" w14:textId="4E3DE272">
      <w:pPr>
        <w:rPr>
          <w:lang w:eastAsia="ja-JP"/>
        </w:rPr>
      </w:pPr>
      <w:r w:rsidRPr="00525C8D">
        <w:rPr>
          <w:lang w:eastAsia="ja-JP"/>
        </w:rPr>
        <w:t>Niku J, Hui FKC, Taskinen S</w:t>
      </w:r>
      <w:r>
        <w:rPr>
          <w:lang w:eastAsia="ja-JP"/>
        </w:rPr>
        <w:t xml:space="preserve"> </w:t>
      </w:r>
      <w:r w:rsidR="003C60FB">
        <w:rPr>
          <w:lang w:eastAsia="ja-JP"/>
        </w:rPr>
        <w:t>and</w:t>
      </w:r>
      <w:r w:rsidRPr="00525C8D">
        <w:rPr>
          <w:lang w:eastAsia="ja-JP"/>
        </w:rPr>
        <w:t xml:space="preserve"> Warton DI </w:t>
      </w:r>
      <w:r w:rsidR="00E53744">
        <w:rPr>
          <w:lang w:eastAsia="ja-JP"/>
        </w:rPr>
        <w:t>(</w:t>
      </w:r>
      <w:r w:rsidRPr="00525C8D">
        <w:rPr>
          <w:lang w:eastAsia="ja-JP"/>
        </w:rPr>
        <w:t>2019</w:t>
      </w:r>
      <w:r w:rsidR="00E53744">
        <w:rPr>
          <w:lang w:eastAsia="ja-JP"/>
        </w:rPr>
        <w:t>)</w:t>
      </w:r>
      <w:r w:rsidRPr="00525C8D">
        <w:rPr>
          <w:lang w:eastAsia="ja-JP"/>
        </w:rPr>
        <w:t xml:space="preserve"> </w:t>
      </w:r>
      <w:r w:rsidR="00E53744">
        <w:rPr>
          <w:lang w:eastAsia="ja-JP"/>
        </w:rPr>
        <w:t>‘</w:t>
      </w:r>
      <w:r>
        <w:fldChar w:fldCharType="begin"/>
      </w:r>
      <w:r>
        <w:instrText xml:space="preserve"> HYPERLINK "https://doi.org/10.1111/2041-210X.13303" </w:instrText>
      </w:r>
      <w:r>
        <w:fldChar w:fldCharType="separate"/>
      </w:r>
      <w:r w:rsidRPr="008D3011">
        <w:rPr>
          <w:rStyle w:val="Hyperlink"/>
          <w:lang w:eastAsia="ja-JP"/>
        </w:rPr>
        <w:t xml:space="preserve">gllvm: </w:t>
      </w:r>
      <w:r w:rsidR="00541A2D">
        <w:rPr>
          <w:rStyle w:val="Hyperlink"/>
          <w:lang w:eastAsia="ja-JP"/>
        </w:rPr>
        <w:t>f</w:t>
      </w:r>
      <w:r w:rsidRPr="008D3011">
        <w:rPr>
          <w:rStyle w:val="Hyperlink"/>
          <w:lang w:eastAsia="ja-JP"/>
        </w:rPr>
        <w:t xml:space="preserve">ast analysis of multivariate abundance data with generalized linear latent variable models in </w:t>
      </w:r>
      <w:r w:rsidRPr="008D3011" w:rsidR="00623152">
        <w:rPr>
          <w:rStyle w:val="Hyperlink"/>
          <w:lang w:eastAsia="ja-JP"/>
        </w:rPr>
        <w:t>R</w:t>
      </w:r>
      <w:r>
        <w:fldChar w:fldCharType="end"/>
      </w:r>
      <w:r w:rsidR="00E53744">
        <w:rPr>
          <w:lang w:eastAsia="ja-JP"/>
        </w:rPr>
        <w:t>’,</w:t>
      </w:r>
      <w:r w:rsidRPr="00525C8D">
        <w:rPr>
          <w:lang w:eastAsia="ja-JP"/>
        </w:rPr>
        <w:t xml:space="preserve"> </w:t>
      </w:r>
      <w:r w:rsidRPr="00525C8D">
        <w:rPr>
          <w:i/>
          <w:iCs/>
          <w:lang w:eastAsia="ja-JP"/>
        </w:rPr>
        <w:t>Methods in Ecology and Evolution</w:t>
      </w:r>
      <w:r>
        <w:rPr>
          <w:lang w:eastAsia="ja-JP"/>
        </w:rPr>
        <w:t>,</w:t>
      </w:r>
      <w:r w:rsidRPr="00525C8D">
        <w:rPr>
          <w:lang w:eastAsia="ja-JP"/>
        </w:rPr>
        <w:t xml:space="preserve"> 10</w:t>
      </w:r>
      <w:r w:rsidR="00E53744">
        <w:rPr>
          <w:lang w:eastAsia="ja-JP"/>
        </w:rPr>
        <w:t>:</w:t>
      </w:r>
      <w:r w:rsidRPr="00525C8D">
        <w:rPr>
          <w:lang w:eastAsia="ja-JP"/>
        </w:rPr>
        <w:t>2173–2182.</w:t>
      </w:r>
      <w:r w:rsidR="008D3011">
        <w:rPr>
          <w:lang w:eastAsia="ja-JP"/>
        </w:rPr>
        <w:t xml:space="preserve">, </w:t>
      </w:r>
      <w:r w:rsidR="002A0E99">
        <w:rPr>
          <w:lang w:eastAsia="ja-JP"/>
        </w:rPr>
        <w:t>doi:</w:t>
      </w:r>
      <w:r w:rsidRPr="008D3011" w:rsidR="008D3011">
        <w:rPr>
          <w:lang w:eastAsia="ja-JP"/>
        </w:rPr>
        <w:t>10.1111/2041-210X.13303</w:t>
      </w:r>
      <w:r w:rsidRPr="00525C8D">
        <w:rPr>
          <w:lang w:eastAsia="ja-JP"/>
        </w:rPr>
        <w:t xml:space="preserve"> </w:t>
      </w:r>
    </w:p>
    <w:p w:rsidR="005B6FC0" w:rsidRPr="0077502D" w:rsidP="0077502D" w14:paraId="7E5D3011" w14:textId="7549FCD7">
      <w:pPr>
        <w:rPr>
          <w:lang w:eastAsia="ja-JP"/>
        </w:rPr>
      </w:pPr>
      <w:r w:rsidRPr="0077502D">
        <w:rPr>
          <w:lang w:eastAsia="ja-JP"/>
        </w:rPr>
        <w:t xml:space="preserve">Niyogi S </w:t>
      </w:r>
      <w:r w:rsidR="003C60FB">
        <w:rPr>
          <w:lang w:eastAsia="ja-JP"/>
        </w:rPr>
        <w:t>and</w:t>
      </w:r>
      <w:r w:rsidRPr="0077502D">
        <w:rPr>
          <w:lang w:eastAsia="ja-JP"/>
        </w:rPr>
        <w:t xml:space="preserve"> Wood CM </w:t>
      </w:r>
      <w:r w:rsidR="00E53744">
        <w:rPr>
          <w:lang w:eastAsia="ja-JP"/>
        </w:rPr>
        <w:t>(</w:t>
      </w:r>
      <w:r w:rsidRPr="0077502D">
        <w:rPr>
          <w:lang w:eastAsia="ja-JP"/>
        </w:rPr>
        <w:t>2004</w:t>
      </w:r>
      <w:r w:rsidR="00E53744">
        <w:rPr>
          <w:lang w:eastAsia="ja-JP"/>
        </w:rPr>
        <w:t>)</w:t>
      </w:r>
      <w:r w:rsidRPr="0077502D">
        <w:rPr>
          <w:lang w:eastAsia="ja-JP"/>
        </w:rPr>
        <w:t xml:space="preserve"> </w:t>
      </w:r>
      <w:r w:rsidR="00E53744">
        <w:rPr>
          <w:lang w:eastAsia="ja-JP"/>
        </w:rPr>
        <w:t>‘</w:t>
      </w:r>
      <w:r>
        <w:fldChar w:fldCharType="begin"/>
      </w:r>
      <w:r>
        <w:instrText xml:space="preserve"> HYPERLINK "https://doi.org/10.1021/es0496524" </w:instrText>
      </w:r>
      <w:r>
        <w:fldChar w:fldCharType="separate"/>
      </w:r>
      <w:r w:rsidRPr="008D3011">
        <w:rPr>
          <w:rStyle w:val="Hyperlink"/>
          <w:lang w:eastAsia="ja-JP"/>
        </w:rPr>
        <w:t>Biotic ligand model, a flexible tool for developing site-specific water quality guidelines for metals</w:t>
      </w:r>
      <w:r>
        <w:fldChar w:fldCharType="end"/>
      </w:r>
      <w:r w:rsidR="00E53744">
        <w:rPr>
          <w:lang w:eastAsia="ja-JP"/>
        </w:rPr>
        <w:t>’,</w:t>
      </w:r>
      <w:r w:rsidRPr="0077502D">
        <w:rPr>
          <w:lang w:eastAsia="ja-JP"/>
        </w:rPr>
        <w:t xml:space="preserve"> </w:t>
      </w:r>
      <w:r w:rsidRPr="00FA48AD">
        <w:rPr>
          <w:rStyle w:val="Emphasis"/>
        </w:rPr>
        <w:t>Environmental Science and Technology</w:t>
      </w:r>
      <w:r>
        <w:rPr>
          <w:iCs/>
          <w:lang w:eastAsia="ja-JP"/>
        </w:rPr>
        <w:t>,</w:t>
      </w:r>
      <w:r w:rsidRPr="0077502D">
        <w:rPr>
          <w:i/>
          <w:iCs/>
          <w:lang w:eastAsia="ja-JP"/>
        </w:rPr>
        <w:t xml:space="preserve"> </w:t>
      </w:r>
      <w:r w:rsidRPr="0077502D">
        <w:rPr>
          <w:lang w:eastAsia="ja-JP"/>
        </w:rPr>
        <w:t>38</w:t>
      </w:r>
      <w:r w:rsidRPr="00E53744" w:rsidR="00E53744">
        <w:rPr>
          <w:lang w:eastAsia="ja-JP"/>
        </w:rPr>
        <w:t>:</w:t>
      </w:r>
      <w:r w:rsidRPr="0077502D">
        <w:rPr>
          <w:lang w:eastAsia="ja-JP"/>
        </w:rPr>
        <w:t>6177</w:t>
      </w:r>
      <w:r>
        <w:rPr>
          <w:lang w:eastAsia="ja-JP"/>
        </w:rPr>
        <w:t>–</w:t>
      </w:r>
      <w:r w:rsidRPr="0077502D">
        <w:rPr>
          <w:lang w:eastAsia="ja-JP"/>
        </w:rPr>
        <w:t>6192</w:t>
      </w:r>
      <w:r w:rsidR="008D3011">
        <w:rPr>
          <w:lang w:eastAsia="ja-JP"/>
        </w:rPr>
        <w:t>, doi:</w:t>
      </w:r>
      <w:r w:rsidRPr="008D3011" w:rsidR="008D3011">
        <w:rPr>
          <w:lang w:eastAsia="ja-JP"/>
        </w:rPr>
        <w:t>10.1021/es0496524</w:t>
      </w:r>
      <w:r w:rsidRPr="0077502D">
        <w:rPr>
          <w:lang w:eastAsia="ja-JP"/>
        </w:rPr>
        <w:t>.</w:t>
      </w:r>
    </w:p>
    <w:p w:rsidR="005B6FC0" w:rsidP="001B25CD" w14:paraId="580A0704" w14:textId="7B1F4220">
      <w:pPr>
        <w:rPr>
          <w:lang w:eastAsia="ja-JP"/>
        </w:rPr>
      </w:pPr>
      <w:r>
        <w:rPr>
          <w:lang w:eastAsia="ja-JP"/>
        </w:rPr>
        <w:t xml:space="preserve">Noon BR, Bailey LL, Sisk TD </w:t>
      </w:r>
      <w:r w:rsidR="003C60FB">
        <w:rPr>
          <w:lang w:eastAsia="ja-JP"/>
        </w:rPr>
        <w:t>and</w:t>
      </w:r>
      <w:r>
        <w:rPr>
          <w:lang w:eastAsia="ja-JP"/>
        </w:rPr>
        <w:t xml:space="preserve"> Mckelvey KS </w:t>
      </w:r>
      <w:r w:rsidR="00E53744">
        <w:rPr>
          <w:lang w:eastAsia="ja-JP"/>
        </w:rPr>
        <w:t>(</w:t>
      </w:r>
      <w:r>
        <w:rPr>
          <w:lang w:eastAsia="ja-JP"/>
        </w:rPr>
        <w:t>2012</w:t>
      </w:r>
      <w:r w:rsidR="00E53744">
        <w:rPr>
          <w:lang w:eastAsia="ja-JP"/>
        </w:rPr>
        <w:t>)</w:t>
      </w:r>
      <w:r>
        <w:rPr>
          <w:lang w:eastAsia="ja-JP"/>
        </w:rPr>
        <w:t xml:space="preserve"> </w:t>
      </w:r>
      <w:r w:rsidR="00E53744">
        <w:rPr>
          <w:lang w:eastAsia="ja-JP"/>
        </w:rPr>
        <w:t>‘</w:t>
      </w:r>
      <w:r>
        <w:fldChar w:fldCharType="begin"/>
      </w:r>
      <w:r>
        <w:instrText xml:space="preserve"> HYPERLINK "https://doi.org/10.1111/j.1523-1739.2012.01855.x" </w:instrText>
      </w:r>
      <w:r>
        <w:fldChar w:fldCharType="separate"/>
      </w:r>
      <w:r w:rsidRPr="00CF3A48">
        <w:rPr>
          <w:rStyle w:val="Hyperlink"/>
          <w:lang w:eastAsia="ja-JP"/>
        </w:rPr>
        <w:t xml:space="preserve">Efficient </w:t>
      </w:r>
      <w:r w:rsidRPr="00CF3A48" w:rsidR="00623152">
        <w:rPr>
          <w:rStyle w:val="Hyperlink"/>
          <w:lang w:eastAsia="ja-JP"/>
        </w:rPr>
        <w:t>species</w:t>
      </w:r>
      <w:r w:rsidRPr="00CF3A48">
        <w:rPr>
          <w:rStyle w:val="Hyperlink"/>
          <w:lang w:eastAsia="ja-JP"/>
        </w:rPr>
        <w:t>-</w:t>
      </w:r>
      <w:r w:rsidRPr="00CF3A48" w:rsidR="00623152">
        <w:rPr>
          <w:rStyle w:val="Hyperlink"/>
          <w:lang w:eastAsia="ja-JP"/>
        </w:rPr>
        <w:t xml:space="preserve">level monitoring </w:t>
      </w:r>
      <w:r w:rsidRPr="00CF3A48">
        <w:rPr>
          <w:rStyle w:val="Hyperlink"/>
          <w:lang w:eastAsia="ja-JP"/>
        </w:rPr>
        <w:t xml:space="preserve">at the </w:t>
      </w:r>
      <w:r w:rsidRPr="00CF3A48" w:rsidR="00623152">
        <w:rPr>
          <w:rStyle w:val="Hyperlink"/>
          <w:lang w:eastAsia="ja-JP"/>
        </w:rPr>
        <w:t>landscape scale</w:t>
      </w:r>
      <w:r>
        <w:fldChar w:fldCharType="end"/>
      </w:r>
      <w:r w:rsidR="00E53744">
        <w:rPr>
          <w:lang w:eastAsia="ja-JP"/>
        </w:rPr>
        <w:t>’,</w:t>
      </w:r>
      <w:r>
        <w:rPr>
          <w:lang w:eastAsia="ja-JP"/>
        </w:rPr>
        <w:t xml:space="preserve"> </w:t>
      </w:r>
      <w:r w:rsidRPr="00C243D2">
        <w:rPr>
          <w:rStyle w:val="Emphasis"/>
        </w:rPr>
        <w:t>Conservation Biology</w:t>
      </w:r>
      <w:r>
        <w:rPr>
          <w:lang w:eastAsia="ja-JP"/>
        </w:rPr>
        <w:t>, 26</w:t>
      </w:r>
      <w:r w:rsidR="00E53744">
        <w:rPr>
          <w:lang w:eastAsia="ja-JP"/>
        </w:rPr>
        <w:t>:</w:t>
      </w:r>
      <w:r>
        <w:rPr>
          <w:lang w:eastAsia="ja-JP"/>
        </w:rPr>
        <w:t>432–441</w:t>
      </w:r>
      <w:r w:rsidR="00CF3A48">
        <w:rPr>
          <w:lang w:eastAsia="ja-JP"/>
        </w:rPr>
        <w:t xml:space="preserve">, </w:t>
      </w:r>
      <w:r w:rsidR="002A0E99">
        <w:rPr>
          <w:lang w:eastAsia="ja-JP"/>
        </w:rPr>
        <w:t>doi:</w:t>
      </w:r>
      <w:r w:rsidRPr="00CF3A48" w:rsidR="00CF3A48">
        <w:rPr>
          <w:lang w:eastAsia="ja-JP"/>
        </w:rPr>
        <w:t>0.1111/j.1523-1739.2012.01855.x</w:t>
      </w:r>
      <w:r>
        <w:rPr>
          <w:lang w:eastAsia="ja-JP"/>
        </w:rPr>
        <w:t>.</w:t>
      </w:r>
    </w:p>
    <w:p w:rsidR="00004142" w:rsidRPr="00D43AFA" w:rsidP="00004142" w14:paraId="259B906E" w14:textId="77777777">
      <w:pPr>
        <w:rPr>
          <w:lang w:val="en-GB" w:eastAsia="ja-JP"/>
        </w:rPr>
      </w:pPr>
      <w:r w:rsidRPr="00D43AFA">
        <w:rPr>
          <w:lang w:val="en-GB" w:eastAsia="ja-JP"/>
        </w:rPr>
        <w:t xml:space="preserve">Norberg-King TJ, Mount DI, Durhan EJ, Ankely GT </w:t>
      </w:r>
      <w:r>
        <w:rPr>
          <w:lang w:val="en-GB" w:eastAsia="ja-JP"/>
        </w:rPr>
        <w:t>and</w:t>
      </w:r>
      <w:r w:rsidRPr="00D43AFA">
        <w:rPr>
          <w:lang w:val="en-GB" w:eastAsia="ja-JP"/>
        </w:rPr>
        <w:t xml:space="preserve"> Burkhard LP (eds) </w:t>
      </w:r>
      <w:r>
        <w:rPr>
          <w:lang w:val="en-GB" w:eastAsia="ja-JP"/>
        </w:rPr>
        <w:t>(</w:t>
      </w:r>
      <w:r w:rsidRPr="00D43AFA">
        <w:rPr>
          <w:lang w:val="en-GB" w:eastAsia="ja-JP"/>
        </w:rPr>
        <w:t>1991</w:t>
      </w:r>
      <w:r>
        <w:rPr>
          <w:lang w:val="en-GB" w:eastAsia="ja-JP"/>
        </w:rPr>
        <w:t>)</w:t>
      </w:r>
      <w:r w:rsidRPr="00D43AFA">
        <w:rPr>
          <w:lang w:val="en-GB" w:eastAsia="ja-JP"/>
        </w:rPr>
        <w:t xml:space="preserve"> </w:t>
      </w:r>
      <w:r w:rsidRPr="003501BF">
        <w:rPr>
          <w:i/>
          <w:iCs/>
          <w:lang w:val="en-GB" w:eastAsia="ja-JP"/>
        </w:rPr>
        <w:t xml:space="preserve">Methods for aquatic toxicity identifications: </w:t>
      </w:r>
      <w:r>
        <w:rPr>
          <w:i/>
          <w:iCs/>
          <w:lang w:val="en-GB" w:eastAsia="ja-JP"/>
        </w:rPr>
        <w:t>p</w:t>
      </w:r>
      <w:r w:rsidRPr="003501BF">
        <w:rPr>
          <w:i/>
          <w:iCs/>
          <w:lang w:val="en-GB" w:eastAsia="ja-JP"/>
        </w:rPr>
        <w:t>hase I toxicity characterisation procedures</w:t>
      </w:r>
      <w:r>
        <w:rPr>
          <w:lang w:val="en-GB" w:eastAsia="ja-JP"/>
        </w:rPr>
        <w:t>,</w:t>
      </w:r>
      <w:r w:rsidRPr="00D43AFA">
        <w:rPr>
          <w:lang w:val="en-GB" w:eastAsia="ja-JP"/>
        </w:rPr>
        <w:t xml:space="preserve"> 2nd </w:t>
      </w:r>
      <w:r>
        <w:rPr>
          <w:lang w:val="en-GB" w:eastAsia="ja-JP"/>
        </w:rPr>
        <w:t>edn</w:t>
      </w:r>
      <w:r w:rsidRPr="00D43AFA">
        <w:rPr>
          <w:lang w:val="en-GB" w:eastAsia="ja-JP"/>
        </w:rPr>
        <w:t>, EPA/600/6-91/003</w:t>
      </w:r>
      <w:r>
        <w:rPr>
          <w:lang w:val="en-GB" w:eastAsia="ja-JP"/>
        </w:rPr>
        <w:t xml:space="preserve">, </w:t>
      </w:r>
      <w:r w:rsidRPr="00D43AFA">
        <w:rPr>
          <w:lang w:val="en-GB" w:eastAsia="ja-JP"/>
        </w:rPr>
        <w:t>Office of Research and Development</w:t>
      </w:r>
      <w:r>
        <w:rPr>
          <w:lang w:val="en-GB" w:eastAsia="ja-JP"/>
        </w:rPr>
        <w:t>,</w:t>
      </w:r>
      <w:r w:rsidRPr="00D43AFA">
        <w:rPr>
          <w:lang w:val="en-GB" w:eastAsia="ja-JP"/>
        </w:rPr>
        <w:t xml:space="preserve"> </w:t>
      </w:r>
      <w:r>
        <w:rPr>
          <w:lang w:val="en-GB" w:eastAsia="ja-JP"/>
        </w:rPr>
        <w:t xml:space="preserve">United States </w:t>
      </w:r>
      <w:r w:rsidRPr="00D43AFA">
        <w:rPr>
          <w:lang w:val="en-GB" w:eastAsia="ja-JP"/>
        </w:rPr>
        <w:t xml:space="preserve">Environmental Protection Agency, </w:t>
      </w:r>
      <w:r>
        <w:rPr>
          <w:lang w:val="en-GB" w:eastAsia="ja-JP"/>
        </w:rPr>
        <w:t>United States Government</w:t>
      </w:r>
      <w:r w:rsidRPr="00D43AFA">
        <w:rPr>
          <w:lang w:val="en-GB" w:eastAsia="ja-JP"/>
        </w:rPr>
        <w:t>.</w:t>
      </w:r>
    </w:p>
    <w:p w:rsidR="005B6FC0" w:rsidRPr="00D43AFA" w:rsidP="00D43AFA" w14:paraId="13BC14A0" w14:textId="178F7E3B">
      <w:pPr>
        <w:rPr>
          <w:lang w:val="en-GB" w:eastAsia="ja-JP"/>
        </w:rPr>
      </w:pPr>
      <w:r w:rsidRPr="00D43AFA">
        <w:rPr>
          <w:lang w:val="en-GB" w:eastAsia="ja-JP"/>
        </w:rPr>
        <w:t xml:space="preserve">Norberg-King TJ, Mount DI, Amato JR, Jensen DA </w:t>
      </w:r>
      <w:r w:rsidR="003C60FB">
        <w:rPr>
          <w:lang w:val="en-GB" w:eastAsia="ja-JP"/>
        </w:rPr>
        <w:t>and</w:t>
      </w:r>
      <w:r w:rsidRPr="00D43AFA">
        <w:rPr>
          <w:lang w:val="en-GB" w:eastAsia="ja-JP"/>
        </w:rPr>
        <w:t xml:space="preserve"> Thompson JA (eds) </w:t>
      </w:r>
      <w:r w:rsidR="003501BF">
        <w:rPr>
          <w:lang w:val="en-GB" w:eastAsia="ja-JP"/>
        </w:rPr>
        <w:t>(</w:t>
      </w:r>
      <w:r w:rsidRPr="00D43AFA">
        <w:rPr>
          <w:lang w:val="en-GB" w:eastAsia="ja-JP"/>
        </w:rPr>
        <w:t>1992</w:t>
      </w:r>
      <w:r w:rsidR="003501BF">
        <w:rPr>
          <w:lang w:val="en-GB" w:eastAsia="ja-JP"/>
        </w:rPr>
        <w:t>)</w:t>
      </w:r>
      <w:r w:rsidRPr="00D43AFA">
        <w:rPr>
          <w:lang w:val="en-GB" w:eastAsia="ja-JP"/>
        </w:rPr>
        <w:t xml:space="preserve"> </w:t>
      </w:r>
      <w:r w:rsidRPr="003501BF">
        <w:rPr>
          <w:i/>
          <w:iCs/>
          <w:lang w:val="en-GB" w:eastAsia="ja-JP"/>
        </w:rPr>
        <w:t xml:space="preserve">Toxicity identification evaluation: </w:t>
      </w:r>
      <w:r w:rsidR="00013C69">
        <w:rPr>
          <w:i/>
          <w:iCs/>
          <w:lang w:val="en-GB" w:eastAsia="ja-JP"/>
        </w:rPr>
        <w:t>p</w:t>
      </w:r>
      <w:r w:rsidRPr="003501BF">
        <w:rPr>
          <w:i/>
          <w:iCs/>
          <w:lang w:val="en-GB" w:eastAsia="ja-JP"/>
        </w:rPr>
        <w:t>hase I characterisation of chronically toxic effluents</w:t>
      </w:r>
      <w:r w:rsidR="003501BF">
        <w:rPr>
          <w:lang w:val="en-GB" w:eastAsia="ja-JP"/>
        </w:rPr>
        <w:t>,</w:t>
      </w:r>
      <w:r w:rsidRPr="00D43AFA">
        <w:rPr>
          <w:lang w:val="en-GB" w:eastAsia="ja-JP"/>
        </w:rPr>
        <w:t xml:space="preserve"> </w:t>
      </w:r>
      <w:r w:rsidRPr="00D43AFA" w:rsidR="003501BF">
        <w:rPr>
          <w:lang w:val="en-GB" w:eastAsia="ja-JP"/>
        </w:rPr>
        <w:t>EPA/600/6-91/005F</w:t>
      </w:r>
      <w:r w:rsidR="003501BF">
        <w:rPr>
          <w:lang w:val="en-GB" w:eastAsia="ja-JP"/>
        </w:rPr>
        <w:t>,</w:t>
      </w:r>
      <w:r w:rsidRPr="00D43AFA" w:rsidR="003501BF">
        <w:rPr>
          <w:lang w:val="en-GB" w:eastAsia="ja-JP"/>
        </w:rPr>
        <w:t xml:space="preserve"> </w:t>
      </w:r>
      <w:r w:rsidRPr="00D43AFA">
        <w:rPr>
          <w:lang w:val="en-GB" w:eastAsia="ja-JP"/>
        </w:rPr>
        <w:t>Office of Research and Development</w:t>
      </w:r>
      <w:r>
        <w:rPr>
          <w:lang w:val="en-GB" w:eastAsia="ja-JP"/>
        </w:rPr>
        <w:t>,</w:t>
      </w:r>
      <w:r w:rsidRPr="00D43AFA">
        <w:rPr>
          <w:lang w:val="en-GB" w:eastAsia="ja-JP"/>
        </w:rPr>
        <w:t xml:space="preserve"> </w:t>
      </w:r>
      <w:r w:rsidR="00013C69">
        <w:rPr>
          <w:lang w:val="en-GB" w:eastAsia="ja-JP"/>
        </w:rPr>
        <w:t xml:space="preserve">United States </w:t>
      </w:r>
      <w:r w:rsidRPr="00D43AFA">
        <w:rPr>
          <w:lang w:val="en-GB" w:eastAsia="ja-JP"/>
        </w:rPr>
        <w:t>Environmental Protection Agency</w:t>
      </w:r>
      <w:r>
        <w:rPr>
          <w:lang w:val="en-GB" w:eastAsia="ja-JP"/>
        </w:rPr>
        <w:t>,</w:t>
      </w:r>
      <w:r w:rsidRPr="00D43AFA">
        <w:rPr>
          <w:lang w:val="en-GB" w:eastAsia="ja-JP"/>
        </w:rPr>
        <w:t xml:space="preserve"> </w:t>
      </w:r>
      <w:r w:rsidR="003501BF">
        <w:rPr>
          <w:lang w:val="en-GB" w:eastAsia="ja-JP"/>
        </w:rPr>
        <w:t>United States Government</w:t>
      </w:r>
      <w:r w:rsidRPr="00D43AFA">
        <w:rPr>
          <w:lang w:val="en-GB" w:eastAsia="ja-JP"/>
        </w:rPr>
        <w:t>.</w:t>
      </w:r>
    </w:p>
    <w:p w:rsidR="005B6FC0" w:rsidP="001B25CD" w14:paraId="2E18D82E" w14:textId="4736E3F5">
      <w:pPr>
        <w:rPr>
          <w:lang w:eastAsia="ja-JP"/>
        </w:rPr>
      </w:pPr>
      <w:r>
        <w:rPr>
          <w:lang w:eastAsia="ja-JP"/>
        </w:rPr>
        <w:t xml:space="preserve">Oakes JM, Eyre BD </w:t>
      </w:r>
      <w:r w:rsidR="003C60FB">
        <w:rPr>
          <w:lang w:eastAsia="ja-JP"/>
        </w:rPr>
        <w:t>and</w:t>
      </w:r>
      <w:r>
        <w:rPr>
          <w:lang w:eastAsia="ja-JP"/>
        </w:rPr>
        <w:t xml:space="preserve"> Ross DJ </w:t>
      </w:r>
      <w:r w:rsidR="003501BF">
        <w:rPr>
          <w:lang w:eastAsia="ja-JP"/>
        </w:rPr>
        <w:t>(</w:t>
      </w:r>
      <w:r>
        <w:rPr>
          <w:lang w:eastAsia="ja-JP"/>
        </w:rPr>
        <w:t>2011</w:t>
      </w:r>
      <w:r w:rsidR="003501BF">
        <w:rPr>
          <w:lang w:eastAsia="ja-JP"/>
        </w:rPr>
        <w:t>)</w:t>
      </w:r>
      <w:r>
        <w:rPr>
          <w:lang w:eastAsia="ja-JP"/>
        </w:rPr>
        <w:t xml:space="preserve"> </w:t>
      </w:r>
      <w:r w:rsidR="003501BF">
        <w:rPr>
          <w:lang w:eastAsia="ja-JP"/>
        </w:rPr>
        <w:t>‘</w:t>
      </w:r>
      <w:r>
        <w:fldChar w:fldCharType="begin"/>
      </w:r>
      <w:r>
        <w:instrText xml:space="preserve"> HYPERLINK "https://doi.org/10.1021/es103636d" </w:instrText>
      </w:r>
      <w:r>
        <w:fldChar w:fldCharType="separate"/>
      </w:r>
      <w:r w:rsidRPr="00B34D46">
        <w:rPr>
          <w:rStyle w:val="Hyperlink"/>
          <w:lang w:eastAsia="ja-JP"/>
        </w:rPr>
        <w:t>Short-term enhancement and long-term suppression of denitrification in estuarine sediments receiving primary- and secondary-treated paper and pulp mill discharge</w:t>
      </w:r>
      <w:r>
        <w:fldChar w:fldCharType="end"/>
      </w:r>
      <w:r w:rsidR="003501BF">
        <w:rPr>
          <w:lang w:eastAsia="ja-JP"/>
        </w:rPr>
        <w:t>’,</w:t>
      </w:r>
      <w:r>
        <w:rPr>
          <w:lang w:eastAsia="ja-JP"/>
        </w:rPr>
        <w:t xml:space="preserve"> </w:t>
      </w:r>
      <w:r w:rsidRPr="0054623C">
        <w:rPr>
          <w:rStyle w:val="Emphasis"/>
        </w:rPr>
        <w:t xml:space="preserve">Environmental Science </w:t>
      </w:r>
      <w:r w:rsidR="003C60FB">
        <w:rPr>
          <w:rStyle w:val="Emphasis"/>
        </w:rPr>
        <w:t>and</w:t>
      </w:r>
      <w:r w:rsidRPr="0054623C">
        <w:rPr>
          <w:rStyle w:val="Emphasis"/>
        </w:rPr>
        <w:t xml:space="preserve"> Technology</w:t>
      </w:r>
      <w:r>
        <w:rPr>
          <w:lang w:eastAsia="ja-JP"/>
        </w:rPr>
        <w:t>, 45</w:t>
      </w:r>
      <w:r w:rsidR="003501BF">
        <w:rPr>
          <w:lang w:eastAsia="ja-JP"/>
        </w:rPr>
        <w:t>:</w:t>
      </w:r>
      <w:r>
        <w:rPr>
          <w:lang w:eastAsia="ja-JP"/>
        </w:rPr>
        <w:t>3400–3406</w:t>
      </w:r>
      <w:r w:rsidR="00541A2D">
        <w:rPr>
          <w:lang w:eastAsia="ja-JP"/>
        </w:rPr>
        <w:t>, doi:</w:t>
      </w:r>
      <w:r w:rsidRPr="00541A2D" w:rsidR="00541A2D">
        <w:rPr>
          <w:lang w:eastAsia="ja-JP"/>
        </w:rPr>
        <w:t>10.1021/es103636d</w:t>
      </w:r>
      <w:r>
        <w:rPr>
          <w:lang w:eastAsia="ja-JP"/>
        </w:rPr>
        <w:t>.</w:t>
      </w:r>
    </w:p>
    <w:p w:rsidR="00CA6749" w:rsidRPr="00CA6749" w:rsidP="00CA6749" w14:paraId="45EFD182" w14:textId="7952A8C3">
      <w:pPr>
        <w:rPr>
          <w:lang w:eastAsia="ja-JP"/>
        </w:rPr>
      </w:pPr>
      <w:r w:rsidRPr="00CA6749">
        <w:rPr>
          <w:lang w:eastAsia="ja-JP"/>
        </w:rPr>
        <w:t>Olsen A, Konovalov D, Philippa B, Ridd P</w:t>
      </w:r>
      <w:r>
        <w:rPr>
          <w:lang w:eastAsia="ja-JP"/>
        </w:rPr>
        <w:t xml:space="preserve"> </w:t>
      </w:r>
      <w:r w:rsidR="003C60FB">
        <w:rPr>
          <w:lang w:eastAsia="ja-JP"/>
        </w:rPr>
        <w:t>and</w:t>
      </w:r>
      <w:r w:rsidRPr="00CA6749">
        <w:rPr>
          <w:lang w:eastAsia="ja-JP"/>
        </w:rPr>
        <w:t xml:space="preserve"> Wood JC </w:t>
      </w:r>
      <w:r w:rsidR="00F73DB4">
        <w:rPr>
          <w:lang w:eastAsia="ja-JP"/>
        </w:rPr>
        <w:t>(</w:t>
      </w:r>
      <w:r w:rsidRPr="00CA6749">
        <w:rPr>
          <w:lang w:eastAsia="ja-JP"/>
        </w:rPr>
        <w:t>2020</w:t>
      </w:r>
      <w:r w:rsidR="00F73DB4">
        <w:rPr>
          <w:lang w:eastAsia="ja-JP"/>
        </w:rPr>
        <w:t>)</w:t>
      </w:r>
      <w:r w:rsidRPr="00CA6749">
        <w:rPr>
          <w:lang w:eastAsia="ja-JP"/>
        </w:rPr>
        <w:t xml:space="preserve"> </w:t>
      </w:r>
      <w:r w:rsidR="00F73DB4">
        <w:rPr>
          <w:lang w:eastAsia="ja-JP"/>
        </w:rPr>
        <w:t>‘</w:t>
      </w:r>
      <w:r>
        <w:fldChar w:fldCharType="begin"/>
      </w:r>
      <w:r>
        <w:instrText xml:space="preserve"> HYPERLINK "https://doi.org/10.1038/s41598-018-38343-3" </w:instrText>
      </w:r>
      <w:r>
        <w:fldChar w:fldCharType="separate"/>
      </w:r>
      <w:r w:rsidRPr="00B34D46">
        <w:rPr>
          <w:rStyle w:val="Hyperlink"/>
          <w:lang w:eastAsia="ja-JP"/>
        </w:rPr>
        <w:t>Deep</w:t>
      </w:r>
      <w:r w:rsidRPr="00B34D46" w:rsidR="00623152">
        <w:rPr>
          <w:rStyle w:val="Hyperlink"/>
          <w:lang w:eastAsia="ja-JP"/>
        </w:rPr>
        <w:t xml:space="preserve"> </w:t>
      </w:r>
      <w:r w:rsidRPr="00B34D46">
        <w:rPr>
          <w:rStyle w:val="Hyperlink"/>
          <w:lang w:eastAsia="ja-JP"/>
        </w:rPr>
        <w:t>Weeds: a multiclass weed species image dataset for deep learning</w:t>
      </w:r>
      <w:r>
        <w:fldChar w:fldCharType="end"/>
      </w:r>
      <w:r w:rsidR="00F73DB4">
        <w:rPr>
          <w:lang w:eastAsia="ja-JP"/>
        </w:rPr>
        <w:t>’,</w:t>
      </w:r>
      <w:r w:rsidRPr="00CA6749">
        <w:rPr>
          <w:lang w:eastAsia="ja-JP"/>
        </w:rPr>
        <w:t xml:space="preserve"> </w:t>
      </w:r>
      <w:r w:rsidRPr="00CA6749">
        <w:rPr>
          <w:i/>
          <w:iCs/>
          <w:lang w:eastAsia="ja-JP"/>
        </w:rPr>
        <w:t>Scientific Reports</w:t>
      </w:r>
      <w:r>
        <w:rPr>
          <w:lang w:eastAsia="ja-JP"/>
        </w:rPr>
        <w:t xml:space="preserve">, </w:t>
      </w:r>
      <w:r w:rsidRPr="00CA6749">
        <w:rPr>
          <w:lang w:eastAsia="ja-JP"/>
        </w:rPr>
        <w:t>9</w:t>
      </w:r>
      <w:r w:rsidR="00F73DB4">
        <w:rPr>
          <w:lang w:eastAsia="ja-JP"/>
        </w:rPr>
        <w:t>:</w:t>
      </w:r>
      <w:r w:rsidRPr="00CA6749">
        <w:rPr>
          <w:lang w:eastAsia="ja-JP"/>
        </w:rPr>
        <w:t>2058</w:t>
      </w:r>
      <w:r w:rsidRPr="00F73DB4" w:rsidR="00F73DB4">
        <w:rPr>
          <w:lang w:eastAsia="ja-JP"/>
        </w:rPr>
        <w:t>,</w:t>
      </w:r>
      <w:r w:rsidRPr="00CA6749">
        <w:rPr>
          <w:lang w:eastAsia="ja-JP"/>
        </w:rPr>
        <w:t xml:space="preserve"> doi</w:t>
      </w:r>
      <w:r w:rsidR="00F73DB4">
        <w:rPr>
          <w:lang w:eastAsia="ja-JP"/>
        </w:rPr>
        <w:t>:</w:t>
      </w:r>
      <w:r w:rsidRPr="00CA6749">
        <w:rPr>
          <w:lang w:eastAsia="ja-JP"/>
        </w:rPr>
        <w:t>10.1038/s41598-018-38343-3</w:t>
      </w:r>
      <w:r>
        <w:rPr>
          <w:lang w:eastAsia="ja-JP"/>
        </w:rPr>
        <w:t>.</w:t>
      </w:r>
    </w:p>
    <w:p w:rsidR="00FF31E9" w:rsidRPr="00525C8D" w:rsidP="00FF31E9" w14:paraId="1913AEF2" w14:textId="2E8D9892">
      <w:pPr>
        <w:rPr>
          <w:lang w:eastAsia="ja-JP"/>
        </w:rPr>
      </w:pPr>
      <w:r w:rsidRPr="00525C8D">
        <w:rPr>
          <w:lang w:eastAsia="ja-JP"/>
        </w:rPr>
        <w:t>Ovaskainen O, Tikhonov G, Norberg A, Guillaume Blanchet F, Duan L, Dunson D, Roslin T</w:t>
      </w:r>
      <w:r>
        <w:rPr>
          <w:lang w:eastAsia="ja-JP"/>
        </w:rPr>
        <w:t xml:space="preserve"> </w:t>
      </w:r>
      <w:r w:rsidR="003C60FB">
        <w:rPr>
          <w:lang w:eastAsia="ja-JP"/>
        </w:rPr>
        <w:t>and</w:t>
      </w:r>
      <w:r w:rsidRPr="00525C8D">
        <w:rPr>
          <w:lang w:eastAsia="ja-JP"/>
        </w:rPr>
        <w:t xml:space="preserve"> Abrego N </w:t>
      </w:r>
      <w:r w:rsidR="00F73DB4">
        <w:rPr>
          <w:lang w:eastAsia="ja-JP"/>
        </w:rPr>
        <w:t>(</w:t>
      </w:r>
      <w:r w:rsidRPr="00525C8D">
        <w:rPr>
          <w:lang w:eastAsia="ja-JP"/>
        </w:rPr>
        <w:t>2017</w:t>
      </w:r>
      <w:r w:rsidR="00F73DB4">
        <w:rPr>
          <w:lang w:eastAsia="ja-JP"/>
        </w:rPr>
        <w:t>)</w:t>
      </w:r>
      <w:r w:rsidRPr="00525C8D">
        <w:rPr>
          <w:lang w:eastAsia="ja-JP"/>
        </w:rPr>
        <w:t xml:space="preserve"> </w:t>
      </w:r>
      <w:r w:rsidR="00F73DB4">
        <w:rPr>
          <w:lang w:eastAsia="ja-JP"/>
        </w:rPr>
        <w:t>‘</w:t>
      </w:r>
      <w:r>
        <w:fldChar w:fldCharType="begin"/>
      </w:r>
      <w:r>
        <w:instrText xml:space="preserve"> HYPERLINK "https://doi.org/10.1111/ele.12757" </w:instrText>
      </w:r>
      <w:r>
        <w:fldChar w:fldCharType="separate"/>
      </w:r>
      <w:r w:rsidRPr="00B34D46">
        <w:rPr>
          <w:rStyle w:val="Hyperlink"/>
          <w:lang w:eastAsia="ja-JP"/>
        </w:rPr>
        <w:t>How to make more out of community data? A conceptual framework and its implementation as models and software</w:t>
      </w:r>
      <w:r>
        <w:fldChar w:fldCharType="end"/>
      </w:r>
      <w:r w:rsidR="00F73DB4">
        <w:rPr>
          <w:lang w:eastAsia="ja-JP"/>
        </w:rPr>
        <w:t>’,</w:t>
      </w:r>
      <w:r w:rsidRPr="00525C8D">
        <w:rPr>
          <w:lang w:eastAsia="ja-JP"/>
        </w:rPr>
        <w:t xml:space="preserve"> </w:t>
      </w:r>
      <w:r w:rsidRPr="00525C8D">
        <w:rPr>
          <w:i/>
          <w:iCs/>
          <w:lang w:eastAsia="ja-JP"/>
        </w:rPr>
        <w:t>Ecology Letters</w:t>
      </w:r>
      <w:r>
        <w:rPr>
          <w:lang w:eastAsia="ja-JP"/>
        </w:rPr>
        <w:t>,</w:t>
      </w:r>
      <w:r w:rsidRPr="00525C8D">
        <w:rPr>
          <w:lang w:eastAsia="ja-JP"/>
        </w:rPr>
        <w:t xml:space="preserve"> 20</w:t>
      </w:r>
      <w:r w:rsidR="00F73DB4">
        <w:rPr>
          <w:lang w:eastAsia="ja-JP"/>
        </w:rPr>
        <w:t>:</w:t>
      </w:r>
      <w:r w:rsidRPr="00525C8D">
        <w:rPr>
          <w:lang w:eastAsia="ja-JP"/>
        </w:rPr>
        <w:t>561–576.</w:t>
      </w:r>
      <w:r w:rsidR="00B34D46">
        <w:rPr>
          <w:lang w:eastAsia="ja-JP"/>
        </w:rPr>
        <w:t xml:space="preserve">, </w:t>
      </w:r>
      <w:r w:rsidR="002A0E99">
        <w:rPr>
          <w:lang w:eastAsia="ja-JP"/>
        </w:rPr>
        <w:t>doi:</w:t>
      </w:r>
      <w:r w:rsidRPr="00B34D46" w:rsidR="00B34D46">
        <w:rPr>
          <w:lang w:eastAsia="ja-JP"/>
        </w:rPr>
        <w:t>10.1111/ele.12757</w:t>
      </w:r>
      <w:r w:rsidRPr="00525C8D">
        <w:rPr>
          <w:lang w:eastAsia="ja-JP"/>
        </w:rPr>
        <w:t xml:space="preserve"> </w:t>
      </w:r>
    </w:p>
    <w:p w:rsidR="005B6FC0" w:rsidRPr="00D43AFA" w:rsidP="00D43AFA" w14:paraId="0A2A277E" w14:textId="26F18C82">
      <w:pPr>
        <w:rPr>
          <w:lang w:val="en-GB" w:eastAsia="ja-JP"/>
        </w:rPr>
      </w:pPr>
      <w:r w:rsidRPr="00D43AFA">
        <w:rPr>
          <w:lang w:val="en-GB" w:eastAsia="ja-JP"/>
        </w:rPr>
        <w:t xml:space="preserve">Pablo F, Chapman JC </w:t>
      </w:r>
      <w:r w:rsidR="003C60FB">
        <w:rPr>
          <w:lang w:val="en-GB" w:eastAsia="ja-JP"/>
        </w:rPr>
        <w:t>and</w:t>
      </w:r>
      <w:r w:rsidRPr="00D43AFA">
        <w:rPr>
          <w:lang w:val="en-GB" w:eastAsia="ja-JP"/>
        </w:rPr>
        <w:t xml:space="preserve"> Patra R </w:t>
      </w:r>
      <w:r w:rsidR="00F452C9">
        <w:rPr>
          <w:lang w:val="en-GB" w:eastAsia="ja-JP"/>
        </w:rPr>
        <w:t>(</w:t>
      </w:r>
      <w:r w:rsidRPr="00D43AFA">
        <w:rPr>
          <w:lang w:val="en-GB" w:eastAsia="ja-JP"/>
        </w:rPr>
        <w:t>1996</w:t>
      </w:r>
      <w:r w:rsidR="00F452C9">
        <w:rPr>
          <w:lang w:val="en-GB" w:eastAsia="ja-JP"/>
        </w:rPr>
        <w:t>)</w:t>
      </w:r>
      <w:r w:rsidRPr="00D43AFA">
        <w:rPr>
          <w:lang w:val="en-GB" w:eastAsia="ja-JP"/>
        </w:rPr>
        <w:t xml:space="preserve"> </w:t>
      </w:r>
      <w:r w:rsidR="00F452C9">
        <w:rPr>
          <w:lang w:val="en-GB" w:eastAsia="ja-JP"/>
        </w:rPr>
        <w:t>‘</w:t>
      </w:r>
      <w:r w:rsidRPr="00D43AFA">
        <w:rPr>
          <w:lang w:val="en-GB" w:eastAsia="ja-JP"/>
        </w:rPr>
        <w:t xml:space="preserve">Development of toxicity characterisation (TIE) procedures using Australian </w:t>
      </w:r>
      <w:r w:rsidRPr="00FA48AD">
        <w:rPr>
          <w:rStyle w:val="Emphasis"/>
        </w:rPr>
        <w:t>Ceriodaphnia dubia</w:t>
      </w:r>
      <w:r w:rsidR="00F452C9">
        <w:rPr>
          <w:lang w:val="en-GB" w:eastAsia="ja-JP"/>
        </w:rPr>
        <w:t>’,</w:t>
      </w:r>
      <w:r w:rsidRPr="00D43AFA">
        <w:rPr>
          <w:lang w:val="en-GB" w:eastAsia="ja-JP"/>
        </w:rPr>
        <w:t xml:space="preserve"> </w:t>
      </w:r>
      <w:r w:rsidR="00942A21">
        <w:rPr>
          <w:lang w:val="en-GB" w:eastAsia="ja-JP"/>
        </w:rPr>
        <w:t xml:space="preserve">in </w:t>
      </w:r>
      <w:r w:rsidRPr="00F452C9">
        <w:rPr>
          <w:i/>
          <w:iCs/>
          <w:lang w:val="en-GB" w:eastAsia="ja-JP"/>
        </w:rPr>
        <w:t>Proceedings of the International Symposium on Environmental Chemistry and Toxicology (InterSECT)</w:t>
      </w:r>
      <w:r w:rsidRPr="00D43AFA">
        <w:rPr>
          <w:lang w:val="en-GB" w:eastAsia="ja-JP"/>
        </w:rPr>
        <w:t>, Sydney.</w:t>
      </w:r>
    </w:p>
    <w:p w:rsidR="0015432F" w:rsidP="0015432F" w14:paraId="7BC7B3D6" w14:textId="57FE764F">
      <w:pPr>
        <w:rPr>
          <w:lang w:eastAsia="ja-JP"/>
        </w:rPr>
      </w:pPr>
      <w:r w:rsidRPr="0015432F">
        <w:rPr>
          <w:lang w:val="en-GB" w:eastAsia="ja-JP"/>
        </w:rPr>
        <w:t>Perceval O, Caquet T, Lagadic L, Bassères A, Azam D, Lacroix G</w:t>
      </w:r>
      <w:r>
        <w:rPr>
          <w:lang w:val="en-GB" w:eastAsia="ja-JP"/>
        </w:rPr>
        <w:t xml:space="preserve"> </w:t>
      </w:r>
      <w:r w:rsidR="003C60FB">
        <w:rPr>
          <w:lang w:val="en-GB" w:eastAsia="ja-JP"/>
        </w:rPr>
        <w:t>and</w:t>
      </w:r>
      <w:r w:rsidRPr="0015432F">
        <w:rPr>
          <w:lang w:val="en-GB" w:eastAsia="ja-JP"/>
        </w:rPr>
        <w:t xml:space="preserve"> Poulsen V</w:t>
      </w:r>
      <w:r>
        <w:rPr>
          <w:lang w:val="en-GB" w:eastAsia="ja-JP"/>
        </w:rPr>
        <w:t xml:space="preserve"> </w:t>
      </w:r>
      <w:r w:rsidR="00942A21">
        <w:rPr>
          <w:lang w:val="en-GB" w:eastAsia="ja-JP"/>
        </w:rPr>
        <w:t>(</w:t>
      </w:r>
      <w:r w:rsidRPr="0015432F">
        <w:rPr>
          <w:lang w:val="en-GB" w:eastAsia="ja-JP"/>
        </w:rPr>
        <w:t>2011</w:t>
      </w:r>
      <w:r w:rsidR="00942A21">
        <w:rPr>
          <w:lang w:val="en-GB" w:eastAsia="ja-JP"/>
        </w:rPr>
        <w:t>)</w:t>
      </w:r>
      <w:r w:rsidRPr="0015432F">
        <w:rPr>
          <w:lang w:val="en-GB" w:eastAsia="ja-JP"/>
        </w:rPr>
        <w:t xml:space="preserve"> </w:t>
      </w:r>
      <w:r w:rsidR="00942A21">
        <w:rPr>
          <w:lang w:val="en-GB" w:eastAsia="ja-JP"/>
        </w:rPr>
        <w:t>‘</w:t>
      </w:r>
      <w:r>
        <w:fldChar w:fldCharType="begin"/>
      </w:r>
      <w:r>
        <w:instrText xml:space="preserve"> HYPERLINK "https://professionnels.ofb.fr/en/node/804" </w:instrText>
      </w:r>
      <w:r>
        <w:fldChar w:fldCharType="separate"/>
      </w:r>
      <w:r w:rsidRPr="00B34D46">
        <w:rPr>
          <w:rStyle w:val="Hyperlink"/>
          <w:lang w:val="en-GB" w:eastAsia="ja-JP"/>
        </w:rPr>
        <w:t xml:space="preserve">Mesocosms: </w:t>
      </w:r>
      <w:r w:rsidRPr="00B34D46" w:rsidR="00942A21">
        <w:rPr>
          <w:rStyle w:val="Hyperlink"/>
          <w:lang w:val="en-GB" w:eastAsia="ja-JP"/>
        </w:rPr>
        <w:t>t</w:t>
      </w:r>
      <w:r w:rsidRPr="00B34D46">
        <w:rPr>
          <w:rStyle w:val="Hyperlink"/>
          <w:lang w:val="en-GB" w:eastAsia="ja-JP"/>
        </w:rPr>
        <w:t>heir value as tools for managing the quality of aquatic environments</w:t>
      </w:r>
      <w:r>
        <w:fldChar w:fldCharType="end"/>
      </w:r>
      <w:r w:rsidR="00942A21">
        <w:rPr>
          <w:lang w:val="en-GB" w:eastAsia="ja-JP"/>
        </w:rPr>
        <w:t>’,</w:t>
      </w:r>
      <w:r w:rsidRPr="0015432F">
        <w:rPr>
          <w:lang w:val="en-GB" w:eastAsia="ja-JP"/>
        </w:rPr>
        <w:t xml:space="preserve"> </w:t>
      </w:r>
      <w:r w:rsidR="00942A21">
        <w:rPr>
          <w:lang w:val="en-GB" w:eastAsia="ja-JP"/>
        </w:rPr>
        <w:t>i</w:t>
      </w:r>
      <w:r w:rsidRPr="0015432F">
        <w:rPr>
          <w:lang w:val="en-GB" w:eastAsia="ja-JP"/>
        </w:rPr>
        <w:t xml:space="preserve">n </w:t>
      </w:r>
      <w:r w:rsidRPr="00942A21" w:rsidR="00942A21">
        <w:rPr>
          <w:i/>
          <w:iCs/>
          <w:lang w:val="en-GB" w:eastAsia="ja-JP"/>
        </w:rPr>
        <w:t>R</w:t>
      </w:r>
      <w:r w:rsidRPr="00942A21">
        <w:rPr>
          <w:i/>
          <w:iCs/>
          <w:lang w:val="en-GB" w:eastAsia="ja-JP"/>
        </w:rPr>
        <w:t>ecap</w:t>
      </w:r>
      <w:r w:rsidRPr="00942A21" w:rsidR="00942A21">
        <w:rPr>
          <w:i/>
          <w:iCs/>
          <w:lang w:val="en-GB" w:eastAsia="ja-JP"/>
        </w:rPr>
        <w:t xml:space="preserve"> document of the Ecotoxicology Symposium 14–16 October 2009 in Le Croisic</w:t>
      </w:r>
      <w:r w:rsidRPr="0015432F">
        <w:rPr>
          <w:lang w:val="en-GB" w:eastAsia="ja-JP"/>
        </w:rPr>
        <w:t>, Onema</w:t>
      </w:r>
      <w:r w:rsidR="0034731D">
        <w:rPr>
          <w:lang w:val="en-GB" w:eastAsia="ja-JP"/>
        </w:rPr>
        <w:t>, Vincennes</w:t>
      </w:r>
      <w:r w:rsidRPr="0015432F">
        <w:rPr>
          <w:lang w:val="en-GB" w:eastAsia="ja-JP"/>
        </w:rPr>
        <w:t xml:space="preserve">. </w:t>
      </w:r>
    </w:p>
    <w:p w:rsidR="005B6FC0" w:rsidP="001B25CD" w14:paraId="0E39CAE4" w14:textId="06A50F10">
      <w:pPr>
        <w:rPr>
          <w:lang w:eastAsia="ja-JP"/>
        </w:rPr>
      </w:pPr>
      <w:r>
        <w:rPr>
          <w:lang w:eastAsia="ja-JP"/>
        </w:rPr>
        <w:t xml:space="preserve">Phillips DJH </w:t>
      </w:r>
      <w:r w:rsidR="003C60FB">
        <w:rPr>
          <w:lang w:eastAsia="ja-JP"/>
        </w:rPr>
        <w:t>and</w:t>
      </w:r>
      <w:r>
        <w:rPr>
          <w:lang w:eastAsia="ja-JP"/>
        </w:rPr>
        <w:t xml:space="preserve"> Rainbow PS </w:t>
      </w:r>
      <w:r w:rsidR="00942A21">
        <w:rPr>
          <w:lang w:eastAsia="ja-JP"/>
        </w:rPr>
        <w:t>(</w:t>
      </w:r>
      <w:r>
        <w:rPr>
          <w:lang w:eastAsia="ja-JP"/>
        </w:rPr>
        <w:t>1989</w:t>
      </w:r>
      <w:r w:rsidR="00942A21">
        <w:rPr>
          <w:lang w:eastAsia="ja-JP"/>
        </w:rPr>
        <w:t>)</w:t>
      </w:r>
      <w:r>
        <w:rPr>
          <w:lang w:eastAsia="ja-JP"/>
        </w:rPr>
        <w:t xml:space="preserve"> </w:t>
      </w:r>
      <w:r w:rsidR="00942A21">
        <w:rPr>
          <w:lang w:eastAsia="ja-JP"/>
        </w:rPr>
        <w:t>‘</w:t>
      </w:r>
      <w:r>
        <w:fldChar w:fldCharType="begin"/>
      </w:r>
      <w:r>
        <w:instrText xml:space="preserve"> HYPERLINK "https://doi.org/10.1016/0141-1136(89)90226-2" </w:instrText>
      </w:r>
      <w:r>
        <w:fldChar w:fldCharType="separate"/>
      </w:r>
      <w:r w:rsidRPr="00B34D46">
        <w:rPr>
          <w:rStyle w:val="Hyperlink"/>
          <w:lang w:eastAsia="ja-JP"/>
        </w:rPr>
        <w:t>Strategies of trace metal sequestration in aquatic organisms</w:t>
      </w:r>
      <w:r>
        <w:fldChar w:fldCharType="end"/>
      </w:r>
      <w:r w:rsidR="00942A21">
        <w:rPr>
          <w:lang w:eastAsia="ja-JP"/>
        </w:rPr>
        <w:t>’,</w:t>
      </w:r>
      <w:r>
        <w:rPr>
          <w:lang w:eastAsia="ja-JP"/>
        </w:rPr>
        <w:t xml:space="preserve"> </w:t>
      </w:r>
      <w:r w:rsidRPr="0054623C">
        <w:rPr>
          <w:rStyle w:val="Emphasis"/>
        </w:rPr>
        <w:t>Marine Environmental Research</w:t>
      </w:r>
      <w:r>
        <w:rPr>
          <w:lang w:eastAsia="ja-JP"/>
        </w:rPr>
        <w:t>, 28</w:t>
      </w:r>
      <w:r w:rsidR="00942A21">
        <w:rPr>
          <w:lang w:eastAsia="ja-JP"/>
        </w:rPr>
        <w:t>:</w:t>
      </w:r>
      <w:r>
        <w:rPr>
          <w:lang w:eastAsia="ja-JP"/>
        </w:rPr>
        <w:t>207–210</w:t>
      </w:r>
      <w:r w:rsidR="00B34D46">
        <w:rPr>
          <w:lang w:eastAsia="ja-JP"/>
        </w:rPr>
        <w:t xml:space="preserve">, </w:t>
      </w:r>
      <w:r w:rsidR="002A0E99">
        <w:rPr>
          <w:lang w:eastAsia="ja-JP"/>
        </w:rPr>
        <w:t>doi:</w:t>
      </w:r>
      <w:r w:rsidRPr="00B34D46" w:rsidR="00B34D46">
        <w:rPr>
          <w:lang w:eastAsia="ja-JP"/>
        </w:rPr>
        <w:t>10.1016/0141-1136(89)90226-2</w:t>
      </w:r>
      <w:r>
        <w:rPr>
          <w:lang w:eastAsia="ja-JP"/>
        </w:rPr>
        <w:t>.</w:t>
      </w:r>
    </w:p>
    <w:p w:rsidR="005B6FC0" w:rsidP="00D43AFA" w14:paraId="5A29568E" w14:textId="7E8D18C6">
      <w:pPr>
        <w:rPr>
          <w:lang w:val="en-GB"/>
        </w:rPr>
      </w:pPr>
      <w:r w:rsidRPr="00323A72">
        <w:rPr>
          <w:lang w:val="en-GB"/>
        </w:rPr>
        <w:t xml:space="preserve">Pifher MT </w:t>
      </w:r>
      <w:r w:rsidR="003C60FB">
        <w:rPr>
          <w:lang w:val="en-GB"/>
        </w:rPr>
        <w:t>and</w:t>
      </w:r>
      <w:r w:rsidRPr="00323A72">
        <w:rPr>
          <w:lang w:val="en-GB"/>
        </w:rPr>
        <w:t xml:space="preserve"> Egan JT </w:t>
      </w:r>
      <w:r w:rsidR="00FD6C9D">
        <w:rPr>
          <w:lang w:val="en-GB"/>
        </w:rPr>
        <w:t>(</w:t>
      </w:r>
      <w:r w:rsidRPr="00323A72">
        <w:rPr>
          <w:lang w:val="en-GB"/>
        </w:rPr>
        <w:t>1989</w:t>
      </w:r>
      <w:r w:rsidR="00FD6C9D">
        <w:rPr>
          <w:lang w:val="en-GB"/>
        </w:rPr>
        <w:t>)</w:t>
      </w:r>
      <w:r w:rsidRPr="00323A72">
        <w:rPr>
          <w:lang w:val="en-GB"/>
        </w:rPr>
        <w:t xml:space="preserve"> </w:t>
      </w:r>
      <w:r w:rsidR="00FD6C9D">
        <w:rPr>
          <w:lang w:val="en-GB"/>
        </w:rPr>
        <w:t>‘</w:t>
      </w:r>
      <w:r w:rsidRPr="00323A72">
        <w:rPr>
          <w:lang w:val="en-GB"/>
        </w:rPr>
        <w:t xml:space="preserve">Biomonitoring and toxics control: </w:t>
      </w:r>
      <w:r w:rsidR="00FD6C9D">
        <w:rPr>
          <w:lang w:val="en-GB"/>
        </w:rPr>
        <w:t>t</w:t>
      </w:r>
      <w:r w:rsidRPr="00323A72">
        <w:rPr>
          <w:lang w:val="en-GB"/>
        </w:rPr>
        <w:t>he POTW perspective</w:t>
      </w:r>
      <w:r w:rsidR="00FD6C9D">
        <w:rPr>
          <w:lang w:val="en-GB"/>
        </w:rPr>
        <w:t>’,</w:t>
      </w:r>
      <w:r w:rsidR="00EC25CA">
        <w:rPr>
          <w:lang w:val="en-GB"/>
        </w:rPr>
        <w:t xml:space="preserve"> </w:t>
      </w:r>
      <w:r w:rsidRPr="00FA48AD">
        <w:rPr>
          <w:rStyle w:val="Emphasis"/>
        </w:rPr>
        <w:t>Natural Resources and the Environment</w:t>
      </w:r>
      <w:r>
        <w:rPr>
          <w:lang w:val="en-GB"/>
        </w:rPr>
        <w:t>,</w:t>
      </w:r>
      <w:r w:rsidRPr="00323A72">
        <w:rPr>
          <w:lang w:val="en-GB"/>
        </w:rPr>
        <w:t xml:space="preserve"> 4</w:t>
      </w:r>
      <w:r w:rsidR="00FD6C9D">
        <w:rPr>
          <w:lang w:val="en-GB"/>
        </w:rPr>
        <w:t>:</w:t>
      </w:r>
      <w:r w:rsidRPr="00323A72">
        <w:rPr>
          <w:lang w:val="en-GB"/>
        </w:rPr>
        <w:t>13(5).</w:t>
      </w:r>
    </w:p>
    <w:p w:rsidR="005B6FC0" w:rsidP="001B25CD" w14:paraId="7EEA7B98" w14:textId="3FE2C9A6">
      <w:pPr>
        <w:rPr>
          <w:lang w:eastAsia="ja-JP"/>
        </w:rPr>
      </w:pPr>
      <w:r>
        <w:rPr>
          <w:lang w:eastAsia="ja-JP"/>
        </w:rPr>
        <w:t xml:space="preserve">Poff NL, Olden JD, Vieira NKM, Finn DS, Simmons MP </w:t>
      </w:r>
      <w:r w:rsidR="003C60FB">
        <w:rPr>
          <w:lang w:eastAsia="ja-JP"/>
        </w:rPr>
        <w:t>and</w:t>
      </w:r>
      <w:r>
        <w:rPr>
          <w:lang w:eastAsia="ja-JP"/>
        </w:rPr>
        <w:t xml:space="preserve"> Kondratieff BC </w:t>
      </w:r>
      <w:r w:rsidR="00FD6C9D">
        <w:rPr>
          <w:lang w:eastAsia="ja-JP"/>
        </w:rPr>
        <w:t>(</w:t>
      </w:r>
      <w:r>
        <w:rPr>
          <w:lang w:eastAsia="ja-JP"/>
        </w:rPr>
        <w:t>2006</w:t>
      </w:r>
      <w:r w:rsidR="00FD6C9D">
        <w:rPr>
          <w:lang w:eastAsia="ja-JP"/>
        </w:rPr>
        <w:t>)</w:t>
      </w:r>
      <w:r>
        <w:rPr>
          <w:lang w:eastAsia="ja-JP"/>
        </w:rPr>
        <w:t xml:space="preserve"> </w:t>
      </w:r>
      <w:r w:rsidR="00FD6C9D">
        <w:rPr>
          <w:lang w:eastAsia="ja-JP"/>
        </w:rPr>
        <w:t>‘</w:t>
      </w:r>
      <w:r>
        <w:fldChar w:fldCharType="begin"/>
      </w:r>
      <w:r>
        <w:instrText xml:space="preserve"> HYPERLINK "https://doi.org/10.1899/0887-3593(2006)025%5b0730:FTNONA%5d2.0.CO;2" </w:instrText>
      </w:r>
      <w:r>
        <w:fldChar w:fldCharType="separate"/>
      </w:r>
      <w:r w:rsidRPr="00B34D46">
        <w:rPr>
          <w:rStyle w:val="Hyperlink"/>
          <w:lang w:eastAsia="ja-JP"/>
        </w:rPr>
        <w:t xml:space="preserve">Functional trait niches of North American lotic insects: </w:t>
      </w:r>
      <w:r w:rsidRPr="00B34D46" w:rsidR="00FD6C9D">
        <w:rPr>
          <w:rStyle w:val="Hyperlink"/>
          <w:lang w:eastAsia="ja-JP"/>
        </w:rPr>
        <w:t>t</w:t>
      </w:r>
      <w:r w:rsidRPr="00B34D46">
        <w:rPr>
          <w:rStyle w:val="Hyperlink"/>
          <w:lang w:eastAsia="ja-JP"/>
        </w:rPr>
        <w:t>raits-based ecological applications in light of phylogenetic relationships</w:t>
      </w:r>
      <w:r>
        <w:fldChar w:fldCharType="end"/>
      </w:r>
      <w:r w:rsidR="00FD6C9D">
        <w:rPr>
          <w:lang w:eastAsia="ja-JP"/>
        </w:rPr>
        <w:t>’,</w:t>
      </w:r>
      <w:r>
        <w:rPr>
          <w:lang w:eastAsia="ja-JP"/>
        </w:rPr>
        <w:t xml:space="preserve"> </w:t>
      </w:r>
      <w:r w:rsidRPr="0054623C">
        <w:rPr>
          <w:rStyle w:val="Emphasis"/>
        </w:rPr>
        <w:t>Journal of the North American Benthological Society</w:t>
      </w:r>
      <w:r>
        <w:rPr>
          <w:lang w:eastAsia="ja-JP"/>
        </w:rPr>
        <w:t>, 25</w:t>
      </w:r>
      <w:r w:rsidR="00FD6C9D">
        <w:rPr>
          <w:lang w:eastAsia="ja-JP"/>
        </w:rPr>
        <w:t>:</w:t>
      </w:r>
      <w:r>
        <w:rPr>
          <w:lang w:eastAsia="ja-JP"/>
        </w:rPr>
        <w:t>730–755</w:t>
      </w:r>
      <w:r w:rsidR="00B34D46">
        <w:rPr>
          <w:lang w:eastAsia="ja-JP"/>
        </w:rPr>
        <w:t xml:space="preserve"> doi:</w:t>
      </w:r>
      <w:r w:rsidRPr="00B34D46" w:rsidR="00B34D46">
        <w:rPr>
          <w:lang w:eastAsia="ja-JP"/>
        </w:rPr>
        <w:t>10.1899/0887-3593(2006)025[0730:FTNONA]2.0.CO;2</w:t>
      </w:r>
      <w:r>
        <w:rPr>
          <w:lang w:eastAsia="ja-JP"/>
        </w:rPr>
        <w:t>.</w:t>
      </w:r>
    </w:p>
    <w:p w:rsidR="005B6FC0" w:rsidP="001B25CD" w14:paraId="049479A6" w14:textId="1F9AE6FF">
      <w:pPr>
        <w:rPr>
          <w:lang w:eastAsia="ja-JP"/>
        </w:rPr>
      </w:pPr>
      <w:r>
        <w:rPr>
          <w:lang w:eastAsia="ja-JP"/>
        </w:rPr>
        <w:t xml:space="preserve">Power EA </w:t>
      </w:r>
      <w:r w:rsidR="003C60FB">
        <w:rPr>
          <w:lang w:eastAsia="ja-JP"/>
        </w:rPr>
        <w:t>and</w:t>
      </w:r>
      <w:r>
        <w:rPr>
          <w:lang w:eastAsia="ja-JP"/>
        </w:rPr>
        <w:t xml:space="preserve"> Boumphrey RS </w:t>
      </w:r>
      <w:r w:rsidR="0032140B">
        <w:rPr>
          <w:lang w:eastAsia="ja-JP"/>
        </w:rPr>
        <w:t>(</w:t>
      </w:r>
      <w:r>
        <w:rPr>
          <w:lang w:eastAsia="ja-JP"/>
        </w:rPr>
        <w:t>2004</w:t>
      </w:r>
      <w:r w:rsidR="0032140B">
        <w:rPr>
          <w:lang w:eastAsia="ja-JP"/>
        </w:rPr>
        <w:t>)</w:t>
      </w:r>
      <w:r>
        <w:rPr>
          <w:lang w:eastAsia="ja-JP"/>
        </w:rPr>
        <w:t xml:space="preserve"> </w:t>
      </w:r>
      <w:r w:rsidR="0032140B">
        <w:rPr>
          <w:lang w:eastAsia="ja-JP"/>
        </w:rPr>
        <w:t>‘</w:t>
      </w:r>
      <w:r>
        <w:fldChar w:fldCharType="begin"/>
      </w:r>
      <w:r>
        <w:instrText xml:space="preserve"> HYPERLINK "https://doi.org/10.1023/B:ECTX.0000035290.89590.03" </w:instrText>
      </w:r>
      <w:r>
        <w:fldChar w:fldCharType="separate"/>
      </w:r>
      <w:r w:rsidRPr="00B34D46">
        <w:rPr>
          <w:rStyle w:val="Hyperlink"/>
          <w:lang w:eastAsia="ja-JP"/>
        </w:rPr>
        <w:t xml:space="preserve">International rends in </w:t>
      </w:r>
      <w:r w:rsidRPr="00B34D46" w:rsidR="0032140B">
        <w:rPr>
          <w:rStyle w:val="Hyperlink"/>
          <w:lang w:eastAsia="ja-JP"/>
        </w:rPr>
        <w:t>b</w:t>
      </w:r>
      <w:r w:rsidRPr="00B34D46">
        <w:rPr>
          <w:rStyle w:val="Hyperlink"/>
          <w:lang w:eastAsia="ja-JP"/>
        </w:rPr>
        <w:t xml:space="preserve">ioassay </w:t>
      </w:r>
      <w:r w:rsidRPr="00B34D46" w:rsidR="0032140B">
        <w:rPr>
          <w:rStyle w:val="Hyperlink"/>
          <w:lang w:eastAsia="ja-JP"/>
        </w:rPr>
        <w:t>u</w:t>
      </w:r>
      <w:r w:rsidRPr="00B34D46">
        <w:rPr>
          <w:rStyle w:val="Hyperlink"/>
          <w:lang w:eastAsia="ja-JP"/>
        </w:rPr>
        <w:t xml:space="preserve">se for </w:t>
      </w:r>
      <w:r w:rsidRPr="00B34D46" w:rsidR="0032140B">
        <w:rPr>
          <w:rStyle w:val="Hyperlink"/>
          <w:lang w:eastAsia="ja-JP"/>
        </w:rPr>
        <w:t>e</w:t>
      </w:r>
      <w:r w:rsidRPr="00B34D46">
        <w:rPr>
          <w:rStyle w:val="Hyperlink"/>
          <w:lang w:eastAsia="ja-JP"/>
        </w:rPr>
        <w:t xml:space="preserve">ffluent </w:t>
      </w:r>
      <w:r w:rsidRPr="00B34D46" w:rsidR="0032140B">
        <w:rPr>
          <w:rStyle w:val="Hyperlink"/>
          <w:lang w:eastAsia="ja-JP"/>
        </w:rPr>
        <w:t>m</w:t>
      </w:r>
      <w:r w:rsidRPr="00B34D46">
        <w:rPr>
          <w:rStyle w:val="Hyperlink"/>
          <w:lang w:eastAsia="ja-JP"/>
        </w:rPr>
        <w:t>anagement</w:t>
      </w:r>
      <w:r>
        <w:fldChar w:fldCharType="end"/>
      </w:r>
      <w:r w:rsidR="0032140B">
        <w:rPr>
          <w:lang w:eastAsia="ja-JP"/>
        </w:rPr>
        <w:t>’,</w:t>
      </w:r>
      <w:r>
        <w:rPr>
          <w:lang w:eastAsia="ja-JP"/>
        </w:rPr>
        <w:t xml:space="preserve"> </w:t>
      </w:r>
      <w:r w:rsidRPr="00BC5A64">
        <w:rPr>
          <w:rStyle w:val="Emphasis"/>
        </w:rPr>
        <w:t>Ecotoxicology</w:t>
      </w:r>
      <w:r>
        <w:rPr>
          <w:lang w:eastAsia="ja-JP"/>
        </w:rPr>
        <w:t>, 13</w:t>
      </w:r>
      <w:r w:rsidR="0032140B">
        <w:rPr>
          <w:lang w:eastAsia="ja-JP"/>
        </w:rPr>
        <w:t>:</w:t>
      </w:r>
      <w:r>
        <w:rPr>
          <w:lang w:eastAsia="ja-JP"/>
        </w:rPr>
        <w:t>377–398</w:t>
      </w:r>
      <w:r w:rsidR="00B34D46">
        <w:rPr>
          <w:lang w:eastAsia="ja-JP"/>
        </w:rPr>
        <w:t xml:space="preserve">, </w:t>
      </w:r>
      <w:r w:rsidR="002A0E99">
        <w:rPr>
          <w:lang w:eastAsia="ja-JP"/>
        </w:rPr>
        <w:t>doi:</w:t>
      </w:r>
      <w:r w:rsidRPr="00B34D46" w:rsidR="00B34D46">
        <w:rPr>
          <w:lang w:eastAsia="ja-JP"/>
        </w:rPr>
        <w:t>10.1023/B:ECTX.0000035290.89590.03</w:t>
      </w:r>
      <w:r>
        <w:rPr>
          <w:lang w:eastAsia="ja-JP"/>
        </w:rPr>
        <w:t>.</w:t>
      </w:r>
    </w:p>
    <w:p w:rsidR="005B6FC0" w:rsidP="001B25CD" w14:paraId="4F0B797F" w14:textId="14D276A7">
      <w:pPr>
        <w:rPr>
          <w:lang w:eastAsia="ja-JP"/>
        </w:rPr>
      </w:pPr>
      <w:r w:rsidRPr="006A3315">
        <w:rPr>
          <w:lang w:eastAsia="ja-JP"/>
        </w:rPr>
        <w:t xml:space="preserve">Prouse AE, Hogan AC, Harford AJ, </w:t>
      </w:r>
      <w:r w:rsidRPr="006A3315">
        <w:rPr>
          <w:bCs/>
          <w:lang w:eastAsia="ja-JP"/>
        </w:rPr>
        <w:t>van Dam RA</w:t>
      </w:r>
      <w:r w:rsidRPr="006A3315">
        <w:rPr>
          <w:lang w:eastAsia="ja-JP"/>
        </w:rPr>
        <w:t xml:space="preserve"> </w:t>
      </w:r>
      <w:r w:rsidR="003C60FB">
        <w:rPr>
          <w:lang w:eastAsia="ja-JP"/>
        </w:rPr>
        <w:t>and</w:t>
      </w:r>
      <w:r w:rsidRPr="006A3315">
        <w:rPr>
          <w:lang w:eastAsia="ja-JP"/>
        </w:rPr>
        <w:t xml:space="preserve"> Nugegoda D </w:t>
      </w:r>
      <w:r w:rsidR="0032140B">
        <w:rPr>
          <w:lang w:eastAsia="ja-JP"/>
        </w:rPr>
        <w:t>(</w:t>
      </w:r>
      <w:r w:rsidRPr="006A3315">
        <w:rPr>
          <w:lang w:eastAsia="ja-JP"/>
        </w:rPr>
        <w:t>2015</w:t>
      </w:r>
      <w:r w:rsidR="0032140B">
        <w:rPr>
          <w:lang w:eastAsia="ja-JP"/>
        </w:rPr>
        <w:t>)</w:t>
      </w:r>
      <w:r w:rsidRPr="006A3315">
        <w:rPr>
          <w:lang w:eastAsia="ja-JP"/>
        </w:rPr>
        <w:t xml:space="preserve"> </w:t>
      </w:r>
      <w:r w:rsidR="0032140B">
        <w:rPr>
          <w:lang w:eastAsia="ja-JP"/>
        </w:rPr>
        <w:t>‘</w:t>
      </w:r>
      <w:r>
        <w:fldChar w:fldCharType="begin"/>
      </w:r>
      <w:r>
        <w:instrText xml:space="preserve"> HYPERLINK "https://doi.org/10.1002/etc.2966" </w:instrText>
      </w:r>
      <w:r>
        <w:fldChar w:fldCharType="separate"/>
      </w:r>
      <w:r w:rsidRPr="00B85006">
        <w:rPr>
          <w:rStyle w:val="Hyperlink"/>
          <w:i/>
          <w:iCs/>
        </w:rPr>
        <w:t>Hydra viridissima</w:t>
      </w:r>
      <w:r w:rsidRPr="00B85006">
        <w:rPr>
          <w:rStyle w:val="Hyperlink"/>
        </w:rPr>
        <w:t xml:space="preserve"> </w:t>
      </w:r>
      <w:r w:rsidRPr="00B85006">
        <w:rPr>
          <w:rStyle w:val="Hyperlink"/>
          <w:lang w:eastAsia="ja-JP"/>
        </w:rPr>
        <w:t>(</w:t>
      </w:r>
      <w:r w:rsidRPr="00B85006" w:rsidR="0032140B">
        <w:rPr>
          <w:rStyle w:val="Hyperlink"/>
          <w:lang w:eastAsia="ja-JP"/>
        </w:rPr>
        <w:t>g</w:t>
      </w:r>
      <w:r w:rsidRPr="00B85006">
        <w:rPr>
          <w:rStyle w:val="Hyperlink"/>
          <w:lang w:eastAsia="ja-JP"/>
        </w:rPr>
        <w:t>reen hydra) rapidly recover from multiple magnesium pulse exposures</w:t>
      </w:r>
      <w:r>
        <w:fldChar w:fldCharType="end"/>
      </w:r>
      <w:r w:rsidR="0032140B">
        <w:rPr>
          <w:lang w:eastAsia="ja-JP"/>
        </w:rPr>
        <w:t>’,</w:t>
      </w:r>
      <w:r w:rsidRPr="006A3315">
        <w:rPr>
          <w:lang w:eastAsia="ja-JP"/>
        </w:rPr>
        <w:t xml:space="preserve"> </w:t>
      </w:r>
      <w:r w:rsidRPr="00FA48AD">
        <w:rPr>
          <w:rStyle w:val="Emphasis"/>
        </w:rPr>
        <w:t>Environmental Toxicology and Chemistry</w:t>
      </w:r>
      <w:r>
        <w:rPr>
          <w:rStyle w:val="Emphasis"/>
          <w:i w:val="0"/>
        </w:rPr>
        <w:t>,</w:t>
      </w:r>
      <w:r w:rsidRPr="006A3315">
        <w:rPr>
          <w:i/>
          <w:iCs/>
          <w:lang w:eastAsia="ja-JP"/>
        </w:rPr>
        <w:t xml:space="preserve"> </w:t>
      </w:r>
      <w:r w:rsidRPr="006A3315">
        <w:rPr>
          <w:iCs/>
          <w:lang w:val="en" w:eastAsia="ja-JP"/>
        </w:rPr>
        <w:t>34</w:t>
      </w:r>
      <w:r w:rsidR="0032140B">
        <w:rPr>
          <w:iCs/>
          <w:lang w:val="en" w:eastAsia="ja-JP"/>
        </w:rPr>
        <w:t>:</w:t>
      </w:r>
      <w:r w:rsidRPr="006A3315">
        <w:rPr>
          <w:iCs/>
          <w:lang w:val="en" w:eastAsia="ja-JP"/>
        </w:rPr>
        <w:t>1734–1743</w:t>
      </w:r>
      <w:r w:rsidR="00B85006">
        <w:rPr>
          <w:iCs/>
          <w:lang w:val="en" w:eastAsia="ja-JP"/>
        </w:rPr>
        <w:t xml:space="preserve">, </w:t>
      </w:r>
      <w:r w:rsidR="002A0E99">
        <w:rPr>
          <w:iCs/>
          <w:lang w:val="en" w:eastAsia="ja-JP"/>
        </w:rPr>
        <w:t>doi:</w:t>
      </w:r>
      <w:r w:rsidRPr="00B85006" w:rsidR="00B85006">
        <w:rPr>
          <w:iCs/>
          <w:lang w:val="en" w:eastAsia="ja-JP"/>
        </w:rPr>
        <w:t>10.1002/etc.2966</w:t>
      </w:r>
      <w:r w:rsidRPr="006A3315">
        <w:rPr>
          <w:iCs/>
          <w:lang w:val="en" w:eastAsia="ja-JP"/>
        </w:rPr>
        <w:t>.</w:t>
      </w:r>
    </w:p>
    <w:p w:rsidR="005B6FC0" w:rsidP="001B25CD" w14:paraId="0640CCB7" w14:textId="49F973C3">
      <w:pPr>
        <w:rPr>
          <w:lang w:eastAsia="ja-JP"/>
        </w:rPr>
      </w:pPr>
      <w:r>
        <w:rPr>
          <w:lang w:eastAsia="ja-JP"/>
        </w:rPr>
        <w:t xml:space="preserve">Quetier F, Lavorel S, Thuiller W </w:t>
      </w:r>
      <w:r w:rsidR="003C60FB">
        <w:rPr>
          <w:lang w:eastAsia="ja-JP"/>
        </w:rPr>
        <w:t>and</w:t>
      </w:r>
      <w:r>
        <w:rPr>
          <w:lang w:eastAsia="ja-JP"/>
        </w:rPr>
        <w:t xml:space="preserve"> Davies I </w:t>
      </w:r>
      <w:r w:rsidR="0032140B">
        <w:rPr>
          <w:lang w:eastAsia="ja-JP"/>
        </w:rPr>
        <w:t>(</w:t>
      </w:r>
      <w:r>
        <w:rPr>
          <w:lang w:eastAsia="ja-JP"/>
        </w:rPr>
        <w:t>2007</w:t>
      </w:r>
      <w:r w:rsidR="0032140B">
        <w:rPr>
          <w:lang w:eastAsia="ja-JP"/>
        </w:rPr>
        <w:t>)</w:t>
      </w:r>
      <w:r>
        <w:rPr>
          <w:lang w:eastAsia="ja-JP"/>
        </w:rPr>
        <w:t xml:space="preserve"> </w:t>
      </w:r>
      <w:r w:rsidR="0032140B">
        <w:rPr>
          <w:lang w:eastAsia="ja-JP"/>
        </w:rPr>
        <w:t>‘</w:t>
      </w:r>
      <w:r>
        <w:fldChar w:fldCharType="begin"/>
      </w:r>
      <w:r>
        <w:instrText xml:space="preserve"> HYPERLINK "https://doi.org/10.1890/06-0750.1" </w:instrText>
      </w:r>
      <w:r>
        <w:fldChar w:fldCharType="separate"/>
      </w:r>
      <w:r w:rsidRPr="00B85006">
        <w:rPr>
          <w:rStyle w:val="Hyperlink"/>
          <w:lang w:eastAsia="ja-JP"/>
        </w:rPr>
        <w:t>Plant-trait-based modeling assessment of ecosystem-service sensitivity to land-use change</w:t>
      </w:r>
      <w:r>
        <w:fldChar w:fldCharType="end"/>
      </w:r>
      <w:r w:rsidR="0032140B">
        <w:rPr>
          <w:lang w:eastAsia="ja-JP"/>
        </w:rPr>
        <w:t>’,</w:t>
      </w:r>
      <w:r>
        <w:rPr>
          <w:lang w:eastAsia="ja-JP"/>
        </w:rPr>
        <w:t xml:space="preserve"> </w:t>
      </w:r>
      <w:r w:rsidRPr="00BC5A64">
        <w:rPr>
          <w:rStyle w:val="Emphasis"/>
        </w:rPr>
        <w:t>Ecological Applications</w:t>
      </w:r>
      <w:r>
        <w:rPr>
          <w:lang w:eastAsia="ja-JP"/>
        </w:rPr>
        <w:t>, 17</w:t>
      </w:r>
      <w:r w:rsidR="0032140B">
        <w:rPr>
          <w:lang w:eastAsia="ja-JP"/>
        </w:rPr>
        <w:t>:</w:t>
      </w:r>
      <w:r>
        <w:rPr>
          <w:lang w:eastAsia="ja-JP"/>
        </w:rPr>
        <w:t>2377–2386</w:t>
      </w:r>
      <w:r w:rsidR="00B85006">
        <w:rPr>
          <w:lang w:eastAsia="ja-JP"/>
        </w:rPr>
        <w:t xml:space="preserve">, </w:t>
      </w:r>
      <w:r w:rsidR="002A0E99">
        <w:rPr>
          <w:lang w:eastAsia="ja-JP"/>
        </w:rPr>
        <w:t>doi:</w:t>
      </w:r>
      <w:r w:rsidRPr="00B85006" w:rsidR="00B85006">
        <w:rPr>
          <w:lang w:eastAsia="ja-JP"/>
        </w:rPr>
        <w:t>10.1890/06-0750.1</w:t>
      </w:r>
      <w:r>
        <w:rPr>
          <w:lang w:eastAsia="ja-JP"/>
        </w:rPr>
        <w:t>.</w:t>
      </w:r>
    </w:p>
    <w:p w:rsidR="005B6FC0" w:rsidP="001B25CD" w14:paraId="7EFA3835" w14:textId="72EB17A4">
      <w:pPr>
        <w:rPr>
          <w:lang w:eastAsia="ja-JP"/>
        </w:rPr>
      </w:pPr>
      <w:r>
        <w:rPr>
          <w:lang w:eastAsia="ja-JP"/>
        </w:rPr>
        <w:t xml:space="preserve">Rainbow PS </w:t>
      </w:r>
      <w:r w:rsidR="003C60FB">
        <w:rPr>
          <w:lang w:eastAsia="ja-JP"/>
        </w:rPr>
        <w:t>and</w:t>
      </w:r>
      <w:r>
        <w:rPr>
          <w:lang w:eastAsia="ja-JP"/>
        </w:rPr>
        <w:t xml:space="preserve"> White SL </w:t>
      </w:r>
      <w:r w:rsidR="0032140B">
        <w:rPr>
          <w:lang w:eastAsia="ja-JP"/>
        </w:rPr>
        <w:t>(</w:t>
      </w:r>
      <w:r>
        <w:rPr>
          <w:lang w:eastAsia="ja-JP"/>
        </w:rPr>
        <w:t>1989</w:t>
      </w:r>
      <w:r w:rsidR="0032140B">
        <w:rPr>
          <w:lang w:eastAsia="ja-JP"/>
        </w:rPr>
        <w:t>)</w:t>
      </w:r>
      <w:r>
        <w:rPr>
          <w:lang w:eastAsia="ja-JP"/>
        </w:rPr>
        <w:t xml:space="preserve"> </w:t>
      </w:r>
      <w:r w:rsidR="0032140B">
        <w:rPr>
          <w:lang w:eastAsia="ja-JP"/>
        </w:rPr>
        <w:t>‘</w:t>
      </w:r>
      <w:r>
        <w:fldChar w:fldCharType="begin"/>
      </w:r>
      <w:r>
        <w:instrText xml:space="preserve"> HYPERLINK "https://doi.org/10.1007/BF00008164" </w:instrText>
      </w:r>
      <w:r>
        <w:fldChar w:fldCharType="separate"/>
      </w:r>
      <w:r w:rsidRPr="00B85006">
        <w:rPr>
          <w:rStyle w:val="Hyperlink"/>
          <w:lang w:eastAsia="ja-JP"/>
        </w:rPr>
        <w:t xml:space="preserve">Comparative strategies of heavy metal accumulation by crustaceans: </w:t>
      </w:r>
      <w:r w:rsidRPr="00B85006" w:rsidR="0032140B">
        <w:rPr>
          <w:rStyle w:val="Hyperlink"/>
          <w:lang w:eastAsia="ja-JP"/>
        </w:rPr>
        <w:t>z</w:t>
      </w:r>
      <w:r w:rsidRPr="00B85006">
        <w:rPr>
          <w:rStyle w:val="Hyperlink"/>
          <w:lang w:eastAsia="ja-JP"/>
        </w:rPr>
        <w:t>inc, copper and cadmium in a decapod, an amphipod and a barnacle</w:t>
      </w:r>
      <w:r>
        <w:fldChar w:fldCharType="end"/>
      </w:r>
      <w:r w:rsidR="0032140B">
        <w:rPr>
          <w:lang w:eastAsia="ja-JP"/>
        </w:rPr>
        <w:t>’,</w:t>
      </w:r>
      <w:r>
        <w:rPr>
          <w:lang w:eastAsia="ja-JP"/>
        </w:rPr>
        <w:t xml:space="preserve"> </w:t>
      </w:r>
      <w:r w:rsidRPr="00BC5A64">
        <w:rPr>
          <w:rStyle w:val="Emphasis"/>
        </w:rPr>
        <w:t>Hydrobiologia</w:t>
      </w:r>
      <w:r>
        <w:rPr>
          <w:lang w:eastAsia="ja-JP"/>
        </w:rPr>
        <w:t>, 174</w:t>
      </w:r>
      <w:r w:rsidR="0032140B">
        <w:rPr>
          <w:lang w:eastAsia="ja-JP"/>
        </w:rPr>
        <w:t>:</w:t>
      </w:r>
      <w:r>
        <w:rPr>
          <w:lang w:eastAsia="ja-JP"/>
        </w:rPr>
        <w:t>245–262</w:t>
      </w:r>
      <w:r w:rsidR="00B85006">
        <w:rPr>
          <w:lang w:eastAsia="ja-JP"/>
        </w:rPr>
        <w:t xml:space="preserve">, </w:t>
      </w:r>
      <w:r w:rsidR="002A0E99">
        <w:rPr>
          <w:lang w:eastAsia="ja-JP"/>
        </w:rPr>
        <w:t>doi:</w:t>
      </w:r>
      <w:r w:rsidRPr="00B85006" w:rsidR="00B85006">
        <w:rPr>
          <w:lang w:eastAsia="ja-JP"/>
        </w:rPr>
        <w:t>10.1007/BF00008164</w:t>
      </w:r>
      <w:r>
        <w:rPr>
          <w:lang w:eastAsia="ja-JP"/>
        </w:rPr>
        <w:t>.</w:t>
      </w:r>
    </w:p>
    <w:p w:rsidR="005B6FC0" w:rsidP="001B25CD" w14:paraId="604B3E24" w14:textId="515B5A26">
      <w:pPr>
        <w:rPr>
          <w:lang w:eastAsia="ja-JP"/>
        </w:rPr>
      </w:pPr>
      <w:r>
        <w:rPr>
          <w:lang w:eastAsia="ja-JP"/>
        </w:rPr>
        <w:t xml:space="preserve">Rainbow PS </w:t>
      </w:r>
      <w:r w:rsidR="0032140B">
        <w:rPr>
          <w:lang w:eastAsia="ja-JP"/>
        </w:rPr>
        <w:t>(</w:t>
      </w:r>
      <w:r>
        <w:rPr>
          <w:lang w:eastAsia="ja-JP"/>
        </w:rPr>
        <w:t>2002</w:t>
      </w:r>
      <w:r w:rsidR="0032140B">
        <w:rPr>
          <w:lang w:eastAsia="ja-JP"/>
        </w:rPr>
        <w:t>)</w:t>
      </w:r>
      <w:r>
        <w:rPr>
          <w:lang w:eastAsia="ja-JP"/>
        </w:rPr>
        <w:t xml:space="preserve"> </w:t>
      </w:r>
      <w:r w:rsidR="0032140B">
        <w:rPr>
          <w:lang w:eastAsia="ja-JP"/>
        </w:rPr>
        <w:t>‘</w:t>
      </w:r>
      <w:r>
        <w:fldChar w:fldCharType="begin"/>
      </w:r>
      <w:r>
        <w:instrText xml:space="preserve"> HYPERLINK "https://doi.org/10.1016/S0269-7491(02)00238-5" </w:instrText>
      </w:r>
      <w:r>
        <w:fldChar w:fldCharType="separate"/>
      </w:r>
      <w:r w:rsidRPr="00B85006">
        <w:rPr>
          <w:rStyle w:val="Hyperlink"/>
          <w:lang w:eastAsia="ja-JP"/>
        </w:rPr>
        <w:t xml:space="preserve">Trace metal concentrations in aquatic invertebrates: </w:t>
      </w:r>
      <w:r w:rsidRPr="00B85006" w:rsidR="0032140B">
        <w:rPr>
          <w:rStyle w:val="Hyperlink"/>
          <w:lang w:eastAsia="ja-JP"/>
        </w:rPr>
        <w:t>w</w:t>
      </w:r>
      <w:r w:rsidRPr="00B85006">
        <w:rPr>
          <w:rStyle w:val="Hyperlink"/>
          <w:lang w:eastAsia="ja-JP"/>
        </w:rPr>
        <w:t>hy and so what?</w:t>
      </w:r>
      <w:r>
        <w:fldChar w:fldCharType="end"/>
      </w:r>
      <w:r w:rsidR="0032140B">
        <w:rPr>
          <w:lang w:eastAsia="ja-JP"/>
        </w:rPr>
        <w:t>’</w:t>
      </w:r>
      <w:r>
        <w:rPr>
          <w:lang w:eastAsia="ja-JP"/>
        </w:rPr>
        <w:t xml:space="preserve"> </w:t>
      </w:r>
      <w:r w:rsidRPr="00BC5A64">
        <w:rPr>
          <w:rStyle w:val="Emphasis"/>
        </w:rPr>
        <w:t>Environmental Pollution</w:t>
      </w:r>
      <w:r>
        <w:rPr>
          <w:lang w:eastAsia="ja-JP"/>
        </w:rPr>
        <w:t>, 120</w:t>
      </w:r>
      <w:r w:rsidR="0032140B">
        <w:rPr>
          <w:lang w:eastAsia="ja-JP"/>
        </w:rPr>
        <w:t>:</w:t>
      </w:r>
      <w:r>
        <w:rPr>
          <w:lang w:eastAsia="ja-JP"/>
        </w:rPr>
        <w:t>497–507</w:t>
      </w:r>
      <w:r w:rsidR="00B85006">
        <w:rPr>
          <w:lang w:eastAsia="ja-JP"/>
        </w:rPr>
        <w:t xml:space="preserve">, </w:t>
      </w:r>
      <w:r w:rsidR="002A0E99">
        <w:rPr>
          <w:lang w:eastAsia="ja-JP"/>
        </w:rPr>
        <w:t>doi:</w:t>
      </w:r>
      <w:r w:rsidRPr="00B85006" w:rsidR="00B85006">
        <w:rPr>
          <w:lang w:eastAsia="ja-JP"/>
        </w:rPr>
        <w:t>10.1016/S0269-7491(02)00238-5</w:t>
      </w:r>
      <w:r>
        <w:rPr>
          <w:lang w:eastAsia="ja-JP"/>
        </w:rPr>
        <w:t>.</w:t>
      </w:r>
    </w:p>
    <w:p w:rsidR="005B6FC0" w:rsidRPr="00F6192C" w:rsidP="00F6192C" w14:paraId="419BD2B4" w14:textId="02F49C66">
      <w:pPr>
        <w:rPr>
          <w:lang w:val="en-GB" w:eastAsia="ja-JP"/>
        </w:rPr>
      </w:pPr>
      <w:r w:rsidRPr="00F6192C">
        <w:rPr>
          <w:lang w:val="en-GB" w:eastAsia="ja-JP"/>
        </w:rPr>
        <w:t xml:space="preserve">Rand GM (ed) </w:t>
      </w:r>
      <w:r w:rsidR="0032140B">
        <w:rPr>
          <w:lang w:val="en-GB" w:eastAsia="ja-JP"/>
        </w:rPr>
        <w:t>(</w:t>
      </w:r>
      <w:r w:rsidRPr="00F6192C">
        <w:rPr>
          <w:lang w:val="en-GB" w:eastAsia="ja-JP"/>
        </w:rPr>
        <w:t>1995</w:t>
      </w:r>
      <w:r w:rsidR="0032140B">
        <w:rPr>
          <w:lang w:val="en-GB" w:eastAsia="ja-JP"/>
        </w:rPr>
        <w:t>)</w:t>
      </w:r>
      <w:r w:rsidRPr="00F6192C">
        <w:rPr>
          <w:lang w:val="en-GB" w:eastAsia="ja-JP"/>
        </w:rPr>
        <w:t xml:space="preserve"> </w:t>
      </w:r>
      <w:r>
        <w:fldChar w:fldCharType="begin"/>
      </w:r>
      <w:r>
        <w:instrText xml:space="preserve"> HYPERLINK "https://doi.org/10.1201/9781003075363" </w:instrText>
      </w:r>
      <w:r>
        <w:fldChar w:fldCharType="separate"/>
      </w:r>
      <w:r w:rsidRPr="00EC25CA">
        <w:rPr>
          <w:rStyle w:val="Hyperlink"/>
          <w:i/>
          <w:iCs/>
          <w:lang w:val="en-GB" w:eastAsia="ja-JP"/>
        </w:rPr>
        <w:t xml:space="preserve">Fundamentals of aquatic toxicology: </w:t>
      </w:r>
      <w:r w:rsidRPr="00EC25CA" w:rsidR="0032140B">
        <w:rPr>
          <w:rStyle w:val="Hyperlink"/>
          <w:i/>
          <w:iCs/>
          <w:lang w:val="en-GB" w:eastAsia="ja-JP"/>
        </w:rPr>
        <w:t>e</w:t>
      </w:r>
      <w:r w:rsidRPr="00EC25CA">
        <w:rPr>
          <w:rStyle w:val="Hyperlink"/>
          <w:i/>
          <w:iCs/>
          <w:lang w:val="en-GB" w:eastAsia="ja-JP"/>
        </w:rPr>
        <w:t>ffects, environmental fate and risk assessment</w:t>
      </w:r>
      <w:r>
        <w:fldChar w:fldCharType="end"/>
      </w:r>
      <w:r w:rsidR="0032140B">
        <w:rPr>
          <w:i/>
          <w:iCs/>
          <w:lang w:val="en-GB" w:eastAsia="ja-JP"/>
        </w:rPr>
        <w:t>,</w:t>
      </w:r>
      <w:r w:rsidRPr="00F6192C">
        <w:rPr>
          <w:lang w:val="en-GB" w:eastAsia="ja-JP"/>
        </w:rPr>
        <w:t xml:space="preserve"> 2nd </w:t>
      </w:r>
      <w:r w:rsidR="0032140B">
        <w:rPr>
          <w:lang w:val="en-GB" w:eastAsia="ja-JP"/>
        </w:rPr>
        <w:t>e</w:t>
      </w:r>
      <w:r>
        <w:rPr>
          <w:lang w:val="en-GB" w:eastAsia="ja-JP"/>
        </w:rPr>
        <w:t>dn</w:t>
      </w:r>
      <w:r w:rsidR="0032140B">
        <w:rPr>
          <w:lang w:val="en-GB" w:eastAsia="ja-JP"/>
        </w:rPr>
        <w:t>,</w:t>
      </w:r>
      <w:r w:rsidRPr="00F6192C">
        <w:rPr>
          <w:lang w:val="en-GB" w:eastAsia="ja-JP"/>
        </w:rPr>
        <w:t xml:space="preserve"> Taylor </w:t>
      </w:r>
      <w:r w:rsidR="003C60FB">
        <w:rPr>
          <w:lang w:val="en-GB" w:eastAsia="ja-JP"/>
        </w:rPr>
        <w:t>and</w:t>
      </w:r>
      <w:r w:rsidRPr="00F6192C">
        <w:rPr>
          <w:lang w:val="en-GB" w:eastAsia="ja-JP"/>
        </w:rPr>
        <w:t xml:space="preserve"> Francis, Washington, DC</w:t>
      </w:r>
      <w:r w:rsidR="00EC25CA">
        <w:rPr>
          <w:lang w:val="en-GB" w:eastAsia="ja-JP"/>
        </w:rPr>
        <w:t>, doi</w:t>
      </w:r>
      <w:r w:rsidR="00EC25CA">
        <w:t>:</w:t>
      </w:r>
      <w:r w:rsidRPr="00EC25CA" w:rsidR="00EC25CA">
        <w:rPr>
          <w:lang w:val="en-GB" w:eastAsia="ja-JP"/>
        </w:rPr>
        <w:t>10.1201/9781003075363</w:t>
      </w:r>
      <w:r>
        <w:rPr>
          <w:lang w:val="en-GB" w:eastAsia="ja-JP"/>
        </w:rPr>
        <w:t>.</w:t>
      </w:r>
    </w:p>
    <w:p w:rsidR="005B6FC0" w:rsidP="001B25CD" w14:paraId="11EF2540" w14:textId="0A1C04B5">
      <w:pPr>
        <w:rPr>
          <w:lang w:eastAsia="ja-JP"/>
        </w:rPr>
      </w:pPr>
      <w:r>
        <w:rPr>
          <w:lang w:eastAsia="ja-JP"/>
        </w:rPr>
        <w:t xml:space="preserve">Rees HC, Maddison BC, Middleditch DJ, Patmore JRM </w:t>
      </w:r>
      <w:r w:rsidR="003C60FB">
        <w:rPr>
          <w:lang w:eastAsia="ja-JP"/>
        </w:rPr>
        <w:t>and</w:t>
      </w:r>
      <w:r>
        <w:rPr>
          <w:lang w:eastAsia="ja-JP"/>
        </w:rPr>
        <w:t xml:space="preserve"> Gough KC </w:t>
      </w:r>
      <w:r w:rsidR="0032140B">
        <w:rPr>
          <w:lang w:eastAsia="ja-JP"/>
        </w:rPr>
        <w:t>(</w:t>
      </w:r>
      <w:r>
        <w:rPr>
          <w:lang w:eastAsia="ja-JP"/>
        </w:rPr>
        <w:t>2014</w:t>
      </w:r>
      <w:r w:rsidR="0032140B">
        <w:rPr>
          <w:lang w:eastAsia="ja-JP"/>
        </w:rPr>
        <w:t>)</w:t>
      </w:r>
      <w:r>
        <w:rPr>
          <w:lang w:eastAsia="ja-JP"/>
        </w:rPr>
        <w:t xml:space="preserve"> </w:t>
      </w:r>
      <w:r w:rsidR="0032140B">
        <w:rPr>
          <w:lang w:eastAsia="ja-JP"/>
        </w:rPr>
        <w:t>‘</w:t>
      </w:r>
      <w:r>
        <w:fldChar w:fldCharType="begin"/>
      </w:r>
      <w:r>
        <w:instrText xml:space="preserve"> HYPERLINK "https://doi.org/10.1111/1365-2664.12306" </w:instrText>
      </w:r>
      <w:r>
        <w:fldChar w:fldCharType="separate"/>
      </w:r>
      <w:r w:rsidRPr="00B85006">
        <w:rPr>
          <w:rStyle w:val="Hyperlink"/>
          <w:lang w:eastAsia="ja-JP"/>
        </w:rPr>
        <w:t xml:space="preserve">Review: </w:t>
      </w:r>
      <w:r w:rsidRPr="00B85006" w:rsidR="0032140B">
        <w:rPr>
          <w:rStyle w:val="Hyperlink"/>
          <w:lang w:eastAsia="ja-JP"/>
        </w:rPr>
        <w:t>t</w:t>
      </w:r>
      <w:r w:rsidRPr="00B85006">
        <w:rPr>
          <w:rStyle w:val="Hyperlink"/>
          <w:lang w:eastAsia="ja-JP"/>
        </w:rPr>
        <w:t>he detection of aquatic animal species using environmental DNA – a review of eDNA as a survey tool in ecology</w:t>
      </w:r>
      <w:r>
        <w:fldChar w:fldCharType="end"/>
      </w:r>
      <w:r w:rsidR="0032140B">
        <w:rPr>
          <w:lang w:eastAsia="ja-JP"/>
        </w:rPr>
        <w:t>’,</w:t>
      </w:r>
      <w:r>
        <w:rPr>
          <w:lang w:eastAsia="ja-JP"/>
        </w:rPr>
        <w:t xml:space="preserve"> </w:t>
      </w:r>
      <w:r w:rsidRPr="00BC5A64">
        <w:rPr>
          <w:rStyle w:val="Emphasis"/>
        </w:rPr>
        <w:t>Journal of Applied Ecology</w:t>
      </w:r>
      <w:r>
        <w:rPr>
          <w:lang w:eastAsia="ja-JP"/>
        </w:rPr>
        <w:t>, 51</w:t>
      </w:r>
      <w:r w:rsidR="0032140B">
        <w:rPr>
          <w:lang w:eastAsia="ja-JP"/>
        </w:rPr>
        <w:t>:</w:t>
      </w:r>
      <w:r>
        <w:rPr>
          <w:lang w:eastAsia="ja-JP"/>
        </w:rPr>
        <w:t>1450–1459</w:t>
      </w:r>
      <w:r w:rsidR="00B85006">
        <w:rPr>
          <w:lang w:eastAsia="ja-JP"/>
        </w:rPr>
        <w:t xml:space="preserve">, </w:t>
      </w:r>
      <w:r w:rsidR="002A0E99">
        <w:rPr>
          <w:lang w:eastAsia="ja-JP"/>
        </w:rPr>
        <w:t>doi:</w:t>
      </w:r>
      <w:r w:rsidRPr="00B85006" w:rsidR="00B85006">
        <w:rPr>
          <w:lang w:eastAsia="ja-JP"/>
        </w:rPr>
        <w:t>10.1111/1365-2664.12306</w:t>
      </w:r>
      <w:r>
        <w:rPr>
          <w:lang w:eastAsia="ja-JP"/>
        </w:rPr>
        <w:t>.</w:t>
      </w:r>
    </w:p>
    <w:p w:rsidR="005B6FC0" w:rsidRPr="0077502D" w:rsidP="0077502D" w14:paraId="1E74C445" w14:textId="3D56AA69">
      <w:pPr>
        <w:rPr>
          <w:lang w:eastAsia="ja-JP"/>
        </w:rPr>
      </w:pPr>
      <w:r w:rsidRPr="0077502D">
        <w:rPr>
          <w:lang w:eastAsia="ja-JP"/>
        </w:rPr>
        <w:t xml:space="preserve">Resh VH </w:t>
      </w:r>
      <w:r w:rsidR="003C60FB">
        <w:rPr>
          <w:lang w:eastAsia="ja-JP"/>
        </w:rPr>
        <w:t>and</w:t>
      </w:r>
      <w:r w:rsidRPr="0077502D">
        <w:rPr>
          <w:lang w:eastAsia="ja-JP"/>
        </w:rPr>
        <w:t xml:space="preserve"> Jackson JK </w:t>
      </w:r>
      <w:r w:rsidR="00FA7438">
        <w:rPr>
          <w:lang w:eastAsia="ja-JP"/>
        </w:rPr>
        <w:t>(</w:t>
      </w:r>
      <w:r w:rsidRPr="0077502D">
        <w:rPr>
          <w:lang w:eastAsia="ja-JP"/>
        </w:rPr>
        <w:t>1993</w:t>
      </w:r>
      <w:r w:rsidR="00FA7438">
        <w:rPr>
          <w:lang w:eastAsia="ja-JP"/>
        </w:rPr>
        <w:t>)</w:t>
      </w:r>
      <w:r w:rsidRPr="0077502D">
        <w:rPr>
          <w:lang w:eastAsia="ja-JP"/>
        </w:rPr>
        <w:t xml:space="preserve"> </w:t>
      </w:r>
      <w:r w:rsidR="00FA7438">
        <w:rPr>
          <w:lang w:eastAsia="ja-JP"/>
        </w:rPr>
        <w:t>‘</w:t>
      </w:r>
      <w:r w:rsidRPr="0077502D">
        <w:rPr>
          <w:lang w:eastAsia="ja-JP"/>
        </w:rPr>
        <w:t>Rapid assessment approaches to biomonitoring using benthic macroinvertebrates</w:t>
      </w:r>
      <w:r w:rsidR="00FA7438">
        <w:rPr>
          <w:lang w:eastAsia="ja-JP"/>
        </w:rPr>
        <w:t>’,</w:t>
      </w:r>
      <w:r w:rsidRPr="0077502D">
        <w:rPr>
          <w:lang w:eastAsia="ja-JP"/>
        </w:rPr>
        <w:t xml:space="preserve"> </w:t>
      </w:r>
      <w:r w:rsidR="00FA7438">
        <w:rPr>
          <w:lang w:eastAsia="ja-JP"/>
        </w:rPr>
        <w:t>i</w:t>
      </w:r>
      <w:r w:rsidRPr="0077502D">
        <w:rPr>
          <w:lang w:eastAsia="ja-JP"/>
        </w:rPr>
        <w:t>n</w:t>
      </w:r>
      <w:r>
        <w:rPr>
          <w:lang w:eastAsia="ja-JP"/>
        </w:rPr>
        <w:t xml:space="preserve"> </w:t>
      </w:r>
      <w:r w:rsidRPr="0077502D">
        <w:rPr>
          <w:lang w:val="en-GB" w:eastAsia="ja-JP"/>
        </w:rPr>
        <w:t>Rosenberg</w:t>
      </w:r>
      <w:r w:rsidR="00FA7438">
        <w:rPr>
          <w:lang w:val="en-GB" w:eastAsia="ja-JP"/>
        </w:rPr>
        <w:t xml:space="preserve"> DM</w:t>
      </w:r>
      <w:r w:rsidRPr="0077502D">
        <w:rPr>
          <w:lang w:val="en-GB" w:eastAsia="ja-JP"/>
        </w:rPr>
        <w:t xml:space="preserve"> </w:t>
      </w:r>
      <w:r w:rsidR="003C60FB">
        <w:rPr>
          <w:lang w:val="en-GB" w:eastAsia="ja-JP"/>
        </w:rPr>
        <w:t>and</w:t>
      </w:r>
      <w:r w:rsidRPr="0077502D">
        <w:rPr>
          <w:lang w:val="en-GB" w:eastAsia="ja-JP"/>
        </w:rPr>
        <w:t xml:space="preserve"> Resh</w:t>
      </w:r>
      <w:r w:rsidR="00FA7438">
        <w:rPr>
          <w:lang w:val="en-GB" w:eastAsia="ja-JP"/>
        </w:rPr>
        <w:t xml:space="preserve"> VH</w:t>
      </w:r>
      <w:r>
        <w:rPr>
          <w:lang w:val="en-GB" w:eastAsia="ja-JP"/>
        </w:rPr>
        <w:t xml:space="preserve"> (eds</w:t>
      </w:r>
      <w:r w:rsidRPr="0077502D">
        <w:rPr>
          <w:lang w:eastAsia="ja-JP"/>
        </w:rPr>
        <w:t xml:space="preserve">) </w:t>
      </w:r>
      <w:r w:rsidRPr="00FA7438">
        <w:rPr>
          <w:i/>
          <w:iCs/>
          <w:lang w:val="en-GB" w:eastAsia="ja-JP"/>
        </w:rPr>
        <w:t>Freshwater biomonitoring and benthic macroinvertebrates</w:t>
      </w:r>
      <w:r w:rsidR="00FA7438">
        <w:rPr>
          <w:lang w:val="en-GB" w:eastAsia="ja-JP"/>
        </w:rPr>
        <w:t>,</w:t>
      </w:r>
      <w:r w:rsidRPr="0077502D">
        <w:rPr>
          <w:lang w:eastAsia="ja-JP"/>
        </w:rPr>
        <w:t xml:space="preserve"> </w:t>
      </w:r>
      <w:r w:rsidRPr="0077502D">
        <w:rPr>
          <w:lang w:val="en-GB" w:eastAsia="ja-JP"/>
        </w:rPr>
        <w:t>Chapman and Hall, New York</w:t>
      </w:r>
      <w:r w:rsidRPr="0077502D">
        <w:rPr>
          <w:lang w:eastAsia="ja-JP"/>
        </w:rPr>
        <w:t>.</w:t>
      </w:r>
    </w:p>
    <w:p w:rsidR="005B6FC0" w:rsidRPr="0077502D" w:rsidP="0077502D" w14:paraId="009A5181" w14:textId="6BCE2930">
      <w:pPr>
        <w:rPr>
          <w:lang w:eastAsia="ja-JP"/>
        </w:rPr>
      </w:pPr>
      <w:r w:rsidRPr="0077502D">
        <w:rPr>
          <w:lang w:eastAsia="ja-JP"/>
        </w:rPr>
        <w:t xml:space="preserve">Resh VH, Norris RH </w:t>
      </w:r>
      <w:r w:rsidR="003C60FB">
        <w:rPr>
          <w:lang w:eastAsia="ja-JP"/>
        </w:rPr>
        <w:t>and</w:t>
      </w:r>
      <w:r w:rsidRPr="0077502D">
        <w:rPr>
          <w:lang w:eastAsia="ja-JP"/>
        </w:rPr>
        <w:t xml:space="preserve"> Barbour MT </w:t>
      </w:r>
      <w:r w:rsidR="00FA7438">
        <w:rPr>
          <w:lang w:eastAsia="ja-JP"/>
        </w:rPr>
        <w:t>(</w:t>
      </w:r>
      <w:r w:rsidRPr="0077502D">
        <w:rPr>
          <w:lang w:eastAsia="ja-JP"/>
        </w:rPr>
        <w:t>1995</w:t>
      </w:r>
      <w:r w:rsidR="00FA7438">
        <w:rPr>
          <w:lang w:eastAsia="ja-JP"/>
        </w:rPr>
        <w:t>)</w:t>
      </w:r>
      <w:r w:rsidRPr="0077502D">
        <w:rPr>
          <w:lang w:eastAsia="ja-JP"/>
        </w:rPr>
        <w:t xml:space="preserve"> </w:t>
      </w:r>
      <w:r w:rsidR="00FA7438">
        <w:rPr>
          <w:lang w:eastAsia="ja-JP"/>
        </w:rPr>
        <w:t>‘</w:t>
      </w:r>
      <w:r>
        <w:fldChar w:fldCharType="begin"/>
      </w:r>
      <w:r>
        <w:instrText xml:space="preserve"> HYPERLINK "http://dx.doi.org/10.1111/j.1442-9993.1995.tb00525.x" </w:instrText>
      </w:r>
      <w:r>
        <w:fldChar w:fldCharType="separate"/>
      </w:r>
      <w:r w:rsidRPr="00B85006">
        <w:rPr>
          <w:rStyle w:val="Hyperlink"/>
          <w:lang w:eastAsia="ja-JP"/>
        </w:rPr>
        <w:t>Design and implementation of rapid bioassessment approaches for water resource monitoring using benthic macroinvertebrates</w:t>
      </w:r>
      <w:r>
        <w:fldChar w:fldCharType="end"/>
      </w:r>
      <w:r w:rsidR="00FA7438">
        <w:rPr>
          <w:lang w:eastAsia="ja-JP"/>
        </w:rPr>
        <w:t>’</w:t>
      </w:r>
      <w:r w:rsidRPr="0077502D">
        <w:rPr>
          <w:lang w:eastAsia="ja-JP"/>
        </w:rPr>
        <w:t xml:space="preserve"> </w:t>
      </w:r>
      <w:r w:rsidRPr="0059755B">
        <w:rPr>
          <w:rStyle w:val="Emphasis"/>
        </w:rPr>
        <w:t>Australian Journal of Ecology</w:t>
      </w:r>
      <w:r>
        <w:rPr>
          <w:iCs/>
          <w:lang w:eastAsia="ja-JP"/>
        </w:rPr>
        <w:t>,</w:t>
      </w:r>
      <w:r w:rsidRPr="0077502D">
        <w:rPr>
          <w:i/>
          <w:iCs/>
          <w:lang w:eastAsia="ja-JP"/>
        </w:rPr>
        <w:t xml:space="preserve"> </w:t>
      </w:r>
      <w:r w:rsidRPr="0077502D">
        <w:rPr>
          <w:lang w:eastAsia="ja-JP"/>
        </w:rPr>
        <w:t>20</w:t>
      </w:r>
      <w:r w:rsidR="00FA7438">
        <w:rPr>
          <w:lang w:eastAsia="ja-JP"/>
        </w:rPr>
        <w:t>:</w:t>
      </w:r>
      <w:r w:rsidRPr="0077502D">
        <w:rPr>
          <w:lang w:eastAsia="ja-JP"/>
        </w:rPr>
        <w:t>108–21</w:t>
      </w:r>
      <w:r w:rsidR="00B85006">
        <w:rPr>
          <w:lang w:eastAsia="ja-JP"/>
        </w:rPr>
        <w:t xml:space="preserve">, </w:t>
      </w:r>
      <w:r w:rsidR="002A0E99">
        <w:rPr>
          <w:lang w:eastAsia="ja-JP"/>
        </w:rPr>
        <w:t>doi:</w:t>
      </w:r>
      <w:r w:rsidRPr="00B85006" w:rsidR="00B85006">
        <w:rPr>
          <w:lang w:eastAsia="ja-JP"/>
        </w:rPr>
        <w:t>10.1111/j.1442-9993.1995.tb00525.x</w:t>
      </w:r>
      <w:r w:rsidR="00B24892">
        <w:rPr>
          <w:lang w:eastAsia="ja-JP"/>
        </w:rPr>
        <w:t>.</w:t>
      </w:r>
    </w:p>
    <w:p w:rsidR="005B6FC0" w:rsidP="001B25CD" w14:paraId="3B356B73" w14:textId="0CB2DDE9">
      <w:pPr>
        <w:rPr>
          <w:lang w:eastAsia="ja-JP"/>
        </w:rPr>
      </w:pPr>
      <w:r>
        <w:rPr>
          <w:lang w:eastAsia="ja-JP"/>
        </w:rPr>
        <w:t xml:space="preserve">Richardson AJ, Walne AW, John AWG, Jonas TD, Lindley JA, Sims DW, Stevens D </w:t>
      </w:r>
      <w:r w:rsidR="003C60FB">
        <w:rPr>
          <w:lang w:eastAsia="ja-JP"/>
        </w:rPr>
        <w:t>and</w:t>
      </w:r>
      <w:r>
        <w:rPr>
          <w:lang w:eastAsia="ja-JP"/>
        </w:rPr>
        <w:t xml:space="preserve"> Will M </w:t>
      </w:r>
      <w:r w:rsidR="00FA7438">
        <w:rPr>
          <w:lang w:eastAsia="ja-JP"/>
        </w:rPr>
        <w:t>(</w:t>
      </w:r>
      <w:r>
        <w:rPr>
          <w:lang w:eastAsia="ja-JP"/>
        </w:rPr>
        <w:t>2006</w:t>
      </w:r>
      <w:r w:rsidR="00FA7438">
        <w:rPr>
          <w:lang w:eastAsia="ja-JP"/>
        </w:rPr>
        <w:t>)</w:t>
      </w:r>
      <w:r>
        <w:rPr>
          <w:lang w:eastAsia="ja-JP"/>
        </w:rPr>
        <w:t xml:space="preserve"> </w:t>
      </w:r>
      <w:r w:rsidR="00FA7438">
        <w:rPr>
          <w:lang w:eastAsia="ja-JP"/>
        </w:rPr>
        <w:t>‘</w:t>
      </w:r>
      <w:r>
        <w:fldChar w:fldCharType="begin"/>
      </w:r>
      <w:r>
        <w:instrText xml:space="preserve"> HYPERLINK "https://doi.org/10.1016/j.pocean.2005.09.011" </w:instrText>
      </w:r>
      <w:r>
        <w:fldChar w:fldCharType="separate"/>
      </w:r>
      <w:r w:rsidRPr="00B85006">
        <w:rPr>
          <w:rStyle w:val="Hyperlink"/>
          <w:lang w:eastAsia="ja-JP"/>
        </w:rPr>
        <w:t>Using continuous plankton recorder data</w:t>
      </w:r>
      <w:r>
        <w:fldChar w:fldCharType="end"/>
      </w:r>
      <w:r w:rsidR="00FA7438">
        <w:rPr>
          <w:lang w:eastAsia="ja-JP"/>
        </w:rPr>
        <w:t>’,</w:t>
      </w:r>
      <w:r w:rsidRPr="0059755B">
        <w:rPr>
          <w:rStyle w:val="Emphasis"/>
        </w:rPr>
        <w:t xml:space="preserve"> Progress in Oceanography</w:t>
      </w:r>
      <w:r>
        <w:rPr>
          <w:lang w:eastAsia="ja-JP"/>
        </w:rPr>
        <w:t>, 68</w:t>
      </w:r>
      <w:r w:rsidR="00FA7438">
        <w:rPr>
          <w:lang w:eastAsia="ja-JP"/>
        </w:rPr>
        <w:t>:</w:t>
      </w:r>
      <w:r>
        <w:rPr>
          <w:lang w:eastAsia="ja-JP"/>
        </w:rPr>
        <w:t>27–74</w:t>
      </w:r>
      <w:r w:rsidR="00B85006">
        <w:rPr>
          <w:lang w:eastAsia="ja-JP"/>
        </w:rPr>
        <w:t xml:space="preserve">, </w:t>
      </w:r>
      <w:r w:rsidR="002A0E99">
        <w:rPr>
          <w:lang w:eastAsia="ja-JP"/>
        </w:rPr>
        <w:t>doi:</w:t>
      </w:r>
      <w:r w:rsidRPr="00B85006" w:rsidR="00B85006">
        <w:rPr>
          <w:lang w:eastAsia="ja-JP"/>
        </w:rPr>
        <w:t>10.1016/j.pocean.2005.09.011</w:t>
      </w:r>
      <w:r>
        <w:rPr>
          <w:lang w:eastAsia="ja-JP"/>
        </w:rPr>
        <w:t>.</w:t>
      </w:r>
    </w:p>
    <w:p w:rsidR="005B6FC0" w:rsidP="001B25CD" w14:paraId="0B67ED5A" w14:textId="1599C700">
      <w:pPr>
        <w:rPr>
          <w:lang w:eastAsia="ja-JP"/>
        </w:rPr>
      </w:pPr>
      <w:r>
        <w:rPr>
          <w:lang w:eastAsia="ja-JP"/>
        </w:rPr>
        <w:t xml:space="preserve">Ritchie JC, Zimba PV </w:t>
      </w:r>
      <w:r w:rsidR="003C60FB">
        <w:rPr>
          <w:lang w:eastAsia="ja-JP"/>
        </w:rPr>
        <w:t>and</w:t>
      </w:r>
      <w:r>
        <w:rPr>
          <w:lang w:eastAsia="ja-JP"/>
        </w:rPr>
        <w:t xml:space="preserve"> Everitt JH </w:t>
      </w:r>
      <w:r w:rsidR="00FA7438">
        <w:rPr>
          <w:lang w:eastAsia="ja-JP"/>
        </w:rPr>
        <w:t>(</w:t>
      </w:r>
      <w:r>
        <w:rPr>
          <w:lang w:eastAsia="ja-JP"/>
        </w:rPr>
        <w:t>2003</w:t>
      </w:r>
      <w:r w:rsidR="00FA7438">
        <w:rPr>
          <w:lang w:eastAsia="ja-JP"/>
        </w:rPr>
        <w:t>)</w:t>
      </w:r>
      <w:r>
        <w:rPr>
          <w:lang w:eastAsia="ja-JP"/>
        </w:rPr>
        <w:t xml:space="preserve"> </w:t>
      </w:r>
      <w:r w:rsidR="00FA7438">
        <w:rPr>
          <w:lang w:eastAsia="ja-JP"/>
        </w:rPr>
        <w:t>‘</w:t>
      </w:r>
      <w:r>
        <w:fldChar w:fldCharType="begin"/>
      </w:r>
      <w:r>
        <w:instrText xml:space="preserve"> HYPERLINK "http://dx.doi.org/10.14358/PERS.69.6.695" </w:instrText>
      </w:r>
      <w:r>
        <w:fldChar w:fldCharType="separate"/>
      </w:r>
      <w:r w:rsidRPr="00853EC0">
        <w:rPr>
          <w:rStyle w:val="Hyperlink"/>
          <w:lang w:eastAsia="ja-JP"/>
        </w:rPr>
        <w:t>Remote sensing techniques to assess water quality</w:t>
      </w:r>
      <w:r>
        <w:fldChar w:fldCharType="end"/>
      </w:r>
      <w:r w:rsidR="00FA7438">
        <w:rPr>
          <w:lang w:eastAsia="ja-JP"/>
        </w:rPr>
        <w:t>’,</w:t>
      </w:r>
      <w:r>
        <w:rPr>
          <w:lang w:eastAsia="ja-JP"/>
        </w:rPr>
        <w:t xml:space="preserve"> </w:t>
      </w:r>
      <w:r w:rsidRPr="00BC5A64">
        <w:rPr>
          <w:rStyle w:val="Emphasis"/>
        </w:rPr>
        <w:t xml:space="preserve">Photogrammetric Engineering </w:t>
      </w:r>
      <w:r w:rsidR="003C60FB">
        <w:rPr>
          <w:rStyle w:val="Emphasis"/>
        </w:rPr>
        <w:t>and</w:t>
      </w:r>
      <w:r w:rsidRPr="00BC5A64">
        <w:rPr>
          <w:rStyle w:val="Emphasis"/>
        </w:rPr>
        <w:t xml:space="preserve"> Remote Sensing</w:t>
      </w:r>
      <w:r>
        <w:rPr>
          <w:lang w:eastAsia="ja-JP"/>
        </w:rPr>
        <w:t>, 69</w:t>
      </w:r>
      <w:r w:rsidR="00FA7438">
        <w:rPr>
          <w:lang w:eastAsia="ja-JP"/>
        </w:rPr>
        <w:t>:</w:t>
      </w:r>
      <w:r>
        <w:rPr>
          <w:lang w:eastAsia="ja-JP"/>
        </w:rPr>
        <w:t>695–704</w:t>
      </w:r>
      <w:r w:rsidR="00853EC0">
        <w:rPr>
          <w:lang w:eastAsia="ja-JP"/>
        </w:rPr>
        <w:t xml:space="preserve">, </w:t>
      </w:r>
      <w:r w:rsidR="002A0E99">
        <w:rPr>
          <w:lang w:eastAsia="ja-JP"/>
        </w:rPr>
        <w:t>doi:</w:t>
      </w:r>
      <w:r w:rsidRPr="00853EC0" w:rsidR="00853EC0">
        <w:rPr>
          <w:lang w:eastAsia="ja-JP"/>
        </w:rPr>
        <w:t>10.14358/PERS.69.6.695</w:t>
      </w:r>
      <w:r>
        <w:rPr>
          <w:lang w:eastAsia="ja-JP"/>
        </w:rPr>
        <w:t>.</w:t>
      </w:r>
    </w:p>
    <w:p w:rsidR="005B6FC0" w:rsidP="001B25CD" w14:paraId="2D095B15" w14:textId="7A3816DB">
      <w:pPr>
        <w:rPr>
          <w:lang w:eastAsia="ja-JP"/>
        </w:rPr>
      </w:pPr>
      <w:r>
        <w:rPr>
          <w:lang w:eastAsia="ja-JP"/>
        </w:rPr>
        <w:t xml:space="preserve">Robson HLA, Noble TH, Saunders RJ, Robson SKA, Burrows DW </w:t>
      </w:r>
      <w:r w:rsidR="003C60FB">
        <w:rPr>
          <w:lang w:eastAsia="ja-JP"/>
        </w:rPr>
        <w:t>and</w:t>
      </w:r>
      <w:r>
        <w:rPr>
          <w:lang w:eastAsia="ja-JP"/>
        </w:rPr>
        <w:t xml:space="preserve"> Jerry DR </w:t>
      </w:r>
      <w:r w:rsidR="00FA7438">
        <w:rPr>
          <w:lang w:eastAsia="ja-JP"/>
        </w:rPr>
        <w:t>(</w:t>
      </w:r>
      <w:r>
        <w:rPr>
          <w:lang w:eastAsia="ja-JP"/>
        </w:rPr>
        <w:t>2016</w:t>
      </w:r>
      <w:r w:rsidR="00FA7438">
        <w:rPr>
          <w:lang w:eastAsia="ja-JP"/>
        </w:rPr>
        <w:t>)</w:t>
      </w:r>
      <w:r>
        <w:rPr>
          <w:lang w:eastAsia="ja-JP"/>
        </w:rPr>
        <w:t xml:space="preserve"> </w:t>
      </w:r>
      <w:r w:rsidR="00FA7438">
        <w:rPr>
          <w:lang w:eastAsia="ja-JP"/>
        </w:rPr>
        <w:t>‘</w:t>
      </w:r>
      <w:r>
        <w:fldChar w:fldCharType="begin"/>
      </w:r>
      <w:r>
        <w:instrText xml:space="preserve"> HYPERLINK "https://doi.org/10.1111/1755-0998.12505" </w:instrText>
      </w:r>
      <w:r>
        <w:fldChar w:fldCharType="separate"/>
      </w:r>
      <w:r w:rsidRPr="00853EC0">
        <w:rPr>
          <w:rStyle w:val="Hyperlink"/>
          <w:lang w:eastAsia="ja-JP"/>
        </w:rPr>
        <w:t xml:space="preserve">Fine‐tuning for the tropics: </w:t>
      </w:r>
      <w:r w:rsidRPr="00853EC0" w:rsidR="00FA7438">
        <w:rPr>
          <w:rStyle w:val="Hyperlink"/>
          <w:lang w:eastAsia="ja-JP"/>
        </w:rPr>
        <w:t>a</w:t>
      </w:r>
      <w:r w:rsidRPr="00853EC0">
        <w:rPr>
          <w:rStyle w:val="Hyperlink"/>
          <w:lang w:eastAsia="ja-JP"/>
        </w:rPr>
        <w:t>pplication of eDNA technology for invasive fish detection in tropical freshwater ecosystems</w:t>
      </w:r>
      <w:r>
        <w:fldChar w:fldCharType="end"/>
      </w:r>
      <w:r w:rsidR="00FA7438">
        <w:rPr>
          <w:lang w:eastAsia="ja-JP"/>
        </w:rPr>
        <w:t>’,</w:t>
      </w:r>
      <w:r>
        <w:rPr>
          <w:lang w:eastAsia="ja-JP"/>
        </w:rPr>
        <w:t xml:space="preserve"> </w:t>
      </w:r>
      <w:r w:rsidRPr="00BC5A64">
        <w:rPr>
          <w:rStyle w:val="Emphasis"/>
        </w:rPr>
        <w:t>Molecular Ecology Resources</w:t>
      </w:r>
      <w:r>
        <w:rPr>
          <w:lang w:eastAsia="ja-JP"/>
        </w:rPr>
        <w:t>, 16</w:t>
      </w:r>
      <w:r w:rsidR="00FA7438">
        <w:rPr>
          <w:lang w:eastAsia="ja-JP"/>
        </w:rPr>
        <w:t>:</w:t>
      </w:r>
      <w:r>
        <w:rPr>
          <w:lang w:eastAsia="ja-JP"/>
        </w:rPr>
        <w:t>922–932</w:t>
      </w:r>
      <w:r w:rsidR="00853EC0">
        <w:rPr>
          <w:lang w:eastAsia="ja-JP"/>
        </w:rPr>
        <w:t xml:space="preserve">, </w:t>
      </w:r>
      <w:r w:rsidR="002A0E99">
        <w:rPr>
          <w:lang w:eastAsia="ja-JP"/>
        </w:rPr>
        <w:t>doi:</w:t>
      </w:r>
      <w:r w:rsidRPr="00853EC0" w:rsidR="00853EC0">
        <w:rPr>
          <w:lang w:eastAsia="ja-JP"/>
        </w:rPr>
        <w:t>10.1111/1755-0998.12505</w:t>
      </w:r>
      <w:r>
        <w:rPr>
          <w:lang w:eastAsia="ja-JP"/>
        </w:rPr>
        <w:t>.</w:t>
      </w:r>
    </w:p>
    <w:p w:rsidR="005B6FC0" w:rsidP="001B25CD" w14:paraId="5AF7EFBF" w14:textId="3E5C66A6">
      <w:pPr>
        <w:rPr>
          <w:lang w:eastAsia="ja-JP"/>
        </w:rPr>
      </w:pPr>
      <w:r>
        <w:rPr>
          <w:lang w:eastAsia="ja-JP"/>
        </w:rPr>
        <w:t xml:space="preserve">Rohr JR, Salice CJ </w:t>
      </w:r>
      <w:r w:rsidR="003C60FB">
        <w:rPr>
          <w:lang w:eastAsia="ja-JP"/>
        </w:rPr>
        <w:t>and</w:t>
      </w:r>
      <w:r>
        <w:rPr>
          <w:lang w:eastAsia="ja-JP"/>
        </w:rPr>
        <w:t xml:space="preserve"> Nisbe RM </w:t>
      </w:r>
      <w:r w:rsidR="00464203">
        <w:rPr>
          <w:lang w:eastAsia="ja-JP"/>
        </w:rPr>
        <w:t>(</w:t>
      </w:r>
      <w:r>
        <w:rPr>
          <w:lang w:eastAsia="ja-JP"/>
        </w:rPr>
        <w:t>2016</w:t>
      </w:r>
      <w:r w:rsidR="00464203">
        <w:rPr>
          <w:lang w:eastAsia="ja-JP"/>
        </w:rPr>
        <w:t>)</w:t>
      </w:r>
      <w:r>
        <w:rPr>
          <w:lang w:eastAsia="ja-JP"/>
        </w:rPr>
        <w:t xml:space="preserve"> </w:t>
      </w:r>
      <w:r w:rsidR="00464203">
        <w:rPr>
          <w:lang w:eastAsia="ja-JP"/>
        </w:rPr>
        <w:t>‘</w:t>
      </w:r>
      <w:r>
        <w:fldChar w:fldCharType="begin"/>
      </w:r>
      <w:r>
        <w:instrText xml:space="preserve"> HYPERLINK "https://doi.org/10.1080%2F10408444.2016.1190685" </w:instrText>
      </w:r>
      <w:r>
        <w:fldChar w:fldCharType="separate"/>
      </w:r>
      <w:r w:rsidRPr="00853EC0">
        <w:rPr>
          <w:rStyle w:val="Hyperlink"/>
          <w:lang w:eastAsia="ja-JP"/>
        </w:rPr>
        <w:t>The pros and cons of ecological risk assessment based on data from different levels of biological organization</w:t>
      </w:r>
      <w:r>
        <w:fldChar w:fldCharType="end"/>
      </w:r>
      <w:r w:rsidR="00464203">
        <w:rPr>
          <w:lang w:eastAsia="ja-JP"/>
        </w:rPr>
        <w:t>’,</w:t>
      </w:r>
      <w:r>
        <w:rPr>
          <w:lang w:eastAsia="ja-JP"/>
        </w:rPr>
        <w:t xml:space="preserve"> </w:t>
      </w:r>
      <w:r w:rsidRPr="00BC5A64">
        <w:rPr>
          <w:rStyle w:val="Emphasis"/>
        </w:rPr>
        <w:t>Critical Reviews in Toxicology</w:t>
      </w:r>
      <w:r>
        <w:rPr>
          <w:lang w:eastAsia="ja-JP"/>
        </w:rPr>
        <w:t>, 46</w:t>
      </w:r>
      <w:r w:rsidR="00464203">
        <w:rPr>
          <w:lang w:eastAsia="ja-JP"/>
        </w:rPr>
        <w:t>:</w:t>
      </w:r>
      <w:r>
        <w:rPr>
          <w:lang w:eastAsia="ja-JP"/>
        </w:rPr>
        <w:t>756–784</w:t>
      </w:r>
      <w:r w:rsidR="00853EC0">
        <w:rPr>
          <w:lang w:eastAsia="ja-JP"/>
        </w:rPr>
        <w:t xml:space="preserve">, </w:t>
      </w:r>
      <w:r w:rsidR="002A0E99">
        <w:rPr>
          <w:lang w:eastAsia="ja-JP"/>
        </w:rPr>
        <w:t>doi:</w:t>
      </w:r>
      <w:r w:rsidRPr="00B24892" w:rsidR="00B24892">
        <w:rPr>
          <w:lang w:eastAsia="ja-JP"/>
        </w:rPr>
        <w:t>10.1080/10408444.2016.1190685</w:t>
      </w:r>
      <w:r>
        <w:rPr>
          <w:lang w:eastAsia="ja-JP"/>
        </w:rPr>
        <w:t>.</w:t>
      </w:r>
    </w:p>
    <w:p w:rsidR="006E6208" w:rsidRPr="00D43AFA" w:rsidP="00D43AFA" w14:paraId="7C9A2C92" w14:textId="2FBDE913">
      <w:pPr>
        <w:rPr>
          <w:lang w:val="en-GB" w:eastAsia="ja-JP"/>
        </w:rPr>
      </w:pPr>
      <w:r w:rsidRPr="00D43AFA">
        <w:rPr>
          <w:lang w:val="en-GB" w:eastAsia="ja-JP"/>
        </w:rPr>
        <w:t xml:space="preserve">Ruffier PJ </w:t>
      </w:r>
      <w:r w:rsidR="00464203">
        <w:rPr>
          <w:lang w:val="en-GB" w:eastAsia="ja-JP"/>
        </w:rPr>
        <w:t>(</w:t>
      </w:r>
      <w:r w:rsidRPr="00D43AFA">
        <w:rPr>
          <w:lang w:val="en-GB" w:eastAsia="ja-JP"/>
        </w:rPr>
        <w:t>1996</w:t>
      </w:r>
      <w:r w:rsidR="00464203">
        <w:rPr>
          <w:lang w:val="en-GB" w:eastAsia="ja-JP"/>
        </w:rPr>
        <w:t>)</w:t>
      </w:r>
      <w:r w:rsidRPr="00D43AFA">
        <w:rPr>
          <w:lang w:val="en-GB" w:eastAsia="ja-JP"/>
        </w:rPr>
        <w:t xml:space="preserve"> </w:t>
      </w:r>
      <w:r w:rsidR="00464203">
        <w:rPr>
          <w:lang w:val="en-GB" w:eastAsia="ja-JP"/>
        </w:rPr>
        <w:t>‘</w:t>
      </w:r>
      <w:r w:rsidRPr="00D43AFA">
        <w:rPr>
          <w:lang w:val="en-GB" w:eastAsia="ja-JP"/>
        </w:rPr>
        <w:t xml:space="preserve">Whole effluent toxicity testing: </w:t>
      </w:r>
      <w:r w:rsidR="00464203">
        <w:rPr>
          <w:lang w:val="en-GB" w:eastAsia="ja-JP"/>
        </w:rPr>
        <w:t>t</w:t>
      </w:r>
      <w:r w:rsidRPr="00D43AFA">
        <w:rPr>
          <w:lang w:val="en-GB" w:eastAsia="ja-JP"/>
        </w:rPr>
        <w:t>he municipal perspective</w:t>
      </w:r>
      <w:r w:rsidR="00464203">
        <w:rPr>
          <w:lang w:val="en-GB" w:eastAsia="ja-JP"/>
        </w:rPr>
        <w:t>’,</w:t>
      </w:r>
      <w:r w:rsidRPr="00D43AFA">
        <w:rPr>
          <w:lang w:val="en-GB" w:eastAsia="ja-JP"/>
        </w:rPr>
        <w:t xml:space="preserve"> </w:t>
      </w:r>
      <w:r w:rsidR="00464203">
        <w:rPr>
          <w:lang w:val="en-GB" w:eastAsia="ja-JP"/>
        </w:rPr>
        <w:t>i</w:t>
      </w:r>
      <w:r w:rsidRPr="00D43AFA">
        <w:rPr>
          <w:lang w:val="en-GB" w:eastAsia="ja-JP"/>
        </w:rPr>
        <w:t>n Grothe</w:t>
      </w:r>
      <w:r w:rsidR="00464203">
        <w:rPr>
          <w:lang w:val="en-GB" w:eastAsia="ja-JP"/>
        </w:rPr>
        <w:t xml:space="preserve"> DR</w:t>
      </w:r>
      <w:r w:rsidRPr="00D43AFA">
        <w:rPr>
          <w:lang w:val="en-GB" w:eastAsia="ja-JP"/>
        </w:rPr>
        <w:t>, Dickson</w:t>
      </w:r>
      <w:r w:rsidR="00464203">
        <w:rPr>
          <w:lang w:val="en-GB" w:eastAsia="ja-JP"/>
        </w:rPr>
        <w:t xml:space="preserve"> KL</w:t>
      </w:r>
      <w:r w:rsidRPr="00D43AFA">
        <w:rPr>
          <w:lang w:val="en-GB" w:eastAsia="ja-JP"/>
        </w:rPr>
        <w:t xml:space="preserve"> </w:t>
      </w:r>
      <w:r w:rsidR="003C60FB">
        <w:rPr>
          <w:lang w:val="en-GB" w:eastAsia="ja-JP"/>
        </w:rPr>
        <w:t>and</w:t>
      </w:r>
      <w:r w:rsidRPr="00D43AFA">
        <w:rPr>
          <w:lang w:val="en-GB" w:eastAsia="ja-JP"/>
        </w:rPr>
        <w:t xml:space="preserve"> Reed</w:t>
      </w:r>
      <w:r>
        <w:rPr>
          <w:lang w:val="en-GB" w:eastAsia="ja-JP"/>
        </w:rPr>
        <w:t>-Judkins</w:t>
      </w:r>
      <w:r w:rsidR="00464203">
        <w:rPr>
          <w:lang w:val="en-GB" w:eastAsia="ja-JP"/>
        </w:rPr>
        <w:t xml:space="preserve"> DK</w:t>
      </w:r>
      <w:r>
        <w:rPr>
          <w:lang w:val="en-GB" w:eastAsia="ja-JP"/>
        </w:rPr>
        <w:t xml:space="preserve"> (eds) </w:t>
      </w:r>
      <w:r>
        <w:rPr>
          <w:i/>
          <w:iCs/>
          <w:lang w:val="en-GB" w:eastAsia="ja-JP"/>
        </w:rPr>
        <w:t>W</w:t>
      </w:r>
      <w:r w:rsidRPr="00464203">
        <w:rPr>
          <w:i/>
          <w:iCs/>
          <w:lang w:val="en-GB" w:eastAsia="ja-JP"/>
        </w:rPr>
        <w:t xml:space="preserve">hole effluent toxicity testing: </w:t>
      </w:r>
      <w:r w:rsidR="00464203">
        <w:rPr>
          <w:i/>
          <w:iCs/>
          <w:lang w:val="en-GB" w:eastAsia="ja-JP"/>
        </w:rPr>
        <w:t>a</w:t>
      </w:r>
      <w:r w:rsidRPr="00464203">
        <w:rPr>
          <w:i/>
          <w:iCs/>
          <w:lang w:val="en-GB" w:eastAsia="ja-JP"/>
        </w:rPr>
        <w:t>n evaluation of methods and prediction of receiving system impact</w:t>
      </w:r>
      <w:r w:rsidR="008F5764">
        <w:rPr>
          <w:i/>
          <w:iCs/>
          <w:lang w:val="en-GB" w:eastAsia="ja-JP"/>
        </w:rPr>
        <w:t>s</w:t>
      </w:r>
      <w:r w:rsidR="004A1DF5">
        <w:rPr>
          <w:i/>
          <w:iCs/>
          <w:lang w:val="en-GB" w:eastAsia="ja-JP"/>
        </w:rPr>
        <w:t>,</w:t>
      </w:r>
      <w:r w:rsidRPr="00D43AFA">
        <w:rPr>
          <w:lang w:val="en-GB" w:eastAsia="ja-JP"/>
        </w:rPr>
        <w:t xml:space="preserve"> S</w:t>
      </w:r>
      <w:r w:rsidR="004A1DF5">
        <w:rPr>
          <w:lang w:val="en-GB" w:eastAsia="ja-JP"/>
        </w:rPr>
        <w:t xml:space="preserve">ociety of </w:t>
      </w:r>
      <w:r w:rsidRPr="00D43AFA">
        <w:rPr>
          <w:lang w:val="en-GB" w:eastAsia="ja-JP"/>
        </w:rPr>
        <w:t>E</w:t>
      </w:r>
      <w:r w:rsidR="004A1DF5">
        <w:rPr>
          <w:lang w:val="en-GB" w:eastAsia="ja-JP"/>
        </w:rPr>
        <w:t xml:space="preserve">nvironmental </w:t>
      </w:r>
      <w:r w:rsidRPr="00D43AFA">
        <w:rPr>
          <w:lang w:val="en-GB" w:eastAsia="ja-JP"/>
        </w:rPr>
        <w:t>T</w:t>
      </w:r>
      <w:r w:rsidR="004A1DF5">
        <w:rPr>
          <w:lang w:val="en-GB" w:eastAsia="ja-JP"/>
        </w:rPr>
        <w:t xml:space="preserve">oxicology and </w:t>
      </w:r>
      <w:r w:rsidRPr="00D43AFA">
        <w:rPr>
          <w:lang w:val="en-GB" w:eastAsia="ja-JP"/>
        </w:rPr>
        <w:t>C</w:t>
      </w:r>
      <w:r w:rsidR="004A1DF5">
        <w:rPr>
          <w:lang w:val="en-GB" w:eastAsia="ja-JP"/>
        </w:rPr>
        <w:t>hemistry</w:t>
      </w:r>
      <w:r w:rsidRPr="00D43AFA">
        <w:rPr>
          <w:lang w:val="en-GB" w:eastAsia="ja-JP"/>
        </w:rPr>
        <w:t xml:space="preserve"> Press, Pensacola.</w:t>
      </w:r>
    </w:p>
    <w:p w:rsidR="005B6FC0" w:rsidRPr="00D43AFA" w:rsidP="00D43AFA" w14:paraId="6C08E9EB" w14:textId="19350A33">
      <w:pPr>
        <w:rPr>
          <w:lang w:val="en-GB" w:eastAsia="ja-JP"/>
        </w:rPr>
      </w:pPr>
      <w:r w:rsidRPr="00D43AFA">
        <w:rPr>
          <w:lang w:val="en-GB" w:eastAsia="ja-JP"/>
        </w:rPr>
        <w:t xml:space="preserve">Sarakinos HC </w:t>
      </w:r>
      <w:r w:rsidR="003C60FB">
        <w:rPr>
          <w:lang w:val="en-GB" w:eastAsia="ja-JP"/>
        </w:rPr>
        <w:t>and</w:t>
      </w:r>
      <w:r w:rsidRPr="00D43AFA">
        <w:rPr>
          <w:lang w:val="en-GB" w:eastAsia="ja-JP"/>
        </w:rPr>
        <w:t xml:space="preserve"> Rasmussen JB </w:t>
      </w:r>
      <w:r w:rsidR="004A1DF5">
        <w:rPr>
          <w:lang w:val="en-GB" w:eastAsia="ja-JP"/>
        </w:rPr>
        <w:t>(</w:t>
      </w:r>
      <w:r w:rsidRPr="00D43AFA">
        <w:rPr>
          <w:lang w:val="en-GB" w:eastAsia="ja-JP"/>
        </w:rPr>
        <w:t>1998</w:t>
      </w:r>
      <w:r w:rsidR="004A1DF5">
        <w:rPr>
          <w:lang w:val="en-GB" w:eastAsia="ja-JP"/>
        </w:rPr>
        <w:t>)</w:t>
      </w:r>
      <w:r w:rsidRPr="00D43AFA">
        <w:rPr>
          <w:lang w:val="en-GB" w:eastAsia="ja-JP"/>
        </w:rPr>
        <w:t xml:space="preserve"> </w:t>
      </w:r>
      <w:r w:rsidR="004A1DF5">
        <w:rPr>
          <w:lang w:val="en-GB" w:eastAsia="ja-JP"/>
        </w:rPr>
        <w:t>‘</w:t>
      </w:r>
      <w:r>
        <w:fldChar w:fldCharType="begin"/>
      </w:r>
      <w:r>
        <w:instrText xml:space="preserve"> HYPERLINK "https://doi.org/10.1023/A:1009947824130" </w:instrText>
      </w:r>
      <w:r>
        <w:fldChar w:fldCharType="separate"/>
      </w:r>
      <w:r w:rsidRPr="00853EC0">
        <w:rPr>
          <w:rStyle w:val="Hyperlink"/>
          <w:lang w:val="en-GB" w:eastAsia="ja-JP"/>
        </w:rPr>
        <w:t>Use of bioassay-based whole effluent toxicity (WET) tests to predict benthic community responses to a complex industrial effluent</w:t>
      </w:r>
      <w:r>
        <w:fldChar w:fldCharType="end"/>
      </w:r>
      <w:r w:rsidR="004A1DF5">
        <w:rPr>
          <w:lang w:val="en-GB" w:eastAsia="ja-JP"/>
        </w:rPr>
        <w:t>’,</w:t>
      </w:r>
      <w:r w:rsidRPr="00D43AFA">
        <w:rPr>
          <w:lang w:val="en-GB" w:eastAsia="ja-JP"/>
        </w:rPr>
        <w:t xml:space="preserve"> </w:t>
      </w:r>
      <w:r w:rsidRPr="0059755B">
        <w:rPr>
          <w:rStyle w:val="Emphasis"/>
        </w:rPr>
        <w:t>Journal of Aquatic Ecosystem Stress and Recovery</w:t>
      </w:r>
      <w:r>
        <w:rPr>
          <w:lang w:val="en-GB" w:eastAsia="ja-JP"/>
        </w:rPr>
        <w:t>,</w:t>
      </w:r>
      <w:r w:rsidRPr="00D43AFA">
        <w:rPr>
          <w:lang w:val="en-GB" w:eastAsia="ja-JP"/>
        </w:rPr>
        <w:t xml:space="preserve"> 6</w:t>
      </w:r>
      <w:r w:rsidR="004A1DF5">
        <w:rPr>
          <w:lang w:val="en-GB" w:eastAsia="ja-JP"/>
        </w:rPr>
        <w:t>:</w:t>
      </w:r>
      <w:r w:rsidRPr="00D43AFA">
        <w:rPr>
          <w:lang w:val="en-GB" w:eastAsia="ja-JP"/>
        </w:rPr>
        <w:t>141–157</w:t>
      </w:r>
      <w:r w:rsidR="00853EC0">
        <w:rPr>
          <w:lang w:val="en-GB" w:eastAsia="ja-JP"/>
        </w:rPr>
        <w:t xml:space="preserve">, </w:t>
      </w:r>
      <w:r w:rsidR="002A0E99">
        <w:rPr>
          <w:lang w:val="en-GB" w:eastAsia="ja-JP"/>
        </w:rPr>
        <w:t>doi:</w:t>
      </w:r>
      <w:r w:rsidRPr="00853EC0" w:rsidR="00853EC0">
        <w:rPr>
          <w:lang w:val="en-GB" w:eastAsia="ja-JP"/>
        </w:rPr>
        <w:t>10.1023/A:1009947824130</w:t>
      </w:r>
      <w:r w:rsidRPr="00D43AFA">
        <w:rPr>
          <w:lang w:val="en-GB" w:eastAsia="ja-JP"/>
        </w:rPr>
        <w:t>.</w:t>
      </w:r>
    </w:p>
    <w:p w:rsidR="005B6FC0" w:rsidP="001B25CD" w14:paraId="2D02D0E3" w14:textId="07D3FC1B">
      <w:pPr>
        <w:rPr>
          <w:lang w:eastAsia="ja-JP"/>
        </w:rPr>
      </w:pPr>
      <w:r w:rsidRPr="00051985">
        <w:rPr>
          <w:lang w:eastAsia="ja-JP"/>
        </w:rPr>
        <w:t xml:space="preserve">Schäfer RB, Kefford BJ, Metzeling L, Liess M, Burgert S, Marchant R, </w:t>
      </w:r>
      <w:r>
        <w:rPr>
          <w:lang w:eastAsia="ja-JP"/>
        </w:rPr>
        <w:t xml:space="preserve">Pettigrove V, Goonan P </w:t>
      </w:r>
      <w:r w:rsidR="003C60FB">
        <w:rPr>
          <w:lang w:eastAsia="ja-JP"/>
        </w:rPr>
        <w:t>and</w:t>
      </w:r>
      <w:r>
        <w:rPr>
          <w:lang w:eastAsia="ja-JP"/>
        </w:rPr>
        <w:t xml:space="preserve"> Nugegoda D</w:t>
      </w:r>
      <w:r w:rsidRPr="00051985">
        <w:rPr>
          <w:lang w:eastAsia="ja-JP"/>
        </w:rPr>
        <w:t xml:space="preserve"> </w:t>
      </w:r>
      <w:r w:rsidR="004A1DF5">
        <w:rPr>
          <w:lang w:eastAsia="ja-JP"/>
        </w:rPr>
        <w:t>(</w:t>
      </w:r>
      <w:r w:rsidRPr="00051985">
        <w:rPr>
          <w:lang w:eastAsia="ja-JP"/>
        </w:rPr>
        <w:t>2011</w:t>
      </w:r>
      <w:r w:rsidR="004A1DF5">
        <w:rPr>
          <w:lang w:eastAsia="ja-JP"/>
        </w:rPr>
        <w:t>)</w:t>
      </w:r>
      <w:r w:rsidRPr="00051985">
        <w:rPr>
          <w:lang w:eastAsia="ja-JP"/>
        </w:rPr>
        <w:t xml:space="preserve"> </w:t>
      </w:r>
      <w:r w:rsidR="004A1DF5">
        <w:rPr>
          <w:lang w:eastAsia="ja-JP"/>
        </w:rPr>
        <w:t>‘</w:t>
      </w:r>
      <w:r>
        <w:fldChar w:fldCharType="begin"/>
      </w:r>
      <w:r>
        <w:instrText xml:space="preserve"> HYPERLINK "https://doi.org/10.1016/j.scitotenv.2011.01.053" </w:instrText>
      </w:r>
      <w:r>
        <w:fldChar w:fldCharType="separate"/>
      </w:r>
      <w:r w:rsidRPr="00853EC0">
        <w:rPr>
          <w:rStyle w:val="Hyperlink"/>
          <w:lang w:eastAsia="ja-JP"/>
        </w:rPr>
        <w:t xml:space="preserve">A trait database of stream invertebrates for the ecological risk assessment of single and combined effects of salinity and pesticides in </w:t>
      </w:r>
      <w:r w:rsidRPr="00853EC0" w:rsidR="004A1DF5">
        <w:rPr>
          <w:rStyle w:val="Hyperlink"/>
          <w:lang w:eastAsia="ja-JP"/>
        </w:rPr>
        <w:t>s</w:t>
      </w:r>
      <w:r w:rsidRPr="00853EC0">
        <w:rPr>
          <w:rStyle w:val="Hyperlink"/>
          <w:lang w:eastAsia="ja-JP"/>
        </w:rPr>
        <w:t>outh-</w:t>
      </w:r>
      <w:r w:rsidRPr="00853EC0" w:rsidR="004A1DF5">
        <w:rPr>
          <w:rStyle w:val="Hyperlink"/>
          <w:lang w:eastAsia="ja-JP"/>
        </w:rPr>
        <w:t>e</w:t>
      </w:r>
      <w:r w:rsidRPr="00853EC0">
        <w:rPr>
          <w:rStyle w:val="Hyperlink"/>
          <w:lang w:eastAsia="ja-JP"/>
        </w:rPr>
        <w:t>ast Australia</w:t>
      </w:r>
      <w:r>
        <w:fldChar w:fldCharType="end"/>
      </w:r>
      <w:r w:rsidR="004A1DF5">
        <w:rPr>
          <w:lang w:eastAsia="ja-JP"/>
        </w:rPr>
        <w:t>’,</w:t>
      </w:r>
      <w:r w:rsidRPr="00051985">
        <w:rPr>
          <w:lang w:eastAsia="ja-JP"/>
        </w:rPr>
        <w:t xml:space="preserve"> </w:t>
      </w:r>
      <w:r w:rsidRPr="00051985">
        <w:rPr>
          <w:rStyle w:val="Emphasis"/>
        </w:rPr>
        <w:t>Sci</w:t>
      </w:r>
      <w:r w:rsidR="004A1DF5">
        <w:rPr>
          <w:rStyle w:val="Emphasis"/>
        </w:rPr>
        <w:t>ence of the</w:t>
      </w:r>
      <w:r w:rsidRPr="00051985">
        <w:rPr>
          <w:rStyle w:val="Emphasis"/>
        </w:rPr>
        <w:t xml:space="preserve"> Total Environ</w:t>
      </w:r>
      <w:r w:rsidR="004A1DF5">
        <w:rPr>
          <w:rStyle w:val="Emphasis"/>
        </w:rPr>
        <w:t>ment</w:t>
      </w:r>
      <w:r w:rsidRPr="00051985">
        <w:rPr>
          <w:lang w:eastAsia="ja-JP"/>
        </w:rPr>
        <w:t>, 409</w:t>
      </w:r>
      <w:r w:rsidR="004A1DF5">
        <w:rPr>
          <w:lang w:eastAsia="ja-JP"/>
        </w:rPr>
        <w:t>:</w:t>
      </w:r>
      <w:r w:rsidRPr="00051985">
        <w:rPr>
          <w:lang w:eastAsia="ja-JP"/>
        </w:rPr>
        <w:t>2055–63</w:t>
      </w:r>
      <w:r w:rsidR="00853EC0">
        <w:rPr>
          <w:lang w:eastAsia="ja-JP"/>
        </w:rPr>
        <w:t xml:space="preserve">, </w:t>
      </w:r>
      <w:r w:rsidR="002A0E99">
        <w:rPr>
          <w:lang w:eastAsia="ja-JP"/>
        </w:rPr>
        <w:t>doi:</w:t>
      </w:r>
      <w:r w:rsidRPr="00853EC0" w:rsidR="00853EC0">
        <w:rPr>
          <w:lang w:eastAsia="ja-JP"/>
        </w:rPr>
        <w:t>10.1016/j.scitotenv.2011.01.053</w:t>
      </w:r>
      <w:r w:rsidRPr="00051985">
        <w:rPr>
          <w:lang w:eastAsia="ja-JP"/>
        </w:rPr>
        <w:t>.</w:t>
      </w:r>
    </w:p>
    <w:p w:rsidR="005B6FC0" w:rsidP="001B25CD" w14:paraId="60145953" w14:textId="728DF149">
      <w:pPr>
        <w:rPr>
          <w:lang w:eastAsia="ja-JP"/>
        </w:rPr>
      </w:pPr>
      <w:r>
        <w:rPr>
          <w:lang w:eastAsia="ja-JP"/>
        </w:rPr>
        <w:t xml:space="preserve">Shaw JLA, Clarke LJ, Wedderburn SD, Barnes TC, Weyrich LS </w:t>
      </w:r>
      <w:r w:rsidR="003C60FB">
        <w:rPr>
          <w:lang w:eastAsia="ja-JP"/>
        </w:rPr>
        <w:t>and</w:t>
      </w:r>
      <w:r>
        <w:rPr>
          <w:lang w:eastAsia="ja-JP"/>
        </w:rPr>
        <w:t xml:space="preserve"> Cooper A </w:t>
      </w:r>
      <w:r w:rsidR="004A1DF5">
        <w:rPr>
          <w:lang w:eastAsia="ja-JP"/>
        </w:rPr>
        <w:t>(</w:t>
      </w:r>
      <w:r>
        <w:rPr>
          <w:lang w:eastAsia="ja-JP"/>
        </w:rPr>
        <w:t>2016</w:t>
      </w:r>
      <w:r w:rsidR="004A1DF5">
        <w:rPr>
          <w:lang w:eastAsia="ja-JP"/>
        </w:rPr>
        <w:t>)</w:t>
      </w:r>
      <w:r>
        <w:rPr>
          <w:lang w:eastAsia="ja-JP"/>
        </w:rPr>
        <w:t xml:space="preserve"> </w:t>
      </w:r>
      <w:r w:rsidR="004A1DF5">
        <w:rPr>
          <w:lang w:eastAsia="ja-JP"/>
        </w:rPr>
        <w:t>‘</w:t>
      </w:r>
      <w:r>
        <w:fldChar w:fldCharType="begin"/>
      </w:r>
      <w:r>
        <w:instrText xml:space="preserve"> HYPERLINK "http://dx.doi.org/10.1016/j.biocon.2016.03.010" </w:instrText>
      </w:r>
      <w:r>
        <w:fldChar w:fldCharType="separate"/>
      </w:r>
      <w:r w:rsidRPr="00853EC0">
        <w:rPr>
          <w:rStyle w:val="Hyperlink"/>
          <w:lang w:eastAsia="ja-JP"/>
        </w:rPr>
        <w:t>Comparison of environmental DNA metabarcoding and conventional fish survey methods in a river system</w:t>
      </w:r>
      <w:r>
        <w:fldChar w:fldCharType="end"/>
      </w:r>
      <w:r w:rsidR="004A1DF5">
        <w:rPr>
          <w:lang w:eastAsia="ja-JP"/>
        </w:rPr>
        <w:t>’,</w:t>
      </w:r>
      <w:r>
        <w:rPr>
          <w:lang w:eastAsia="ja-JP"/>
        </w:rPr>
        <w:t xml:space="preserve"> </w:t>
      </w:r>
      <w:r w:rsidRPr="00BC5A64">
        <w:rPr>
          <w:rStyle w:val="Emphasis"/>
        </w:rPr>
        <w:t>Biological Conservation</w:t>
      </w:r>
      <w:r>
        <w:rPr>
          <w:lang w:eastAsia="ja-JP"/>
        </w:rPr>
        <w:t>, 197</w:t>
      </w:r>
      <w:r w:rsidR="004A1DF5">
        <w:rPr>
          <w:lang w:eastAsia="ja-JP"/>
        </w:rPr>
        <w:t>:</w:t>
      </w:r>
      <w:r>
        <w:rPr>
          <w:lang w:eastAsia="ja-JP"/>
        </w:rPr>
        <w:t>131–138</w:t>
      </w:r>
      <w:r w:rsidR="00853EC0">
        <w:rPr>
          <w:lang w:eastAsia="ja-JP"/>
        </w:rPr>
        <w:t xml:space="preserve">, </w:t>
      </w:r>
      <w:r w:rsidRPr="00853EC0" w:rsidR="00853EC0">
        <w:rPr>
          <w:lang w:eastAsia="ja-JP"/>
        </w:rPr>
        <w:t>doi:10.1016/j.biocon.2016.03.010</w:t>
      </w:r>
      <w:r>
        <w:rPr>
          <w:lang w:eastAsia="ja-JP"/>
        </w:rPr>
        <w:t>.</w:t>
      </w:r>
    </w:p>
    <w:p w:rsidR="005B6FC0" w:rsidP="003E5350" w14:paraId="07B39C39" w14:textId="0FEBFFEB">
      <w:pPr>
        <w:rPr>
          <w:lang w:eastAsia="ja-JP"/>
        </w:rPr>
      </w:pPr>
      <w:r>
        <w:rPr>
          <w:lang w:eastAsia="ja-JP"/>
        </w:rPr>
        <w:t xml:space="preserve">Simmonds J </w:t>
      </w:r>
      <w:r w:rsidR="003C60FB">
        <w:rPr>
          <w:lang w:eastAsia="ja-JP"/>
        </w:rPr>
        <w:t>and</w:t>
      </w:r>
      <w:r>
        <w:rPr>
          <w:lang w:eastAsia="ja-JP"/>
        </w:rPr>
        <w:t xml:space="preserve"> MacLennan J </w:t>
      </w:r>
      <w:r w:rsidR="006434D9">
        <w:rPr>
          <w:lang w:eastAsia="ja-JP"/>
        </w:rPr>
        <w:t>(</w:t>
      </w:r>
      <w:r>
        <w:rPr>
          <w:lang w:eastAsia="ja-JP"/>
        </w:rPr>
        <w:t>2005</w:t>
      </w:r>
      <w:r w:rsidR="006434D9">
        <w:rPr>
          <w:lang w:eastAsia="ja-JP"/>
        </w:rPr>
        <w:t>)</w:t>
      </w:r>
      <w:r>
        <w:rPr>
          <w:lang w:eastAsia="ja-JP"/>
        </w:rPr>
        <w:t xml:space="preserve"> </w:t>
      </w:r>
      <w:r w:rsidRPr="006434D9">
        <w:rPr>
          <w:i/>
          <w:iCs/>
          <w:lang w:eastAsia="ja-JP"/>
        </w:rPr>
        <w:t xml:space="preserve">Fisheries </w:t>
      </w:r>
      <w:r w:rsidR="006434D9">
        <w:rPr>
          <w:i/>
          <w:iCs/>
          <w:lang w:eastAsia="ja-JP"/>
        </w:rPr>
        <w:t>a</w:t>
      </w:r>
      <w:r w:rsidRPr="006434D9">
        <w:rPr>
          <w:i/>
          <w:iCs/>
          <w:lang w:eastAsia="ja-JP"/>
        </w:rPr>
        <w:t xml:space="preserve">coustics: </w:t>
      </w:r>
      <w:r w:rsidR="006434D9">
        <w:rPr>
          <w:i/>
          <w:iCs/>
          <w:lang w:eastAsia="ja-JP"/>
        </w:rPr>
        <w:t>t</w:t>
      </w:r>
      <w:r w:rsidRPr="006434D9">
        <w:rPr>
          <w:i/>
          <w:iCs/>
          <w:lang w:eastAsia="ja-JP"/>
        </w:rPr>
        <w:t>heory and</w:t>
      </w:r>
      <w:r w:rsidR="006434D9">
        <w:rPr>
          <w:i/>
          <w:iCs/>
          <w:lang w:eastAsia="ja-JP"/>
        </w:rPr>
        <w:t xml:space="preserve"> p</w:t>
      </w:r>
      <w:r w:rsidRPr="006434D9">
        <w:rPr>
          <w:i/>
          <w:iCs/>
          <w:lang w:eastAsia="ja-JP"/>
        </w:rPr>
        <w:t>ractices</w:t>
      </w:r>
      <w:r w:rsidR="006434D9">
        <w:rPr>
          <w:lang w:eastAsia="ja-JP"/>
        </w:rPr>
        <w:t>,</w:t>
      </w:r>
      <w:r>
        <w:rPr>
          <w:lang w:eastAsia="ja-JP"/>
        </w:rPr>
        <w:t xml:space="preserve"> 2</w:t>
      </w:r>
      <w:r w:rsidRPr="006434D9">
        <w:rPr>
          <w:lang w:eastAsia="ja-JP"/>
        </w:rPr>
        <w:t>nd</w:t>
      </w:r>
      <w:r>
        <w:rPr>
          <w:lang w:eastAsia="ja-JP"/>
        </w:rPr>
        <w:t xml:space="preserve"> </w:t>
      </w:r>
      <w:r w:rsidR="006434D9">
        <w:rPr>
          <w:lang w:eastAsia="ja-JP"/>
        </w:rPr>
        <w:t>e</w:t>
      </w:r>
      <w:r>
        <w:rPr>
          <w:lang w:eastAsia="ja-JP"/>
        </w:rPr>
        <w:t>dn</w:t>
      </w:r>
      <w:r w:rsidR="006434D9">
        <w:rPr>
          <w:lang w:eastAsia="ja-JP"/>
        </w:rPr>
        <w:t>,</w:t>
      </w:r>
      <w:r>
        <w:rPr>
          <w:lang w:eastAsia="ja-JP"/>
        </w:rPr>
        <w:t xml:space="preserve"> Blackwell Publishing, Oxford.</w:t>
      </w:r>
    </w:p>
    <w:p w:rsidR="005B6FC0" w:rsidP="00164470" w14:paraId="107CECBC" w14:textId="616CA940">
      <w:r w:rsidRPr="00164470">
        <w:t xml:space="preserve">Simpson SL </w:t>
      </w:r>
      <w:r w:rsidR="003C60FB">
        <w:t>and</w:t>
      </w:r>
      <w:r w:rsidRPr="00164470">
        <w:t xml:space="preserve"> Batley GE </w:t>
      </w:r>
      <w:r w:rsidR="006434D9">
        <w:t>(</w:t>
      </w:r>
      <w:r w:rsidRPr="00164470">
        <w:t>2016</w:t>
      </w:r>
      <w:r w:rsidR="006434D9">
        <w:t>)</w:t>
      </w:r>
      <w:r>
        <w:t xml:space="preserve"> </w:t>
      </w:r>
      <w:r w:rsidRPr="006434D9">
        <w:rPr>
          <w:i/>
          <w:iCs/>
        </w:rPr>
        <w:t xml:space="preserve">Sediment quality assessment: </w:t>
      </w:r>
      <w:r w:rsidR="006434D9">
        <w:rPr>
          <w:i/>
          <w:iCs/>
        </w:rPr>
        <w:t>a</w:t>
      </w:r>
      <w:r w:rsidRPr="006434D9">
        <w:rPr>
          <w:i/>
          <w:iCs/>
        </w:rPr>
        <w:t xml:space="preserve"> practical handbook</w:t>
      </w:r>
      <w:r w:rsidR="006434D9">
        <w:t>,</w:t>
      </w:r>
      <w:r w:rsidRPr="00164470">
        <w:t xml:space="preserve"> CSIRO Publishing, Clayton.</w:t>
      </w:r>
    </w:p>
    <w:p w:rsidR="00D223A2" w:rsidP="009B57A3" w14:paraId="58CC0A9E" w14:textId="58546B91">
      <w:pPr>
        <w:rPr>
          <w:lang w:val="en-GB"/>
        </w:rPr>
      </w:pPr>
      <w:r w:rsidRPr="00D223A2">
        <w:rPr>
          <w:lang w:val="en-GB"/>
        </w:rPr>
        <w:t xml:space="preserve">Simpson SL, Batley GE </w:t>
      </w:r>
      <w:r>
        <w:rPr>
          <w:lang w:val="en-GB"/>
        </w:rPr>
        <w:t>and</w:t>
      </w:r>
      <w:r w:rsidRPr="00D223A2">
        <w:rPr>
          <w:lang w:val="en-GB"/>
        </w:rPr>
        <w:t xml:space="preserve"> Chariton AA </w:t>
      </w:r>
      <w:r>
        <w:rPr>
          <w:lang w:val="en-GB"/>
        </w:rPr>
        <w:t>(</w:t>
      </w:r>
      <w:r w:rsidRPr="00D223A2">
        <w:rPr>
          <w:lang w:val="en-GB"/>
        </w:rPr>
        <w:t>2013</w:t>
      </w:r>
      <w:r>
        <w:rPr>
          <w:lang w:val="en-GB"/>
        </w:rPr>
        <w:t>)</w:t>
      </w:r>
      <w:r w:rsidRPr="00D223A2">
        <w:rPr>
          <w:lang w:val="en-GB"/>
        </w:rPr>
        <w:t xml:space="preserve"> </w:t>
      </w:r>
      <w:r>
        <w:fldChar w:fldCharType="begin"/>
      </w:r>
      <w:r>
        <w:instrText xml:space="preserve"> HYPERLINK "https://doi.org/10.4225/08/5894c6184320c" </w:instrText>
      </w:r>
      <w:r>
        <w:fldChar w:fldCharType="separate"/>
      </w:r>
      <w:r w:rsidRPr="00D223A2">
        <w:rPr>
          <w:rStyle w:val="Hyperlink"/>
          <w:i/>
          <w:iCs/>
          <w:lang w:val="en-GB"/>
        </w:rPr>
        <w:t xml:space="preserve">Revision of the ANZECC/ARMCANZ </w:t>
      </w:r>
      <w:r>
        <w:rPr>
          <w:rStyle w:val="Hyperlink"/>
          <w:i/>
          <w:iCs/>
          <w:lang w:val="en-GB"/>
        </w:rPr>
        <w:t>s</w:t>
      </w:r>
      <w:r w:rsidRPr="00D223A2">
        <w:rPr>
          <w:rStyle w:val="Hyperlink"/>
          <w:i/>
          <w:iCs/>
          <w:lang w:val="en-GB"/>
        </w:rPr>
        <w:t xml:space="preserve">ediment </w:t>
      </w:r>
      <w:r>
        <w:rPr>
          <w:rStyle w:val="Hyperlink"/>
          <w:i/>
          <w:iCs/>
          <w:lang w:val="en-GB"/>
        </w:rPr>
        <w:t>q</w:t>
      </w:r>
      <w:r w:rsidRPr="00D223A2">
        <w:rPr>
          <w:rStyle w:val="Hyperlink"/>
          <w:i/>
          <w:iCs/>
          <w:lang w:val="en-GB"/>
        </w:rPr>
        <w:t xml:space="preserve">uality </w:t>
      </w:r>
      <w:r>
        <w:rPr>
          <w:rStyle w:val="Hyperlink"/>
          <w:i/>
          <w:iCs/>
          <w:lang w:val="en-GB"/>
        </w:rPr>
        <w:t>g</w:t>
      </w:r>
      <w:r w:rsidRPr="00D223A2">
        <w:rPr>
          <w:rStyle w:val="Hyperlink"/>
          <w:i/>
          <w:iCs/>
          <w:lang w:val="en-GB"/>
        </w:rPr>
        <w:t>uidelines</w:t>
      </w:r>
      <w:r w:rsidRPr="00D223A2">
        <w:rPr>
          <w:rStyle w:val="Hyperlink"/>
          <w:lang w:val="en-GB"/>
        </w:rPr>
        <w:t>,</w:t>
      </w:r>
      <w:r>
        <w:fldChar w:fldCharType="end"/>
      </w:r>
      <w:r w:rsidRPr="00D223A2">
        <w:rPr>
          <w:lang w:val="en-GB"/>
        </w:rPr>
        <w:t xml:space="preserve"> CSIRO Land and Water Report 8/07, CSIRO Land and Water</w:t>
      </w:r>
      <w:r>
        <w:rPr>
          <w:lang w:val="en-GB"/>
        </w:rPr>
        <w:t>, doi:</w:t>
      </w:r>
      <w:r w:rsidRPr="00D223A2">
        <w:t xml:space="preserve"> </w:t>
      </w:r>
      <w:r w:rsidRPr="00D223A2">
        <w:rPr>
          <w:lang w:val="en-GB"/>
        </w:rPr>
        <w:t>10.4225/08/5894c6184320c.</w:t>
      </w:r>
    </w:p>
    <w:p w:rsidR="009B57A3" w:rsidP="009B57A3" w14:paraId="6D7D137C" w14:textId="532D9021">
      <w:r w:rsidRPr="009B57A3">
        <w:rPr>
          <w:lang w:val="en-GB"/>
        </w:rPr>
        <w:t>Sinclair A, Tayler K, van Dam R</w:t>
      </w:r>
      <w:r>
        <w:rPr>
          <w:lang w:val="en-GB"/>
        </w:rPr>
        <w:t xml:space="preserve"> </w:t>
      </w:r>
      <w:r w:rsidR="003C60FB">
        <w:rPr>
          <w:lang w:val="en-GB"/>
        </w:rPr>
        <w:t>and</w:t>
      </w:r>
      <w:r w:rsidRPr="009B57A3">
        <w:rPr>
          <w:lang w:val="en-GB"/>
        </w:rPr>
        <w:t xml:space="preserve"> Hogan A </w:t>
      </w:r>
      <w:r w:rsidR="006434D9">
        <w:rPr>
          <w:lang w:val="en-GB"/>
        </w:rPr>
        <w:t>(</w:t>
      </w:r>
      <w:r w:rsidRPr="009B57A3">
        <w:rPr>
          <w:lang w:val="en-GB"/>
        </w:rPr>
        <w:t>2014</w:t>
      </w:r>
      <w:r w:rsidR="006434D9">
        <w:rPr>
          <w:lang w:val="en-GB"/>
        </w:rPr>
        <w:t>)</w:t>
      </w:r>
      <w:r w:rsidRPr="009B57A3">
        <w:rPr>
          <w:lang w:val="en-GB"/>
        </w:rPr>
        <w:t xml:space="preserve"> </w:t>
      </w:r>
      <w:r w:rsidR="006434D9">
        <w:rPr>
          <w:lang w:val="en-GB"/>
        </w:rPr>
        <w:t>‘</w:t>
      </w:r>
      <w:r>
        <w:fldChar w:fldCharType="begin"/>
      </w:r>
      <w:r>
        <w:instrText xml:space="preserve"> HYPERLINK "https://doi.org/10.1007/s11356-013-1922-4" </w:instrText>
      </w:r>
      <w:r>
        <w:fldChar w:fldCharType="separate"/>
      </w:r>
      <w:r w:rsidRPr="002B1988">
        <w:rPr>
          <w:rStyle w:val="Hyperlink"/>
          <w:lang w:val="en-GB"/>
        </w:rPr>
        <w:t>Site‐specific water quality guidelines: 2. Development of a water quality regulation framework for pulse exposures of mine water discharges at a uranium mine in northern Australia</w:t>
      </w:r>
      <w:r>
        <w:fldChar w:fldCharType="end"/>
      </w:r>
      <w:r w:rsidR="006434D9">
        <w:rPr>
          <w:lang w:val="en-GB"/>
        </w:rPr>
        <w:t>’,</w:t>
      </w:r>
      <w:r w:rsidRPr="009B57A3">
        <w:rPr>
          <w:lang w:val="en-GB"/>
        </w:rPr>
        <w:t xml:space="preserve"> </w:t>
      </w:r>
      <w:r w:rsidRPr="009B57A3">
        <w:rPr>
          <w:i/>
          <w:iCs/>
          <w:lang w:val="en-GB"/>
        </w:rPr>
        <w:t>Environmental Science and Pollution Research</w:t>
      </w:r>
      <w:r w:rsidRPr="009B57A3">
        <w:rPr>
          <w:lang w:val="en-GB"/>
        </w:rPr>
        <w:t xml:space="preserve"> 21</w:t>
      </w:r>
      <w:r w:rsidR="006434D9">
        <w:rPr>
          <w:lang w:val="en-GB"/>
        </w:rPr>
        <w:t>:</w:t>
      </w:r>
      <w:r w:rsidRPr="009B57A3">
        <w:rPr>
          <w:lang w:val="en-GB"/>
        </w:rPr>
        <w:t>131–140</w:t>
      </w:r>
      <w:r w:rsidR="002B1988">
        <w:rPr>
          <w:lang w:val="en-GB"/>
        </w:rPr>
        <w:t xml:space="preserve">, </w:t>
      </w:r>
      <w:r w:rsidR="002A0E99">
        <w:rPr>
          <w:lang w:val="en-GB"/>
        </w:rPr>
        <w:t>doi:</w:t>
      </w:r>
      <w:r w:rsidRPr="002B1988" w:rsidR="002B1988">
        <w:rPr>
          <w:lang w:val="en-GB"/>
        </w:rPr>
        <w:t>10.1007/s11356-013-1922-4</w:t>
      </w:r>
      <w:r w:rsidRPr="009B57A3">
        <w:rPr>
          <w:lang w:val="en-GB"/>
        </w:rPr>
        <w:t>.</w:t>
      </w:r>
    </w:p>
    <w:p w:rsidR="009B57A3" w:rsidP="00164470" w14:paraId="26FBFDF4" w14:textId="048D5477">
      <w:r w:rsidRPr="009B57A3">
        <w:rPr>
          <w:lang w:val="en-GB"/>
        </w:rPr>
        <w:t xml:space="preserve">Smith REW, Boulton AJ, Baldwin DS, Humphrey CL, Butler B </w:t>
      </w:r>
      <w:r w:rsidR="003C60FB">
        <w:rPr>
          <w:lang w:val="en-GB"/>
        </w:rPr>
        <w:t>and</w:t>
      </w:r>
      <w:r w:rsidRPr="009B57A3">
        <w:rPr>
          <w:lang w:val="en-GB"/>
        </w:rPr>
        <w:t xml:space="preserve"> Halse S </w:t>
      </w:r>
      <w:r w:rsidR="006434D9">
        <w:rPr>
          <w:lang w:val="en-GB"/>
        </w:rPr>
        <w:t>(</w:t>
      </w:r>
      <w:r w:rsidRPr="009B57A3">
        <w:rPr>
          <w:lang w:val="en-GB"/>
        </w:rPr>
        <w:t>2020</w:t>
      </w:r>
      <w:r w:rsidR="006434D9">
        <w:rPr>
          <w:lang w:val="en-GB"/>
        </w:rPr>
        <w:t>)</w:t>
      </w:r>
      <w:r w:rsidRPr="009B57A3">
        <w:rPr>
          <w:lang w:val="en-GB"/>
        </w:rPr>
        <w:t xml:space="preserve"> </w:t>
      </w:r>
      <w:r w:rsidRPr="009B57A3">
        <w:rPr>
          <w:i/>
          <w:iCs/>
          <w:lang w:val="en-GB"/>
        </w:rPr>
        <w:t>Assessing and managing water quality in temporary waters</w:t>
      </w:r>
      <w:r w:rsidR="009A6491">
        <w:rPr>
          <w:lang w:val="en-GB"/>
        </w:rPr>
        <w:t>,</w:t>
      </w:r>
      <w:r w:rsidRPr="009B57A3">
        <w:rPr>
          <w:lang w:val="en-GB"/>
        </w:rPr>
        <w:t xml:space="preserve"> </w:t>
      </w:r>
      <w:r w:rsidRPr="00220B04">
        <w:rPr>
          <w:i/>
          <w:iCs/>
          <w:lang w:val="en-GB"/>
        </w:rPr>
        <w:t xml:space="preserve">Australian and New Zealand </w:t>
      </w:r>
      <w:r w:rsidR="00220B04">
        <w:rPr>
          <w:i/>
          <w:iCs/>
          <w:lang w:val="en-GB"/>
        </w:rPr>
        <w:t>g</w:t>
      </w:r>
      <w:r w:rsidRPr="00220B04">
        <w:rPr>
          <w:i/>
          <w:iCs/>
          <w:lang w:val="en-GB"/>
        </w:rPr>
        <w:t xml:space="preserve">uidelines for </w:t>
      </w:r>
      <w:r w:rsidR="00220B04">
        <w:rPr>
          <w:i/>
          <w:iCs/>
          <w:lang w:val="en-GB"/>
        </w:rPr>
        <w:t>f</w:t>
      </w:r>
      <w:r w:rsidRPr="00220B04">
        <w:rPr>
          <w:i/>
          <w:iCs/>
          <w:lang w:val="en-GB"/>
        </w:rPr>
        <w:t xml:space="preserve">resh and </w:t>
      </w:r>
      <w:r w:rsidR="00220B04">
        <w:rPr>
          <w:i/>
          <w:iCs/>
          <w:lang w:val="en-GB"/>
        </w:rPr>
        <w:t>m</w:t>
      </w:r>
      <w:r w:rsidRPr="00220B04">
        <w:rPr>
          <w:i/>
          <w:iCs/>
          <w:lang w:val="en-GB"/>
        </w:rPr>
        <w:t xml:space="preserve">arine </w:t>
      </w:r>
      <w:r w:rsidR="00220B04">
        <w:rPr>
          <w:i/>
          <w:iCs/>
          <w:lang w:val="en-GB"/>
        </w:rPr>
        <w:t>w</w:t>
      </w:r>
      <w:r w:rsidRPr="00220B04">
        <w:rPr>
          <w:i/>
          <w:iCs/>
          <w:lang w:val="en-GB"/>
        </w:rPr>
        <w:t xml:space="preserve">ater </w:t>
      </w:r>
      <w:r w:rsidR="00220B04">
        <w:rPr>
          <w:i/>
          <w:iCs/>
          <w:lang w:val="en-GB"/>
        </w:rPr>
        <w:t>q</w:t>
      </w:r>
      <w:r w:rsidRPr="00220B04">
        <w:rPr>
          <w:i/>
          <w:iCs/>
          <w:lang w:val="en-GB"/>
        </w:rPr>
        <w:t>uality</w:t>
      </w:r>
      <w:r w:rsidR="009A6491">
        <w:rPr>
          <w:lang w:val="en-GB"/>
        </w:rPr>
        <w:t>,</w:t>
      </w:r>
      <w:r w:rsidRPr="009B57A3">
        <w:rPr>
          <w:lang w:val="en-GB"/>
        </w:rPr>
        <w:t xml:space="preserve"> Australian and New Zealand </w:t>
      </w:r>
      <w:r w:rsidR="006434D9">
        <w:rPr>
          <w:lang w:val="en-GB"/>
        </w:rPr>
        <w:t>g</w:t>
      </w:r>
      <w:r w:rsidRPr="009B57A3">
        <w:rPr>
          <w:lang w:val="en-GB"/>
        </w:rPr>
        <w:t>overnments and Australian state and territory governments.</w:t>
      </w:r>
    </w:p>
    <w:p w:rsidR="005B6FC0" w:rsidRPr="007F3A6C" w:rsidP="003E5350" w14:paraId="23929A5A" w14:textId="32768D7F">
      <w:pPr>
        <w:rPr>
          <w:lang w:eastAsia="ja-JP"/>
        </w:rPr>
      </w:pPr>
      <w:r w:rsidRPr="0007531F">
        <w:rPr>
          <w:lang w:val="en-GB"/>
        </w:rPr>
        <w:t xml:space="preserve">Sprague JB </w:t>
      </w:r>
      <w:r w:rsidR="009A6491">
        <w:rPr>
          <w:lang w:val="en-GB"/>
        </w:rPr>
        <w:t>(</w:t>
      </w:r>
      <w:r w:rsidRPr="0007531F">
        <w:rPr>
          <w:lang w:val="en-GB"/>
        </w:rPr>
        <w:t>1990</w:t>
      </w:r>
      <w:r w:rsidR="009A6491">
        <w:rPr>
          <w:lang w:val="en-GB"/>
        </w:rPr>
        <w:t>)</w:t>
      </w:r>
      <w:r w:rsidRPr="0007531F">
        <w:rPr>
          <w:lang w:val="en-GB"/>
        </w:rPr>
        <w:t xml:space="preserve"> </w:t>
      </w:r>
      <w:r w:rsidR="009A6491">
        <w:rPr>
          <w:lang w:val="en-GB"/>
        </w:rPr>
        <w:t>‘</w:t>
      </w:r>
      <w:r w:rsidRPr="0007531F">
        <w:rPr>
          <w:lang w:val="en-GB"/>
        </w:rPr>
        <w:t>Aquatic toxicology</w:t>
      </w:r>
      <w:r w:rsidR="009A6491">
        <w:rPr>
          <w:lang w:val="en-GB"/>
        </w:rPr>
        <w:t>’, i</w:t>
      </w:r>
      <w:r w:rsidRPr="0007531F">
        <w:rPr>
          <w:lang w:val="en-GB"/>
        </w:rPr>
        <w:t>n Schreck</w:t>
      </w:r>
      <w:r w:rsidR="009A6491">
        <w:rPr>
          <w:lang w:val="en-GB"/>
        </w:rPr>
        <w:t xml:space="preserve"> CB</w:t>
      </w:r>
      <w:r w:rsidRPr="0007531F">
        <w:rPr>
          <w:lang w:val="en-GB"/>
        </w:rPr>
        <w:t xml:space="preserve"> </w:t>
      </w:r>
      <w:r w:rsidR="003C60FB">
        <w:rPr>
          <w:lang w:val="en-GB"/>
        </w:rPr>
        <w:t>and</w:t>
      </w:r>
      <w:r w:rsidRPr="0007531F">
        <w:rPr>
          <w:lang w:val="en-GB"/>
        </w:rPr>
        <w:t xml:space="preserve"> Moyle </w:t>
      </w:r>
      <w:r w:rsidR="009A6491">
        <w:rPr>
          <w:lang w:val="en-GB"/>
        </w:rPr>
        <w:t xml:space="preserve">PB </w:t>
      </w:r>
      <w:r>
        <w:rPr>
          <w:lang w:val="en-GB"/>
        </w:rPr>
        <w:t xml:space="preserve">(eds) </w:t>
      </w:r>
      <w:r>
        <w:fldChar w:fldCharType="begin"/>
      </w:r>
      <w:r>
        <w:instrText xml:space="preserve"> HYPERLINK "https://doi.org/10.47886/9780913235584" </w:instrText>
      </w:r>
      <w:r>
        <w:fldChar w:fldCharType="separate"/>
      </w:r>
      <w:r w:rsidRPr="00F10E4A">
        <w:rPr>
          <w:rStyle w:val="Hyperlink"/>
          <w:i/>
          <w:iCs/>
          <w:lang w:val="en-GB"/>
        </w:rPr>
        <w:t>Methods for fish biology</w:t>
      </w:r>
      <w:r>
        <w:fldChar w:fldCharType="end"/>
      </w:r>
      <w:r w:rsidR="009A6491">
        <w:rPr>
          <w:lang w:val="en-GB"/>
        </w:rPr>
        <w:t>,</w:t>
      </w:r>
      <w:r w:rsidRPr="0007531F">
        <w:rPr>
          <w:lang w:val="en-GB"/>
        </w:rPr>
        <w:t xml:space="preserve"> American Fisheries</w:t>
      </w:r>
      <w:r>
        <w:rPr>
          <w:lang w:val="en-GB"/>
        </w:rPr>
        <w:t xml:space="preserve"> </w:t>
      </w:r>
      <w:r w:rsidRPr="0007531F">
        <w:rPr>
          <w:lang w:val="en-GB"/>
        </w:rPr>
        <w:t>Society, Maryland</w:t>
      </w:r>
      <w:r w:rsidR="00F10E4A">
        <w:rPr>
          <w:lang w:val="en-GB"/>
        </w:rPr>
        <w:t>, doi:</w:t>
      </w:r>
      <w:r w:rsidRPr="00F10E4A" w:rsidR="00F10E4A">
        <w:rPr>
          <w:lang w:val="en-GB"/>
        </w:rPr>
        <w:t>10.47886/9780913235584</w:t>
      </w:r>
      <w:r w:rsidRPr="0007531F">
        <w:rPr>
          <w:lang w:val="en-GB"/>
        </w:rPr>
        <w:t>.</w:t>
      </w:r>
    </w:p>
    <w:p w:rsidR="005B6FC0" w:rsidRPr="0077502D" w:rsidP="0077502D" w14:paraId="4A382F0F" w14:textId="5203177B">
      <w:pPr>
        <w:rPr>
          <w:lang w:eastAsia="ja-JP"/>
        </w:rPr>
      </w:pPr>
      <w:r w:rsidRPr="0077502D">
        <w:rPr>
          <w:lang w:eastAsia="ja-JP"/>
        </w:rPr>
        <w:t xml:space="preserve">Stark D </w:t>
      </w:r>
      <w:r w:rsidR="009A6491">
        <w:rPr>
          <w:lang w:eastAsia="ja-JP"/>
        </w:rPr>
        <w:t>(</w:t>
      </w:r>
      <w:r w:rsidRPr="0077502D">
        <w:rPr>
          <w:lang w:eastAsia="ja-JP"/>
        </w:rPr>
        <w:t>1993</w:t>
      </w:r>
      <w:r w:rsidR="009A6491">
        <w:rPr>
          <w:lang w:eastAsia="ja-JP"/>
        </w:rPr>
        <w:t>)</w:t>
      </w:r>
      <w:r w:rsidRPr="0077502D">
        <w:rPr>
          <w:lang w:eastAsia="ja-JP"/>
        </w:rPr>
        <w:t xml:space="preserve"> </w:t>
      </w:r>
      <w:r w:rsidR="009A6491">
        <w:rPr>
          <w:lang w:eastAsia="ja-JP"/>
        </w:rPr>
        <w:t>‘</w:t>
      </w:r>
      <w:r>
        <w:fldChar w:fldCharType="begin"/>
      </w:r>
      <w:r>
        <w:instrText xml:space="preserve"> HYPERLINK "https://doi.org/10.1080/00288330.1993.9516588" </w:instrText>
      </w:r>
      <w:r>
        <w:fldChar w:fldCharType="separate"/>
      </w:r>
      <w:r w:rsidRPr="00220B04">
        <w:rPr>
          <w:rStyle w:val="Hyperlink"/>
          <w:lang w:eastAsia="ja-JP"/>
        </w:rPr>
        <w:t xml:space="preserve">Performance of the macroinvertebrate community index: </w:t>
      </w:r>
      <w:r w:rsidRPr="00220B04" w:rsidR="009A6491">
        <w:rPr>
          <w:rStyle w:val="Hyperlink"/>
          <w:lang w:eastAsia="ja-JP"/>
        </w:rPr>
        <w:t>e</w:t>
      </w:r>
      <w:r w:rsidRPr="00220B04">
        <w:rPr>
          <w:rStyle w:val="Hyperlink"/>
          <w:lang w:eastAsia="ja-JP"/>
        </w:rPr>
        <w:t>ffects of sampling method, sample replication, water depth, current velocity and substratum on index values</w:t>
      </w:r>
      <w:r>
        <w:fldChar w:fldCharType="end"/>
      </w:r>
      <w:r w:rsidR="009A6491">
        <w:rPr>
          <w:lang w:eastAsia="ja-JP"/>
        </w:rPr>
        <w:t>’,</w:t>
      </w:r>
      <w:r w:rsidRPr="0077502D">
        <w:rPr>
          <w:lang w:eastAsia="ja-JP"/>
        </w:rPr>
        <w:t xml:space="preserve"> </w:t>
      </w:r>
      <w:r w:rsidRPr="0059755B">
        <w:rPr>
          <w:rStyle w:val="Emphasis"/>
        </w:rPr>
        <w:t>New Zealand Journal of Marine and Freshwater Research</w:t>
      </w:r>
      <w:r>
        <w:rPr>
          <w:iCs/>
          <w:lang w:eastAsia="ja-JP"/>
        </w:rPr>
        <w:t>,</w:t>
      </w:r>
      <w:r w:rsidRPr="0077502D">
        <w:rPr>
          <w:lang w:eastAsia="ja-JP"/>
        </w:rPr>
        <w:t xml:space="preserve"> 27</w:t>
      </w:r>
      <w:r w:rsidR="009A6491">
        <w:rPr>
          <w:lang w:eastAsia="ja-JP"/>
        </w:rPr>
        <w:t>:</w:t>
      </w:r>
      <w:r w:rsidRPr="0077502D">
        <w:rPr>
          <w:lang w:eastAsia="ja-JP"/>
        </w:rPr>
        <w:t>463–478</w:t>
      </w:r>
      <w:r w:rsidR="00220B04">
        <w:rPr>
          <w:lang w:eastAsia="ja-JP"/>
        </w:rPr>
        <w:t xml:space="preserve">, </w:t>
      </w:r>
      <w:r w:rsidR="002A0E99">
        <w:rPr>
          <w:lang w:eastAsia="ja-JP"/>
        </w:rPr>
        <w:t>doi:</w:t>
      </w:r>
      <w:r w:rsidRPr="00220B04" w:rsidR="00220B04">
        <w:rPr>
          <w:lang w:eastAsia="ja-JP"/>
        </w:rPr>
        <w:t>10.1080/00288330.1993.9516588</w:t>
      </w:r>
      <w:r w:rsidRPr="0077502D">
        <w:rPr>
          <w:lang w:eastAsia="ja-JP"/>
        </w:rPr>
        <w:t xml:space="preserve">. </w:t>
      </w:r>
    </w:p>
    <w:p w:rsidR="005B6FC0" w:rsidRPr="0077502D" w:rsidP="0077502D" w14:paraId="68722D69" w14:textId="2E29DD2E">
      <w:pPr>
        <w:rPr>
          <w:lang w:eastAsia="ja-JP"/>
        </w:rPr>
      </w:pPr>
      <w:r w:rsidRPr="0077502D">
        <w:rPr>
          <w:lang w:eastAsia="ja-JP"/>
        </w:rPr>
        <w:t xml:space="preserve">Stark JD </w:t>
      </w:r>
      <w:r w:rsidR="003C60FB">
        <w:rPr>
          <w:lang w:eastAsia="ja-JP"/>
        </w:rPr>
        <w:t>and</w:t>
      </w:r>
      <w:r w:rsidRPr="0077502D">
        <w:rPr>
          <w:lang w:eastAsia="ja-JP"/>
        </w:rPr>
        <w:t xml:space="preserve"> Maxted JR </w:t>
      </w:r>
      <w:r w:rsidR="009A6491">
        <w:rPr>
          <w:lang w:eastAsia="ja-JP"/>
        </w:rPr>
        <w:t>(</w:t>
      </w:r>
      <w:r w:rsidRPr="0077502D">
        <w:rPr>
          <w:lang w:eastAsia="ja-JP"/>
        </w:rPr>
        <w:t>2007</w:t>
      </w:r>
      <w:r w:rsidR="009A6491">
        <w:rPr>
          <w:lang w:eastAsia="ja-JP"/>
        </w:rPr>
        <w:t>)</w:t>
      </w:r>
      <w:r w:rsidRPr="0077502D">
        <w:rPr>
          <w:lang w:eastAsia="ja-JP"/>
        </w:rPr>
        <w:t xml:space="preserve"> </w:t>
      </w:r>
      <w:r>
        <w:fldChar w:fldCharType="begin"/>
      </w:r>
      <w:r>
        <w:instrText xml:space="preserve"> HYPERLINK "https://environment.govt.nz/publications/a-user-guide-for-the-macroinvertebrate-community-index/" </w:instrText>
      </w:r>
      <w:r>
        <w:fldChar w:fldCharType="separate"/>
      </w:r>
      <w:r w:rsidRPr="00F9117C">
        <w:rPr>
          <w:rStyle w:val="Hyperlink"/>
          <w:i/>
          <w:iCs/>
          <w:lang w:eastAsia="ja-JP"/>
        </w:rPr>
        <w:t>A user guide for the macroinvertebrate community index</w:t>
      </w:r>
      <w:r>
        <w:fldChar w:fldCharType="end"/>
      </w:r>
      <w:r w:rsidR="009A6491">
        <w:rPr>
          <w:lang w:eastAsia="ja-JP"/>
        </w:rPr>
        <w:t>,</w:t>
      </w:r>
      <w:r w:rsidRPr="0077502D">
        <w:rPr>
          <w:lang w:eastAsia="ja-JP"/>
        </w:rPr>
        <w:t xml:space="preserve"> Cawthron Report No 1166</w:t>
      </w:r>
      <w:r w:rsidR="009A6491">
        <w:rPr>
          <w:lang w:eastAsia="ja-JP"/>
        </w:rPr>
        <w:t>,</w:t>
      </w:r>
      <w:r w:rsidRPr="0077502D">
        <w:rPr>
          <w:lang w:eastAsia="ja-JP"/>
        </w:rPr>
        <w:t xml:space="preserve"> Cawthron Institute, Nelson. </w:t>
      </w:r>
    </w:p>
    <w:p w:rsidR="005B6FC0" w:rsidP="001B25CD" w14:paraId="7F45029C" w14:textId="11F62A96">
      <w:pPr>
        <w:rPr>
          <w:lang w:eastAsia="ja-JP"/>
        </w:rPr>
      </w:pPr>
      <w:r>
        <w:rPr>
          <w:lang w:eastAsia="ja-JP"/>
        </w:rPr>
        <w:t xml:space="preserve">Strom D, Ralph PJ </w:t>
      </w:r>
      <w:r w:rsidR="003C60FB">
        <w:rPr>
          <w:lang w:eastAsia="ja-JP"/>
        </w:rPr>
        <w:t>and</w:t>
      </w:r>
      <w:r>
        <w:rPr>
          <w:lang w:eastAsia="ja-JP"/>
        </w:rPr>
        <w:t xml:space="preserve"> Stauber JL </w:t>
      </w:r>
      <w:r w:rsidR="00AF7938">
        <w:rPr>
          <w:lang w:eastAsia="ja-JP"/>
        </w:rPr>
        <w:t>(</w:t>
      </w:r>
      <w:r>
        <w:rPr>
          <w:lang w:eastAsia="ja-JP"/>
        </w:rPr>
        <w:t>2009</w:t>
      </w:r>
      <w:r w:rsidR="00AF7938">
        <w:rPr>
          <w:lang w:eastAsia="ja-JP"/>
        </w:rPr>
        <w:t>)</w:t>
      </w:r>
      <w:r>
        <w:rPr>
          <w:lang w:eastAsia="ja-JP"/>
        </w:rPr>
        <w:t xml:space="preserve"> </w:t>
      </w:r>
      <w:r w:rsidR="00AF7938">
        <w:rPr>
          <w:lang w:eastAsia="ja-JP"/>
        </w:rPr>
        <w:t>‘</w:t>
      </w:r>
      <w:r>
        <w:fldChar w:fldCharType="begin"/>
      </w:r>
      <w:r>
        <w:instrText xml:space="preserve"> HYPERLINK "https://doi.org/10.1007/s00244-008-9174-x" </w:instrText>
      </w:r>
      <w:r>
        <w:fldChar w:fldCharType="separate"/>
      </w:r>
      <w:r w:rsidRPr="00F9117C">
        <w:rPr>
          <w:rStyle w:val="Hyperlink"/>
          <w:lang w:eastAsia="ja-JP"/>
        </w:rPr>
        <w:t>Development of a toxicity identification evaluation protocol using chlorophyll-a fluorescence in a marine microalga</w:t>
      </w:r>
      <w:r>
        <w:fldChar w:fldCharType="end"/>
      </w:r>
      <w:r w:rsidR="00AF7938">
        <w:rPr>
          <w:lang w:eastAsia="ja-JP"/>
        </w:rPr>
        <w:t>’</w:t>
      </w:r>
      <w:r>
        <w:rPr>
          <w:lang w:eastAsia="ja-JP"/>
        </w:rPr>
        <w:t xml:space="preserve"> </w:t>
      </w:r>
      <w:r w:rsidRPr="007E6B2F">
        <w:rPr>
          <w:rStyle w:val="Emphasis"/>
        </w:rPr>
        <w:t>Archives of Environmental Contamination and Toxicology</w:t>
      </w:r>
      <w:r>
        <w:rPr>
          <w:lang w:eastAsia="ja-JP"/>
        </w:rPr>
        <w:t>, 56</w:t>
      </w:r>
      <w:r w:rsidR="00AF7938">
        <w:rPr>
          <w:lang w:eastAsia="ja-JP"/>
        </w:rPr>
        <w:t>:</w:t>
      </w:r>
      <w:r>
        <w:rPr>
          <w:lang w:eastAsia="ja-JP"/>
        </w:rPr>
        <w:t>30–38</w:t>
      </w:r>
      <w:r w:rsidR="00F9117C">
        <w:rPr>
          <w:lang w:eastAsia="ja-JP"/>
        </w:rPr>
        <w:t xml:space="preserve">, </w:t>
      </w:r>
      <w:r w:rsidR="002A0E99">
        <w:rPr>
          <w:lang w:eastAsia="ja-JP"/>
        </w:rPr>
        <w:t>doi:</w:t>
      </w:r>
      <w:r w:rsidRPr="00F9117C" w:rsidR="00F9117C">
        <w:rPr>
          <w:lang w:eastAsia="ja-JP"/>
        </w:rPr>
        <w:t>10.1007/s00244-008-9174-x</w:t>
      </w:r>
      <w:r>
        <w:rPr>
          <w:lang w:eastAsia="ja-JP"/>
        </w:rPr>
        <w:t>.</w:t>
      </w:r>
    </w:p>
    <w:p w:rsidR="005B6FC0" w:rsidP="001B25CD" w14:paraId="15822957" w14:textId="42038DC1">
      <w:pPr>
        <w:rPr>
          <w:lang w:eastAsia="ja-JP"/>
        </w:rPr>
      </w:pPr>
      <w:r>
        <w:rPr>
          <w:lang w:eastAsia="ja-JP"/>
        </w:rPr>
        <w:t>Stuart-Smith RD, Bates AE, Lefcheck JS, Duffy JE, Baker SC, Thomson RJ,</w:t>
      </w:r>
      <w:r w:rsidRPr="00A51BCB">
        <w:rPr>
          <w:lang w:eastAsia="ja-JP"/>
        </w:rPr>
        <w:t xml:space="preserve"> Stuart-Smith</w:t>
      </w:r>
      <w:r>
        <w:rPr>
          <w:lang w:eastAsia="ja-JP"/>
        </w:rPr>
        <w:t xml:space="preserve"> JF, Hill </w:t>
      </w:r>
      <w:r w:rsidRPr="00A51BCB">
        <w:rPr>
          <w:lang w:eastAsia="ja-JP"/>
        </w:rPr>
        <w:t>NA</w:t>
      </w:r>
      <w:r>
        <w:rPr>
          <w:lang w:eastAsia="ja-JP"/>
        </w:rPr>
        <w:t>,</w:t>
      </w:r>
      <w:r w:rsidRPr="00A51BCB">
        <w:rPr>
          <w:lang w:eastAsia="ja-JP"/>
        </w:rPr>
        <w:t xml:space="preserve"> Kininmonth SJ, Airoldi L, Becerro M</w:t>
      </w:r>
      <w:r>
        <w:rPr>
          <w:lang w:eastAsia="ja-JP"/>
        </w:rPr>
        <w:t>A</w:t>
      </w:r>
      <w:r w:rsidRPr="00A51BCB">
        <w:rPr>
          <w:lang w:eastAsia="ja-JP"/>
        </w:rPr>
        <w:t>, Campbell SJ, Dawson T, Navarrete SA, Soler GA, Strain EMA, Willis TJ</w:t>
      </w:r>
      <w:r w:rsidR="00A61DAC">
        <w:rPr>
          <w:lang w:eastAsia="ja-JP"/>
        </w:rPr>
        <w:t xml:space="preserve"> and</w:t>
      </w:r>
      <w:r w:rsidRPr="00A51BCB">
        <w:rPr>
          <w:lang w:eastAsia="ja-JP"/>
        </w:rPr>
        <w:t xml:space="preserve"> Edgar GJ </w:t>
      </w:r>
      <w:r w:rsidR="00A61DAC">
        <w:rPr>
          <w:lang w:eastAsia="ja-JP"/>
        </w:rPr>
        <w:t>(</w:t>
      </w:r>
      <w:r>
        <w:rPr>
          <w:lang w:eastAsia="ja-JP"/>
        </w:rPr>
        <w:t>2013</w:t>
      </w:r>
      <w:r w:rsidR="00A61DAC">
        <w:rPr>
          <w:lang w:eastAsia="ja-JP"/>
        </w:rPr>
        <w:t>)</w:t>
      </w:r>
      <w:r>
        <w:rPr>
          <w:lang w:eastAsia="ja-JP"/>
        </w:rPr>
        <w:t xml:space="preserve"> </w:t>
      </w:r>
      <w:r w:rsidR="00A61DAC">
        <w:rPr>
          <w:lang w:eastAsia="ja-JP"/>
        </w:rPr>
        <w:t>‘</w:t>
      </w:r>
      <w:r>
        <w:fldChar w:fldCharType="begin"/>
      </w:r>
      <w:r>
        <w:instrText xml:space="preserve"> HYPERLINK "https://doi.org/10.1038/nature12529" </w:instrText>
      </w:r>
      <w:r>
        <w:fldChar w:fldCharType="separate"/>
      </w:r>
      <w:r w:rsidRPr="00F9117C">
        <w:rPr>
          <w:rStyle w:val="Hyperlink"/>
          <w:lang w:eastAsia="ja-JP"/>
        </w:rPr>
        <w:t>Integrating abundance and functional traits reveals new global hotspots of fish diversity</w:t>
      </w:r>
      <w:r>
        <w:fldChar w:fldCharType="end"/>
      </w:r>
      <w:r w:rsidR="00A61DAC">
        <w:rPr>
          <w:lang w:eastAsia="ja-JP"/>
        </w:rPr>
        <w:t>’,</w:t>
      </w:r>
      <w:r>
        <w:rPr>
          <w:lang w:eastAsia="ja-JP"/>
        </w:rPr>
        <w:t xml:space="preserve"> </w:t>
      </w:r>
      <w:r w:rsidRPr="007E6B2F">
        <w:rPr>
          <w:rStyle w:val="Emphasis"/>
        </w:rPr>
        <w:t>Nature</w:t>
      </w:r>
      <w:r>
        <w:rPr>
          <w:lang w:eastAsia="ja-JP"/>
        </w:rPr>
        <w:t>, 501</w:t>
      </w:r>
      <w:r w:rsidR="00A61DAC">
        <w:rPr>
          <w:lang w:eastAsia="ja-JP"/>
        </w:rPr>
        <w:t>:</w:t>
      </w:r>
      <w:r>
        <w:rPr>
          <w:lang w:eastAsia="ja-JP"/>
        </w:rPr>
        <w:t>539–42</w:t>
      </w:r>
      <w:r w:rsidR="00F9117C">
        <w:rPr>
          <w:lang w:eastAsia="ja-JP"/>
        </w:rPr>
        <w:t xml:space="preserve">, </w:t>
      </w:r>
      <w:r w:rsidR="002A0E99">
        <w:rPr>
          <w:lang w:eastAsia="ja-JP"/>
        </w:rPr>
        <w:t>doi:</w:t>
      </w:r>
      <w:r w:rsidRPr="00F9117C" w:rsidR="00F9117C">
        <w:rPr>
          <w:lang w:eastAsia="ja-JP"/>
        </w:rPr>
        <w:t>10.1038/nature12529</w:t>
      </w:r>
      <w:r>
        <w:rPr>
          <w:lang w:eastAsia="ja-JP"/>
        </w:rPr>
        <w:t>.</w:t>
      </w:r>
    </w:p>
    <w:p w:rsidR="005B6FC0" w:rsidRPr="009823A1" w:rsidP="00051985" w14:paraId="3D789C16" w14:textId="2CC63184">
      <w:pPr>
        <w:rPr>
          <w:lang w:eastAsia="ja-JP"/>
        </w:rPr>
      </w:pPr>
      <w:r w:rsidRPr="009823A1">
        <w:rPr>
          <w:lang w:eastAsia="ja-JP"/>
        </w:rPr>
        <w:t xml:space="preserve">Supervising Scientist </w:t>
      </w:r>
      <w:r w:rsidR="00A61DAC">
        <w:rPr>
          <w:lang w:eastAsia="ja-JP"/>
        </w:rPr>
        <w:t>(</w:t>
      </w:r>
      <w:r w:rsidRPr="009823A1">
        <w:rPr>
          <w:lang w:eastAsia="ja-JP"/>
        </w:rPr>
        <w:t>2011</w:t>
      </w:r>
      <w:r w:rsidR="00A61DAC">
        <w:rPr>
          <w:lang w:eastAsia="ja-JP"/>
        </w:rPr>
        <w:t>)</w:t>
      </w:r>
      <w:r w:rsidRPr="009823A1">
        <w:rPr>
          <w:lang w:eastAsia="ja-JP"/>
        </w:rPr>
        <w:t xml:space="preserve"> </w:t>
      </w:r>
      <w:r>
        <w:fldChar w:fldCharType="begin"/>
      </w:r>
      <w:r>
        <w:instrText xml:space="preserve"> HYPERLINK "https://www.dcceew.gov.au/science-research/supervising-scientist/publications/internal-reports/environmental-monitoring-protocols-freshwater-snail" </w:instrText>
      </w:r>
      <w:r>
        <w:fldChar w:fldCharType="separate"/>
      </w:r>
      <w:r w:rsidRPr="00F9117C">
        <w:rPr>
          <w:rStyle w:val="Hyperlink"/>
          <w:i/>
          <w:iCs/>
          <w:lang w:eastAsia="ja-JP"/>
        </w:rPr>
        <w:t xml:space="preserve">Environmental monitoring protocols to assess potential impacts from Ranger minesite on aquatic ecosystems: </w:t>
      </w:r>
      <w:r w:rsidRPr="00F9117C" w:rsidR="00A61DAC">
        <w:rPr>
          <w:rStyle w:val="Hyperlink"/>
        </w:rPr>
        <w:t>i</w:t>
      </w:r>
      <w:r w:rsidRPr="00F9117C">
        <w:rPr>
          <w:rStyle w:val="Hyperlink"/>
        </w:rPr>
        <w:t>n situ</w:t>
      </w:r>
      <w:r w:rsidRPr="00F9117C">
        <w:rPr>
          <w:rStyle w:val="Hyperlink"/>
          <w:i/>
          <w:iCs/>
          <w:lang w:eastAsia="ja-JP"/>
        </w:rPr>
        <w:t xml:space="preserve"> toxicity monitoring – freshwater snail, </w:t>
      </w:r>
      <w:r w:rsidRPr="00F9117C">
        <w:rPr>
          <w:rStyle w:val="Hyperlink"/>
        </w:rPr>
        <w:t>Amerianna cumingi</w:t>
      </w:r>
      <w:r w:rsidRPr="00F9117C">
        <w:rPr>
          <w:rStyle w:val="Hyperlink"/>
          <w:i/>
          <w:iCs/>
          <w:lang w:eastAsia="ja-JP"/>
        </w:rPr>
        <w:t>, reproduction test</w:t>
      </w:r>
      <w:r>
        <w:fldChar w:fldCharType="end"/>
      </w:r>
      <w:r w:rsidR="00A61DAC">
        <w:rPr>
          <w:lang w:eastAsia="ja-JP"/>
        </w:rPr>
        <w:t>,</w:t>
      </w:r>
      <w:r w:rsidRPr="009823A1">
        <w:rPr>
          <w:lang w:eastAsia="ja-JP"/>
        </w:rPr>
        <w:t xml:space="preserve"> Internal Report 588, Supervising Scientist</w:t>
      </w:r>
      <w:r w:rsidR="00A61DAC">
        <w:rPr>
          <w:lang w:eastAsia="ja-JP"/>
        </w:rPr>
        <w:t xml:space="preserve"> Division, Australian Government</w:t>
      </w:r>
      <w:r w:rsidRPr="009823A1">
        <w:rPr>
          <w:lang w:eastAsia="ja-JP"/>
        </w:rPr>
        <w:t xml:space="preserve">. </w:t>
      </w:r>
    </w:p>
    <w:p w:rsidR="005B6FC0" w:rsidP="001B25CD" w14:paraId="5708DBA5" w14:textId="7E1980AF">
      <w:pPr>
        <w:rPr>
          <w:lang w:eastAsia="ja-JP"/>
        </w:rPr>
      </w:pPr>
      <w:r>
        <w:rPr>
          <w:lang w:eastAsia="ja-JP"/>
        </w:rPr>
        <w:t xml:space="preserve">Supervising Scientist </w:t>
      </w:r>
      <w:r w:rsidR="00A61DAC">
        <w:rPr>
          <w:lang w:eastAsia="ja-JP"/>
        </w:rPr>
        <w:t>(</w:t>
      </w:r>
      <w:r>
        <w:rPr>
          <w:lang w:eastAsia="ja-JP"/>
        </w:rPr>
        <w:t>2013</w:t>
      </w:r>
      <w:r w:rsidR="00A61DAC">
        <w:rPr>
          <w:lang w:eastAsia="ja-JP"/>
        </w:rPr>
        <w:t>)</w:t>
      </w:r>
      <w:r>
        <w:rPr>
          <w:lang w:eastAsia="ja-JP"/>
        </w:rPr>
        <w:t xml:space="preserve"> </w:t>
      </w:r>
      <w:r>
        <w:fldChar w:fldCharType="begin"/>
      </w:r>
      <w:r>
        <w:instrText xml:space="preserve"> HYPERLINK "https://www.dcceew.gov.au/science-research/supervising-scientist/publications/internal-reports/monitoring-protocols-macroinvertebrate-community-structure-streams" </w:instrText>
      </w:r>
      <w:r>
        <w:fldChar w:fldCharType="separate"/>
      </w:r>
      <w:r w:rsidRPr="00F9117C">
        <w:rPr>
          <w:rStyle w:val="Hyperlink"/>
          <w:i/>
          <w:iCs/>
          <w:lang w:eastAsia="ja-JP"/>
        </w:rPr>
        <w:t xml:space="preserve">Environmental monitoring protocols to assess potential impacts from Ranger minesite on aquatic ecosystems: </w:t>
      </w:r>
      <w:r w:rsidRPr="00F9117C" w:rsidR="00A61DAC">
        <w:rPr>
          <w:rStyle w:val="Hyperlink"/>
          <w:i/>
          <w:iCs/>
          <w:lang w:eastAsia="ja-JP"/>
        </w:rPr>
        <w:t>m</w:t>
      </w:r>
      <w:r w:rsidRPr="00F9117C">
        <w:rPr>
          <w:rStyle w:val="Hyperlink"/>
          <w:i/>
          <w:iCs/>
          <w:lang w:eastAsia="ja-JP"/>
        </w:rPr>
        <w:t>acroinvertebrate community structure in streams</w:t>
      </w:r>
      <w:r>
        <w:fldChar w:fldCharType="end"/>
      </w:r>
      <w:r w:rsidR="00A61DAC">
        <w:rPr>
          <w:lang w:eastAsia="ja-JP"/>
        </w:rPr>
        <w:t>,</w:t>
      </w:r>
      <w:r>
        <w:rPr>
          <w:lang w:eastAsia="ja-JP"/>
        </w:rPr>
        <w:t xml:space="preserve"> Internal Report 591, Supervising Scientist</w:t>
      </w:r>
      <w:r w:rsidR="00A61DAC">
        <w:rPr>
          <w:lang w:eastAsia="ja-JP"/>
        </w:rPr>
        <w:t xml:space="preserve"> Division</w:t>
      </w:r>
      <w:r>
        <w:rPr>
          <w:lang w:eastAsia="ja-JP"/>
        </w:rPr>
        <w:t xml:space="preserve">, </w:t>
      </w:r>
      <w:r w:rsidR="00A61DAC">
        <w:rPr>
          <w:lang w:eastAsia="ja-JP"/>
        </w:rPr>
        <w:t>Australian Government</w:t>
      </w:r>
      <w:r>
        <w:rPr>
          <w:lang w:eastAsia="ja-JP"/>
        </w:rPr>
        <w:t>.</w:t>
      </w:r>
    </w:p>
    <w:p w:rsidR="005B6FC0" w:rsidP="001B25CD" w14:paraId="09DF391D" w14:textId="55BAA784">
      <w:pPr>
        <w:rPr>
          <w:lang w:eastAsia="ja-JP"/>
        </w:rPr>
      </w:pPr>
      <w:r>
        <w:rPr>
          <w:lang w:eastAsia="ja-JP"/>
        </w:rPr>
        <w:t xml:space="preserve">Swanson S, Kozlowski D, Hall R, Heggem D </w:t>
      </w:r>
      <w:r w:rsidR="003C60FB">
        <w:rPr>
          <w:lang w:eastAsia="ja-JP"/>
        </w:rPr>
        <w:t>and</w:t>
      </w:r>
      <w:r>
        <w:rPr>
          <w:lang w:eastAsia="ja-JP"/>
        </w:rPr>
        <w:t xml:space="preserve"> Lin J </w:t>
      </w:r>
      <w:r w:rsidR="00A61DAC">
        <w:rPr>
          <w:lang w:eastAsia="ja-JP"/>
        </w:rPr>
        <w:t>(</w:t>
      </w:r>
      <w:r>
        <w:rPr>
          <w:lang w:eastAsia="ja-JP"/>
        </w:rPr>
        <w:t>2017</w:t>
      </w:r>
      <w:r w:rsidR="00A61DAC">
        <w:rPr>
          <w:lang w:eastAsia="ja-JP"/>
        </w:rPr>
        <w:t>)</w:t>
      </w:r>
      <w:r>
        <w:rPr>
          <w:lang w:eastAsia="ja-JP"/>
        </w:rPr>
        <w:t xml:space="preserve"> </w:t>
      </w:r>
      <w:r w:rsidR="00A61DAC">
        <w:rPr>
          <w:lang w:eastAsia="ja-JP"/>
        </w:rPr>
        <w:t>‘</w:t>
      </w:r>
      <w:r>
        <w:fldChar w:fldCharType="begin"/>
      </w:r>
      <w:r>
        <w:instrText xml:space="preserve"> HYPERLINK "https://doi.org/10.2489/jswc.72.2.168" </w:instrText>
      </w:r>
      <w:r>
        <w:fldChar w:fldCharType="separate"/>
      </w:r>
      <w:r w:rsidRPr="00F9117C">
        <w:rPr>
          <w:rStyle w:val="Hyperlink"/>
          <w:lang w:eastAsia="ja-JP"/>
        </w:rPr>
        <w:t>Riparian proper functioning condition assessment to improve watershed management for water quality</w:t>
      </w:r>
      <w:r>
        <w:fldChar w:fldCharType="end"/>
      </w:r>
      <w:r w:rsidR="00A61DAC">
        <w:rPr>
          <w:lang w:eastAsia="ja-JP"/>
        </w:rPr>
        <w:t>’,</w:t>
      </w:r>
      <w:r>
        <w:rPr>
          <w:lang w:eastAsia="ja-JP"/>
        </w:rPr>
        <w:t xml:space="preserve"> </w:t>
      </w:r>
      <w:r w:rsidRPr="007E6B2F">
        <w:rPr>
          <w:rStyle w:val="Emphasis"/>
        </w:rPr>
        <w:t xml:space="preserve">Journal </w:t>
      </w:r>
      <w:r w:rsidR="00A61DAC">
        <w:rPr>
          <w:rStyle w:val="Emphasis"/>
        </w:rPr>
        <w:t>o</w:t>
      </w:r>
      <w:r w:rsidRPr="007E6B2F">
        <w:rPr>
          <w:rStyle w:val="Emphasis"/>
        </w:rPr>
        <w:t xml:space="preserve">f Soil </w:t>
      </w:r>
      <w:r w:rsidR="002F30B2">
        <w:rPr>
          <w:rStyle w:val="Emphasis"/>
        </w:rPr>
        <w:t>a</w:t>
      </w:r>
      <w:r w:rsidRPr="007E6B2F">
        <w:rPr>
          <w:rStyle w:val="Emphasis"/>
        </w:rPr>
        <w:t>nd Water Conservation</w:t>
      </w:r>
      <w:r>
        <w:rPr>
          <w:lang w:eastAsia="ja-JP"/>
        </w:rPr>
        <w:t>, 72</w:t>
      </w:r>
      <w:r w:rsidR="00A61DAC">
        <w:rPr>
          <w:lang w:eastAsia="ja-JP"/>
        </w:rPr>
        <w:t>:</w:t>
      </w:r>
      <w:r>
        <w:rPr>
          <w:lang w:eastAsia="ja-JP"/>
        </w:rPr>
        <w:t>168–182</w:t>
      </w:r>
      <w:r w:rsidR="00F9117C">
        <w:rPr>
          <w:lang w:eastAsia="ja-JP"/>
        </w:rPr>
        <w:t xml:space="preserve">, </w:t>
      </w:r>
      <w:r w:rsidR="002A0E99">
        <w:rPr>
          <w:lang w:eastAsia="ja-JP"/>
        </w:rPr>
        <w:t>doi:</w:t>
      </w:r>
      <w:r w:rsidRPr="00F9117C" w:rsidR="00F9117C">
        <w:rPr>
          <w:lang w:eastAsia="ja-JP"/>
        </w:rPr>
        <w:t>10.2489/jswc.72.2.168</w:t>
      </w:r>
      <w:r>
        <w:rPr>
          <w:lang w:eastAsia="ja-JP"/>
        </w:rPr>
        <w:t>.</w:t>
      </w:r>
    </w:p>
    <w:p w:rsidR="005B6FC0" w:rsidP="001B25CD" w14:paraId="539EBDCA" w14:textId="5D8968BD">
      <w:pPr>
        <w:rPr>
          <w:lang w:eastAsia="ja-JP"/>
        </w:rPr>
      </w:pPr>
      <w:r>
        <w:rPr>
          <w:lang w:eastAsia="ja-JP"/>
        </w:rPr>
        <w:t xml:space="preserve">Syberg K, Jensen TS, Cedergreen N </w:t>
      </w:r>
      <w:r w:rsidR="003C60FB">
        <w:rPr>
          <w:lang w:eastAsia="ja-JP"/>
        </w:rPr>
        <w:t>and</w:t>
      </w:r>
      <w:r>
        <w:rPr>
          <w:lang w:eastAsia="ja-JP"/>
        </w:rPr>
        <w:t xml:space="preserve"> Rank J </w:t>
      </w:r>
      <w:r w:rsidR="00A61DAC">
        <w:rPr>
          <w:lang w:eastAsia="ja-JP"/>
        </w:rPr>
        <w:t>(</w:t>
      </w:r>
      <w:r>
        <w:rPr>
          <w:lang w:eastAsia="ja-JP"/>
        </w:rPr>
        <w:t>2009</w:t>
      </w:r>
      <w:r w:rsidR="00A61DAC">
        <w:rPr>
          <w:lang w:eastAsia="ja-JP"/>
        </w:rPr>
        <w:t>)</w:t>
      </w:r>
      <w:r>
        <w:rPr>
          <w:lang w:eastAsia="ja-JP"/>
        </w:rPr>
        <w:t xml:space="preserve"> </w:t>
      </w:r>
      <w:r w:rsidR="00A61DAC">
        <w:rPr>
          <w:lang w:eastAsia="ja-JP"/>
        </w:rPr>
        <w:t>‘</w:t>
      </w:r>
      <w:r>
        <w:fldChar w:fldCharType="begin"/>
      </w:r>
      <w:r>
        <w:instrText xml:space="preserve"> HYPERLINK "https://doi.org/10.1080/10807030903304922" </w:instrText>
      </w:r>
      <w:r>
        <w:fldChar w:fldCharType="separate"/>
      </w:r>
      <w:r w:rsidRPr="00E758D3">
        <w:rPr>
          <w:rStyle w:val="Hyperlink"/>
          <w:lang w:eastAsia="ja-JP"/>
        </w:rPr>
        <w:t xml:space="preserve">On the </w:t>
      </w:r>
      <w:r w:rsidRPr="00E758D3" w:rsidR="00A61DAC">
        <w:rPr>
          <w:rStyle w:val="Hyperlink"/>
          <w:lang w:eastAsia="ja-JP"/>
        </w:rPr>
        <w:t>u</w:t>
      </w:r>
      <w:r w:rsidRPr="00E758D3">
        <w:rPr>
          <w:rStyle w:val="Hyperlink"/>
          <w:lang w:eastAsia="ja-JP"/>
        </w:rPr>
        <w:t xml:space="preserve">se of </w:t>
      </w:r>
      <w:r w:rsidRPr="00E758D3" w:rsidR="00A61DAC">
        <w:rPr>
          <w:rStyle w:val="Hyperlink"/>
          <w:lang w:eastAsia="ja-JP"/>
        </w:rPr>
        <w:t>m</w:t>
      </w:r>
      <w:r w:rsidRPr="00E758D3">
        <w:rPr>
          <w:rStyle w:val="Hyperlink"/>
          <w:lang w:eastAsia="ja-JP"/>
        </w:rPr>
        <w:t xml:space="preserve">ixture </w:t>
      </w:r>
      <w:r w:rsidRPr="00E758D3" w:rsidR="00A61DAC">
        <w:rPr>
          <w:rStyle w:val="Hyperlink"/>
          <w:lang w:eastAsia="ja-JP"/>
        </w:rPr>
        <w:t>t</w:t>
      </w:r>
      <w:r w:rsidRPr="00E758D3">
        <w:rPr>
          <w:rStyle w:val="Hyperlink"/>
          <w:lang w:eastAsia="ja-JP"/>
        </w:rPr>
        <w:t xml:space="preserve">oxicity </w:t>
      </w:r>
      <w:r w:rsidRPr="00E758D3" w:rsidR="00A61DAC">
        <w:rPr>
          <w:rStyle w:val="Hyperlink"/>
          <w:lang w:eastAsia="ja-JP"/>
        </w:rPr>
        <w:t>a</w:t>
      </w:r>
      <w:r w:rsidRPr="00E758D3">
        <w:rPr>
          <w:rStyle w:val="Hyperlink"/>
          <w:lang w:eastAsia="ja-JP"/>
        </w:rPr>
        <w:t xml:space="preserve">ssessment in REACH and the </w:t>
      </w:r>
      <w:r w:rsidRPr="00E758D3" w:rsidR="00A61DAC">
        <w:rPr>
          <w:rStyle w:val="Hyperlink"/>
          <w:lang w:eastAsia="ja-JP"/>
        </w:rPr>
        <w:t>w</w:t>
      </w:r>
      <w:r w:rsidRPr="00E758D3">
        <w:rPr>
          <w:rStyle w:val="Hyperlink"/>
          <w:lang w:eastAsia="ja-JP"/>
        </w:rPr>
        <w:t xml:space="preserve">ater </w:t>
      </w:r>
      <w:r w:rsidRPr="00E758D3" w:rsidR="00A61DAC">
        <w:rPr>
          <w:rStyle w:val="Hyperlink"/>
          <w:lang w:eastAsia="ja-JP"/>
        </w:rPr>
        <w:t>f</w:t>
      </w:r>
      <w:r w:rsidRPr="00E758D3">
        <w:rPr>
          <w:rStyle w:val="Hyperlink"/>
          <w:lang w:eastAsia="ja-JP"/>
        </w:rPr>
        <w:t xml:space="preserve">ramework </w:t>
      </w:r>
      <w:r w:rsidRPr="00E758D3" w:rsidR="00A61DAC">
        <w:rPr>
          <w:rStyle w:val="Hyperlink"/>
          <w:lang w:eastAsia="ja-JP"/>
        </w:rPr>
        <w:t>d</w:t>
      </w:r>
      <w:r w:rsidRPr="00E758D3">
        <w:rPr>
          <w:rStyle w:val="Hyperlink"/>
          <w:lang w:eastAsia="ja-JP"/>
        </w:rPr>
        <w:t xml:space="preserve">irective: </w:t>
      </w:r>
      <w:r w:rsidRPr="00E758D3" w:rsidR="00A61DAC">
        <w:rPr>
          <w:rStyle w:val="Hyperlink"/>
          <w:lang w:eastAsia="ja-JP"/>
        </w:rPr>
        <w:t>a</w:t>
      </w:r>
      <w:r w:rsidRPr="00E758D3">
        <w:rPr>
          <w:rStyle w:val="Hyperlink"/>
          <w:lang w:eastAsia="ja-JP"/>
        </w:rPr>
        <w:t xml:space="preserve"> </w:t>
      </w:r>
      <w:r w:rsidRPr="00E758D3" w:rsidR="00A61DAC">
        <w:rPr>
          <w:rStyle w:val="Hyperlink"/>
          <w:lang w:eastAsia="ja-JP"/>
        </w:rPr>
        <w:t>r</w:t>
      </w:r>
      <w:r w:rsidRPr="00E758D3">
        <w:rPr>
          <w:rStyle w:val="Hyperlink"/>
          <w:lang w:eastAsia="ja-JP"/>
        </w:rPr>
        <w:t>eview</w:t>
      </w:r>
      <w:r>
        <w:fldChar w:fldCharType="end"/>
      </w:r>
      <w:r w:rsidR="00A61DAC">
        <w:rPr>
          <w:lang w:eastAsia="ja-JP"/>
        </w:rPr>
        <w:t>’,</w:t>
      </w:r>
      <w:r>
        <w:rPr>
          <w:lang w:eastAsia="ja-JP"/>
        </w:rPr>
        <w:t xml:space="preserve"> </w:t>
      </w:r>
      <w:r w:rsidRPr="0060010D">
        <w:rPr>
          <w:rStyle w:val="Emphasis"/>
        </w:rPr>
        <w:t xml:space="preserve">Human and Ecological Risk Assessment: </w:t>
      </w:r>
      <w:r w:rsidR="00A61DAC">
        <w:rPr>
          <w:rStyle w:val="Emphasis"/>
        </w:rPr>
        <w:t>a</w:t>
      </w:r>
      <w:r w:rsidRPr="0060010D">
        <w:rPr>
          <w:rStyle w:val="Emphasis"/>
        </w:rPr>
        <w:t>n International Journal</w:t>
      </w:r>
      <w:r>
        <w:rPr>
          <w:lang w:eastAsia="ja-JP"/>
        </w:rPr>
        <w:t>, 15</w:t>
      </w:r>
      <w:r w:rsidR="00A61DAC">
        <w:rPr>
          <w:lang w:eastAsia="ja-JP"/>
        </w:rPr>
        <w:t>:</w:t>
      </w:r>
      <w:r>
        <w:rPr>
          <w:lang w:eastAsia="ja-JP"/>
        </w:rPr>
        <w:t>1257–1272</w:t>
      </w:r>
      <w:r w:rsidR="00A61DAC">
        <w:rPr>
          <w:lang w:eastAsia="ja-JP"/>
        </w:rPr>
        <w:t xml:space="preserve">, </w:t>
      </w:r>
      <w:r w:rsidRPr="00A61DAC" w:rsidR="00A61DAC">
        <w:rPr>
          <w:lang w:eastAsia="ja-JP"/>
        </w:rPr>
        <w:t>doi</w:t>
      </w:r>
      <w:r w:rsidR="00A61DAC">
        <w:rPr>
          <w:lang w:eastAsia="ja-JP"/>
        </w:rPr>
        <w:t>:</w:t>
      </w:r>
      <w:r w:rsidRPr="00A61DAC" w:rsidR="00A61DAC">
        <w:rPr>
          <w:lang w:eastAsia="ja-JP"/>
        </w:rPr>
        <w:t>10.1080/10807030903304922</w:t>
      </w:r>
      <w:r>
        <w:rPr>
          <w:lang w:eastAsia="ja-JP"/>
        </w:rPr>
        <w:t>.</w:t>
      </w:r>
    </w:p>
    <w:p w:rsidR="00525C8D" w:rsidRPr="00525C8D" w:rsidP="00525C8D" w14:paraId="21854745" w14:textId="0EB4E036">
      <w:pPr>
        <w:rPr>
          <w:lang w:eastAsia="ja-JP"/>
        </w:rPr>
      </w:pPr>
      <w:r>
        <w:rPr>
          <w:lang w:eastAsia="ja-JP"/>
        </w:rPr>
        <w:t>t</w:t>
      </w:r>
      <w:r w:rsidRPr="00525C8D">
        <w:rPr>
          <w:lang w:eastAsia="ja-JP"/>
        </w:rPr>
        <w:t xml:space="preserve">er Braak CJF </w:t>
      </w:r>
      <w:r w:rsidR="00650643">
        <w:rPr>
          <w:lang w:eastAsia="ja-JP"/>
        </w:rPr>
        <w:t>(</w:t>
      </w:r>
      <w:r w:rsidRPr="00525C8D">
        <w:rPr>
          <w:lang w:eastAsia="ja-JP"/>
        </w:rPr>
        <w:t>2019</w:t>
      </w:r>
      <w:r w:rsidR="00650643">
        <w:rPr>
          <w:lang w:eastAsia="ja-JP"/>
        </w:rPr>
        <w:t>)</w:t>
      </w:r>
      <w:r w:rsidRPr="00525C8D">
        <w:rPr>
          <w:lang w:eastAsia="ja-JP"/>
        </w:rPr>
        <w:t xml:space="preserve"> </w:t>
      </w:r>
      <w:r w:rsidR="00650643">
        <w:rPr>
          <w:lang w:eastAsia="ja-JP"/>
        </w:rPr>
        <w:t>‘</w:t>
      </w:r>
      <w:r>
        <w:fldChar w:fldCharType="begin"/>
      </w:r>
      <w:r>
        <w:instrText xml:space="preserve"> HYPERLINK "https://doi.org/10.1111/2041-210X.13278" </w:instrText>
      </w:r>
      <w:r>
        <w:fldChar w:fldCharType="separate"/>
      </w:r>
      <w:r w:rsidRPr="00E758D3">
        <w:rPr>
          <w:rStyle w:val="Hyperlink"/>
          <w:lang w:eastAsia="ja-JP"/>
        </w:rPr>
        <w:t>New robust weighted averaging- and model-based methods for assessing trait–environment relationships</w:t>
      </w:r>
      <w:r>
        <w:fldChar w:fldCharType="end"/>
      </w:r>
      <w:r w:rsidR="00650643">
        <w:rPr>
          <w:lang w:eastAsia="ja-JP"/>
        </w:rPr>
        <w:t>’,</w:t>
      </w:r>
      <w:r w:rsidRPr="00525C8D">
        <w:rPr>
          <w:lang w:eastAsia="ja-JP"/>
        </w:rPr>
        <w:t xml:space="preserve"> </w:t>
      </w:r>
      <w:r w:rsidRPr="00525C8D">
        <w:rPr>
          <w:i/>
          <w:iCs/>
          <w:lang w:eastAsia="ja-JP"/>
        </w:rPr>
        <w:t>Methods in Evolution and Ecology</w:t>
      </w:r>
      <w:r>
        <w:rPr>
          <w:lang w:eastAsia="ja-JP"/>
        </w:rPr>
        <w:t xml:space="preserve">, </w:t>
      </w:r>
      <w:r w:rsidRPr="00525C8D">
        <w:rPr>
          <w:lang w:eastAsia="ja-JP"/>
        </w:rPr>
        <w:t>10</w:t>
      </w:r>
      <w:r w:rsidR="00650643">
        <w:rPr>
          <w:lang w:eastAsia="ja-JP"/>
        </w:rPr>
        <w:t>:</w:t>
      </w:r>
      <w:r w:rsidRPr="00525C8D">
        <w:rPr>
          <w:lang w:eastAsia="ja-JP"/>
        </w:rPr>
        <w:t>1962–1971</w:t>
      </w:r>
      <w:r w:rsidR="00E758D3">
        <w:rPr>
          <w:lang w:eastAsia="ja-JP"/>
        </w:rPr>
        <w:t xml:space="preserve">, </w:t>
      </w:r>
      <w:r w:rsidR="002A0E99">
        <w:rPr>
          <w:lang w:eastAsia="ja-JP"/>
        </w:rPr>
        <w:t>doi:</w:t>
      </w:r>
      <w:r w:rsidRPr="00E758D3" w:rsidR="00E758D3">
        <w:rPr>
          <w:lang w:eastAsia="ja-JP"/>
        </w:rPr>
        <w:t>10.1111/2041-210X.13278</w:t>
      </w:r>
      <w:r w:rsidRPr="00525C8D">
        <w:rPr>
          <w:lang w:eastAsia="ja-JP"/>
        </w:rPr>
        <w:t xml:space="preserve">. </w:t>
      </w:r>
    </w:p>
    <w:p w:rsidR="005B6FC0" w:rsidP="001B25CD" w14:paraId="0BE3C754" w14:textId="564EC016">
      <w:pPr>
        <w:rPr>
          <w:lang w:eastAsia="ja-JP"/>
        </w:rPr>
      </w:pPr>
      <w:r>
        <w:rPr>
          <w:lang w:eastAsia="ja-JP"/>
        </w:rPr>
        <w:t xml:space="preserve">Toll JE, Tear LM, DeForest DK, Brix KV </w:t>
      </w:r>
      <w:r w:rsidR="003C60FB">
        <w:rPr>
          <w:lang w:eastAsia="ja-JP"/>
        </w:rPr>
        <w:t>and</w:t>
      </w:r>
      <w:r>
        <w:rPr>
          <w:lang w:eastAsia="ja-JP"/>
        </w:rPr>
        <w:t xml:space="preserve"> Adams WJ </w:t>
      </w:r>
      <w:r w:rsidR="00650643">
        <w:rPr>
          <w:lang w:eastAsia="ja-JP"/>
        </w:rPr>
        <w:t>(</w:t>
      </w:r>
      <w:r>
        <w:rPr>
          <w:lang w:eastAsia="ja-JP"/>
        </w:rPr>
        <w:t>2005</w:t>
      </w:r>
      <w:r w:rsidR="00650643">
        <w:rPr>
          <w:lang w:eastAsia="ja-JP"/>
        </w:rPr>
        <w:t>)</w:t>
      </w:r>
      <w:r>
        <w:rPr>
          <w:lang w:eastAsia="ja-JP"/>
        </w:rPr>
        <w:t xml:space="preserve"> </w:t>
      </w:r>
      <w:r w:rsidR="00650643">
        <w:rPr>
          <w:lang w:eastAsia="ja-JP"/>
        </w:rPr>
        <w:t>‘</w:t>
      </w:r>
      <w:r>
        <w:fldChar w:fldCharType="begin"/>
      </w:r>
      <w:r>
        <w:instrText xml:space="preserve"> HYPERLINK "https://doi.org/10.1897/03-472.1" </w:instrText>
      </w:r>
      <w:r>
        <w:fldChar w:fldCharType="separate"/>
      </w:r>
      <w:r w:rsidRPr="0019749D">
        <w:rPr>
          <w:rStyle w:val="Hyperlink"/>
          <w:lang w:eastAsia="ja-JP"/>
        </w:rPr>
        <w:t>Setting site-specific water-quality standards by using tissue residue criteria and bioaccumulation data. Part 1. Methodology</w:t>
      </w:r>
      <w:r>
        <w:fldChar w:fldCharType="end"/>
      </w:r>
      <w:r w:rsidR="00650643">
        <w:rPr>
          <w:lang w:eastAsia="ja-JP"/>
        </w:rPr>
        <w:t>’,</w:t>
      </w:r>
      <w:r>
        <w:rPr>
          <w:lang w:eastAsia="ja-JP"/>
        </w:rPr>
        <w:t xml:space="preserve"> </w:t>
      </w:r>
      <w:r w:rsidRPr="0060010D">
        <w:rPr>
          <w:rStyle w:val="Emphasis"/>
        </w:rPr>
        <w:t>Environmental Toxicology and Chemistry</w:t>
      </w:r>
      <w:r>
        <w:rPr>
          <w:lang w:eastAsia="ja-JP"/>
        </w:rPr>
        <w:t>, 24</w:t>
      </w:r>
      <w:r w:rsidR="00650643">
        <w:rPr>
          <w:lang w:eastAsia="ja-JP"/>
        </w:rPr>
        <w:t>:</w:t>
      </w:r>
      <w:r>
        <w:rPr>
          <w:lang w:eastAsia="ja-JP"/>
        </w:rPr>
        <w:t>224–230</w:t>
      </w:r>
      <w:r w:rsidR="0019749D">
        <w:rPr>
          <w:lang w:eastAsia="ja-JP"/>
        </w:rPr>
        <w:t xml:space="preserve">, </w:t>
      </w:r>
      <w:r w:rsidR="002A0E99">
        <w:rPr>
          <w:lang w:eastAsia="ja-JP"/>
        </w:rPr>
        <w:t>doi:</w:t>
      </w:r>
      <w:r w:rsidRPr="0019749D" w:rsidR="0019749D">
        <w:rPr>
          <w:lang w:eastAsia="ja-JP"/>
        </w:rPr>
        <w:t>10.1897/03-472.1</w:t>
      </w:r>
      <w:r>
        <w:rPr>
          <w:lang w:eastAsia="ja-JP"/>
        </w:rPr>
        <w:t>.</w:t>
      </w:r>
    </w:p>
    <w:p w:rsidR="005B6FC0" w:rsidP="001B25CD" w14:paraId="3C6285EE" w14:textId="161BE390">
      <w:pPr>
        <w:rPr>
          <w:lang w:eastAsia="ja-JP"/>
        </w:rPr>
      </w:pPr>
      <w:r w:rsidRPr="006A3315">
        <w:rPr>
          <w:lang w:eastAsia="ja-JP"/>
        </w:rPr>
        <w:t xml:space="preserve">Trenfield MA, Pease CJ, Walker SL, Mooney T, Tybell L, Humphrey C, van Dam RA </w:t>
      </w:r>
      <w:r w:rsidR="003C60FB">
        <w:rPr>
          <w:lang w:eastAsia="ja-JP"/>
        </w:rPr>
        <w:t>and</w:t>
      </w:r>
      <w:r w:rsidRPr="006A3315">
        <w:rPr>
          <w:lang w:eastAsia="ja-JP"/>
        </w:rPr>
        <w:t xml:space="preserve"> Harford AJ </w:t>
      </w:r>
      <w:r w:rsidR="00650643">
        <w:rPr>
          <w:lang w:eastAsia="ja-JP"/>
        </w:rPr>
        <w:t>(</w:t>
      </w:r>
      <w:r w:rsidRPr="006A3315">
        <w:rPr>
          <w:lang w:eastAsia="ja-JP"/>
        </w:rPr>
        <w:t>2020</w:t>
      </w:r>
      <w:r w:rsidR="00650643">
        <w:rPr>
          <w:lang w:eastAsia="ja-JP"/>
        </w:rPr>
        <w:t>)</w:t>
      </w:r>
      <w:r w:rsidRPr="006A3315">
        <w:rPr>
          <w:lang w:eastAsia="ja-JP"/>
        </w:rPr>
        <w:t xml:space="preserve"> </w:t>
      </w:r>
      <w:r w:rsidR="00650643">
        <w:rPr>
          <w:lang w:eastAsia="ja-JP"/>
        </w:rPr>
        <w:t>‘</w:t>
      </w:r>
      <w:r w:rsidRPr="006A3315">
        <w:rPr>
          <w:lang w:eastAsia="ja-JP"/>
        </w:rPr>
        <w:t>Standardised chronic toxicity test protocols and culturing methods for a suite of tropical freshwater species</w:t>
      </w:r>
      <w:r w:rsidR="00650643">
        <w:rPr>
          <w:lang w:eastAsia="ja-JP"/>
        </w:rPr>
        <w:t>’,</w:t>
      </w:r>
      <w:r w:rsidRPr="006A3315">
        <w:rPr>
          <w:lang w:eastAsia="ja-JP"/>
        </w:rPr>
        <w:t xml:space="preserve"> </w:t>
      </w:r>
      <w:r w:rsidRPr="00A51BCB">
        <w:rPr>
          <w:rStyle w:val="Emphasis"/>
        </w:rPr>
        <w:t>Australasian Bulletin of Ecotoxicology and Environmental Chemistry</w:t>
      </w:r>
      <w:r>
        <w:rPr>
          <w:iCs/>
          <w:lang w:eastAsia="ja-JP"/>
        </w:rPr>
        <w:t>,</w:t>
      </w:r>
      <w:r w:rsidRPr="006A3315">
        <w:rPr>
          <w:lang w:eastAsia="ja-JP"/>
        </w:rPr>
        <w:t xml:space="preserve"> 6</w:t>
      </w:r>
      <w:r w:rsidR="00650643">
        <w:rPr>
          <w:lang w:eastAsia="ja-JP"/>
        </w:rPr>
        <w:t>:</w:t>
      </w:r>
      <w:r w:rsidRPr="006A3315">
        <w:rPr>
          <w:lang w:eastAsia="ja-JP"/>
        </w:rPr>
        <w:t>1</w:t>
      </w:r>
      <w:r>
        <w:rPr>
          <w:lang w:eastAsia="ja-JP"/>
        </w:rPr>
        <w:t>–</w:t>
      </w:r>
      <w:r w:rsidRPr="006A3315">
        <w:rPr>
          <w:lang w:eastAsia="ja-JP"/>
        </w:rPr>
        <w:t>80.</w:t>
      </w:r>
    </w:p>
    <w:p w:rsidR="005B6FC0" w:rsidP="001B25CD" w14:paraId="2AB8DFF1" w14:textId="564E232F">
      <w:pPr>
        <w:rPr>
          <w:lang w:eastAsia="ja-JP"/>
        </w:rPr>
      </w:pPr>
      <w:r>
        <w:rPr>
          <w:lang w:eastAsia="ja-JP"/>
        </w:rPr>
        <w:t xml:space="preserve">Tullos DD, Penrose DL, Jennings GD </w:t>
      </w:r>
      <w:r w:rsidR="003C60FB">
        <w:rPr>
          <w:lang w:eastAsia="ja-JP"/>
        </w:rPr>
        <w:t>and</w:t>
      </w:r>
      <w:r>
        <w:rPr>
          <w:lang w:eastAsia="ja-JP"/>
        </w:rPr>
        <w:t xml:space="preserve"> Cope WG </w:t>
      </w:r>
      <w:r w:rsidR="00650643">
        <w:rPr>
          <w:lang w:eastAsia="ja-JP"/>
        </w:rPr>
        <w:t>(</w:t>
      </w:r>
      <w:r>
        <w:rPr>
          <w:lang w:eastAsia="ja-JP"/>
        </w:rPr>
        <w:t>2009</w:t>
      </w:r>
      <w:r w:rsidR="00650643">
        <w:rPr>
          <w:lang w:eastAsia="ja-JP"/>
        </w:rPr>
        <w:t>)</w:t>
      </w:r>
      <w:r>
        <w:rPr>
          <w:lang w:eastAsia="ja-JP"/>
        </w:rPr>
        <w:t xml:space="preserve"> </w:t>
      </w:r>
      <w:r w:rsidR="00650643">
        <w:rPr>
          <w:lang w:eastAsia="ja-JP"/>
        </w:rPr>
        <w:t>‘</w:t>
      </w:r>
      <w:r>
        <w:fldChar w:fldCharType="begin"/>
      </w:r>
      <w:r>
        <w:instrText xml:space="preserve"> HYPERLINK "https://doi.org/10.1899/07-122.1" </w:instrText>
      </w:r>
      <w:r>
        <w:fldChar w:fldCharType="separate"/>
      </w:r>
      <w:r w:rsidRPr="00AE2198">
        <w:rPr>
          <w:rStyle w:val="Hyperlink"/>
          <w:lang w:eastAsia="ja-JP"/>
        </w:rPr>
        <w:t xml:space="preserve">Analysis of functional traits in reconfigured channels: </w:t>
      </w:r>
      <w:r w:rsidRPr="00AE2198" w:rsidR="00650643">
        <w:rPr>
          <w:rStyle w:val="Hyperlink"/>
          <w:lang w:eastAsia="ja-JP"/>
        </w:rPr>
        <w:t>i</w:t>
      </w:r>
      <w:r w:rsidRPr="00AE2198">
        <w:rPr>
          <w:rStyle w:val="Hyperlink"/>
          <w:lang w:eastAsia="ja-JP"/>
        </w:rPr>
        <w:t>mplications for the bioassessment and disturbance of river restoration</w:t>
      </w:r>
      <w:r>
        <w:fldChar w:fldCharType="end"/>
      </w:r>
      <w:r w:rsidR="00AE2198">
        <w:rPr>
          <w:lang w:eastAsia="ja-JP"/>
        </w:rPr>
        <w:t>’</w:t>
      </w:r>
      <w:r w:rsidR="00650643">
        <w:rPr>
          <w:lang w:eastAsia="ja-JP"/>
        </w:rPr>
        <w:t>,</w:t>
      </w:r>
      <w:r>
        <w:rPr>
          <w:lang w:eastAsia="ja-JP"/>
        </w:rPr>
        <w:t xml:space="preserve"> </w:t>
      </w:r>
      <w:r w:rsidRPr="0060010D">
        <w:rPr>
          <w:rStyle w:val="Emphasis"/>
        </w:rPr>
        <w:t>Journal of the North American Benthological Society</w:t>
      </w:r>
      <w:r>
        <w:rPr>
          <w:lang w:eastAsia="ja-JP"/>
        </w:rPr>
        <w:t>, 28</w:t>
      </w:r>
      <w:r w:rsidR="00650643">
        <w:rPr>
          <w:lang w:eastAsia="ja-JP"/>
        </w:rPr>
        <w:t>:</w:t>
      </w:r>
      <w:r>
        <w:rPr>
          <w:lang w:eastAsia="ja-JP"/>
        </w:rPr>
        <w:t>80–92</w:t>
      </w:r>
      <w:r w:rsidR="00AE2198">
        <w:rPr>
          <w:lang w:eastAsia="ja-JP"/>
        </w:rPr>
        <w:t xml:space="preserve">, </w:t>
      </w:r>
      <w:r w:rsidR="002A0E99">
        <w:rPr>
          <w:lang w:eastAsia="ja-JP"/>
        </w:rPr>
        <w:t>doi:</w:t>
      </w:r>
      <w:r w:rsidRPr="00AE2198" w:rsidR="00AE2198">
        <w:rPr>
          <w:lang w:eastAsia="ja-JP"/>
        </w:rPr>
        <w:t>10.1899/07-122.1</w:t>
      </w:r>
      <w:r>
        <w:rPr>
          <w:lang w:eastAsia="ja-JP"/>
        </w:rPr>
        <w:t>.</w:t>
      </w:r>
    </w:p>
    <w:p w:rsidR="005B6FC0" w:rsidRPr="0044239B" w:rsidP="0044239B" w14:paraId="1173EA49" w14:textId="4FE14FDE">
      <w:pPr>
        <w:rPr>
          <w:lang w:val="en-GB" w:eastAsia="ja-JP"/>
        </w:rPr>
      </w:pPr>
      <w:r w:rsidRPr="0044239B">
        <w:rPr>
          <w:lang w:val="en-GB" w:eastAsia="ja-JP"/>
        </w:rPr>
        <w:t>US</w:t>
      </w:r>
      <w:r w:rsidR="00013C69">
        <w:rPr>
          <w:lang w:val="en-GB" w:eastAsia="ja-JP"/>
        </w:rPr>
        <w:t xml:space="preserve"> </w:t>
      </w:r>
      <w:r w:rsidRPr="0044239B">
        <w:rPr>
          <w:lang w:val="en-GB" w:eastAsia="ja-JP"/>
        </w:rPr>
        <w:t>EPA</w:t>
      </w:r>
      <w:r w:rsidR="00013C69">
        <w:rPr>
          <w:lang w:val="en-GB" w:eastAsia="ja-JP"/>
        </w:rPr>
        <w:t xml:space="preserve"> (United States Environmental Protection Agency)</w:t>
      </w:r>
      <w:r w:rsidRPr="0044239B">
        <w:rPr>
          <w:lang w:val="en-GB" w:eastAsia="ja-JP"/>
        </w:rPr>
        <w:t xml:space="preserve"> </w:t>
      </w:r>
      <w:r w:rsidR="00650643">
        <w:rPr>
          <w:lang w:val="en-GB" w:eastAsia="ja-JP"/>
        </w:rPr>
        <w:t>(</w:t>
      </w:r>
      <w:r w:rsidRPr="0044239B">
        <w:rPr>
          <w:lang w:val="en-GB" w:eastAsia="ja-JP"/>
        </w:rPr>
        <w:t>2002a</w:t>
      </w:r>
      <w:r w:rsidR="00650643">
        <w:rPr>
          <w:lang w:val="en-GB" w:eastAsia="ja-JP"/>
        </w:rPr>
        <w:t>)</w:t>
      </w:r>
      <w:r w:rsidRPr="0044239B">
        <w:rPr>
          <w:lang w:val="en-GB" w:eastAsia="ja-JP"/>
        </w:rPr>
        <w:t xml:space="preserve"> </w:t>
      </w:r>
      <w:r>
        <w:fldChar w:fldCharType="begin"/>
      </w:r>
      <w:r>
        <w:instrText xml:space="preserve"> HYPERLINK "https://www.epa.gov/cwa-methods/acute-toxicity-wet-methods" </w:instrText>
      </w:r>
      <w:r>
        <w:fldChar w:fldCharType="separate"/>
      </w:r>
      <w:r w:rsidRPr="00AE2198">
        <w:rPr>
          <w:rStyle w:val="Hyperlink"/>
          <w:i/>
          <w:iCs/>
          <w:lang w:val="en-GB" w:eastAsia="ja-JP"/>
        </w:rPr>
        <w:t>Methods for measuring the acute toxicity of effluents and receiving waters to freshwater and marine organisms</w:t>
      </w:r>
      <w:r>
        <w:fldChar w:fldCharType="end"/>
      </w:r>
      <w:r w:rsidR="00650643">
        <w:rPr>
          <w:lang w:val="en-GB" w:eastAsia="ja-JP"/>
        </w:rPr>
        <w:t>,</w:t>
      </w:r>
      <w:r w:rsidRPr="0044239B">
        <w:rPr>
          <w:lang w:val="en-GB" w:eastAsia="ja-JP"/>
        </w:rPr>
        <w:t xml:space="preserve"> </w:t>
      </w:r>
      <w:r>
        <w:rPr>
          <w:lang w:val="en-GB" w:eastAsia="ja-JP"/>
        </w:rPr>
        <w:t>5</w:t>
      </w:r>
      <w:r w:rsidRPr="00650643">
        <w:rPr>
          <w:lang w:val="en-GB" w:eastAsia="ja-JP"/>
        </w:rPr>
        <w:t>th</w:t>
      </w:r>
      <w:r>
        <w:rPr>
          <w:lang w:val="en-GB" w:eastAsia="ja-JP"/>
        </w:rPr>
        <w:t xml:space="preserve"> </w:t>
      </w:r>
      <w:r w:rsidR="00650643">
        <w:rPr>
          <w:lang w:val="en-GB" w:eastAsia="ja-JP"/>
        </w:rPr>
        <w:t>e</w:t>
      </w:r>
      <w:r w:rsidRPr="0044239B">
        <w:rPr>
          <w:lang w:val="en-GB" w:eastAsia="ja-JP"/>
        </w:rPr>
        <w:t>dn</w:t>
      </w:r>
      <w:r w:rsidR="00650643">
        <w:rPr>
          <w:lang w:val="en-GB" w:eastAsia="ja-JP"/>
        </w:rPr>
        <w:t>,</w:t>
      </w:r>
      <w:r w:rsidRPr="0044239B">
        <w:rPr>
          <w:lang w:val="en-GB" w:eastAsia="ja-JP"/>
        </w:rPr>
        <w:t xml:space="preserve"> </w:t>
      </w:r>
      <w:r w:rsidRPr="0044239B" w:rsidR="00650643">
        <w:rPr>
          <w:lang w:val="en-GB" w:eastAsia="ja-JP"/>
        </w:rPr>
        <w:t>EPA-821-R-02-012</w:t>
      </w:r>
      <w:r w:rsidR="00650643">
        <w:rPr>
          <w:lang w:val="en-GB" w:eastAsia="ja-JP"/>
        </w:rPr>
        <w:t xml:space="preserve">, </w:t>
      </w:r>
      <w:r w:rsidRPr="0044239B">
        <w:rPr>
          <w:lang w:val="en-GB" w:eastAsia="ja-JP"/>
        </w:rPr>
        <w:t xml:space="preserve">Office of Water, </w:t>
      </w:r>
      <w:r w:rsidR="00013C69">
        <w:rPr>
          <w:lang w:val="en-GB" w:eastAsia="ja-JP"/>
        </w:rPr>
        <w:t>US EPA</w:t>
      </w:r>
      <w:r w:rsidRPr="0044239B">
        <w:rPr>
          <w:lang w:val="en-GB" w:eastAsia="ja-JP"/>
        </w:rPr>
        <w:t xml:space="preserve">, </w:t>
      </w:r>
      <w:r w:rsidR="00650643">
        <w:rPr>
          <w:lang w:val="en-GB" w:eastAsia="ja-JP"/>
        </w:rPr>
        <w:t>United States Government</w:t>
      </w:r>
      <w:r w:rsidR="00013C69">
        <w:rPr>
          <w:lang w:val="en-GB" w:eastAsia="ja-JP"/>
        </w:rPr>
        <w:t>, Washington, DC.</w:t>
      </w:r>
    </w:p>
    <w:p w:rsidR="005B6FC0" w:rsidRPr="0044239B" w:rsidP="0044239B" w14:paraId="26EF9BCF" w14:textId="2F3943EF">
      <w:pPr>
        <w:rPr>
          <w:lang w:val="en-GB" w:eastAsia="ja-JP"/>
        </w:rPr>
      </w:pPr>
      <w:r w:rsidRPr="0044239B">
        <w:rPr>
          <w:lang w:val="en-GB" w:eastAsia="ja-JP"/>
        </w:rPr>
        <w:t>US</w:t>
      </w:r>
      <w:r w:rsidR="004A410D">
        <w:rPr>
          <w:lang w:val="en-GB" w:eastAsia="ja-JP"/>
        </w:rPr>
        <w:t xml:space="preserve"> </w:t>
      </w:r>
      <w:r w:rsidRPr="0044239B">
        <w:rPr>
          <w:lang w:val="en-GB" w:eastAsia="ja-JP"/>
        </w:rPr>
        <w:t xml:space="preserve">EPA </w:t>
      </w:r>
      <w:r w:rsidR="004A410D">
        <w:rPr>
          <w:lang w:val="en-GB" w:eastAsia="ja-JP"/>
        </w:rPr>
        <w:t>(United States Environmental Protection Agency)</w:t>
      </w:r>
      <w:r w:rsidRPr="0044239B" w:rsidR="004A410D">
        <w:rPr>
          <w:lang w:val="en-GB" w:eastAsia="ja-JP"/>
        </w:rPr>
        <w:t xml:space="preserve"> </w:t>
      </w:r>
      <w:r w:rsidR="004A410D">
        <w:rPr>
          <w:lang w:val="en-GB" w:eastAsia="ja-JP"/>
        </w:rPr>
        <w:t>(</w:t>
      </w:r>
      <w:r w:rsidRPr="0044239B">
        <w:rPr>
          <w:lang w:val="en-GB" w:eastAsia="ja-JP"/>
        </w:rPr>
        <w:t>2002b</w:t>
      </w:r>
      <w:r w:rsidR="004A410D">
        <w:rPr>
          <w:lang w:val="en-GB" w:eastAsia="ja-JP"/>
        </w:rPr>
        <w:t>)</w:t>
      </w:r>
      <w:r w:rsidRPr="0044239B">
        <w:rPr>
          <w:lang w:val="en-GB" w:eastAsia="ja-JP"/>
        </w:rPr>
        <w:t xml:space="preserve"> </w:t>
      </w:r>
      <w:r w:rsidRPr="004A410D">
        <w:rPr>
          <w:i/>
          <w:iCs/>
          <w:lang w:val="en-GB" w:eastAsia="ja-JP"/>
        </w:rPr>
        <w:t>Short-term methods for estimating the chronic toxicity of effluents and receiving waters to freshwater organisms</w:t>
      </w:r>
      <w:r w:rsidR="004A410D">
        <w:rPr>
          <w:lang w:val="en-GB" w:eastAsia="ja-JP"/>
        </w:rPr>
        <w:t>,</w:t>
      </w:r>
      <w:r w:rsidRPr="0044239B">
        <w:rPr>
          <w:lang w:val="en-GB" w:eastAsia="ja-JP"/>
        </w:rPr>
        <w:t xml:space="preserve"> </w:t>
      </w:r>
      <w:r>
        <w:rPr>
          <w:lang w:val="en-GB" w:eastAsia="ja-JP"/>
        </w:rPr>
        <w:t>4</w:t>
      </w:r>
      <w:r w:rsidRPr="004A410D">
        <w:rPr>
          <w:lang w:val="en-GB" w:eastAsia="ja-JP"/>
        </w:rPr>
        <w:t>th</w:t>
      </w:r>
      <w:r>
        <w:rPr>
          <w:lang w:val="en-GB" w:eastAsia="ja-JP"/>
        </w:rPr>
        <w:t xml:space="preserve"> </w:t>
      </w:r>
      <w:r w:rsidR="004A410D">
        <w:rPr>
          <w:lang w:val="en-GB" w:eastAsia="ja-JP"/>
        </w:rPr>
        <w:t>e</w:t>
      </w:r>
      <w:r w:rsidRPr="0044239B">
        <w:rPr>
          <w:lang w:val="en-GB" w:eastAsia="ja-JP"/>
        </w:rPr>
        <w:t>dn</w:t>
      </w:r>
      <w:r w:rsidR="004A410D">
        <w:rPr>
          <w:lang w:val="en-GB" w:eastAsia="ja-JP"/>
        </w:rPr>
        <w:t>,</w:t>
      </w:r>
      <w:r w:rsidRPr="0044239B">
        <w:rPr>
          <w:lang w:val="en-GB" w:eastAsia="ja-JP"/>
        </w:rPr>
        <w:t xml:space="preserve"> </w:t>
      </w:r>
      <w:r w:rsidRPr="0044239B" w:rsidR="004A410D">
        <w:rPr>
          <w:lang w:val="en-GB" w:eastAsia="ja-JP"/>
        </w:rPr>
        <w:t>EPA-821-R-02-013</w:t>
      </w:r>
      <w:r w:rsidR="004A410D">
        <w:rPr>
          <w:lang w:val="en-GB" w:eastAsia="ja-JP"/>
        </w:rPr>
        <w:t xml:space="preserve">, </w:t>
      </w:r>
      <w:r w:rsidRPr="0044239B">
        <w:rPr>
          <w:lang w:val="en-GB" w:eastAsia="ja-JP"/>
        </w:rPr>
        <w:t xml:space="preserve">Office of Water, US </w:t>
      </w:r>
      <w:r w:rsidR="004A410D">
        <w:rPr>
          <w:lang w:val="en-GB" w:eastAsia="ja-JP"/>
        </w:rPr>
        <w:t>EPA</w:t>
      </w:r>
      <w:r w:rsidRPr="0044239B">
        <w:rPr>
          <w:lang w:val="en-GB" w:eastAsia="ja-JP"/>
        </w:rPr>
        <w:t>,</w:t>
      </w:r>
      <w:r w:rsidR="004A410D">
        <w:rPr>
          <w:lang w:val="en-GB" w:eastAsia="ja-JP"/>
        </w:rPr>
        <w:t xml:space="preserve"> United States Government,</w:t>
      </w:r>
      <w:r w:rsidRPr="0044239B">
        <w:rPr>
          <w:lang w:val="en-GB" w:eastAsia="ja-JP"/>
        </w:rPr>
        <w:t xml:space="preserve"> Washington, DC.</w:t>
      </w:r>
    </w:p>
    <w:p w:rsidR="005B6FC0" w:rsidRPr="0044239B" w:rsidP="0044239B" w14:paraId="51390AE5" w14:textId="2FE24893">
      <w:pPr>
        <w:rPr>
          <w:lang w:val="en-GB" w:eastAsia="ja-JP"/>
        </w:rPr>
      </w:pPr>
      <w:r w:rsidRPr="0044239B">
        <w:rPr>
          <w:lang w:val="en-GB" w:eastAsia="ja-JP"/>
        </w:rPr>
        <w:t>US</w:t>
      </w:r>
      <w:r w:rsidR="004A410D">
        <w:rPr>
          <w:lang w:val="en-GB" w:eastAsia="ja-JP"/>
        </w:rPr>
        <w:t xml:space="preserve"> </w:t>
      </w:r>
      <w:r w:rsidRPr="0044239B">
        <w:rPr>
          <w:lang w:val="en-GB" w:eastAsia="ja-JP"/>
        </w:rPr>
        <w:t>EPA</w:t>
      </w:r>
      <w:r w:rsidR="004A410D">
        <w:rPr>
          <w:lang w:val="en-GB" w:eastAsia="ja-JP"/>
        </w:rPr>
        <w:t xml:space="preserve"> (United States Environmental Protection Agency)</w:t>
      </w:r>
      <w:r w:rsidRPr="0044239B">
        <w:rPr>
          <w:lang w:val="en-GB" w:eastAsia="ja-JP"/>
        </w:rPr>
        <w:t xml:space="preserve"> </w:t>
      </w:r>
      <w:r w:rsidR="004A410D">
        <w:rPr>
          <w:lang w:val="en-GB" w:eastAsia="ja-JP"/>
        </w:rPr>
        <w:t>(</w:t>
      </w:r>
      <w:r w:rsidRPr="0044239B">
        <w:rPr>
          <w:lang w:val="en-GB" w:eastAsia="ja-JP"/>
        </w:rPr>
        <w:t>2002c</w:t>
      </w:r>
      <w:r w:rsidR="00506564">
        <w:rPr>
          <w:lang w:val="en-GB" w:eastAsia="ja-JP"/>
        </w:rPr>
        <w:t>)</w:t>
      </w:r>
      <w:r w:rsidRPr="0044239B">
        <w:rPr>
          <w:lang w:val="en-GB" w:eastAsia="ja-JP"/>
        </w:rPr>
        <w:t xml:space="preserve"> </w:t>
      </w:r>
      <w:r w:rsidRPr="004A410D">
        <w:rPr>
          <w:i/>
          <w:iCs/>
          <w:lang w:val="en-GB" w:eastAsia="ja-JP"/>
        </w:rPr>
        <w:t>Short-term methods for estimating the chronic toxicity of effluents and receiving waters to marine and estuarine organisms</w:t>
      </w:r>
      <w:r w:rsidR="004A410D">
        <w:rPr>
          <w:lang w:val="en-GB" w:eastAsia="ja-JP"/>
        </w:rPr>
        <w:t>,</w:t>
      </w:r>
      <w:r w:rsidRPr="0044239B">
        <w:rPr>
          <w:lang w:val="en-GB" w:eastAsia="ja-JP"/>
        </w:rPr>
        <w:t xml:space="preserve"> </w:t>
      </w:r>
      <w:r>
        <w:rPr>
          <w:lang w:val="en-GB" w:eastAsia="ja-JP"/>
        </w:rPr>
        <w:t>4</w:t>
      </w:r>
      <w:r w:rsidRPr="004A410D">
        <w:rPr>
          <w:lang w:val="en-GB" w:eastAsia="ja-JP"/>
        </w:rPr>
        <w:t>th</w:t>
      </w:r>
      <w:r>
        <w:rPr>
          <w:lang w:val="en-GB" w:eastAsia="ja-JP"/>
        </w:rPr>
        <w:t xml:space="preserve"> </w:t>
      </w:r>
      <w:r w:rsidR="004A410D">
        <w:rPr>
          <w:lang w:val="en-GB" w:eastAsia="ja-JP"/>
        </w:rPr>
        <w:t>e</w:t>
      </w:r>
      <w:r w:rsidRPr="0044239B">
        <w:rPr>
          <w:lang w:val="en-GB" w:eastAsia="ja-JP"/>
        </w:rPr>
        <w:t>dn</w:t>
      </w:r>
      <w:r w:rsidR="004A410D">
        <w:rPr>
          <w:lang w:val="en-GB" w:eastAsia="ja-JP"/>
        </w:rPr>
        <w:t>,</w:t>
      </w:r>
      <w:r w:rsidRPr="0044239B">
        <w:rPr>
          <w:lang w:val="en-GB" w:eastAsia="ja-JP"/>
        </w:rPr>
        <w:t xml:space="preserve"> </w:t>
      </w:r>
      <w:r w:rsidRPr="0044239B" w:rsidR="004A410D">
        <w:rPr>
          <w:lang w:val="en-GB" w:eastAsia="ja-JP"/>
        </w:rPr>
        <w:t>EPA-821-R-02-014</w:t>
      </w:r>
      <w:r w:rsidR="004A410D">
        <w:rPr>
          <w:lang w:val="en-GB" w:eastAsia="ja-JP"/>
        </w:rPr>
        <w:t xml:space="preserve">, </w:t>
      </w:r>
      <w:r w:rsidRPr="0044239B">
        <w:rPr>
          <w:lang w:val="en-GB" w:eastAsia="ja-JP"/>
        </w:rPr>
        <w:t xml:space="preserve">Office of Water, US </w:t>
      </w:r>
      <w:r w:rsidR="004A410D">
        <w:rPr>
          <w:lang w:val="en-GB" w:eastAsia="ja-JP"/>
        </w:rPr>
        <w:t>EPA</w:t>
      </w:r>
      <w:r w:rsidRPr="0044239B">
        <w:rPr>
          <w:lang w:val="en-GB" w:eastAsia="ja-JP"/>
        </w:rPr>
        <w:t xml:space="preserve">, </w:t>
      </w:r>
      <w:r w:rsidR="008F5764">
        <w:rPr>
          <w:lang w:val="en-GB" w:eastAsia="ja-JP"/>
        </w:rPr>
        <w:t xml:space="preserve">United States Government, </w:t>
      </w:r>
      <w:r w:rsidRPr="0044239B">
        <w:rPr>
          <w:lang w:val="en-GB" w:eastAsia="ja-JP"/>
        </w:rPr>
        <w:t>Washington, DC.</w:t>
      </w:r>
    </w:p>
    <w:p w:rsidR="005B6FC0" w:rsidP="001B25CD" w14:paraId="1463E3F6" w14:textId="514B31C7">
      <w:pPr>
        <w:rPr>
          <w:lang w:eastAsia="ja-JP"/>
        </w:rPr>
      </w:pPr>
      <w:r>
        <w:rPr>
          <w:lang w:eastAsia="ja-JP"/>
        </w:rPr>
        <w:t>US</w:t>
      </w:r>
      <w:r w:rsidR="004A410D">
        <w:rPr>
          <w:lang w:eastAsia="ja-JP"/>
        </w:rPr>
        <w:t xml:space="preserve"> </w:t>
      </w:r>
      <w:r>
        <w:rPr>
          <w:lang w:eastAsia="ja-JP"/>
        </w:rPr>
        <w:t>EPA</w:t>
      </w:r>
      <w:r w:rsidR="004A410D">
        <w:rPr>
          <w:lang w:eastAsia="ja-JP"/>
        </w:rPr>
        <w:t xml:space="preserve"> </w:t>
      </w:r>
      <w:r w:rsidR="004A410D">
        <w:rPr>
          <w:lang w:val="en-GB" w:eastAsia="ja-JP"/>
        </w:rPr>
        <w:t>(United States Environmental Protection Agency)</w:t>
      </w:r>
      <w:r>
        <w:rPr>
          <w:lang w:eastAsia="ja-JP"/>
        </w:rPr>
        <w:t xml:space="preserve"> </w:t>
      </w:r>
      <w:r w:rsidR="004A410D">
        <w:rPr>
          <w:lang w:eastAsia="ja-JP"/>
        </w:rPr>
        <w:t>(</w:t>
      </w:r>
      <w:r>
        <w:rPr>
          <w:lang w:eastAsia="ja-JP"/>
        </w:rPr>
        <w:t>2016</w:t>
      </w:r>
      <w:r w:rsidR="004A410D">
        <w:rPr>
          <w:lang w:eastAsia="ja-JP"/>
        </w:rPr>
        <w:t>)</w:t>
      </w:r>
      <w:r>
        <w:rPr>
          <w:lang w:eastAsia="ja-JP"/>
        </w:rPr>
        <w:t xml:space="preserve"> </w:t>
      </w:r>
      <w:r>
        <w:fldChar w:fldCharType="begin"/>
      </w:r>
      <w:r>
        <w:instrText xml:space="preserve"> HYPERLINK "https://www.epa.gov/wqc/aquatic-life-criterion-selenium" </w:instrText>
      </w:r>
      <w:r>
        <w:fldChar w:fldCharType="separate"/>
      </w:r>
      <w:r w:rsidRPr="00AE2198">
        <w:rPr>
          <w:rStyle w:val="Hyperlink"/>
          <w:i/>
          <w:iCs/>
          <w:lang w:eastAsia="ja-JP"/>
        </w:rPr>
        <w:t xml:space="preserve">Aquatic </w:t>
      </w:r>
      <w:r w:rsidRPr="00AE2198" w:rsidR="004A410D">
        <w:rPr>
          <w:rStyle w:val="Hyperlink"/>
          <w:i/>
          <w:iCs/>
          <w:lang w:eastAsia="ja-JP"/>
        </w:rPr>
        <w:t>l</w:t>
      </w:r>
      <w:r w:rsidRPr="00AE2198">
        <w:rPr>
          <w:rStyle w:val="Hyperlink"/>
          <w:i/>
          <w:iCs/>
          <w:lang w:eastAsia="ja-JP"/>
        </w:rPr>
        <w:t xml:space="preserve">ife </w:t>
      </w:r>
      <w:r w:rsidRPr="00AE2198" w:rsidR="004A410D">
        <w:rPr>
          <w:rStyle w:val="Hyperlink"/>
          <w:i/>
          <w:iCs/>
          <w:lang w:eastAsia="ja-JP"/>
        </w:rPr>
        <w:t>a</w:t>
      </w:r>
      <w:r w:rsidRPr="00AE2198">
        <w:rPr>
          <w:rStyle w:val="Hyperlink"/>
          <w:i/>
          <w:iCs/>
          <w:lang w:eastAsia="ja-JP"/>
        </w:rPr>
        <w:t xml:space="preserve">mbient </w:t>
      </w:r>
      <w:r w:rsidRPr="00AE2198" w:rsidR="004A410D">
        <w:rPr>
          <w:rStyle w:val="Hyperlink"/>
          <w:i/>
          <w:iCs/>
          <w:lang w:eastAsia="ja-JP"/>
        </w:rPr>
        <w:t>w</w:t>
      </w:r>
      <w:r w:rsidRPr="00AE2198">
        <w:rPr>
          <w:rStyle w:val="Hyperlink"/>
          <w:i/>
          <w:iCs/>
          <w:lang w:eastAsia="ja-JP"/>
        </w:rPr>
        <w:t xml:space="preserve">ater </w:t>
      </w:r>
      <w:r w:rsidRPr="00AE2198" w:rsidR="004A410D">
        <w:rPr>
          <w:rStyle w:val="Hyperlink"/>
          <w:i/>
          <w:iCs/>
          <w:lang w:eastAsia="ja-JP"/>
        </w:rPr>
        <w:t>q</w:t>
      </w:r>
      <w:r w:rsidRPr="00AE2198">
        <w:rPr>
          <w:rStyle w:val="Hyperlink"/>
          <w:i/>
          <w:iCs/>
          <w:lang w:eastAsia="ja-JP"/>
        </w:rPr>
        <w:t xml:space="preserve">uality </w:t>
      </w:r>
      <w:r w:rsidRPr="00AE2198" w:rsidR="004A410D">
        <w:rPr>
          <w:rStyle w:val="Hyperlink"/>
          <w:i/>
          <w:iCs/>
          <w:lang w:eastAsia="ja-JP"/>
        </w:rPr>
        <w:t>c</w:t>
      </w:r>
      <w:r w:rsidRPr="00AE2198">
        <w:rPr>
          <w:rStyle w:val="Hyperlink"/>
          <w:i/>
          <w:iCs/>
          <w:lang w:eastAsia="ja-JP"/>
        </w:rPr>
        <w:t xml:space="preserve">riteria for </w:t>
      </w:r>
      <w:r w:rsidRPr="00AE2198" w:rsidR="004A410D">
        <w:rPr>
          <w:rStyle w:val="Hyperlink"/>
          <w:i/>
          <w:iCs/>
          <w:lang w:eastAsia="ja-JP"/>
        </w:rPr>
        <w:t>s</w:t>
      </w:r>
      <w:r w:rsidRPr="00AE2198">
        <w:rPr>
          <w:rStyle w:val="Hyperlink"/>
          <w:i/>
          <w:iCs/>
          <w:lang w:eastAsia="ja-JP"/>
        </w:rPr>
        <w:t>elenium</w:t>
      </w:r>
      <w:r w:rsidRPr="00AE2198" w:rsidR="004A410D">
        <w:rPr>
          <w:rStyle w:val="Hyperlink"/>
          <w:i/>
          <w:iCs/>
          <w:lang w:eastAsia="ja-JP"/>
        </w:rPr>
        <w:t>–</w:t>
      </w:r>
      <w:r w:rsidRPr="00AE2198">
        <w:rPr>
          <w:rStyle w:val="Hyperlink"/>
          <w:i/>
          <w:iCs/>
          <w:lang w:eastAsia="ja-JP"/>
        </w:rPr>
        <w:t xml:space="preserve"> </w:t>
      </w:r>
      <w:r w:rsidRPr="00AE2198" w:rsidR="004A410D">
        <w:rPr>
          <w:rStyle w:val="Hyperlink"/>
          <w:i/>
          <w:iCs/>
          <w:lang w:eastAsia="ja-JP"/>
        </w:rPr>
        <w:t>f</w:t>
      </w:r>
      <w:r w:rsidRPr="00AE2198">
        <w:rPr>
          <w:rStyle w:val="Hyperlink"/>
          <w:i/>
          <w:iCs/>
          <w:lang w:eastAsia="ja-JP"/>
        </w:rPr>
        <w:t>reshwater</w:t>
      </w:r>
      <w:r>
        <w:fldChar w:fldCharType="end"/>
      </w:r>
      <w:r w:rsidR="004A410D">
        <w:rPr>
          <w:lang w:eastAsia="ja-JP"/>
        </w:rPr>
        <w:t>,</w:t>
      </w:r>
      <w:r w:rsidRPr="009823A1">
        <w:rPr>
          <w:rFonts w:ascii="ArialMT" w:eastAsia="Times New Roman" w:hAnsi="ArialMT" w:cs="Times New Roman"/>
          <w:sz w:val="18"/>
          <w:szCs w:val="18"/>
          <w:lang w:eastAsia="en-GB"/>
        </w:rPr>
        <w:t xml:space="preserve"> </w:t>
      </w:r>
      <w:r w:rsidRPr="009823A1" w:rsidR="004A410D">
        <w:rPr>
          <w:lang w:eastAsia="ja-JP"/>
        </w:rPr>
        <w:t>EPA 822-R-16-00</w:t>
      </w:r>
      <w:r w:rsidR="004A410D">
        <w:rPr>
          <w:lang w:eastAsia="ja-JP"/>
        </w:rPr>
        <w:t xml:space="preserve">6, </w:t>
      </w:r>
      <w:r>
        <w:rPr>
          <w:lang w:eastAsia="ja-JP"/>
        </w:rPr>
        <w:t>Office of Water</w:t>
      </w:r>
      <w:r w:rsidR="004A410D">
        <w:rPr>
          <w:lang w:eastAsia="ja-JP"/>
        </w:rPr>
        <w:t xml:space="preserve"> and</w:t>
      </w:r>
      <w:r>
        <w:rPr>
          <w:lang w:eastAsia="ja-JP"/>
        </w:rPr>
        <w:t xml:space="preserve"> Office of Science and Technology, US </w:t>
      </w:r>
      <w:r w:rsidR="004A410D">
        <w:rPr>
          <w:lang w:eastAsia="ja-JP"/>
        </w:rPr>
        <w:t>EPA</w:t>
      </w:r>
      <w:r>
        <w:rPr>
          <w:lang w:eastAsia="ja-JP"/>
        </w:rPr>
        <w:t xml:space="preserve">, </w:t>
      </w:r>
      <w:r w:rsidR="008F5764">
        <w:rPr>
          <w:lang w:eastAsia="ja-JP"/>
        </w:rPr>
        <w:t xml:space="preserve">United States Government, </w:t>
      </w:r>
      <w:r>
        <w:rPr>
          <w:lang w:eastAsia="ja-JP"/>
        </w:rPr>
        <w:t>Washington, DC.</w:t>
      </w:r>
    </w:p>
    <w:p w:rsidR="005B6FC0" w:rsidP="00D43AFA" w14:paraId="572D1601" w14:textId="6E9BBA74">
      <w:r w:rsidRPr="00026F24">
        <w:t xml:space="preserve">van Dam RA </w:t>
      </w:r>
      <w:r w:rsidR="003C60FB">
        <w:t>and</w:t>
      </w:r>
      <w:r w:rsidRPr="00026F24">
        <w:t xml:space="preserve"> Chapman JC </w:t>
      </w:r>
      <w:r w:rsidR="00272E77">
        <w:t>(</w:t>
      </w:r>
      <w:r w:rsidRPr="00026F24">
        <w:t>2001</w:t>
      </w:r>
      <w:r w:rsidR="00272E77">
        <w:t>)</w:t>
      </w:r>
      <w:r w:rsidRPr="00026F24">
        <w:t xml:space="preserve"> </w:t>
      </w:r>
      <w:r w:rsidR="00272E77">
        <w:t>‘</w:t>
      </w:r>
      <w:r>
        <w:fldChar w:fldCharType="begin"/>
      </w:r>
      <w:r>
        <w:instrText xml:space="preserve"> HYPERLINK "http://leusch.info/ecotox/aje/v7n2.html" </w:instrText>
      </w:r>
      <w:r>
        <w:fldChar w:fldCharType="separate"/>
      </w:r>
      <w:r w:rsidRPr="00AE2198">
        <w:rPr>
          <w:rStyle w:val="Hyperlink"/>
        </w:rPr>
        <w:t>Direct toxicity assessment (DTA) for water quality guidelines in Australia and New Zealand</w:t>
      </w:r>
      <w:r>
        <w:fldChar w:fldCharType="end"/>
      </w:r>
      <w:r w:rsidR="00272E77">
        <w:t>’,</w:t>
      </w:r>
      <w:r w:rsidRPr="00026F24">
        <w:t xml:space="preserve"> </w:t>
      </w:r>
      <w:r w:rsidRPr="006F3CB7">
        <w:rPr>
          <w:rStyle w:val="Emphasis"/>
        </w:rPr>
        <w:t>Australasian Journal of Ecotoxicology</w:t>
      </w:r>
      <w:r>
        <w:t>,</w:t>
      </w:r>
      <w:r w:rsidRPr="00026F24">
        <w:t xml:space="preserve"> 7</w:t>
      </w:r>
      <w:r w:rsidR="00272E77">
        <w:t>:</w:t>
      </w:r>
      <w:r w:rsidRPr="00026F24">
        <w:t>175–198</w:t>
      </w:r>
      <w:r>
        <w:t>.</w:t>
      </w:r>
    </w:p>
    <w:p w:rsidR="005B6FC0" w:rsidRPr="004E3967" w:rsidP="00A471B6" w14:paraId="77B202B2" w14:textId="44C24C15">
      <w:pPr>
        <w:rPr>
          <w:lang w:eastAsia="ja-JP"/>
        </w:rPr>
      </w:pPr>
      <w:r w:rsidRPr="004E3967">
        <w:rPr>
          <w:bCs/>
          <w:lang w:eastAsia="ja-JP"/>
        </w:rPr>
        <w:t>van Dam RA</w:t>
      </w:r>
      <w:r w:rsidRPr="004E3967">
        <w:rPr>
          <w:lang w:eastAsia="ja-JP"/>
        </w:rPr>
        <w:t xml:space="preserve">, Camilleri C </w:t>
      </w:r>
      <w:r w:rsidR="003C60FB">
        <w:rPr>
          <w:lang w:eastAsia="ja-JP"/>
        </w:rPr>
        <w:t>and</w:t>
      </w:r>
      <w:r w:rsidRPr="004E3967">
        <w:rPr>
          <w:lang w:eastAsia="ja-JP"/>
        </w:rPr>
        <w:t xml:space="preserve"> Finlayson CM </w:t>
      </w:r>
      <w:r w:rsidR="00272E77">
        <w:rPr>
          <w:lang w:eastAsia="ja-JP"/>
        </w:rPr>
        <w:t>(</w:t>
      </w:r>
      <w:r w:rsidRPr="004E3967">
        <w:rPr>
          <w:lang w:eastAsia="ja-JP"/>
        </w:rPr>
        <w:t>1998</w:t>
      </w:r>
      <w:r w:rsidR="00272E77">
        <w:rPr>
          <w:lang w:eastAsia="ja-JP"/>
        </w:rPr>
        <w:t>)</w:t>
      </w:r>
      <w:r w:rsidRPr="004E3967">
        <w:rPr>
          <w:lang w:eastAsia="ja-JP"/>
        </w:rPr>
        <w:t xml:space="preserve"> </w:t>
      </w:r>
      <w:r w:rsidR="00272E77">
        <w:rPr>
          <w:lang w:eastAsia="ja-JP"/>
        </w:rPr>
        <w:t>‘</w:t>
      </w:r>
      <w:r>
        <w:fldChar w:fldCharType="begin"/>
      </w:r>
      <w:r>
        <w:instrText xml:space="preserve"> HYPERLINK "https://doi.org/10.1002/(SICI)1098-2256(1998)13:4%3C297::AID-TOX3%3E3.0.CO;2-2" </w:instrText>
      </w:r>
      <w:r>
        <w:fldChar w:fldCharType="separate"/>
      </w:r>
      <w:r w:rsidRPr="00AE2198">
        <w:rPr>
          <w:rStyle w:val="Hyperlink"/>
          <w:lang w:eastAsia="ja-JP"/>
        </w:rPr>
        <w:t xml:space="preserve">The potential of rapid assessment techniques as early warning indicators of wetland degradation: </w:t>
      </w:r>
      <w:r w:rsidRPr="00AE2198" w:rsidR="00272E77">
        <w:rPr>
          <w:rStyle w:val="Hyperlink"/>
          <w:lang w:eastAsia="ja-JP"/>
        </w:rPr>
        <w:t>a</w:t>
      </w:r>
      <w:r w:rsidRPr="00AE2198">
        <w:rPr>
          <w:rStyle w:val="Hyperlink"/>
          <w:lang w:eastAsia="ja-JP"/>
        </w:rPr>
        <w:t xml:space="preserve"> review</w:t>
      </w:r>
      <w:r>
        <w:fldChar w:fldCharType="end"/>
      </w:r>
      <w:r w:rsidR="00272E77">
        <w:rPr>
          <w:lang w:eastAsia="ja-JP"/>
        </w:rPr>
        <w:t>’,</w:t>
      </w:r>
      <w:r w:rsidRPr="004E3967">
        <w:rPr>
          <w:lang w:eastAsia="ja-JP"/>
        </w:rPr>
        <w:t xml:space="preserve"> </w:t>
      </w:r>
      <w:r w:rsidRPr="006F3CB7">
        <w:rPr>
          <w:rStyle w:val="Emphasis"/>
        </w:rPr>
        <w:t>Environmental Toxicology and Water Quality</w:t>
      </w:r>
      <w:r>
        <w:rPr>
          <w:lang w:eastAsia="ja-JP"/>
        </w:rPr>
        <w:t>,</w:t>
      </w:r>
      <w:r w:rsidRPr="004E3967">
        <w:rPr>
          <w:lang w:eastAsia="ja-JP"/>
        </w:rPr>
        <w:t xml:space="preserve"> 13(4)</w:t>
      </w:r>
      <w:r w:rsidR="00272E77">
        <w:rPr>
          <w:lang w:eastAsia="ja-JP"/>
        </w:rPr>
        <w:t>:</w:t>
      </w:r>
      <w:r w:rsidRPr="004E3967">
        <w:rPr>
          <w:lang w:eastAsia="ja-JP"/>
        </w:rPr>
        <w:t>297</w:t>
      </w:r>
      <w:r>
        <w:rPr>
          <w:lang w:eastAsia="ja-JP"/>
        </w:rPr>
        <w:t>–</w:t>
      </w:r>
      <w:r w:rsidRPr="004E3967">
        <w:rPr>
          <w:lang w:eastAsia="ja-JP"/>
        </w:rPr>
        <w:t>312</w:t>
      </w:r>
      <w:r w:rsidR="00AE2198">
        <w:rPr>
          <w:lang w:eastAsia="ja-JP"/>
        </w:rPr>
        <w:t>, doi:</w:t>
      </w:r>
      <w:r w:rsidRPr="00AE2198" w:rsidR="00AE2198">
        <w:rPr>
          <w:lang w:eastAsia="ja-JP"/>
        </w:rPr>
        <w:t>10.1002/(SICI)1098-2256(1998)13:4%3C297::AID-TOX3%3E3.0.CO;2-2</w:t>
      </w:r>
      <w:r w:rsidRPr="004E3967">
        <w:rPr>
          <w:lang w:eastAsia="ja-JP"/>
        </w:rPr>
        <w:t>.</w:t>
      </w:r>
    </w:p>
    <w:p w:rsidR="00A4674C" w:rsidP="00A4674C" w14:paraId="42D7201D" w14:textId="77777777">
      <w:pPr>
        <w:rPr>
          <w:lang w:eastAsia="ja-JP"/>
        </w:rPr>
      </w:pPr>
      <w:r>
        <w:rPr>
          <w:lang w:eastAsia="ja-JP"/>
        </w:rPr>
        <w:t>van Dam RA, Humphrey CL, Harford AJ, Sinclair A, Jones DR, Davies S and Storey AW (2014) ‘</w:t>
      </w:r>
      <w:r>
        <w:fldChar w:fldCharType="begin"/>
      </w:r>
      <w:r>
        <w:instrText xml:space="preserve"> HYPERLINK "https://doi.org/10.1007/s11356-013-1780-0" </w:instrText>
      </w:r>
      <w:r>
        <w:fldChar w:fldCharType="separate"/>
      </w:r>
      <w:r w:rsidRPr="0075192E">
        <w:rPr>
          <w:rStyle w:val="Hyperlink"/>
          <w:lang w:eastAsia="ja-JP"/>
        </w:rPr>
        <w:t>Site-specific water quality guidelines: 1. Derivation approaches based on physicochemical, ecotoxicological and ecological data</w:t>
      </w:r>
      <w:r>
        <w:fldChar w:fldCharType="end"/>
      </w:r>
      <w:r>
        <w:rPr>
          <w:lang w:eastAsia="ja-JP"/>
        </w:rPr>
        <w:t xml:space="preserve">’, </w:t>
      </w:r>
      <w:r w:rsidRPr="0060010D">
        <w:rPr>
          <w:rStyle w:val="Emphasis"/>
        </w:rPr>
        <w:t>Environmental Science and Pollution Research</w:t>
      </w:r>
      <w:r>
        <w:rPr>
          <w:lang w:eastAsia="ja-JP"/>
        </w:rPr>
        <w:t>, 21:118–130, doi:</w:t>
      </w:r>
      <w:r w:rsidRPr="0075192E">
        <w:rPr>
          <w:lang w:eastAsia="ja-JP"/>
        </w:rPr>
        <w:t>10.1007/s11356-013-1780-0</w:t>
      </w:r>
      <w:r>
        <w:rPr>
          <w:lang w:eastAsia="ja-JP"/>
        </w:rPr>
        <w:t>.</w:t>
      </w:r>
    </w:p>
    <w:p w:rsidR="005B6FC0" w:rsidRPr="001D52DF" w:rsidP="001B25CD" w14:paraId="031E5ACF" w14:textId="4B4631F5">
      <w:pPr>
        <w:rPr>
          <w:lang w:eastAsia="ja-JP"/>
        </w:rPr>
      </w:pPr>
      <w:r w:rsidRPr="001D52DF">
        <w:rPr>
          <w:lang w:eastAsia="ja-JP"/>
        </w:rPr>
        <w:t>van Dam RA, Hoga</w:t>
      </w:r>
      <w:r w:rsidR="00E66026">
        <w:rPr>
          <w:lang w:eastAsia="ja-JP"/>
        </w:rPr>
        <w:t>n</w:t>
      </w:r>
      <w:r>
        <w:rPr>
          <w:lang w:eastAsia="ja-JP"/>
        </w:rPr>
        <w:t>,</w:t>
      </w:r>
      <w:r w:rsidRPr="001D52DF">
        <w:rPr>
          <w:lang w:eastAsia="ja-JP"/>
        </w:rPr>
        <w:t xml:space="preserve"> AC, Humphrey CL </w:t>
      </w:r>
      <w:r w:rsidR="003C60FB">
        <w:rPr>
          <w:lang w:eastAsia="ja-JP"/>
        </w:rPr>
        <w:t>and</w:t>
      </w:r>
      <w:r w:rsidRPr="001D52DF">
        <w:rPr>
          <w:lang w:eastAsia="ja-JP"/>
        </w:rPr>
        <w:t xml:space="preserve"> Harford AJ </w:t>
      </w:r>
      <w:r w:rsidR="00272E77">
        <w:rPr>
          <w:lang w:eastAsia="ja-JP"/>
        </w:rPr>
        <w:t>(</w:t>
      </w:r>
      <w:r w:rsidRPr="001D52DF">
        <w:rPr>
          <w:lang w:eastAsia="ja-JP"/>
        </w:rPr>
        <w:t>2019</w:t>
      </w:r>
      <w:r w:rsidR="00272E77">
        <w:rPr>
          <w:lang w:eastAsia="ja-JP"/>
        </w:rPr>
        <w:t>)</w:t>
      </w:r>
      <w:r w:rsidRPr="001D52DF">
        <w:rPr>
          <w:lang w:eastAsia="ja-JP"/>
        </w:rPr>
        <w:t xml:space="preserve"> </w:t>
      </w:r>
      <w:r w:rsidR="00272E77">
        <w:rPr>
          <w:lang w:eastAsia="ja-JP"/>
        </w:rPr>
        <w:t>‘</w:t>
      </w:r>
      <w:r>
        <w:fldChar w:fldCharType="begin"/>
      </w:r>
      <w:r>
        <w:instrText xml:space="preserve"> HYPERLINK "https://doi.org/10.1002/ieam.4181" </w:instrText>
      </w:r>
      <w:r>
        <w:fldChar w:fldCharType="separate"/>
      </w:r>
      <w:r w:rsidRPr="00521C87">
        <w:rPr>
          <w:rStyle w:val="Hyperlink"/>
          <w:lang w:eastAsia="ja-JP"/>
        </w:rPr>
        <w:t>How specific is site-specific? A review and guidance for selecting and evaluating approaches for deriving local water quality benchmarks</w:t>
      </w:r>
      <w:r>
        <w:fldChar w:fldCharType="end"/>
      </w:r>
      <w:r w:rsidR="00272E77">
        <w:rPr>
          <w:lang w:eastAsia="ja-JP"/>
        </w:rPr>
        <w:t>’,</w:t>
      </w:r>
      <w:r w:rsidRPr="001D52DF">
        <w:rPr>
          <w:lang w:eastAsia="ja-JP"/>
        </w:rPr>
        <w:t xml:space="preserve"> </w:t>
      </w:r>
      <w:r w:rsidRPr="0060010D">
        <w:rPr>
          <w:rStyle w:val="Emphasis"/>
        </w:rPr>
        <w:t>Integrated Environmental Assessment and Management</w:t>
      </w:r>
      <w:r>
        <w:rPr>
          <w:lang w:eastAsia="ja-JP"/>
        </w:rPr>
        <w:t>,</w:t>
      </w:r>
      <w:r w:rsidRPr="001D52DF">
        <w:rPr>
          <w:lang w:eastAsia="ja-JP"/>
        </w:rPr>
        <w:t xml:space="preserve"> 15</w:t>
      </w:r>
      <w:r w:rsidR="00272E77">
        <w:rPr>
          <w:lang w:eastAsia="ja-JP"/>
        </w:rPr>
        <w:t>:</w:t>
      </w:r>
      <w:r w:rsidRPr="001D52DF">
        <w:rPr>
          <w:lang w:eastAsia="ja-JP"/>
        </w:rPr>
        <w:t>683–702</w:t>
      </w:r>
      <w:r w:rsidR="00521C87">
        <w:rPr>
          <w:lang w:eastAsia="ja-JP"/>
        </w:rPr>
        <w:t xml:space="preserve">, </w:t>
      </w:r>
      <w:r w:rsidR="002A0E99">
        <w:rPr>
          <w:lang w:eastAsia="ja-JP"/>
        </w:rPr>
        <w:t>doi:</w:t>
      </w:r>
      <w:r w:rsidRPr="00521C87" w:rsidR="00521C87">
        <w:rPr>
          <w:lang w:eastAsia="ja-JP"/>
        </w:rPr>
        <w:t>10.1002/ieam.4181</w:t>
      </w:r>
      <w:r w:rsidRPr="001D52DF">
        <w:rPr>
          <w:lang w:eastAsia="ja-JP"/>
        </w:rPr>
        <w:t>.</w:t>
      </w:r>
    </w:p>
    <w:p w:rsidR="00A4674C" w:rsidP="00A4674C" w14:paraId="35D8AC58" w14:textId="77777777">
      <w:pPr>
        <w:rPr>
          <w:lang w:eastAsia="ja-JP"/>
        </w:rPr>
      </w:pPr>
      <w:r>
        <w:rPr>
          <w:lang w:eastAsia="ja-JP"/>
        </w:rPr>
        <w:t>Van den Brink PJ, Blake N, Brock TCM and Maltby L (2006) ‘</w:t>
      </w:r>
      <w:r>
        <w:fldChar w:fldCharType="begin"/>
      </w:r>
      <w:r>
        <w:instrText xml:space="preserve"> HYPERLINK "https://doi.org/10.1080/10807030500430559" </w:instrText>
      </w:r>
      <w:r>
        <w:fldChar w:fldCharType="separate"/>
      </w:r>
      <w:r w:rsidRPr="0075192E">
        <w:rPr>
          <w:rStyle w:val="Hyperlink"/>
          <w:lang w:eastAsia="ja-JP"/>
        </w:rPr>
        <w:t>Predictive value of species sensitivity distributions for effects of herbicides in freshwater ecosystems</w:t>
      </w:r>
      <w:r>
        <w:fldChar w:fldCharType="end"/>
      </w:r>
      <w:r>
        <w:rPr>
          <w:lang w:eastAsia="ja-JP"/>
        </w:rPr>
        <w:t xml:space="preserve">’, </w:t>
      </w:r>
      <w:r w:rsidRPr="00207AB6">
        <w:rPr>
          <w:rStyle w:val="Emphasis"/>
        </w:rPr>
        <w:t>Human and Ecological Risk Assessment: An International Journal</w:t>
      </w:r>
      <w:r>
        <w:rPr>
          <w:lang w:eastAsia="ja-JP"/>
        </w:rPr>
        <w:t>, 12:645–674, doi:</w:t>
      </w:r>
      <w:r w:rsidRPr="0075192E">
        <w:rPr>
          <w:lang w:eastAsia="ja-JP"/>
        </w:rPr>
        <w:t>10.1080/10807030500430559</w:t>
      </w:r>
      <w:r>
        <w:rPr>
          <w:lang w:eastAsia="ja-JP"/>
        </w:rPr>
        <w:t>.</w:t>
      </w:r>
    </w:p>
    <w:p w:rsidR="005B6FC0" w:rsidP="001B25CD" w14:paraId="76045E86" w14:textId="3A69BC55">
      <w:pPr>
        <w:rPr>
          <w:lang w:eastAsia="ja-JP"/>
        </w:rPr>
      </w:pPr>
      <w:r>
        <w:rPr>
          <w:lang w:eastAsia="ja-JP"/>
        </w:rPr>
        <w:t xml:space="preserve">Van den Brink PJ, Baird DJ, Baveco H </w:t>
      </w:r>
      <w:r w:rsidR="003C60FB">
        <w:rPr>
          <w:lang w:eastAsia="ja-JP"/>
        </w:rPr>
        <w:t>and</w:t>
      </w:r>
      <w:r>
        <w:rPr>
          <w:lang w:eastAsia="ja-JP"/>
        </w:rPr>
        <w:t xml:space="preserve"> Focks A </w:t>
      </w:r>
      <w:r w:rsidR="0019244F">
        <w:rPr>
          <w:lang w:eastAsia="ja-JP"/>
        </w:rPr>
        <w:t>(</w:t>
      </w:r>
      <w:r>
        <w:rPr>
          <w:lang w:eastAsia="ja-JP"/>
        </w:rPr>
        <w:t>2013</w:t>
      </w:r>
      <w:r w:rsidR="0019244F">
        <w:rPr>
          <w:lang w:eastAsia="ja-JP"/>
        </w:rPr>
        <w:t>)</w:t>
      </w:r>
      <w:r>
        <w:rPr>
          <w:lang w:eastAsia="ja-JP"/>
        </w:rPr>
        <w:t xml:space="preserve"> </w:t>
      </w:r>
      <w:r w:rsidR="0019244F">
        <w:rPr>
          <w:lang w:eastAsia="ja-JP"/>
        </w:rPr>
        <w:t>‘</w:t>
      </w:r>
      <w:r>
        <w:fldChar w:fldCharType="begin"/>
      </w:r>
      <w:r>
        <w:instrText xml:space="preserve"> HYPERLINK "https://doi.org/10.1002/ieam.1443" </w:instrText>
      </w:r>
      <w:r>
        <w:fldChar w:fldCharType="separate"/>
      </w:r>
      <w:r w:rsidRPr="0075192E">
        <w:rPr>
          <w:rStyle w:val="Hyperlink"/>
          <w:lang w:eastAsia="ja-JP"/>
        </w:rPr>
        <w:t>The use of traits-based approaches and eco(toxico)logical models to advance the ecological risk assessment framework for chemicals</w:t>
      </w:r>
      <w:r>
        <w:fldChar w:fldCharType="end"/>
      </w:r>
      <w:r w:rsidR="0019244F">
        <w:rPr>
          <w:lang w:eastAsia="ja-JP"/>
        </w:rPr>
        <w:t>’,</w:t>
      </w:r>
      <w:r>
        <w:rPr>
          <w:lang w:eastAsia="ja-JP"/>
        </w:rPr>
        <w:t xml:space="preserve"> </w:t>
      </w:r>
      <w:r w:rsidRPr="0060010D">
        <w:rPr>
          <w:rStyle w:val="Emphasis"/>
        </w:rPr>
        <w:t>Integr</w:t>
      </w:r>
      <w:r w:rsidR="0019244F">
        <w:rPr>
          <w:rStyle w:val="Emphasis"/>
        </w:rPr>
        <w:t>ated</w:t>
      </w:r>
      <w:r w:rsidRPr="0060010D">
        <w:rPr>
          <w:rStyle w:val="Emphasis"/>
        </w:rPr>
        <w:t xml:space="preserve"> Environ</w:t>
      </w:r>
      <w:r w:rsidR="0019244F">
        <w:rPr>
          <w:rStyle w:val="Emphasis"/>
        </w:rPr>
        <w:t>mental</w:t>
      </w:r>
      <w:r w:rsidRPr="0060010D">
        <w:rPr>
          <w:rStyle w:val="Emphasis"/>
        </w:rPr>
        <w:t xml:space="preserve"> Assess</w:t>
      </w:r>
      <w:r w:rsidR="0019244F">
        <w:rPr>
          <w:rStyle w:val="Emphasis"/>
        </w:rPr>
        <w:t>ment and</w:t>
      </w:r>
      <w:r w:rsidRPr="0060010D">
        <w:rPr>
          <w:rStyle w:val="Emphasis"/>
        </w:rPr>
        <w:t xml:space="preserve"> Manag</w:t>
      </w:r>
      <w:r w:rsidR="0019244F">
        <w:rPr>
          <w:rStyle w:val="Emphasis"/>
        </w:rPr>
        <w:t>ement</w:t>
      </w:r>
      <w:r>
        <w:rPr>
          <w:lang w:eastAsia="ja-JP"/>
        </w:rPr>
        <w:t>, 9</w:t>
      </w:r>
      <w:r w:rsidR="0019244F">
        <w:rPr>
          <w:lang w:eastAsia="ja-JP"/>
        </w:rPr>
        <w:t>:</w:t>
      </w:r>
      <w:r>
        <w:rPr>
          <w:lang w:eastAsia="ja-JP"/>
        </w:rPr>
        <w:t>E47–E57</w:t>
      </w:r>
      <w:r w:rsidR="0075192E">
        <w:rPr>
          <w:lang w:eastAsia="ja-JP"/>
        </w:rPr>
        <w:t xml:space="preserve">, </w:t>
      </w:r>
      <w:r w:rsidR="002A0E99">
        <w:rPr>
          <w:lang w:eastAsia="ja-JP"/>
        </w:rPr>
        <w:t>doi:</w:t>
      </w:r>
      <w:r w:rsidRPr="0075192E" w:rsidR="0075192E">
        <w:rPr>
          <w:lang w:eastAsia="ja-JP"/>
        </w:rPr>
        <w:t>10.1002/ieam.1443</w:t>
      </w:r>
      <w:r>
        <w:rPr>
          <w:lang w:eastAsia="ja-JP"/>
        </w:rPr>
        <w:t>.</w:t>
      </w:r>
    </w:p>
    <w:p w:rsidR="005B6FC0" w:rsidP="001B25CD" w14:paraId="612D423C" w14:textId="18423E1E">
      <w:pPr>
        <w:rPr>
          <w:lang w:eastAsia="ja-JP"/>
        </w:rPr>
      </w:pPr>
      <w:r>
        <w:rPr>
          <w:lang w:eastAsia="ja-JP"/>
        </w:rPr>
        <w:t xml:space="preserve">van der Oost R, Beyer J </w:t>
      </w:r>
      <w:r w:rsidR="003C60FB">
        <w:rPr>
          <w:lang w:eastAsia="ja-JP"/>
        </w:rPr>
        <w:t>and</w:t>
      </w:r>
      <w:r>
        <w:rPr>
          <w:lang w:eastAsia="ja-JP"/>
        </w:rPr>
        <w:t xml:space="preserve"> Vermeulen NPE </w:t>
      </w:r>
      <w:r w:rsidR="0019244F">
        <w:rPr>
          <w:lang w:eastAsia="ja-JP"/>
        </w:rPr>
        <w:t>(</w:t>
      </w:r>
      <w:r>
        <w:rPr>
          <w:lang w:eastAsia="ja-JP"/>
        </w:rPr>
        <w:t>2003</w:t>
      </w:r>
      <w:r w:rsidR="0019244F">
        <w:rPr>
          <w:lang w:eastAsia="ja-JP"/>
        </w:rPr>
        <w:t>)</w:t>
      </w:r>
      <w:r>
        <w:rPr>
          <w:lang w:eastAsia="ja-JP"/>
        </w:rPr>
        <w:t xml:space="preserve"> </w:t>
      </w:r>
      <w:r w:rsidR="0019244F">
        <w:rPr>
          <w:lang w:eastAsia="ja-JP"/>
        </w:rPr>
        <w:t>‘</w:t>
      </w:r>
      <w:r>
        <w:fldChar w:fldCharType="begin"/>
      </w:r>
      <w:r>
        <w:instrText xml:space="preserve"> HYPERLINK "https://doi.org/10.1016/s1382-6689(02)00126-6" </w:instrText>
      </w:r>
      <w:r>
        <w:fldChar w:fldCharType="separate"/>
      </w:r>
      <w:r w:rsidRPr="0075192E">
        <w:rPr>
          <w:rStyle w:val="Hyperlink"/>
          <w:lang w:eastAsia="ja-JP"/>
        </w:rPr>
        <w:t xml:space="preserve">Fish bioaccumulation and biomarkers in environmental risk assessment: </w:t>
      </w:r>
      <w:r w:rsidRPr="0075192E" w:rsidR="0019244F">
        <w:rPr>
          <w:rStyle w:val="Hyperlink"/>
          <w:lang w:eastAsia="ja-JP"/>
        </w:rPr>
        <w:t>a</w:t>
      </w:r>
      <w:r w:rsidRPr="0075192E">
        <w:rPr>
          <w:rStyle w:val="Hyperlink"/>
          <w:lang w:eastAsia="ja-JP"/>
        </w:rPr>
        <w:t xml:space="preserve"> review</w:t>
      </w:r>
      <w:r>
        <w:fldChar w:fldCharType="end"/>
      </w:r>
      <w:r w:rsidR="0019244F">
        <w:rPr>
          <w:lang w:eastAsia="ja-JP"/>
        </w:rPr>
        <w:t>’,</w:t>
      </w:r>
      <w:r>
        <w:rPr>
          <w:lang w:eastAsia="ja-JP"/>
        </w:rPr>
        <w:t xml:space="preserve"> </w:t>
      </w:r>
      <w:r w:rsidRPr="0054623C">
        <w:rPr>
          <w:rStyle w:val="Emphasis"/>
        </w:rPr>
        <w:t>Environmental Toxicology and Pharmacology</w:t>
      </w:r>
      <w:r>
        <w:rPr>
          <w:lang w:eastAsia="ja-JP"/>
        </w:rPr>
        <w:t>, 13</w:t>
      </w:r>
      <w:r w:rsidR="0019244F">
        <w:rPr>
          <w:lang w:eastAsia="ja-JP"/>
        </w:rPr>
        <w:t>:</w:t>
      </w:r>
      <w:r>
        <w:rPr>
          <w:lang w:eastAsia="ja-JP"/>
        </w:rPr>
        <w:t>57–149</w:t>
      </w:r>
      <w:r w:rsidR="0075192E">
        <w:rPr>
          <w:lang w:eastAsia="ja-JP"/>
        </w:rPr>
        <w:t xml:space="preserve">, </w:t>
      </w:r>
      <w:r w:rsidR="002A0E99">
        <w:rPr>
          <w:lang w:eastAsia="ja-JP"/>
        </w:rPr>
        <w:t>doi:</w:t>
      </w:r>
      <w:r w:rsidRPr="0075192E" w:rsidR="0075192E">
        <w:rPr>
          <w:lang w:eastAsia="ja-JP"/>
        </w:rPr>
        <w:t>10.1016/s1382-6689(02)00126-6</w:t>
      </w:r>
      <w:r>
        <w:rPr>
          <w:lang w:eastAsia="ja-JP"/>
        </w:rPr>
        <w:t>.</w:t>
      </w:r>
    </w:p>
    <w:p w:rsidR="005B6FC0" w:rsidP="001B25CD" w14:paraId="2052CFC4" w14:textId="20F1BBE5">
      <w:pPr>
        <w:rPr>
          <w:lang w:eastAsia="ja-JP"/>
        </w:rPr>
      </w:pPr>
      <w:r>
        <w:rPr>
          <w:lang w:eastAsia="ja-JP"/>
        </w:rPr>
        <w:t xml:space="preserve">Verbruggen EMJ </w:t>
      </w:r>
      <w:r w:rsidR="003C60FB">
        <w:rPr>
          <w:lang w:eastAsia="ja-JP"/>
        </w:rPr>
        <w:t>and</w:t>
      </w:r>
      <w:r>
        <w:rPr>
          <w:lang w:eastAsia="ja-JP"/>
        </w:rPr>
        <w:t xml:space="preserve"> Van den Brink PJ </w:t>
      </w:r>
      <w:r w:rsidR="0019244F">
        <w:rPr>
          <w:lang w:eastAsia="ja-JP"/>
        </w:rPr>
        <w:t>(</w:t>
      </w:r>
      <w:r>
        <w:rPr>
          <w:lang w:eastAsia="ja-JP"/>
        </w:rPr>
        <w:t>2010</w:t>
      </w:r>
      <w:r w:rsidR="0019244F">
        <w:rPr>
          <w:lang w:eastAsia="ja-JP"/>
        </w:rPr>
        <w:t>)</w:t>
      </w:r>
      <w:r>
        <w:rPr>
          <w:lang w:eastAsia="ja-JP"/>
        </w:rPr>
        <w:t xml:space="preserve"> </w:t>
      </w:r>
      <w:r>
        <w:fldChar w:fldCharType="begin"/>
      </w:r>
      <w:r>
        <w:instrText xml:space="preserve"> HYPERLINK "https://research.wur.nl/en/publications/review-of-recent-literature-concerning-mixture-toxicity-of-pestic" </w:instrText>
      </w:r>
      <w:r>
        <w:fldChar w:fldCharType="separate"/>
      </w:r>
      <w:r w:rsidR="0058197E">
        <w:rPr>
          <w:rStyle w:val="Hyperlink"/>
          <w:i/>
          <w:iCs/>
          <w:lang w:eastAsia="ja-JP"/>
        </w:rPr>
        <w:t>Review of recent literature concerning mixture toxicity of pesticides to aquatic organisms</w:t>
      </w:r>
      <w:r>
        <w:fldChar w:fldCharType="end"/>
      </w:r>
      <w:r w:rsidR="008F5764">
        <w:rPr>
          <w:lang w:eastAsia="ja-JP"/>
        </w:rPr>
        <w:t>,</w:t>
      </w:r>
      <w:r>
        <w:rPr>
          <w:lang w:eastAsia="ja-JP"/>
        </w:rPr>
        <w:t xml:space="preserve"> </w:t>
      </w:r>
      <w:r w:rsidR="008F5764">
        <w:t>Report 601400001/2010,</w:t>
      </w:r>
      <w:r w:rsidR="008F5764">
        <w:rPr>
          <w:lang w:eastAsia="ja-JP"/>
        </w:rPr>
        <w:t xml:space="preserve"> </w:t>
      </w:r>
      <w:r>
        <w:rPr>
          <w:lang w:eastAsia="ja-JP"/>
        </w:rPr>
        <w:t>RIVM, Bilthoven.</w:t>
      </w:r>
    </w:p>
    <w:p w:rsidR="005B6FC0" w:rsidP="001B25CD" w14:paraId="23F94F1F" w14:textId="49070F23">
      <w:pPr>
        <w:rPr>
          <w:lang w:eastAsia="ja-JP"/>
        </w:rPr>
      </w:pPr>
      <w:r>
        <w:rPr>
          <w:lang w:eastAsia="ja-JP"/>
        </w:rPr>
        <w:t xml:space="preserve">Versteeg DJ, Belanger SE </w:t>
      </w:r>
      <w:r w:rsidR="003C60FB">
        <w:rPr>
          <w:lang w:eastAsia="ja-JP"/>
        </w:rPr>
        <w:t>and</w:t>
      </w:r>
      <w:r>
        <w:rPr>
          <w:lang w:eastAsia="ja-JP"/>
        </w:rPr>
        <w:t xml:space="preserve"> Carr GJ </w:t>
      </w:r>
      <w:r w:rsidR="008F5764">
        <w:rPr>
          <w:lang w:eastAsia="ja-JP"/>
        </w:rPr>
        <w:t>(</w:t>
      </w:r>
      <w:r>
        <w:rPr>
          <w:lang w:eastAsia="ja-JP"/>
        </w:rPr>
        <w:t>1999</w:t>
      </w:r>
      <w:r w:rsidR="008F5764">
        <w:rPr>
          <w:lang w:eastAsia="ja-JP"/>
        </w:rPr>
        <w:t>)</w:t>
      </w:r>
      <w:r>
        <w:rPr>
          <w:lang w:eastAsia="ja-JP"/>
        </w:rPr>
        <w:t xml:space="preserve"> </w:t>
      </w:r>
      <w:r w:rsidR="008F5764">
        <w:rPr>
          <w:lang w:eastAsia="ja-JP"/>
        </w:rPr>
        <w:t>‘</w:t>
      </w:r>
      <w:r>
        <w:fldChar w:fldCharType="begin"/>
      </w:r>
      <w:r>
        <w:instrText xml:space="preserve"> HYPERLINK "https://doi.org/10.1002/etc.5620180636" </w:instrText>
      </w:r>
      <w:r>
        <w:fldChar w:fldCharType="separate"/>
      </w:r>
      <w:r w:rsidRPr="005E330A">
        <w:rPr>
          <w:rStyle w:val="Hyperlink"/>
          <w:lang w:eastAsia="ja-JP"/>
        </w:rPr>
        <w:t xml:space="preserve">Understanding single-species and model ecosystem sensitivity: </w:t>
      </w:r>
      <w:r w:rsidRPr="005E330A" w:rsidR="008F5764">
        <w:rPr>
          <w:rStyle w:val="Hyperlink"/>
          <w:lang w:eastAsia="ja-JP"/>
        </w:rPr>
        <w:t>d</w:t>
      </w:r>
      <w:r w:rsidRPr="005E330A">
        <w:rPr>
          <w:rStyle w:val="Hyperlink"/>
          <w:lang w:eastAsia="ja-JP"/>
        </w:rPr>
        <w:t>ata-based comparison</w:t>
      </w:r>
      <w:r>
        <w:fldChar w:fldCharType="end"/>
      </w:r>
      <w:r w:rsidR="005E330A">
        <w:rPr>
          <w:lang w:eastAsia="ja-JP"/>
        </w:rPr>
        <w:t>’</w:t>
      </w:r>
      <w:r w:rsidR="008F5764">
        <w:rPr>
          <w:lang w:eastAsia="ja-JP"/>
        </w:rPr>
        <w:t>,</w:t>
      </w:r>
      <w:r>
        <w:rPr>
          <w:lang w:eastAsia="ja-JP"/>
        </w:rPr>
        <w:t xml:space="preserve"> </w:t>
      </w:r>
      <w:r w:rsidRPr="00E431C4">
        <w:rPr>
          <w:rStyle w:val="Emphasis"/>
        </w:rPr>
        <w:t>Environmental Toxicology and Chemistry</w:t>
      </w:r>
      <w:r>
        <w:rPr>
          <w:lang w:eastAsia="ja-JP"/>
        </w:rPr>
        <w:t>, 18</w:t>
      </w:r>
      <w:r w:rsidR="008F5764">
        <w:rPr>
          <w:lang w:eastAsia="ja-JP"/>
        </w:rPr>
        <w:t>:</w:t>
      </w:r>
      <w:r>
        <w:rPr>
          <w:lang w:eastAsia="ja-JP"/>
        </w:rPr>
        <w:t>1329–1346</w:t>
      </w:r>
      <w:r w:rsidR="005E330A">
        <w:rPr>
          <w:lang w:eastAsia="ja-JP"/>
        </w:rPr>
        <w:t xml:space="preserve">, </w:t>
      </w:r>
      <w:r w:rsidR="002A0E99">
        <w:rPr>
          <w:lang w:eastAsia="ja-JP"/>
        </w:rPr>
        <w:t>doi:</w:t>
      </w:r>
      <w:r w:rsidRPr="005E330A" w:rsidR="005E330A">
        <w:rPr>
          <w:lang w:eastAsia="ja-JP"/>
        </w:rPr>
        <w:t>10.1002/etc.5620180636</w:t>
      </w:r>
      <w:r>
        <w:rPr>
          <w:lang w:eastAsia="ja-JP"/>
        </w:rPr>
        <w:t>.</w:t>
      </w:r>
    </w:p>
    <w:p w:rsidR="005B6FC0" w:rsidRPr="0077502D" w:rsidP="0077502D" w14:paraId="2E5D2597" w14:textId="1B972697">
      <w:pPr>
        <w:rPr>
          <w:lang w:eastAsia="ja-JP"/>
        </w:rPr>
      </w:pPr>
      <w:r w:rsidRPr="0077502D">
        <w:rPr>
          <w:lang w:eastAsia="ja-JP"/>
        </w:rPr>
        <w:t>Viarengo A, Lowe D, Bolognesi C, Fabbri E</w:t>
      </w:r>
      <w:r w:rsidR="008F5764">
        <w:rPr>
          <w:lang w:eastAsia="ja-JP"/>
        </w:rPr>
        <w:t xml:space="preserve"> and</w:t>
      </w:r>
      <w:r w:rsidRPr="0077502D">
        <w:rPr>
          <w:lang w:eastAsia="ja-JP"/>
        </w:rPr>
        <w:t xml:space="preserve"> Koehler A </w:t>
      </w:r>
      <w:r w:rsidR="008F5764">
        <w:rPr>
          <w:lang w:eastAsia="ja-JP"/>
        </w:rPr>
        <w:t>(</w:t>
      </w:r>
      <w:r w:rsidRPr="0077502D">
        <w:rPr>
          <w:lang w:eastAsia="ja-JP"/>
        </w:rPr>
        <w:t>2007</w:t>
      </w:r>
      <w:r w:rsidR="008F5764">
        <w:rPr>
          <w:lang w:eastAsia="ja-JP"/>
        </w:rPr>
        <w:t>)</w:t>
      </w:r>
      <w:r w:rsidRPr="0077502D">
        <w:rPr>
          <w:lang w:eastAsia="ja-JP"/>
        </w:rPr>
        <w:t xml:space="preserve"> </w:t>
      </w:r>
      <w:r w:rsidR="008F5764">
        <w:rPr>
          <w:lang w:eastAsia="ja-JP"/>
        </w:rPr>
        <w:t>‘</w:t>
      </w:r>
      <w:r>
        <w:fldChar w:fldCharType="begin"/>
      </w:r>
      <w:r>
        <w:instrText xml:space="preserve"> HYPERLINK "https://doi.org/10.1016/j.cbpc.2007.04.011" </w:instrText>
      </w:r>
      <w:r>
        <w:fldChar w:fldCharType="separate"/>
      </w:r>
      <w:r w:rsidRPr="005E330A">
        <w:rPr>
          <w:rStyle w:val="Hyperlink"/>
          <w:lang w:eastAsia="ja-JP"/>
        </w:rPr>
        <w:t xml:space="preserve">The use of biomarkers in biomonitoring: </w:t>
      </w:r>
      <w:r w:rsidRPr="005E330A" w:rsidR="008F5764">
        <w:rPr>
          <w:rStyle w:val="Hyperlink"/>
          <w:lang w:eastAsia="ja-JP"/>
        </w:rPr>
        <w:t>a</w:t>
      </w:r>
      <w:r w:rsidRPr="005E330A">
        <w:rPr>
          <w:rStyle w:val="Hyperlink"/>
          <w:lang w:eastAsia="ja-JP"/>
        </w:rPr>
        <w:t xml:space="preserve"> 2-tier approach assessing the level of pollutant-induced stress syndrome in sentinel organisms</w:t>
      </w:r>
      <w:r>
        <w:fldChar w:fldCharType="end"/>
      </w:r>
      <w:r w:rsidR="005E330A">
        <w:rPr>
          <w:lang w:eastAsia="ja-JP"/>
        </w:rPr>
        <w:t>’</w:t>
      </w:r>
      <w:r w:rsidR="008F5764">
        <w:rPr>
          <w:lang w:eastAsia="ja-JP"/>
        </w:rPr>
        <w:t>,</w:t>
      </w:r>
      <w:r w:rsidRPr="0077502D">
        <w:rPr>
          <w:lang w:eastAsia="ja-JP"/>
        </w:rPr>
        <w:t xml:space="preserve"> </w:t>
      </w:r>
      <w:r w:rsidRPr="008F5764" w:rsidR="008F5764">
        <w:rPr>
          <w:rStyle w:val="Emphasis"/>
        </w:rPr>
        <w:t>Comparative Biochemistry and Physiology Part C</w:t>
      </w:r>
      <w:r w:rsidR="005E330A">
        <w:rPr>
          <w:rStyle w:val="Emphasis"/>
        </w:rPr>
        <w:t>: Toxicology and Pharmacology</w:t>
      </w:r>
      <w:r>
        <w:rPr>
          <w:lang w:eastAsia="ja-JP"/>
        </w:rPr>
        <w:t>,</w:t>
      </w:r>
      <w:r w:rsidRPr="0077502D">
        <w:rPr>
          <w:lang w:eastAsia="ja-JP"/>
        </w:rPr>
        <w:t xml:space="preserve"> 146</w:t>
      </w:r>
      <w:r w:rsidR="008F5764">
        <w:rPr>
          <w:lang w:eastAsia="ja-JP"/>
        </w:rPr>
        <w:t>:</w:t>
      </w:r>
      <w:r w:rsidRPr="0077502D">
        <w:rPr>
          <w:lang w:eastAsia="ja-JP"/>
        </w:rPr>
        <w:t>281–30</w:t>
      </w:r>
      <w:r w:rsidR="005E330A">
        <w:rPr>
          <w:lang w:eastAsia="ja-JP"/>
        </w:rPr>
        <w:t xml:space="preserve">, </w:t>
      </w:r>
      <w:r w:rsidR="002A0E99">
        <w:rPr>
          <w:lang w:eastAsia="ja-JP"/>
        </w:rPr>
        <w:t>doi:</w:t>
      </w:r>
      <w:r w:rsidRPr="005E330A" w:rsidR="005E330A">
        <w:rPr>
          <w:lang w:eastAsia="ja-JP"/>
        </w:rPr>
        <w:t>10.1016/j.cbpc.2007.04.011</w:t>
      </w:r>
      <w:r>
        <w:rPr>
          <w:lang w:eastAsia="ja-JP"/>
        </w:rPr>
        <w:t>.</w:t>
      </w:r>
      <w:r w:rsidRPr="0077502D">
        <w:rPr>
          <w:lang w:eastAsia="ja-JP"/>
        </w:rPr>
        <w:t xml:space="preserve"> </w:t>
      </w:r>
    </w:p>
    <w:p w:rsidR="005B6FC0" w:rsidP="001B25CD" w14:paraId="4677D6B7" w14:textId="1359A7E5">
      <w:pPr>
        <w:rPr>
          <w:lang w:eastAsia="ja-JP"/>
        </w:rPr>
      </w:pPr>
      <w:r>
        <w:rPr>
          <w:lang w:eastAsia="ja-JP"/>
        </w:rPr>
        <w:t xml:space="preserve">Vinken M </w:t>
      </w:r>
      <w:r w:rsidR="008F5764">
        <w:rPr>
          <w:lang w:eastAsia="ja-JP"/>
        </w:rPr>
        <w:t>(</w:t>
      </w:r>
      <w:r>
        <w:rPr>
          <w:lang w:eastAsia="ja-JP"/>
        </w:rPr>
        <w:t>2013</w:t>
      </w:r>
      <w:r w:rsidR="008F5764">
        <w:rPr>
          <w:lang w:eastAsia="ja-JP"/>
        </w:rPr>
        <w:t>)</w:t>
      </w:r>
      <w:r>
        <w:rPr>
          <w:lang w:eastAsia="ja-JP"/>
        </w:rPr>
        <w:t xml:space="preserve"> </w:t>
      </w:r>
      <w:r w:rsidR="008F5764">
        <w:rPr>
          <w:lang w:eastAsia="ja-JP"/>
        </w:rPr>
        <w:t>‘</w:t>
      </w:r>
      <w:r>
        <w:fldChar w:fldCharType="begin"/>
      </w:r>
      <w:r>
        <w:instrText xml:space="preserve"> HYPERLINK "https://doi.org/10.1016/j.tox.2013.08.011" </w:instrText>
      </w:r>
      <w:r>
        <w:fldChar w:fldCharType="separate"/>
      </w:r>
      <w:r w:rsidRPr="005E330A">
        <w:rPr>
          <w:rStyle w:val="Hyperlink"/>
          <w:lang w:eastAsia="ja-JP"/>
        </w:rPr>
        <w:t xml:space="preserve">The adverse outcome pathway concept: </w:t>
      </w:r>
      <w:r w:rsidRPr="005E330A" w:rsidR="008F5764">
        <w:rPr>
          <w:rStyle w:val="Hyperlink"/>
          <w:lang w:eastAsia="ja-JP"/>
        </w:rPr>
        <w:t>a</w:t>
      </w:r>
      <w:r w:rsidRPr="005E330A">
        <w:rPr>
          <w:rStyle w:val="Hyperlink"/>
          <w:lang w:eastAsia="ja-JP"/>
        </w:rPr>
        <w:t xml:space="preserve"> pragmatic tool in toxicology</w:t>
      </w:r>
      <w:r>
        <w:fldChar w:fldCharType="end"/>
      </w:r>
      <w:r w:rsidR="008F5764">
        <w:rPr>
          <w:lang w:eastAsia="ja-JP"/>
        </w:rPr>
        <w:t>’,</w:t>
      </w:r>
      <w:r>
        <w:rPr>
          <w:lang w:eastAsia="ja-JP"/>
        </w:rPr>
        <w:t xml:space="preserve"> </w:t>
      </w:r>
      <w:r w:rsidRPr="00E431C4">
        <w:rPr>
          <w:rStyle w:val="Emphasis"/>
        </w:rPr>
        <w:t>Toxicology</w:t>
      </w:r>
      <w:r>
        <w:rPr>
          <w:lang w:eastAsia="ja-JP"/>
        </w:rPr>
        <w:t>, 312</w:t>
      </w:r>
      <w:r w:rsidR="008F5764">
        <w:rPr>
          <w:lang w:eastAsia="ja-JP"/>
        </w:rPr>
        <w:t>:</w:t>
      </w:r>
      <w:r>
        <w:rPr>
          <w:lang w:eastAsia="ja-JP"/>
        </w:rPr>
        <w:t>158–165</w:t>
      </w:r>
      <w:r w:rsidR="005E330A">
        <w:rPr>
          <w:lang w:eastAsia="ja-JP"/>
        </w:rPr>
        <w:t xml:space="preserve">, </w:t>
      </w:r>
      <w:r w:rsidR="002A0E99">
        <w:rPr>
          <w:lang w:eastAsia="ja-JP"/>
        </w:rPr>
        <w:t>doi:</w:t>
      </w:r>
      <w:r w:rsidRPr="005E330A" w:rsidR="005E330A">
        <w:rPr>
          <w:lang w:eastAsia="ja-JP"/>
        </w:rPr>
        <w:t>10.1016/j.tox.2013.08.011</w:t>
      </w:r>
      <w:r>
        <w:rPr>
          <w:lang w:eastAsia="ja-JP"/>
        </w:rPr>
        <w:t>.</w:t>
      </w:r>
    </w:p>
    <w:p w:rsidR="005B6FC0" w:rsidP="001B25CD" w14:paraId="7E75018B" w14:textId="02D4E69D">
      <w:pPr>
        <w:rPr>
          <w:lang w:eastAsia="ja-JP"/>
        </w:rPr>
      </w:pPr>
      <w:r>
        <w:rPr>
          <w:lang w:eastAsia="ja-JP"/>
        </w:rPr>
        <w:t xml:space="preserve">Walker CH </w:t>
      </w:r>
      <w:r w:rsidR="008F5764">
        <w:rPr>
          <w:lang w:eastAsia="ja-JP"/>
        </w:rPr>
        <w:t>(</w:t>
      </w:r>
      <w:r>
        <w:rPr>
          <w:lang w:eastAsia="ja-JP"/>
        </w:rPr>
        <w:t>1999</w:t>
      </w:r>
      <w:r w:rsidR="008F5764">
        <w:rPr>
          <w:lang w:eastAsia="ja-JP"/>
        </w:rPr>
        <w:t>)</w:t>
      </w:r>
      <w:r>
        <w:rPr>
          <w:lang w:eastAsia="ja-JP"/>
        </w:rPr>
        <w:t xml:space="preserve"> </w:t>
      </w:r>
      <w:r w:rsidR="008F5764">
        <w:rPr>
          <w:lang w:eastAsia="ja-JP"/>
        </w:rPr>
        <w:t>‘</w:t>
      </w:r>
      <w:r>
        <w:rPr>
          <w:lang w:eastAsia="ja-JP"/>
        </w:rPr>
        <w:t>The use of biomarkers in vertebrates</w:t>
      </w:r>
      <w:r w:rsidR="008F5764">
        <w:rPr>
          <w:lang w:eastAsia="ja-JP"/>
        </w:rPr>
        <w:t>’,</w:t>
      </w:r>
      <w:r>
        <w:rPr>
          <w:lang w:eastAsia="ja-JP"/>
        </w:rPr>
        <w:t xml:space="preserve"> </w:t>
      </w:r>
      <w:r w:rsidR="008F5764">
        <w:rPr>
          <w:lang w:eastAsia="ja-JP"/>
        </w:rPr>
        <w:t>i</w:t>
      </w:r>
      <w:r>
        <w:rPr>
          <w:lang w:eastAsia="ja-JP"/>
        </w:rPr>
        <w:t>n Peakall</w:t>
      </w:r>
      <w:r w:rsidR="008F5764">
        <w:rPr>
          <w:lang w:eastAsia="ja-JP"/>
        </w:rPr>
        <w:t xml:space="preserve"> DB</w:t>
      </w:r>
      <w:r>
        <w:rPr>
          <w:lang w:eastAsia="ja-JP"/>
        </w:rPr>
        <w:t>, Walker</w:t>
      </w:r>
      <w:r w:rsidR="008F5764">
        <w:rPr>
          <w:lang w:eastAsia="ja-JP"/>
        </w:rPr>
        <w:t xml:space="preserve"> CH</w:t>
      </w:r>
      <w:r>
        <w:rPr>
          <w:lang w:eastAsia="ja-JP"/>
        </w:rPr>
        <w:t xml:space="preserve"> </w:t>
      </w:r>
      <w:r w:rsidR="003C60FB">
        <w:rPr>
          <w:lang w:eastAsia="ja-JP"/>
        </w:rPr>
        <w:t>and</w:t>
      </w:r>
      <w:r>
        <w:rPr>
          <w:lang w:eastAsia="ja-JP"/>
        </w:rPr>
        <w:t xml:space="preserve"> Migula</w:t>
      </w:r>
      <w:r w:rsidR="008F5764">
        <w:rPr>
          <w:lang w:eastAsia="ja-JP"/>
        </w:rPr>
        <w:t xml:space="preserve"> P</w:t>
      </w:r>
      <w:r>
        <w:rPr>
          <w:lang w:eastAsia="ja-JP"/>
        </w:rPr>
        <w:t xml:space="preserve"> (eds) </w:t>
      </w:r>
      <w:r w:rsidRPr="008F5764">
        <w:rPr>
          <w:i/>
          <w:iCs/>
          <w:lang w:eastAsia="ja-JP"/>
        </w:rPr>
        <w:t xml:space="preserve">Biomarkers: </w:t>
      </w:r>
      <w:r w:rsidR="008F5764">
        <w:rPr>
          <w:i/>
          <w:iCs/>
          <w:lang w:eastAsia="ja-JP"/>
        </w:rPr>
        <w:t>a</w:t>
      </w:r>
      <w:r w:rsidRPr="008F5764">
        <w:rPr>
          <w:i/>
          <w:iCs/>
          <w:lang w:eastAsia="ja-JP"/>
        </w:rPr>
        <w:t xml:space="preserve"> pragmatic basis for remediation of severe pollution in </w:t>
      </w:r>
      <w:r w:rsidR="008F5764">
        <w:rPr>
          <w:i/>
          <w:iCs/>
          <w:lang w:eastAsia="ja-JP"/>
        </w:rPr>
        <w:t>e</w:t>
      </w:r>
      <w:r w:rsidRPr="008F5764">
        <w:rPr>
          <w:i/>
          <w:iCs/>
          <w:lang w:eastAsia="ja-JP"/>
        </w:rPr>
        <w:t>astern Europe</w:t>
      </w:r>
      <w:r w:rsidR="008F5764">
        <w:rPr>
          <w:lang w:eastAsia="ja-JP"/>
        </w:rPr>
        <w:t>,</w:t>
      </w:r>
      <w:r>
        <w:rPr>
          <w:lang w:eastAsia="ja-JP"/>
        </w:rPr>
        <w:t xml:space="preserve"> NATO Science Series 2: Environmental Security, </w:t>
      </w:r>
      <w:r w:rsidR="008F5764">
        <w:rPr>
          <w:lang w:eastAsia="ja-JP"/>
        </w:rPr>
        <w:t>v</w:t>
      </w:r>
      <w:r>
        <w:rPr>
          <w:lang w:eastAsia="ja-JP"/>
        </w:rPr>
        <w:t xml:space="preserve">ol 54, </w:t>
      </w:r>
      <w:r w:rsidRPr="0058209C">
        <w:rPr>
          <w:lang w:val="en-GB" w:eastAsia="ja-JP"/>
        </w:rPr>
        <w:t>Springer Science+Business Media</w:t>
      </w:r>
      <w:r>
        <w:rPr>
          <w:lang w:val="en-GB" w:eastAsia="ja-JP"/>
        </w:rPr>
        <w:t xml:space="preserve">, Dordrecht. </w:t>
      </w:r>
    </w:p>
    <w:p w:rsidR="005B6FC0" w:rsidRPr="006E2389" w:rsidP="004A2DDD" w14:paraId="69C9343E" w14:textId="256C2D36">
      <w:pPr>
        <w:rPr>
          <w:lang w:val="en-GB"/>
        </w:rPr>
      </w:pPr>
      <w:r w:rsidRPr="006E2389">
        <w:rPr>
          <w:lang w:val="en-GB"/>
        </w:rPr>
        <w:t xml:space="preserve">Waller WT, Ammann LP, Birge WJ, Dickson KL, Dorn PB, LeBlanc NE, Mount DI, Parkhurst BR, Preston HR, Schimmel SC, Spaci A </w:t>
      </w:r>
      <w:r w:rsidR="003C60FB">
        <w:rPr>
          <w:lang w:val="en-GB"/>
        </w:rPr>
        <w:t>and</w:t>
      </w:r>
      <w:r w:rsidRPr="006E2389">
        <w:rPr>
          <w:lang w:val="en-GB"/>
        </w:rPr>
        <w:t xml:space="preserve"> Thursby GB </w:t>
      </w:r>
      <w:r w:rsidR="008F5764">
        <w:rPr>
          <w:lang w:val="en-GB"/>
        </w:rPr>
        <w:t>(</w:t>
      </w:r>
      <w:r w:rsidRPr="006E2389">
        <w:rPr>
          <w:lang w:val="en-GB"/>
        </w:rPr>
        <w:t>1996</w:t>
      </w:r>
      <w:r w:rsidR="008F5764">
        <w:rPr>
          <w:lang w:val="en-GB"/>
        </w:rPr>
        <w:t>)</w:t>
      </w:r>
      <w:r w:rsidRPr="006E2389">
        <w:rPr>
          <w:lang w:val="en-GB"/>
        </w:rPr>
        <w:t xml:space="preserve"> </w:t>
      </w:r>
      <w:r w:rsidR="008F5764">
        <w:rPr>
          <w:lang w:val="en-GB"/>
        </w:rPr>
        <w:t>‘</w:t>
      </w:r>
      <w:r w:rsidRPr="006E2389">
        <w:rPr>
          <w:lang w:val="en-GB"/>
        </w:rPr>
        <w:t>Predicting instream effects from WET tests</w:t>
      </w:r>
      <w:r w:rsidR="008F5764">
        <w:rPr>
          <w:lang w:val="en-GB"/>
        </w:rPr>
        <w:t>’,</w:t>
      </w:r>
      <w:r w:rsidRPr="006E2389">
        <w:rPr>
          <w:lang w:val="en-GB"/>
        </w:rPr>
        <w:t xml:space="preserve"> </w:t>
      </w:r>
      <w:r w:rsidR="008F5764">
        <w:rPr>
          <w:lang w:val="en-GB"/>
        </w:rPr>
        <w:t>i</w:t>
      </w:r>
      <w:r w:rsidRPr="006E2389">
        <w:rPr>
          <w:lang w:val="en-GB"/>
        </w:rPr>
        <w:t>n Grothe</w:t>
      </w:r>
      <w:r w:rsidR="008F5764">
        <w:rPr>
          <w:lang w:val="en-GB"/>
        </w:rPr>
        <w:t xml:space="preserve"> DR</w:t>
      </w:r>
      <w:r w:rsidRPr="006E2389">
        <w:rPr>
          <w:lang w:val="en-GB"/>
        </w:rPr>
        <w:t>, Dickson</w:t>
      </w:r>
      <w:r w:rsidR="008F5764">
        <w:rPr>
          <w:lang w:val="en-GB"/>
        </w:rPr>
        <w:t xml:space="preserve"> KL</w:t>
      </w:r>
      <w:r w:rsidRPr="006E2389">
        <w:rPr>
          <w:lang w:val="en-GB"/>
        </w:rPr>
        <w:t xml:space="preserve"> </w:t>
      </w:r>
      <w:r w:rsidR="003C60FB">
        <w:rPr>
          <w:lang w:val="en-GB"/>
        </w:rPr>
        <w:t>and</w:t>
      </w:r>
      <w:r w:rsidRPr="006E2389">
        <w:rPr>
          <w:lang w:val="en-GB"/>
        </w:rPr>
        <w:t xml:space="preserve"> Reed-Judkins</w:t>
      </w:r>
      <w:r w:rsidR="008F5764">
        <w:rPr>
          <w:lang w:val="en-GB"/>
        </w:rPr>
        <w:t xml:space="preserve"> DK</w:t>
      </w:r>
      <w:r w:rsidRPr="006E2389">
        <w:rPr>
          <w:lang w:val="en-GB"/>
        </w:rPr>
        <w:t xml:space="preserve"> </w:t>
      </w:r>
      <w:r>
        <w:rPr>
          <w:lang w:val="en-GB"/>
        </w:rPr>
        <w:t xml:space="preserve">(eds) </w:t>
      </w:r>
      <w:r w:rsidRPr="008F5764">
        <w:rPr>
          <w:i/>
          <w:iCs/>
          <w:lang w:val="en-GB"/>
        </w:rPr>
        <w:t xml:space="preserve">Whole effluent toxicity testing: </w:t>
      </w:r>
      <w:r w:rsidRPr="008F5764" w:rsidR="008F5764">
        <w:rPr>
          <w:i/>
          <w:iCs/>
          <w:lang w:val="en-GB"/>
        </w:rPr>
        <w:t>a</w:t>
      </w:r>
      <w:r w:rsidRPr="008F5764">
        <w:rPr>
          <w:i/>
          <w:iCs/>
          <w:lang w:val="en-GB"/>
        </w:rPr>
        <w:t>n evaluation of methods and prediction of receiving system impacts</w:t>
      </w:r>
      <w:r w:rsidR="00D01491">
        <w:rPr>
          <w:lang w:val="en-GB"/>
        </w:rPr>
        <w:t>,</w:t>
      </w:r>
      <w:r w:rsidRPr="006E2389">
        <w:rPr>
          <w:lang w:val="en-GB"/>
        </w:rPr>
        <w:t xml:space="preserve"> S</w:t>
      </w:r>
      <w:r w:rsidR="00D01491">
        <w:rPr>
          <w:lang w:val="en-GB"/>
        </w:rPr>
        <w:t xml:space="preserve">ociety of </w:t>
      </w:r>
      <w:r w:rsidRPr="006E2389">
        <w:rPr>
          <w:lang w:val="en-GB"/>
        </w:rPr>
        <w:t>E</w:t>
      </w:r>
      <w:r w:rsidR="00D01491">
        <w:rPr>
          <w:lang w:val="en-GB"/>
        </w:rPr>
        <w:t xml:space="preserve">nvironmental </w:t>
      </w:r>
      <w:r w:rsidRPr="006E2389">
        <w:rPr>
          <w:lang w:val="en-GB"/>
        </w:rPr>
        <w:t>T</w:t>
      </w:r>
      <w:r w:rsidR="00D01491">
        <w:rPr>
          <w:lang w:val="en-GB"/>
        </w:rPr>
        <w:t xml:space="preserve">oxicology and </w:t>
      </w:r>
      <w:r w:rsidRPr="006E2389">
        <w:rPr>
          <w:lang w:val="en-GB"/>
        </w:rPr>
        <w:t>C</w:t>
      </w:r>
      <w:r w:rsidR="00D01491">
        <w:rPr>
          <w:lang w:val="en-GB"/>
        </w:rPr>
        <w:t>hemistry</w:t>
      </w:r>
      <w:r w:rsidRPr="006E2389">
        <w:rPr>
          <w:lang w:val="en-GB"/>
        </w:rPr>
        <w:t xml:space="preserve"> Press, Pensacola.</w:t>
      </w:r>
    </w:p>
    <w:p w:rsidR="005B6FC0" w:rsidRPr="00F6192C" w:rsidP="00F6192C" w14:paraId="66E62D60" w14:textId="20D3B371">
      <w:pPr>
        <w:rPr>
          <w:rFonts w:cstheme="minorHAnsi"/>
          <w:lang w:val="en-GB"/>
        </w:rPr>
      </w:pPr>
      <w:r w:rsidRPr="00F6192C">
        <w:rPr>
          <w:rFonts w:cstheme="minorHAnsi"/>
          <w:lang w:val="en-GB"/>
        </w:rPr>
        <w:t xml:space="preserve">Warne MStJ </w:t>
      </w:r>
      <w:r w:rsidR="00D01491">
        <w:rPr>
          <w:rFonts w:cstheme="minorHAnsi"/>
          <w:lang w:val="en-GB"/>
        </w:rPr>
        <w:t>(</w:t>
      </w:r>
      <w:r w:rsidRPr="00F6192C">
        <w:rPr>
          <w:rFonts w:cstheme="minorHAnsi"/>
          <w:lang w:val="en-GB"/>
        </w:rPr>
        <w:t>1998</w:t>
      </w:r>
      <w:r w:rsidR="00D01491">
        <w:rPr>
          <w:rFonts w:cstheme="minorHAnsi"/>
          <w:lang w:val="en-GB"/>
        </w:rPr>
        <w:t>)</w:t>
      </w:r>
      <w:r w:rsidRPr="00F6192C">
        <w:rPr>
          <w:rFonts w:cstheme="minorHAnsi"/>
          <w:lang w:val="en-GB"/>
        </w:rPr>
        <w:t xml:space="preserve"> </w:t>
      </w:r>
      <w:r>
        <w:fldChar w:fldCharType="begin"/>
      </w:r>
      <w:r>
        <w:instrText xml:space="preserve"> HYPERLINK "https://www.dcceew.gov.au/science-research/supervising-scientist/publications/ssr/critical-review-methods-derive-water-quality-guidelines-toxicants" </w:instrText>
      </w:r>
      <w:r>
        <w:fldChar w:fldCharType="separate"/>
      </w:r>
      <w:r w:rsidRPr="005E330A">
        <w:rPr>
          <w:rStyle w:val="Hyperlink"/>
          <w:rFonts w:cstheme="minorHAnsi"/>
          <w:i/>
          <w:iCs/>
          <w:lang w:val="en-GB"/>
        </w:rPr>
        <w:t>Critical review of methods to derive water quality guidelines for toxicants and a proposal for a new framework</w:t>
      </w:r>
      <w:r>
        <w:fldChar w:fldCharType="end"/>
      </w:r>
      <w:r w:rsidR="00D01491">
        <w:rPr>
          <w:rFonts w:cstheme="minorHAnsi"/>
          <w:lang w:val="en-GB"/>
        </w:rPr>
        <w:t>,</w:t>
      </w:r>
      <w:r w:rsidRPr="00F6192C">
        <w:rPr>
          <w:rFonts w:cstheme="minorHAnsi"/>
          <w:lang w:val="en-GB"/>
        </w:rPr>
        <w:t xml:space="preserve"> Supervising Scientist Report 135, Supervising Scientist</w:t>
      </w:r>
      <w:r w:rsidR="00D01491">
        <w:rPr>
          <w:rFonts w:cstheme="minorHAnsi"/>
          <w:lang w:val="en-GB"/>
        </w:rPr>
        <w:t xml:space="preserve"> Division</w:t>
      </w:r>
      <w:r w:rsidRPr="00F6192C">
        <w:rPr>
          <w:rFonts w:cstheme="minorHAnsi"/>
          <w:lang w:val="en-GB"/>
        </w:rPr>
        <w:t xml:space="preserve">, </w:t>
      </w:r>
      <w:r w:rsidR="00D01491">
        <w:rPr>
          <w:rFonts w:cstheme="minorHAnsi"/>
          <w:lang w:val="en-GB"/>
        </w:rPr>
        <w:t>Australian Government</w:t>
      </w:r>
      <w:r w:rsidRPr="00F6192C">
        <w:rPr>
          <w:rFonts w:cstheme="minorHAnsi"/>
          <w:lang w:val="en-GB"/>
        </w:rPr>
        <w:t>.</w:t>
      </w:r>
    </w:p>
    <w:p w:rsidR="005B6FC0" w:rsidP="001B25CD" w14:paraId="2767A992" w14:textId="590CD895">
      <w:pPr>
        <w:rPr>
          <w:lang w:eastAsia="ja-JP"/>
        </w:rPr>
      </w:pPr>
      <w:r w:rsidRPr="00C11ACF">
        <w:rPr>
          <w:rFonts w:cstheme="minorHAnsi"/>
        </w:rPr>
        <w:t>Warne MStJ,</w:t>
      </w:r>
      <w:r>
        <w:rPr>
          <w:rFonts w:cstheme="minorHAnsi"/>
        </w:rPr>
        <w:t xml:space="preserve"> </w:t>
      </w:r>
      <w:r w:rsidRPr="00C11ACF">
        <w:rPr>
          <w:rFonts w:cstheme="minorHAnsi"/>
        </w:rPr>
        <w:t>Batley</w:t>
      </w:r>
      <w:r>
        <w:rPr>
          <w:rFonts w:cstheme="minorHAnsi"/>
        </w:rPr>
        <w:t xml:space="preserve"> GE</w:t>
      </w:r>
      <w:r w:rsidRPr="00C11ACF">
        <w:rPr>
          <w:rFonts w:cstheme="minorHAnsi"/>
        </w:rPr>
        <w:t xml:space="preserve">, van Dam </w:t>
      </w:r>
      <w:r>
        <w:rPr>
          <w:rFonts w:cstheme="minorHAnsi"/>
        </w:rPr>
        <w:t xml:space="preserve">RA, </w:t>
      </w:r>
      <w:r w:rsidRPr="00C11ACF">
        <w:rPr>
          <w:rFonts w:cstheme="minorHAnsi"/>
        </w:rPr>
        <w:t xml:space="preserve">Chapman </w:t>
      </w:r>
      <w:r>
        <w:rPr>
          <w:rFonts w:cstheme="minorHAnsi"/>
        </w:rPr>
        <w:t xml:space="preserve">JV, </w:t>
      </w:r>
      <w:r w:rsidRPr="00C11ACF">
        <w:rPr>
          <w:rFonts w:cstheme="minorHAnsi"/>
        </w:rPr>
        <w:t>Fox</w:t>
      </w:r>
      <w:r>
        <w:rPr>
          <w:rFonts w:cstheme="minorHAnsi"/>
        </w:rPr>
        <w:t xml:space="preserve"> DR,</w:t>
      </w:r>
      <w:r w:rsidRPr="00C11ACF">
        <w:rPr>
          <w:rFonts w:cstheme="minorHAnsi"/>
        </w:rPr>
        <w:t xml:space="preserve"> Hickey</w:t>
      </w:r>
      <w:r>
        <w:rPr>
          <w:rFonts w:cstheme="minorHAnsi"/>
        </w:rPr>
        <w:t xml:space="preserve"> CW </w:t>
      </w:r>
      <w:r w:rsidR="003C60FB">
        <w:rPr>
          <w:rFonts w:cstheme="minorHAnsi"/>
        </w:rPr>
        <w:t>and</w:t>
      </w:r>
      <w:r>
        <w:rPr>
          <w:rFonts w:cstheme="minorHAnsi"/>
        </w:rPr>
        <w:t xml:space="preserve"> </w:t>
      </w:r>
      <w:r w:rsidRPr="00C11ACF">
        <w:rPr>
          <w:rFonts w:cstheme="minorHAnsi"/>
        </w:rPr>
        <w:t>Stauber</w:t>
      </w:r>
      <w:r>
        <w:rPr>
          <w:rFonts w:cstheme="minorHAnsi"/>
        </w:rPr>
        <w:t xml:space="preserve"> JL</w:t>
      </w:r>
      <w:r w:rsidRPr="00C11ACF">
        <w:rPr>
          <w:rFonts w:cstheme="minorHAnsi"/>
        </w:rPr>
        <w:t xml:space="preserve"> </w:t>
      </w:r>
      <w:r w:rsidR="00D01491">
        <w:rPr>
          <w:rFonts w:cstheme="minorHAnsi"/>
        </w:rPr>
        <w:t>(</w:t>
      </w:r>
      <w:r w:rsidRPr="00C11ACF">
        <w:rPr>
          <w:rFonts w:cstheme="minorHAnsi"/>
        </w:rPr>
        <w:t>2018</w:t>
      </w:r>
      <w:r w:rsidR="00D01491">
        <w:rPr>
          <w:rFonts w:cstheme="minorHAnsi"/>
        </w:rPr>
        <w:t>)</w:t>
      </w:r>
      <w:r w:rsidRPr="00C11ACF">
        <w:rPr>
          <w:rFonts w:cstheme="minorHAnsi"/>
        </w:rPr>
        <w:t xml:space="preserve"> </w:t>
      </w:r>
      <w:r w:rsidRPr="002B1E57">
        <w:rPr>
          <w:rFonts w:cstheme="minorHAnsi"/>
          <w:i/>
          <w:iCs/>
        </w:rPr>
        <w:t xml:space="preserve">Revised </w:t>
      </w:r>
      <w:r w:rsidR="002B1E57">
        <w:rPr>
          <w:rFonts w:cstheme="minorHAnsi"/>
          <w:i/>
          <w:iCs/>
        </w:rPr>
        <w:t>m</w:t>
      </w:r>
      <w:r w:rsidRPr="002B1E57">
        <w:rPr>
          <w:rFonts w:cstheme="minorHAnsi"/>
          <w:i/>
          <w:iCs/>
        </w:rPr>
        <w:t xml:space="preserve">ethod for </w:t>
      </w:r>
      <w:r w:rsidR="002B1E57">
        <w:rPr>
          <w:rFonts w:cstheme="minorHAnsi"/>
          <w:i/>
          <w:iCs/>
        </w:rPr>
        <w:t>d</w:t>
      </w:r>
      <w:r w:rsidRPr="002B1E57">
        <w:rPr>
          <w:rFonts w:cstheme="minorHAnsi"/>
          <w:i/>
          <w:iCs/>
        </w:rPr>
        <w:t xml:space="preserve">eriving Australian and New Zealand </w:t>
      </w:r>
      <w:r w:rsidR="002B1E57">
        <w:rPr>
          <w:rFonts w:cstheme="minorHAnsi"/>
          <w:i/>
          <w:iCs/>
        </w:rPr>
        <w:t>w</w:t>
      </w:r>
      <w:r w:rsidRPr="002B1E57">
        <w:rPr>
          <w:rFonts w:cstheme="minorHAnsi"/>
          <w:i/>
          <w:iCs/>
        </w:rPr>
        <w:t xml:space="preserve">ater </w:t>
      </w:r>
      <w:r w:rsidR="002B1E57">
        <w:rPr>
          <w:rFonts w:cstheme="minorHAnsi"/>
          <w:i/>
          <w:iCs/>
        </w:rPr>
        <w:t>q</w:t>
      </w:r>
      <w:r w:rsidRPr="002B1E57">
        <w:rPr>
          <w:rFonts w:cstheme="minorHAnsi"/>
          <w:i/>
          <w:iCs/>
        </w:rPr>
        <w:t xml:space="preserve">uality </w:t>
      </w:r>
      <w:r w:rsidR="002B1E57">
        <w:rPr>
          <w:rFonts w:cstheme="minorHAnsi"/>
          <w:i/>
          <w:iCs/>
        </w:rPr>
        <w:t>g</w:t>
      </w:r>
      <w:r w:rsidRPr="002B1E57">
        <w:rPr>
          <w:rFonts w:cstheme="minorHAnsi"/>
          <w:i/>
          <w:iCs/>
        </w:rPr>
        <w:t xml:space="preserve">uideline </w:t>
      </w:r>
      <w:r w:rsidR="002B1E57">
        <w:rPr>
          <w:rFonts w:cstheme="minorHAnsi"/>
          <w:i/>
          <w:iCs/>
        </w:rPr>
        <w:t>v</w:t>
      </w:r>
      <w:r w:rsidRPr="002B1E57">
        <w:rPr>
          <w:rFonts w:cstheme="minorHAnsi"/>
          <w:i/>
          <w:iCs/>
        </w:rPr>
        <w:t xml:space="preserve">alues for </w:t>
      </w:r>
      <w:r w:rsidR="002B1E57">
        <w:rPr>
          <w:rFonts w:cstheme="minorHAnsi"/>
          <w:i/>
          <w:iCs/>
        </w:rPr>
        <w:t>t</w:t>
      </w:r>
      <w:r w:rsidRPr="002B1E57">
        <w:rPr>
          <w:rFonts w:cstheme="minorHAnsi"/>
          <w:i/>
          <w:iCs/>
        </w:rPr>
        <w:t>oxicants</w:t>
      </w:r>
      <w:r w:rsidR="002B1E57">
        <w:rPr>
          <w:rFonts w:cstheme="minorHAnsi"/>
        </w:rPr>
        <w:t>,</w:t>
      </w:r>
      <w:r w:rsidRPr="00C11ACF">
        <w:rPr>
          <w:rFonts w:cstheme="minorHAnsi"/>
        </w:rPr>
        <w:t xml:space="preserve"> </w:t>
      </w:r>
      <w:r w:rsidR="002B1E57">
        <w:rPr>
          <w:rFonts w:cstheme="minorHAnsi"/>
        </w:rPr>
        <w:t>report p</w:t>
      </w:r>
      <w:r w:rsidRPr="00C11ACF">
        <w:rPr>
          <w:rFonts w:cstheme="minorHAnsi"/>
        </w:rPr>
        <w:t xml:space="preserve">repared for the revision of the </w:t>
      </w:r>
      <w:r w:rsidRPr="002B1E57">
        <w:rPr>
          <w:rFonts w:cstheme="minorHAnsi"/>
          <w:i/>
          <w:iCs/>
        </w:rPr>
        <w:t xml:space="preserve">Australian and New Zealand </w:t>
      </w:r>
      <w:r w:rsidR="002B1E57">
        <w:rPr>
          <w:rFonts w:cstheme="minorHAnsi"/>
          <w:i/>
          <w:iCs/>
        </w:rPr>
        <w:t>g</w:t>
      </w:r>
      <w:r w:rsidRPr="002B1E57">
        <w:rPr>
          <w:rFonts w:cstheme="minorHAnsi"/>
          <w:i/>
          <w:iCs/>
        </w:rPr>
        <w:t xml:space="preserve">uidelines for </w:t>
      </w:r>
      <w:r w:rsidR="002B1E57">
        <w:rPr>
          <w:rFonts w:cstheme="minorHAnsi"/>
          <w:i/>
          <w:iCs/>
        </w:rPr>
        <w:t>f</w:t>
      </w:r>
      <w:r w:rsidRPr="002B1E57">
        <w:rPr>
          <w:rFonts w:cstheme="minorHAnsi"/>
          <w:i/>
          <w:iCs/>
        </w:rPr>
        <w:t xml:space="preserve">resh and </w:t>
      </w:r>
      <w:r w:rsidR="002B1E57">
        <w:rPr>
          <w:rFonts w:cstheme="minorHAnsi"/>
          <w:i/>
          <w:iCs/>
        </w:rPr>
        <w:t>m</w:t>
      </w:r>
      <w:r w:rsidRPr="002B1E57">
        <w:rPr>
          <w:rFonts w:cstheme="minorHAnsi"/>
          <w:i/>
          <w:iCs/>
        </w:rPr>
        <w:t xml:space="preserve">arine </w:t>
      </w:r>
      <w:r w:rsidR="002B1E57">
        <w:rPr>
          <w:rFonts w:cstheme="minorHAnsi"/>
          <w:i/>
          <w:iCs/>
        </w:rPr>
        <w:t>w</w:t>
      </w:r>
      <w:r w:rsidRPr="002B1E57">
        <w:rPr>
          <w:rFonts w:cstheme="minorHAnsi"/>
          <w:i/>
          <w:iCs/>
        </w:rPr>
        <w:t xml:space="preserve">ater </w:t>
      </w:r>
      <w:r w:rsidR="002B1E57">
        <w:rPr>
          <w:rFonts w:cstheme="minorHAnsi"/>
          <w:i/>
          <w:iCs/>
        </w:rPr>
        <w:t>q</w:t>
      </w:r>
      <w:r w:rsidRPr="002B1E57">
        <w:rPr>
          <w:rFonts w:cstheme="minorHAnsi"/>
          <w:i/>
          <w:iCs/>
        </w:rPr>
        <w:t>uality</w:t>
      </w:r>
      <w:r w:rsidR="009F3277">
        <w:rPr>
          <w:rFonts w:cstheme="minorHAnsi"/>
        </w:rPr>
        <w:t>,</w:t>
      </w:r>
      <w:r w:rsidRPr="00C11ACF">
        <w:rPr>
          <w:rFonts w:cstheme="minorHAnsi"/>
        </w:rPr>
        <w:t xml:space="preserve"> Australian and New Zealand </w:t>
      </w:r>
      <w:r w:rsidR="002B1E57">
        <w:rPr>
          <w:rFonts w:cstheme="minorHAnsi"/>
        </w:rPr>
        <w:t>g</w:t>
      </w:r>
      <w:r w:rsidRPr="00C11ACF">
        <w:rPr>
          <w:rFonts w:cstheme="minorHAnsi"/>
        </w:rPr>
        <w:t>overnment</w:t>
      </w:r>
      <w:r w:rsidR="002B1E57">
        <w:rPr>
          <w:rFonts w:cstheme="minorHAnsi"/>
        </w:rPr>
        <w:t>s</w:t>
      </w:r>
      <w:r w:rsidRPr="00C11ACF">
        <w:rPr>
          <w:rFonts w:cstheme="minorHAnsi"/>
        </w:rPr>
        <w:t xml:space="preserve"> and Australian state and territory government</w:t>
      </w:r>
      <w:r>
        <w:rPr>
          <w:rFonts w:cstheme="minorHAnsi"/>
        </w:rPr>
        <w:t>s</w:t>
      </w:r>
      <w:r w:rsidRPr="00C11ACF">
        <w:rPr>
          <w:rFonts w:cstheme="minorHAnsi"/>
        </w:rPr>
        <w:t>.</w:t>
      </w:r>
    </w:p>
    <w:p w:rsidR="00A4674C" w:rsidP="00A4674C" w14:paraId="28DEDCC6" w14:textId="77777777">
      <w:pPr>
        <w:rPr>
          <w:lang w:eastAsia="ja-JP"/>
        </w:rPr>
      </w:pPr>
      <w:r>
        <w:rPr>
          <w:lang w:eastAsia="ja-JP"/>
        </w:rPr>
        <w:t>Warton DI, Wright ST and Wang Y (2012) ‘</w:t>
      </w:r>
      <w:r>
        <w:fldChar w:fldCharType="begin"/>
      </w:r>
      <w:r>
        <w:instrText xml:space="preserve"> HYPERLINK "https://doi.org/10.1111/j.2041-210X.2011.00127.x" </w:instrText>
      </w:r>
      <w:r>
        <w:fldChar w:fldCharType="separate"/>
      </w:r>
      <w:r w:rsidRPr="00AF4B7A">
        <w:rPr>
          <w:rStyle w:val="Hyperlink"/>
          <w:lang w:eastAsia="ja-JP"/>
        </w:rPr>
        <w:t>Distance-based multivariate analyses confound location and dispersion effects</w:t>
      </w:r>
      <w:r>
        <w:fldChar w:fldCharType="end"/>
      </w:r>
      <w:r>
        <w:rPr>
          <w:lang w:eastAsia="ja-JP"/>
        </w:rPr>
        <w:t xml:space="preserve">’, </w:t>
      </w:r>
      <w:r w:rsidRPr="00C705E1">
        <w:rPr>
          <w:rStyle w:val="Emphasis"/>
        </w:rPr>
        <w:t>Methods in Ecology and Evolution</w:t>
      </w:r>
      <w:r>
        <w:rPr>
          <w:lang w:eastAsia="ja-JP"/>
        </w:rPr>
        <w:t>, 3:89–101, doi:</w:t>
      </w:r>
      <w:r w:rsidRPr="00AF4B7A">
        <w:rPr>
          <w:lang w:eastAsia="ja-JP"/>
        </w:rPr>
        <w:t>10.1111/j.2041-210X.2011.00127.x</w:t>
      </w:r>
      <w:r>
        <w:rPr>
          <w:lang w:eastAsia="ja-JP"/>
        </w:rPr>
        <w:t>.</w:t>
      </w:r>
    </w:p>
    <w:p w:rsidR="005B6FC0" w:rsidP="001B25CD" w14:paraId="4EE11CE1" w14:textId="77DC7E8C">
      <w:pPr>
        <w:rPr>
          <w:lang w:eastAsia="ja-JP"/>
        </w:rPr>
      </w:pPr>
      <w:r>
        <w:rPr>
          <w:lang w:eastAsia="ja-JP"/>
        </w:rPr>
        <w:t xml:space="preserve">Warton DI, Blanchet FG, O’Hara RB, Ovaskainen O, Taskinen S, Walker SC </w:t>
      </w:r>
      <w:r w:rsidR="003C60FB">
        <w:rPr>
          <w:lang w:eastAsia="ja-JP"/>
        </w:rPr>
        <w:t>and</w:t>
      </w:r>
      <w:r>
        <w:rPr>
          <w:lang w:eastAsia="ja-JP"/>
        </w:rPr>
        <w:t xml:space="preserve"> Hui FKC </w:t>
      </w:r>
      <w:r w:rsidR="00D01491">
        <w:rPr>
          <w:lang w:eastAsia="ja-JP"/>
        </w:rPr>
        <w:t>(</w:t>
      </w:r>
      <w:r>
        <w:rPr>
          <w:lang w:eastAsia="ja-JP"/>
        </w:rPr>
        <w:t>2015a</w:t>
      </w:r>
      <w:r w:rsidR="00D01491">
        <w:rPr>
          <w:lang w:eastAsia="ja-JP"/>
        </w:rPr>
        <w:t>)</w:t>
      </w:r>
      <w:r>
        <w:rPr>
          <w:lang w:eastAsia="ja-JP"/>
        </w:rPr>
        <w:t xml:space="preserve"> </w:t>
      </w:r>
      <w:r w:rsidR="00D01491">
        <w:rPr>
          <w:lang w:eastAsia="ja-JP"/>
        </w:rPr>
        <w:t>‘</w:t>
      </w:r>
      <w:r>
        <w:fldChar w:fldCharType="begin"/>
      </w:r>
      <w:r>
        <w:instrText xml:space="preserve"> HYPERLINK "https://doi.org/10.1016/j.tree.2015.09.007" </w:instrText>
      </w:r>
      <w:r>
        <w:fldChar w:fldCharType="separate"/>
      </w:r>
      <w:r w:rsidRPr="006A2169">
        <w:rPr>
          <w:rStyle w:val="Hyperlink"/>
          <w:lang w:eastAsia="ja-JP"/>
        </w:rPr>
        <w:t xml:space="preserve">So many variables: </w:t>
      </w:r>
      <w:r w:rsidRPr="006A2169" w:rsidR="00D01491">
        <w:rPr>
          <w:rStyle w:val="Hyperlink"/>
          <w:lang w:eastAsia="ja-JP"/>
        </w:rPr>
        <w:t>j</w:t>
      </w:r>
      <w:r w:rsidRPr="006A2169">
        <w:rPr>
          <w:rStyle w:val="Hyperlink"/>
          <w:lang w:eastAsia="ja-JP"/>
        </w:rPr>
        <w:t>oint modeling in community ecology</w:t>
      </w:r>
      <w:r>
        <w:fldChar w:fldCharType="end"/>
      </w:r>
      <w:r w:rsidR="006A2169">
        <w:rPr>
          <w:lang w:eastAsia="ja-JP"/>
        </w:rPr>
        <w:t>’</w:t>
      </w:r>
      <w:r w:rsidR="00D01491">
        <w:rPr>
          <w:lang w:eastAsia="ja-JP"/>
        </w:rPr>
        <w:t>,</w:t>
      </w:r>
      <w:r>
        <w:rPr>
          <w:lang w:eastAsia="ja-JP"/>
        </w:rPr>
        <w:t xml:space="preserve"> </w:t>
      </w:r>
      <w:r w:rsidRPr="00C705E1">
        <w:rPr>
          <w:rStyle w:val="Emphasis"/>
        </w:rPr>
        <w:t xml:space="preserve">Trends in Ecology </w:t>
      </w:r>
      <w:r w:rsidR="003C60FB">
        <w:rPr>
          <w:rStyle w:val="Emphasis"/>
        </w:rPr>
        <w:t>and</w:t>
      </w:r>
      <w:r w:rsidRPr="00C705E1">
        <w:rPr>
          <w:rStyle w:val="Emphasis"/>
        </w:rPr>
        <w:t xml:space="preserve"> Evolution</w:t>
      </w:r>
      <w:r>
        <w:rPr>
          <w:lang w:eastAsia="ja-JP"/>
        </w:rPr>
        <w:t>, 30</w:t>
      </w:r>
      <w:r w:rsidR="00D01491">
        <w:rPr>
          <w:lang w:eastAsia="ja-JP"/>
        </w:rPr>
        <w:t>:</w:t>
      </w:r>
      <w:r>
        <w:rPr>
          <w:lang w:eastAsia="ja-JP"/>
        </w:rPr>
        <w:t>766–779</w:t>
      </w:r>
      <w:r w:rsidR="006A2169">
        <w:rPr>
          <w:lang w:eastAsia="ja-JP"/>
        </w:rPr>
        <w:t xml:space="preserve">, </w:t>
      </w:r>
      <w:r w:rsidR="002A0E99">
        <w:rPr>
          <w:lang w:eastAsia="ja-JP"/>
        </w:rPr>
        <w:t>doi:</w:t>
      </w:r>
      <w:r w:rsidRPr="006A2169" w:rsidR="006A2169">
        <w:rPr>
          <w:lang w:eastAsia="ja-JP"/>
        </w:rPr>
        <w:t>10.1016/j.tree.2015.09.007</w:t>
      </w:r>
      <w:r>
        <w:rPr>
          <w:lang w:eastAsia="ja-JP"/>
        </w:rPr>
        <w:t>.</w:t>
      </w:r>
    </w:p>
    <w:p w:rsidR="005B6FC0" w:rsidP="001B25CD" w14:paraId="2D1DD196" w14:textId="5EFC753E">
      <w:pPr>
        <w:rPr>
          <w:lang w:eastAsia="ja-JP"/>
        </w:rPr>
      </w:pPr>
      <w:r>
        <w:rPr>
          <w:lang w:eastAsia="ja-JP"/>
        </w:rPr>
        <w:t xml:space="preserve">Warton DI, Foster SD, De’ath G, Stoklosa J </w:t>
      </w:r>
      <w:r w:rsidR="003C60FB">
        <w:rPr>
          <w:lang w:eastAsia="ja-JP"/>
        </w:rPr>
        <w:t>and</w:t>
      </w:r>
      <w:r>
        <w:rPr>
          <w:lang w:eastAsia="ja-JP"/>
        </w:rPr>
        <w:t xml:space="preserve"> Dunstan PK </w:t>
      </w:r>
      <w:r w:rsidR="00D01491">
        <w:rPr>
          <w:lang w:eastAsia="ja-JP"/>
        </w:rPr>
        <w:t>(</w:t>
      </w:r>
      <w:r>
        <w:rPr>
          <w:lang w:eastAsia="ja-JP"/>
        </w:rPr>
        <w:t>2015b</w:t>
      </w:r>
      <w:r w:rsidR="00D01491">
        <w:rPr>
          <w:lang w:eastAsia="ja-JP"/>
        </w:rPr>
        <w:t>)</w:t>
      </w:r>
      <w:r>
        <w:rPr>
          <w:lang w:eastAsia="ja-JP"/>
        </w:rPr>
        <w:t xml:space="preserve"> </w:t>
      </w:r>
      <w:r w:rsidR="00D01491">
        <w:rPr>
          <w:lang w:eastAsia="ja-JP"/>
        </w:rPr>
        <w:t>‘</w:t>
      </w:r>
      <w:r>
        <w:fldChar w:fldCharType="begin"/>
      </w:r>
      <w:r>
        <w:instrText xml:space="preserve"> HYPERLINK "https://doi.org/10.1007/s11258-014-0366-3" </w:instrText>
      </w:r>
      <w:r>
        <w:fldChar w:fldCharType="separate"/>
      </w:r>
      <w:r w:rsidRPr="006A2169">
        <w:rPr>
          <w:rStyle w:val="Hyperlink"/>
          <w:lang w:eastAsia="ja-JP"/>
        </w:rPr>
        <w:t>Model-based thinking for community ecology</w:t>
      </w:r>
      <w:r>
        <w:fldChar w:fldCharType="end"/>
      </w:r>
      <w:r w:rsidR="00D01491">
        <w:rPr>
          <w:lang w:eastAsia="ja-JP"/>
        </w:rPr>
        <w:t>’</w:t>
      </w:r>
      <w:r>
        <w:rPr>
          <w:lang w:eastAsia="ja-JP"/>
        </w:rPr>
        <w:t xml:space="preserve"> </w:t>
      </w:r>
      <w:r w:rsidRPr="00C705E1">
        <w:rPr>
          <w:rStyle w:val="Emphasis"/>
        </w:rPr>
        <w:t>Plant Ecology</w:t>
      </w:r>
      <w:r>
        <w:rPr>
          <w:lang w:eastAsia="ja-JP"/>
        </w:rPr>
        <w:t>, 216</w:t>
      </w:r>
      <w:r w:rsidR="00D01491">
        <w:rPr>
          <w:lang w:eastAsia="ja-JP"/>
        </w:rPr>
        <w:t>:</w:t>
      </w:r>
      <w:r>
        <w:rPr>
          <w:lang w:eastAsia="ja-JP"/>
        </w:rPr>
        <w:t>669–682</w:t>
      </w:r>
      <w:r w:rsidR="006A2169">
        <w:rPr>
          <w:lang w:eastAsia="ja-JP"/>
        </w:rPr>
        <w:t xml:space="preserve">, </w:t>
      </w:r>
      <w:r w:rsidR="002A0E99">
        <w:rPr>
          <w:lang w:eastAsia="ja-JP"/>
        </w:rPr>
        <w:t>doi:</w:t>
      </w:r>
      <w:r w:rsidRPr="006A2169" w:rsidR="006A2169">
        <w:rPr>
          <w:lang w:eastAsia="ja-JP"/>
        </w:rPr>
        <w:t>10.1007/s11258-014-0366-3</w:t>
      </w:r>
      <w:r>
        <w:rPr>
          <w:lang w:eastAsia="ja-JP"/>
        </w:rPr>
        <w:t>.</w:t>
      </w:r>
    </w:p>
    <w:p w:rsidR="005B6FC0" w:rsidP="001B25CD" w14:paraId="10011AE3" w14:textId="26627FF2">
      <w:pPr>
        <w:rPr>
          <w:lang w:eastAsia="ja-JP"/>
        </w:rPr>
      </w:pPr>
      <w:r>
        <w:rPr>
          <w:lang w:eastAsia="ja-JP"/>
        </w:rPr>
        <w:t xml:space="preserve">Washington HG </w:t>
      </w:r>
      <w:r w:rsidR="00D01491">
        <w:rPr>
          <w:lang w:eastAsia="ja-JP"/>
        </w:rPr>
        <w:t>(</w:t>
      </w:r>
      <w:r>
        <w:rPr>
          <w:lang w:eastAsia="ja-JP"/>
        </w:rPr>
        <w:t>1984</w:t>
      </w:r>
      <w:r w:rsidR="00D01491">
        <w:rPr>
          <w:lang w:eastAsia="ja-JP"/>
        </w:rPr>
        <w:t>)</w:t>
      </w:r>
      <w:r>
        <w:rPr>
          <w:lang w:eastAsia="ja-JP"/>
        </w:rPr>
        <w:t xml:space="preserve"> </w:t>
      </w:r>
      <w:r w:rsidR="00D01491">
        <w:rPr>
          <w:lang w:eastAsia="ja-JP"/>
        </w:rPr>
        <w:t>‘</w:t>
      </w:r>
      <w:r>
        <w:fldChar w:fldCharType="begin"/>
      </w:r>
      <w:r>
        <w:instrText xml:space="preserve"> HYPERLINK "https://doi.org/10.1016/0043-1354(84)90164-7" </w:instrText>
      </w:r>
      <w:r>
        <w:fldChar w:fldCharType="separate"/>
      </w:r>
      <w:r w:rsidRPr="00AF4B7A">
        <w:rPr>
          <w:rStyle w:val="Hyperlink"/>
          <w:lang w:eastAsia="ja-JP"/>
        </w:rPr>
        <w:t>Diversity, biotic and similarity indexes – a review with special relevance to aquatic ecosystems</w:t>
      </w:r>
      <w:r>
        <w:fldChar w:fldCharType="end"/>
      </w:r>
      <w:r w:rsidR="00D01491">
        <w:rPr>
          <w:lang w:eastAsia="ja-JP"/>
        </w:rPr>
        <w:t>’,</w:t>
      </w:r>
      <w:r>
        <w:rPr>
          <w:lang w:eastAsia="ja-JP"/>
        </w:rPr>
        <w:t xml:space="preserve"> </w:t>
      </w:r>
      <w:r w:rsidRPr="00C705E1">
        <w:rPr>
          <w:rStyle w:val="Emphasis"/>
        </w:rPr>
        <w:t>Water Research</w:t>
      </w:r>
      <w:r>
        <w:rPr>
          <w:lang w:eastAsia="ja-JP"/>
        </w:rPr>
        <w:t>, 18</w:t>
      </w:r>
      <w:r w:rsidR="00D01491">
        <w:rPr>
          <w:lang w:eastAsia="ja-JP"/>
        </w:rPr>
        <w:t>:</w:t>
      </w:r>
      <w:r>
        <w:rPr>
          <w:lang w:eastAsia="ja-JP"/>
        </w:rPr>
        <w:t>653–694</w:t>
      </w:r>
      <w:r w:rsidR="00AF4B7A">
        <w:rPr>
          <w:lang w:eastAsia="ja-JP"/>
        </w:rPr>
        <w:t xml:space="preserve">, </w:t>
      </w:r>
      <w:r w:rsidR="002A0E99">
        <w:rPr>
          <w:lang w:eastAsia="ja-JP"/>
        </w:rPr>
        <w:t>doi:</w:t>
      </w:r>
      <w:r w:rsidRPr="00AF4B7A" w:rsidR="00AF4B7A">
        <w:rPr>
          <w:lang w:eastAsia="ja-JP"/>
        </w:rPr>
        <w:t>10.1016/0043-1354(84)90164-7</w:t>
      </w:r>
      <w:r>
        <w:rPr>
          <w:lang w:eastAsia="ja-JP"/>
        </w:rPr>
        <w:t>.</w:t>
      </w:r>
    </w:p>
    <w:p w:rsidR="005B6FC0" w:rsidP="001B25CD" w14:paraId="157135A2" w14:textId="53BB4F54">
      <w:pPr>
        <w:rPr>
          <w:lang w:eastAsia="ja-JP"/>
        </w:rPr>
      </w:pPr>
      <w:r>
        <w:rPr>
          <w:lang w:eastAsia="ja-JP"/>
        </w:rPr>
        <w:t xml:space="preserve">White SL </w:t>
      </w:r>
      <w:r w:rsidR="003C60FB">
        <w:rPr>
          <w:lang w:eastAsia="ja-JP"/>
        </w:rPr>
        <w:t>and</w:t>
      </w:r>
      <w:r>
        <w:rPr>
          <w:lang w:eastAsia="ja-JP"/>
        </w:rPr>
        <w:t xml:space="preserve"> Rainbow PS </w:t>
      </w:r>
      <w:r w:rsidR="00D01491">
        <w:rPr>
          <w:lang w:eastAsia="ja-JP"/>
        </w:rPr>
        <w:t>(</w:t>
      </w:r>
      <w:r>
        <w:rPr>
          <w:lang w:eastAsia="ja-JP"/>
        </w:rPr>
        <w:t>1985</w:t>
      </w:r>
      <w:r w:rsidR="00D01491">
        <w:rPr>
          <w:lang w:eastAsia="ja-JP"/>
        </w:rPr>
        <w:t>)</w:t>
      </w:r>
      <w:r>
        <w:rPr>
          <w:lang w:eastAsia="ja-JP"/>
        </w:rPr>
        <w:t xml:space="preserve"> </w:t>
      </w:r>
      <w:r w:rsidR="00D01491">
        <w:rPr>
          <w:lang w:eastAsia="ja-JP"/>
        </w:rPr>
        <w:t>‘</w:t>
      </w:r>
      <w:r>
        <w:fldChar w:fldCharType="begin"/>
      </w:r>
      <w:r>
        <w:instrText xml:space="preserve"> HYPERLINK "https://doi.org/10.1016/0141-1136(85)90139-4" </w:instrText>
      </w:r>
      <w:r>
        <w:fldChar w:fldCharType="separate"/>
      </w:r>
      <w:r w:rsidRPr="00AF4B7A">
        <w:rPr>
          <w:rStyle w:val="Hyperlink"/>
          <w:lang w:eastAsia="ja-JP"/>
        </w:rPr>
        <w:t>On the metabolic requirements for copper and zinc in molluscs and crustaceans</w:t>
      </w:r>
      <w:r>
        <w:fldChar w:fldCharType="end"/>
      </w:r>
      <w:r w:rsidR="00D01491">
        <w:rPr>
          <w:lang w:eastAsia="ja-JP"/>
        </w:rPr>
        <w:t>’,</w:t>
      </w:r>
      <w:r>
        <w:rPr>
          <w:lang w:eastAsia="ja-JP"/>
        </w:rPr>
        <w:t xml:space="preserve"> </w:t>
      </w:r>
      <w:r w:rsidRPr="00C705E1">
        <w:rPr>
          <w:rStyle w:val="Emphasis"/>
        </w:rPr>
        <w:t>Marine Environmental Research</w:t>
      </w:r>
      <w:r>
        <w:rPr>
          <w:lang w:eastAsia="ja-JP"/>
        </w:rPr>
        <w:t>, 16</w:t>
      </w:r>
      <w:r w:rsidR="00D01491">
        <w:rPr>
          <w:lang w:eastAsia="ja-JP"/>
        </w:rPr>
        <w:t>:</w:t>
      </w:r>
      <w:r>
        <w:rPr>
          <w:lang w:eastAsia="ja-JP"/>
        </w:rPr>
        <w:t>215–229</w:t>
      </w:r>
      <w:r w:rsidR="00AF4B7A">
        <w:rPr>
          <w:lang w:eastAsia="ja-JP"/>
        </w:rPr>
        <w:t xml:space="preserve">, </w:t>
      </w:r>
      <w:r w:rsidR="002A0E99">
        <w:rPr>
          <w:lang w:eastAsia="ja-JP"/>
        </w:rPr>
        <w:t>doi:</w:t>
      </w:r>
      <w:r w:rsidRPr="00AF4B7A" w:rsidR="00AF4B7A">
        <w:rPr>
          <w:lang w:eastAsia="ja-JP"/>
        </w:rPr>
        <w:t>10.1016/0141-1136(85)90139-4</w:t>
      </w:r>
      <w:r>
        <w:rPr>
          <w:lang w:eastAsia="ja-JP"/>
        </w:rPr>
        <w:t>.</w:t>
      </w:r>
    </w:p>
    <w:p w:rsidR="00525C8D" w:rsidRPr="00F50A20" w:rsidP="00FF31E9" w14:paraId="5D53A02F" w14:textId="77777777">
      <w:pPr>
        <w:rPr>
          <w:highlight w:val="yellow"/>
          <w:lang w:eastAsia="ja-JP"/>
        </w:rPr>
      </w:pPr>
    </w:p>
    <w:sectPr w:rsidSect="001B25CD">
      <w:pgSz w:w="11907" w:h="16839" w:code="9"/>
      <w:pgMar w:top="1418" w:right="1418" w:bottom="1418" w:left="1418" w:header="567"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F6C" w:rsidP="003E0104" w14:paraId="5B7D07DB" w14:textId="07B52A92">
    <w:pPr>
      <w:pStyle w:val="Footer"/>
      <w:tabs>
        <w:tab w:val="clear" w:pos="4536"/>
        <w:tab w:val="right" w:pos="20978"/>
      </w:tabs>
      <w:spacing w:before="120"/>
      <w:jc w:val="left"/>
    </w:pPr>
    <w:r>
      <w:t xml:space="preserve">Australian and New Zealand </w:t>
    </w:r>
    <w:r w:rsidR="00A261C4">
      <w:t>g</w:t>
    </w:r>
    <w:r>
      <w:t xml:space="preserve">uidelines for </w:t>
    </w:r>
    <w:r w:rsidR="00A261C4">
      <w:t>f</w:t>
    </w:r>
    <w:r>
      <w:t xml:space="preserve">resh and </w:t>
    </w:r>
    <w:r w:rsidR="00A261C4">
      <w:t>m</w:t>
    </w:r>
    <w:r>
      <w:t xml:space="preserve">arine </w:t>
    </w:r>
    <w:r w:rsidR="00A261C4">
      <w:t>w</w:t>
    </w:r>
    <w:r>
      <w:t xml:space="preserve">ater </w:t>
    </w:r>
    <w:r w:rsidR="00A261C4">
      <w:t>q</w:t>
    </w:r>
    <w:r>
      <w:t>uality</w:t>
    </w:r>
    <w:r>
      <w:tab/>
    </w:r>
    <w:r>
      <w:fldChar w:fldCharType="begin"/>
    </w:r>
    <w:r>
      <w:instrText xml:space="preserve"> PAGE   \* MERGEFORMAT </w:instrText>
    </w:r>
    <w:r>
      <w:fldChar w:fldCharType="separate"/>
    </w:r>
    <w:r>
      <w:rPr>
        <w:noProof/>
      </w:rPr>
      <w:t>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2B5" w:rsidP="003E0104" w14:paraId="6E3F8090" w14:textId="074E7946">
    <w:pPr>
      <w:pStyle w:val="Footer"/>
      <w:tabs>
        <w:tab w:val="clear" w:pos="4536"/>
        <w:tab w:val="right" w:pos="14002"/>
      </w:tabs>
      <w:spacing w:before="120"/>
      <w:jc w:val="left"/>
    </w:pPr>
    <w:r>
      <w:t xml:space="preserve">Australian and New Zealand </w:t>
    </w:r>
    <w:r w:rsidR="003E0104">
      <w:t>g</w:t>
    </w:r>
    <w:r>
      <w:t xml:space="preserve">uidelines for </w:t>
    </w:r>
    <w:r w:rsidR="003E0104">
      <w:t>f</w:t>
    </w:r>
    <w:r>
      <w:t xml:space="preserve">resh and </w:t>
    </w:r>
    <w:r w:rsidR="003E0104">
      <w:t>m</w:t>
    </w:r>
    <w:r>
      <w:t xml:space="preserve">arine </w:t>
    </w:r>
    <w:r w:rsidR="003E0104">
      <w:t>w</w:t>
    </w:r>
    <w:r>
      <w:t xml:space="preserve">ater </w:t>
    </w:r>
    <w:r w:rsidR="003E0104">
      <w:t>q</w:t>
    </w:r>
    <w:r>
      <w:t>uality</w:t>
    </w:r>
    <w:r>
      <w:tab/>
    </w:r>
    <w:r>
      <w:fldChar w:fldCharType="begin"/>
    </w:r>
    <w:r>
      <w:instrText xml:space="preserve"> PAGE   \* MERGEFORMAT </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F6C" w:rsidP="003E0104" w14:paraId="6F1B7D09" w14:textId="1C979E64">
    <w:pPr>
      <w:pStyle w:val="Footer"/>
      <w:tabs>
        <w:tab w:val="clear" w:pos="4536"/>
        <w:tab w:val="right" w:pos="20978"/>
      </w:tabs>
      <w:spacing w:before="120"/>
      <w:jc w:val="left"/>
    </w:pPr>
    <w:r>
      <w:t xml:space="preserve">Australian and New Zealand </w:t>
    </w:r>
    <w:r w:rsidR="003E0104">
      <w:t>g</w:t>
    </w:r>
    <w:r>
      <w:t xml:space="preserve">uidelines for </w:t>
    </w:r>
    <w:r w:rsidR="003E0104">
      <w:t>f</w:t>
    </w:r>
    <w:r>
      <w:t xml:space="preserve">resh and </w:t>
    </w:r>
    <w:r w:rsidR="003E0104">
      <w:t>m</w:t>
    </w:r>
    <w:r>
      <w:t xml:space="preserve">arine </w:t>
    </w:r>
    <w:r w:rsidR="003E0104">
      <w:t>w</w:t>
    </w:r>
    <w:r>
      <w:t xml:space="preserve">ater </w:t>
    </w:r>
    <w:r w:rsidR="003E0104">
      <w:t>q</w:t>
    </w:r>
    <w:r>
      <w:t>uality</w:t>
    </w:r>
    <w:r>
      <w:tab/>
    </w:r>
    <w:r>
      <w:fldChar w:fldCharType="begin"/>
    </w:r>
    <w:r>
      <w:instrText xml:space="preserve"> PAGE   \* MERGEFORMAT </w:instrText>
    </w:r>
    <w:r>
      <w:fldChar w:fldCharType="separate"/>
    </w:r>
    <w:r>
      <w:rPr>
        <w:noProof/>
      </w:rPr>
      <w:t>36</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F6C" w:rsidRPr="00706E5F" w:rsidP="003E0104" w14:paraId="10618C09" w14:textId="2195852C">
    <w:pPr>
      <w:pStyle w:val="Header"/>
      <w:jc w:val="left"/>
    </w:pPr>
    <w:r w:rsidRPr="00706E5F">
      <w:t xml:space="preserve">Guidance on the use of ecosystem receptor indicators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F6C" w14:paraId="2272AA4D" w14:textId="77777777">
    <w:pPr>
      <w:pStyle w:val="Header"/>
    </w:pPr>
    <w:r>
      <w:rPr>
        <w:noProof/>
        <w:lang w:eastAsia="en-AU"/>
      </w:rPr>
      <w:drawing>
        <wp:anchor distT="0" distB="0" distL="114300" distR="114300" simplePos="0" relativeHeight="251658240" behindDoc="1" locked="0" layoutInCell="1" allowOverlap="1">
          <wp:simplePos x="0" y="0"/>
          <wp:positionH relativeFrom="column">
            <wp:posOffset>-895406</wp:posOffset>
          </wp:positionH>
          <wp:positionV relativeFrom="paragraph">
            <wp:posOffset>-355021</wp:posOffset>
          </wp:positionV>
          <wp:extent cx="7556361" cy="10687529"/>
          <wp:effectExtent l="0" t="0" r="6985" b="0"/>
          <wp:wrapNone/>
          <wp:docPr id="944842220" name="Picture 944842220"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28844" name="DA2834_1216_Water Quality guidelines-blank-Wed2.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2B5" w:rsidRPr="00706E5F" w:rsidP="00706E5F" w14:paraId="4400212F" w14:textId="77777777">
    <w:pPr>
      <w:pStyle w:val="Header"/>
    </w:pPr>
    <w:r w:rsidRPr="00706E5F">
      <w:t>Guidance on the use of ecosystem receptor indicators for water and sediment quality assessment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2B5" w:rsidRPr="00706E5F" w:rsidP="003E0104" w14:paraId="7F936CDE" w14:textId="38467AA3">
    <w:pPr>
      <w:pStyle w:val="Header"/>
      <w:jc w:val="left"/>
    </w:pPr>
    <w:r w:rsidRPr="00706E5F">
      <w:t xml:space="preserve">Guidance on the use of ecosystem receptor indicators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F6C" w:rsidRPr="00706E5F" w:rsidP="003E0104" w14:paraId="17F37463" w14:textId="7F335261">
    <w:pPr>
      <w:pStyle w:val="Header"/>
      <w:jc w:val="left"/>
    </w:pPr>
    <w:r w:rsidRPr="00706E5F">
      <w:t xml:space="preserve">Guidance on the use of ecosystem receptor indicators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5F6C" w:rsidRPr="00706E5F" w:rsidP="003E0104" w14:paraId="25240CD9" w14:textId="7A75315D">
    <w:pPr>
      <w:pStyle w:val="Header"/>
      <w:jc w:val="left"/>
    </w:pPr>
    <w:r w:rsidRPr="00706E5F">
      <w:t>Guidance on the use of ecosystem receptor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nsid w:val="11AD5260"/>
    <w:multiLevelType w:val="hybridMultilevel"/>
    <w:tmpl w:val="099E630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7FA091E"/>
    <w:multiLevelType w:val="multilevel"/>
    <w:tmpl w:val="757ED760"/>
    <w:numStyleLink w:val="Style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4">
    <w:nsid w:val="196B606F"/>
    <w:multiLevelType w:val="hybridMultilevel"/>
    <w:tmpl w:val="A96281C6"/>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F86C98"/>
    <w:multiLevelType w:val="multilevel"/>
    <w:tmpl w:val="7EF0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nsid w:val="2D595B46"/>
    <w:multiLevelType w:val="multilevel"/>
    <w:tmpl w:val="C32AB9AA"/>
    <w:numStyleLink w:val="ListNumber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0">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2">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nsid w:val="76056643"/>
    <w:multiLevelType w:val="multilevel"/>
    <w:tmpl w:val="0CC8AF30"/>
    <w:lvl w:ilvl="0">
      <w:start w:val="1"/>
      <w:numFmt w:val="lowerRoman"/>
      <w:pStyle w:val="ListRoman"/>
      <w:lvlText w:val="%1)"/>
      <w:lvlJc w:val="left"/>
      <w:pPr>
        <w:ind w:left="340" w:hanging="340"/>
      </w:pPr>
      <w:rPr>
        <w:rFonts w:asciiTheme="minorHAnsi" w:hAnsiTheme="minorHAnsi" w:hint="default"/>
      </w:rPr>
    </w:lvl>
    <w:lvl w:ilvl="1">
      <w:start w:val="1"/>
      <w:numFmt w:val="lowerRoman"/>
      <w:pStyle w:val="ListRoman2"/>
      <w:lvlText w:val="%2)"/>
      <w:lvlJc w:val="left"/>
      <w:pPr>
        <w:ind w:left="680" w:hanging="340"/>
      </w:pPr>
      <w:rPr>
        <w:rFonts w:asciiTheme="minorHAnsi" w:hAnsiTheme="minorHAnsi" w:hint="default"/>
      </w:rPr>
    </w:lvl>
    <w:lvl w:ilvl="2">
      <w:start w:val="1"/>
      <w:numFmt w:val="lowerRoman"/>
      <w:pStyle w:val="ListRoman3"/>
      <w:lvlText w:val="%3)"/>
      <w:lvlJc w:val="left"/>
      <w:pPr>
        <w:ind w:left="1021" w:hanging="341"/>
      </w:pPr>
      <w:rPr>
        <w:rFonts w:asciiTheme="minorHAnsi" w:hAnsiTheme="minorHAns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636387C"/>
    <w:multiLevelType w:val="multilevel"/>
    <w:tmpl w:val="6346ED0E"/>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10"/>
  </w:num>
  <w:num w:numId="2">
    <w:abstractNumId w:val="4"/>
  </w:num>
  <w:num w:numId="3">
    <w:abstractNumId w:val="12"/>
  </w:num>
  <w:num w:numId="4">
    <w:abstractNumId w:val="6"/>
  </w:num>
  <w:num w:numId="5">
    <w:abstractNumId w:val="8"/>
  </w:num>
  <w:num w:numId="6">
    <w:abstractNumId w:val="11"/>
  </w:num>
  <w:num w:numId="7">
    <w:abstractNumId w:val="14"/>
  </w:num>
  <w:num w:numId="8">
    <w:abstractNumId w:val="9"/>
  </w:num>
  <w:num w:numId="9">
    <w:abstractNumId w:val="7"/>
  </w:num>
  <w:num w:numId="10">
    <w:abstractNumId w:val="0"/>
  </w:num>
  <w:num w:numId="11">
    <w:abstractNumId w:val="1"/>
  </w:num>
  <w:num w:numId="12">
    <w:abstractNumId w:val="3"/>
  </w:num>
  <w:num w:numId="13">
    <w:abstractNumId w:val="13"/>
  </w:num>
  <w:num w:numId="14">
    <w:abstractNumId w:val="5"/>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stylePaneSortMethod w:val="name"/>
  <w:doNotTrackFormattin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00073D"/>
    <w:rsid w:val="0000189B"/>
    <w:rsid w:val="00001BDB"/>
    <w:rsid w:val="00004142"/>
    <w:rsid w:val="00006098"/>
    <w:rsid w:val="00007BB8"/>
    <w:rsid w:val="00010DDE"/>
    <w:rsid w:val="00011A9E"/>
    <w:rsid w:val="00012C63"/>
    <w:rsid w:val="00012CF4"/>
    <w:rsid w:val="00012EFA"/>
    <w:rsid w:val="0001387F"/>
    <w:rsid w:val="00013C69"/>
    <w:rsid w:val="0001401E"/>
    <w:rsid w:val="0001510D"/>
    <w:rsid w:val="00015D68"/>
    <w:rsid w:val="00015DA9"/>
    <w:rsid w:val="000161E1"/>
    <w:rsid w:val="00016F0B"/>
    <w:rsid w:val="0001731C"/>
    <w:rsid w:val="000173DA"/>
    <w:rsid w:val="0002435E"/>
    <w:rsid w:val="00024923"/>
    <w:rsid w:val="00026F24"/>
    <w:rsid w:val="00027DD4"/>
    <w:rsid w:val="0003038C"/>
    <w:rsid w:val="00030FBC"/>
    <w:rsid w:val="00031E94"/>
    <w:rsid w:val="000323EA"/>
    <w:rsid w:val="000332E6"/>
    <w:rsid w:val="0003400F"/>
    <w:rsid w:val="000368F1"/>
    <w:rsid w:val="00040036"/>
    <w:rsid w:val="0004380F"/>
    <w:rsid w:val="000449E9"/>
    <w:rsid w:val="000458BF"/>
    <w:rsid w:val="00047AA0"/>
    <w:rsid w:val="00051910"/>
    <w:rsid w:val="00051985"/>
    <w:rsid w:val="000526F6"/>
    <w:rsid w:val="00053EC5"/>
    <w:rsid w:val="00054868"/>
    <w:rsid w:val="00054DF1"/>
    <w:rsid w:val="000554DF"/>
    <w:rsid w:val="000566CC"/>
    <w:rsid w:val="0006024D"/>
    <w:rsid w:val="000605C4"/>
    <w:rsid w:val="0006332B"/>
    <w:rsid w:val="000638DA"/>
    <w:rsid w:val="00063F35"/>
    <w:rsid w:val="00067ADA"/>
    <w:rsid w:val="000710D4"/>
    <w:rsid w:val="000711FE"/>
    <w:rsid w:val="000712DC"/>
    <w:rsid w:val="00071DE9"/>
    <w:rsid w:val="00071FAC"/>
    <w:rsid w:val="00073AB4"/>
    <w:rsid w:val="0007531F"/>
    <w:rsid w:val="00075A29"/>
    <w:rsid w:val="00076429"/>
    <w:rsid w:val="000764C1"/>
    <w:rsid w:val="00076AFC"/>
    <w:rsid w:val="00076B05"/>
    <w:rsid w:val="00076B93"/>
    <w:rsid w:val="000770AB"/>
    <w:rsid w:val="00077265"/>
    <w:rsid w:val="00077BAF"/>
    <w:rsid w:val="000818B8"/>
    <w:rsid w:val="00083C33"/>
    <w:rsid w:val="00084B0C"/>
    <w:rsid w:val="000859D3"/>
    <w:rsid w:val="00086670"/>
    <w:rsid w:val="00087E51"/>
    <w:rsid w:val="000905A9"/>
    <w:rsid w:val="00090D82"/>
    <w:rsid w:val="00090F94"/>
    <w:rsid w:val="000917A8"/>
    <w:rsid w:val="00092B43"/>
    <w:rsid w:val="00093659"/>
    <w:rsid w:val="00094A63"/>
    <w:rsid w:val="00096CA2"/>
    <w:rsid w:val="000A04DC"/>
    <w:rsid w:val="000A06AE"/>
    <w:rsid w:val="000A189F"/>
    <w:rsid w:val="000A244D"/>
    <w:rsid w:val="000A2556"/>
    <w:rsid w:val="000A2682"/>
    <w:rsid w:val="000A3363"/>
    <w:rsid w:val="000A3713"/>
    <w:rsid w:val="000A52FA"/>
    <w:rsid w:val="000A689F"/>
    <w:rsid w:val="000B179E"/>
    <w:rsid w:val="000B206E"/>
    <w:rsid w:val="000B5533"/>
    <w:rsid w:val="000B5FFF"/>
    <w:rsid w:val="000B6432"/>
    <w:rsid w:val="000B6F53"/>
    <w:rsid w:val="000B73E8"/>
    <w:rsid w:val="000B7CA5"/>
    <w:rsid w:val="000C093A"/>
    <w:rsid w:val="000C2F66"/>
    <w:rsid w:val="000C3030"/>
    <w:rsid w:val="000C4842"/>
    <w:rsid w:val="000C559D"/>
    <w:rsid w:val="000D1B0F"/>
    <w:rsid w:val="000D1B24"/>
    <w:rsid w:val="000D1CD4"/>
    <w:rsid w:val="000D2CB8"/>
    <w:rsid w:val="000D2F3C"/>
    <w:rsid w:val="000D4A5C"/>
    <w:rsid w:val="000D5884"/>
    <w:rsid w:val="000D6846"/>
    <w:rsid w:val="000D6A8A"/>
    <w:rsid w:val="000D71B8"/>
    <w:rsid w:val="000D7A7E"/>
    <w:rsid w:val="000E0444"/>
    <w:rsid w:val="000E0937"/>
    <w:rsid w:val="000E0F14"/>
    <w:rsid w:val="000E2690"/>
    <w:rsid w:val="000E278E"/>
    <w:rsid w:val="000E27B7"/>
    <w:rsid w:val="000E2FE3"/>
    <w:rsid w:val="000E7833"/>
    <w:rsid w:val="000F0098"/>
    <w:rsid w:val="000F056D"/>
    <w:rsid w:val="000F16BB"/>
    <w:rsid w:val="000F180C"/>
    <w:rsid w:val="000F189E"/>
    <w:rsid w:val="000F292C"/>
    <w:rsid w:val="000F359C"/>
    <w:rsid w:val="000F4B70"/>
    <w:rsid w:val="000F4CA7"/>
    <w:rsid w:val="000F6A41"/>
    <w:rsid w:val="000F7095"/>
    <w:rsid w:val="000F7D5A"/>
    <w:rsid w:val="00100134"/>
    <w:rsid w:val="001002DE"/>
    <w:rsid w:val="00101184"/>
    <w:rsid w:val="00102B06"/>
    <w:rsid w:val="00104ADF"/>
    <w:rsid w:val="001060D1"/>
    <w:rsid w:val="00106DBE"/>
    <w:rsid w:val="001103B0"/>
    <w:rsid w:val="00111972"/>
    <w:rsid w:val="00111C01"/>
    <w:rsid w:val="00111D52"/>
    <w:rsid w:val="00111F7F"/>
    <w:rsid w:val="0011272D"/>
    <w:rsid w:val="001133CE"/>
    <w:rsid w:val="00113B25"/>
    <w:rsid w:val="00115819"/>
    <w:rsid w:val="0011612E"/>
    <w:rsid w:val="001162DD"/>
    <w:rsid w:val="00120B50"/>
    <w:rsid w:val="00123116"/>
    <w:rsid w:val="00124DD1"/>
    <w:rsid w:val="00126DC3"/>
    <w:rsid w:val="00127CD9"/>
    <w:rsid w:val="00132617"/>
    <w:rsid w:val="0013333F"/>
    <w:rsid w:val="00134A1A"/>
    <w:rsid w:val="00134AB5"/>
    <w:rsid w:val="001360B0"/>
    <w:rsid w:val="00136675"/>
    <w:rsid w:val="00136839"/>
    <w:rsid w:val="00136B90"/>
    <w:rsid w:val="00137D04"/>
    <w:rsid w:val="00137D22"/>
    <w:rsid w:val="00137EEE"/>
    <w:rsid w:val="0014443C"/>
    <w:rsid w:val="00145F0A"/>
    <w:rsid w:val="0014619A"/>
    <w:rsid w:val="00146220"/>
    <w:rsid w:val="0014776A"/>
    <w:rsid w:val="00147E84"/>
    <w:rsid w:val="00151BF3"/>
    <w:rsid w:val="00152F5C"/>
    <w:rsid w:val="001535EC"/>
    <w:rsid w:val="00153B22"/>
    <w:rsid w:val="0015432F"/>
    <w:rsid w:val="001557B9"/>
    <w:rsid w:val="00155E2C"/>
    <w:rsid w:val="001562B1"/>
    <w:rsid w:val="001562CF"/>
    <w:rsid w:val="0015637E"/>
    <w:rsid w:val="00156ADA"/>
    <w:rsid w:val="00156B1E"/>
    <w:rsid w:val="001607CD"/>
    <w:rsid w:val="00162CC3"/>
    <w:rsid w:val="00163A71"/>
    <w:rsid w:val="00164470"/>
    <w:rsid w:val="00165FF3"/>
    <w:rsid w:val="001666B0"/>
    <w:rsid w:val="00166B83"/>
    <w:rsid w:val="00166FDC"/>
    <w:rsid w:val="00171BDE"/>
    <w:rsid w:val="00172EB3"/>
    <w:rsid w:val="00173028"/>
    <w:rsid w:val="00173034"/>
    <w:rsid w:val="001739EC"/>
    <w:rsid w:val="00174838"/>
    <w:rsid w:val="0017737F"/>
    <w:rsid w:val="00180314"/>
    <w:rsid w:val="00180D81"/>
    <w:rsid w:val="00181D71"/>
    <w:rsid w:val="00182D6A"/>
    <w:rsid w:val="00183C4F"/>
    <w:rsid w:val="001856AB"/>
    <w:rsid w:val="00186999"/>
    <w:rsid w:val="001900B8"/>
    <w:rsid w:val="0019244F"/>
    <w:rsid w:val="00195E57"/>
    <w:rsid w:val="0019749D"/>
    <w:rsid w:val="001A0A49"/>
    <w:rsid w:val="001A2C30"/>
    <w:rsid w:val="001A4868"/>
    <w:rsid w:val="001A52D9"/>
    <w:rsid w:val="001A6B2B"/>
    <w:rsid w:val="001A707F"/>
    <w:rsid w:val="001B0F4E"/>
    <w:rsid w:val="001B11C9"/>
    <w:rsid w:val="001B25CD"/>
    <w:rsid w:val="001B30C7"/>
    <w:rsid w:val="001B327B"/>
    <w:rsid w:val="001B5A7F"/>
    <w:rsid w:val="001B5FAC"/>
    <w:rsid w:val="001B63BD"/>
    <w:rsid w:val="001C0AEF"/>
    <w:rsid w:val="001C0D1C"/>
    <w:rsid w:val="001C13B0"/>
    <w:rsid w:val="001C162A"/>
    <w:rsid w:val="001C2A00"/>
    <w:rsid w:val="001C2F31"/>
    <w:rsid w:val="001C329B"/>
    <w:rsid w:val="001C44D0"/>
    <w:rsid w:val="001C4C13"/>
    <w:rsid w:val="001C4F0F"/>
    <w:rsid w:val="001C5261"/>
    <w:rsid w:val="001C5CEE"/>
    <w:rsid w:val="001C6473"/>
    <w:rsid w:val="001C69FE"/>
    <w:rsid w:val="001D071B"/>
    <w:rsid w:val="001D0829"/>
    <w:rsid w:val="001D1D4D"/>
    <w:rsid w:val="001D1FE3"/>
    <w:rsid w:val="001D22FD"/>
    <w:rsid w:val="001D3178"/>
    <w:rsid w:val="001D52DF"/>
    <w:rsid w:val="001D65AB"/>
    <w:rsid w:val="001D74CB"/>
    <w:rsid w:val="001E0B8D"/>
    <w:rsid w:val="001E1F11"/>
    <w:rsid w:val="001E3E27"/>
    <w:rsid w:val="001E6C52"/>
    <w:rsid w:val="001E6CB6"/>
    <w:rsid w:val="001E70AF"/>
    <w:rsid w:val="001F0C3B"/>
    <w:rsid w:val="001F0E5C"/>
    <w:rsid w:val="001F115B"/>
    <w:rsid w:val="001F1B49"/>
    <w:rsid w:val="001F1D87"/>
    <w:rsid w:val="001F2261"/>
    <w:rsid w:val="001F2446"/>
    <w:rsid w:val="001F41B2"/>
    <w:rsid w:val="001F6A57"/>
    <w:rsid w:val="001F75A7"/>
    <w:rsid w:val="002013FF"/>
    <w:rsid w:val="0020263E"/>
    <w:rsid w:val="00204238"/>
    <w:rsid w:val="00205785"/>
    <w:rsid w:val="00205A8F"/>
    <w:rsid w:val="00206947"/>
    <w:rsid w:val="0020718A"/>
    <w:rsid w:val="00207AB6"/>
    <w:rsid w:val="00207CE0"/>
    <w:rsid w:val="00210032"/>
    <w:rsid w:val="002134BB"/>
    <w:rsid w:val="00214405"/>
    <w:rsid w:val="00216A1B"/>
    <w:rsid w:val="0021748A"/>
    <w:rsid w:val="002177D8"/>
    <w:rsid w:val="00220195"/>
    <w:rsid w:val="002203D5"/>
    <w:rsid w:val="00220B04"/>
    <w:rsid w:val="00220FCE"/>
    <w:rsid w:val="0022610E"/>
    <w:rsid w:val="00226914"/>
    <w:rsid w:val="002278ED"/>
    <w:rsid w:val="00230D99"/>
    <w:rsid w:val="00231D36"/>
    <w:rsid w:val="00232676"/>
    <w:rsid w:val="00233817"/>
    <w:rsid w:val="00234E9A"/>
    <w:rsid w:val="0023519A"/>
    <w:rsid w:val="00235423"/>
    <w:rsid w:val="002355D2"/>
    <w:rsid w:val="00240441"/>
    <w:rsid w:val="00241712"/>
    <w:rsid w:val="00241A33"/>
    <w:rsid w:val="0024206A"/>
    <w:rsid w:val="00242FA4"/>
    <w:rsid w:val="002431DE"/>
    <w:rsid w:val="00246E42"/>
    <w:rsid w:val="0024796E"/>
    <w:rsid w:val="00250829"/>
    <w:rsid w:val="00250DA0"/>
    <w:rsid w:val="00252074"/>
    <w:rsid w:val="0025303D"/>
    <w:rsid w:val="002533E7"/>
    <w:rsid w:val="00253B90"/>
    <w:rsid w:val="00253CDC"/>
    <w:rsid w:val="00254F9E"/>
    <w:rsid w:val="0025729B"/>
    <w:rsid w:val="00257D03"/>
    <w:rsid w:val="00260681"/>
    <w:rsid w:val="00260A60"/>
    <w:rsid w:val="00260AFE"/>
    <w:rsid w:val="0026181D"/>
    <w:rsid w:val="00262584"/>
    <w:rsid w:val="002637CF"/>
    <w:rsid w:val="0026399E"/>
    <w:rsid w:val="00263C50"/>
    <w:rsid w:val="00264201"/>
    <w:rsid w:val="002648B2"/>
    <w:rsid w:val="00264CD1"/>
    <w:rsid w:val="00266B57"/>
    <w:rsid w:val="00266CC7"/>
    <w:rsid w:val="00267DF1"/>
    <w:rsid w:val="0027013B"/>
    <w:rsid w:val="0027072D"/>
    <w:rsid w:val="002717F2"/>
    <w:rsid w:val="00271E6B"/>
    <w:rsid w:val="00272E77"/>
    <w:rsid w:val="00273675"/>
    <w:rsid w:val="00273F2D"/>
    <w:rsid w:val="00276474"/>
    <w:rsid w:val="00276D36"/>
    <w:rsid w:val="0028023B"/>
    <w:rsid w:val="00280350"/>
    <w:rsid w:val="00280392"/>
    <w:rsid w:val="0028203D"/>
    <w:rsid w:val="00282D4A"/>
    <w:rsid w:val="002836B5"/>
    <w:rsid w:val="0028394A"/>
    <w:rsid w:val="00283B7C"/>
    <w:rsid w:val="00284844"/>
    <w:rsid w:val="00287F4C"/>
    <w:rsid w:val="002908F8"/>
    <w:rsid w:val="00290EC3"/>
    <w:rsid w:val="00291AC6"/>
    <w:rsid w:val="00291B14"/>
    <w:rsid w:val="002941BF"/>
    <w:rsid w:val="002947E4"/>
    <w:rsid w:val="00294A0D"/>
    <w:rsid w:val="0029526D"/>
    <w:rsid w:val="002955A2"/>
    <w:rsid w:val="00296386"/>
    <w:rsid w:val="00297404"/>
    <w:rsid w:val="002A0A49"/>
    <w:rsid w:val="002A0E99"/>
    <w:rsid w:val="002A1401"/>
    <w:rsid w:val="002A17A8"/>
    <w:rsid w:val="002A1A2C"/>
    <w:rsid w:val="002A3686"/>
    <w:rsid w:val="002A379B"/>
    <w:rsid w:val="002A3B7E"/>
    <w:rsid w:val="002A597F"/>
    <w:rsid w:val="002A62F9"/>
    <w:rsid w:val="002A6A09"/>
    <w:rsid w:val="002A72F7"/>
    <w:rsid w:val="002A79CC"/>
    <w:rsid w:val="002A7C96"/>
    <w:rsid w:val="002B15ED"/>
    <w:rsid w:val="002B15F8"/>
    <w:rsid w:val="002B1988"/>
    <w:rsid w:val="002B1E57"/>
    <w:rsid w:val="002B1E9A"/>
    <w:rsid w:val="002B20C8"/>
    <w:rsid w:val="002B37B7"/>
    <w:rsid w:val="002B3D0F"/>
    <w:rsid w:val="002B46DF"/>
    <w:rsid w:val="002B4A59"/>
    <w:rsid w:val="002B5290"/>
    <w:rsid w:val="002B57BE"/>
    <w:rsid w:val="002B7413"/>
    <w:rsid w:val="002B7857"/>
    <w:rsid w:val="002B7EC2"/>
    <w:rsid w:val="002C0751"/>
    <w:rsid w:val="002C12D7"/>
    <w:rsid w:val="002C2AB3"/>
    <w:rsid w:val="002C367D"/>
    <w:rsid w:val="002C5F61"/>
    <w:rsid w:val="002D05E4"/>
    <w:rsid w:val="002D0C4A"/>
    <w:rsid w:val="002D171D"/>
    <w:rsid w:val="002D1D5D"/>
    <w:rsid w:val="002D4E06"/>
    <w:rsid w:val="002D7071"/>
    <w:rsid w:val="002E05DC"/>
    <w:rsid w:val="002E0826"/>
    <w:rsid w:val="002E11A4"/>
    <w:rsid w:val="002E22B1"/>
    <w:rsid w:val="002E4021"/>
    <w:rsid w:val="002E45AD"/>
    <w:rsid w:val="002E4749"/>
    <w:rsid w:val="002F000F"/>
    <w:rsid w:val="002F025F"/>
    <w:rsid w:val="002F16B9"/>
    <w:rsid w:val="002F30B2"/>
    <w:rsid w:val="002F59FB"/>
    <w:rsid w:val="002F6D14"/>
    <w:rsid w:val="002F7483"/>
    <w:rsid w:val="00302080"/>
    <w:rsid w:val="003045F5"/>
    <w:rsid w:val="0030463E"/>
    <w:rsid w:val="00304A24"/>
    <w:rsid w:val="00305D52"/>
    <w:rsid w:val="00305D65"/>
    <w:rsid w:val="00306121"/>
    <w:rsid w:val="003101BE"/>
    <w:rsid w:val="00310B14"/>
    <w:rsid w:val="00310EE5"/>
    <w:rsid w:val="00313D34"/>
    <w:rsid w:val="003179B8"/>
    <w:rsid w:val="00317BED"/>
    <w:rsid w:val="0032140B"/>
    <w:rsid w:val="00322B16"/>
    <w:rsid w:val="00323A72"/>
    <w:rsid w:val="00323F5E"/>
    <w:rsid w:val="003240F9"/>
    <w:rsid w:val="003241A9"/>
    <w:rsid w:val="00325798"/>
    <w:rsid w:val="00325A54"/>
    <w:rsid w:val="00330B00"/>
    <w:rsid w:val="00331261"/>
    <w:rsid w:val="00333504"/>
    <w:rsid w:val="00334232"/>
    <w:rsid w:val="0033539F"/>
    <w:rsid w:val="00337E5F"/>
    <w:rsid w:val="00340FED"/>
    <w:rsid w:val="00341BA8"/>
    <w:rsid w:val="0034252F"/>
    <w:rsid w:val="003436B0"/>
    <w:rsid w:val="0034381E"/>
    <w:rsid w:val="00344122"/>
    <w:rsid w:val="00344AD9"/>
    <w:rsid w:val="00344FEE"/>
    <w:rsid w:val="00345262"/>
    <w:rsid w:val="0034674A"/>
    <w:rsid w:val="0034731D"/>
    <w:rsid w:val="00347655"/>
    <w:rsid w:val="003501BF"/>
    <w:rsid w:val="00352E76"/>
    <w:rsid w:val="00353778"/>
    <w:rsid w:val="003546A1"/>
    <w:rsid w:val="00354B4F"/>
    <w:rsid w:val="00355DF3"/>
    <w:rsid w:val="0035611B"/>
    <w:rsid w:val="00356B96"/>
    <w:rsid w:val="00360B10"/>
    <w:rsid w:val="003620F4"/>
    <w:rsid w:val="003638D6"/>
    <w:rsid w:val="00363F5F"/>
    <w:rsid w:val="00366D4B"/>
    <w:rsid w:val="003707C6"/>
    <w:rsid w:val="003710AE"/>
    <w:rsid w:val="00375842"/>
    <w:rsid w:val="003771B0"/>
    <w:rsid w:val="003815FC"/>
    <w:rsid w:val="0038216E"/>
    <w:rsid w:val="00382338"/>
    <w:rsid w:val="003839A2"/>
    <w:rsid w:val="00383A0D"/>
    <w:rsid w:val="00384923"/>
    <w:rsid w:val="00385A11"/>
    <w:rsid w:val="00386522"/>
    <w:rsid w:val="00386F58"/>
    <w:rsid w:val="0039047B"/>
    <w:rsid w:val="00390A34"/>
    <w:rsid w:val="003910D5"/>
    <w:rsid w:val="00391849"/>
    <w:rsid w:val="00391CA1"/>
    <w:rsid w:val="00391D42"/>
    <w:rsid w:val="00391D70"/>
    <w:rsid w:val="00392C75"/>
    <w:rsid w:val="00392CE6"/>
    <w:rsid w:val="00393446"/>
    <w:rsid w:val="003936BD"/>
    <w:rsid w:val="003948D0"/>
    <w:rsid w:val="00395387"/>
    <w:rsid w:val="00395E49"/>
    <w:rsid w:val="003971F4"/>
    <w:rsid w:val="00397A64"/>
    <w:rsid w:val="003A107F"/>
    <w:rsid w:val="003A3CD1"/>
    <w:rsid w:val="003A5BB2"/>
    <w:rsid w:val="003A6535"/>
    <w:rsid w:val="003A6879"/>
    <w:rsid w:val="003A76D4"/>
    <w:rsid w:val="003B384B"/>
    <w:rsid w:val="003B398F"/>
    <w:rsid w:val="003B428A"/>
    <w:rsid w:val="003B50FF"/>
    <w:rsid w:val="003B5DF6"/>
    <w:rsid w:val="003B71BD"/>
    <w:rsid w:val="003B786F"/>
    <w:rsid w:val="003B7B97"/>
    <w:rsid w:val="003C0080"/>
    <w:rsid w:val="003C2B1D"/>
    <w:rsid w:val="003C370B"/>
    <w:rsid w:val="003C3B23"/>
    <w:rsid w:val="003C4DBD"/>
    <w:rsid w:val="003C5529"/>
    <w:rsid w:val="003C5F3E"/>
    <w:rsid w:val="003C60FB"/>
    <w:rsid w:val="003C6977"/>
    <w:rsid w:val="003C70D8"/>
    <w:rsid w:val="003C7655"/>
    <w:rsid w:val="003D08BE"/>
    <w:rsid w:val="003D0A63"/>
    <w:rsid w:val="003D38D3"/>
    <w:rsid w:val="003D5026"/>
    <w:rsid w:val="003D6864"/>
    <w:rsid w:val="003D7541"/>
    <w:rsid w:val="003D7B1B"/>
    <w:rsid w:val="003E0104"/>
    <w:rsid w:val="003E0A4D"/>
    <w:rsid w:val="003E3C9D"/>
    <w:rsid w:val="003E5350"/>
    <w:rsid w:val="003E5568"/>
    <w:rsid w:val="003E5F59"/>
    <w:rsid w:val="003E6B71"/>
    <w:rsid w:val="003E6DA1"/>
    <w:rsid w:val="003E7956"/>
    <w:rsid w:val="003F08E5"/>
    <w:rsid w:val="003F0D96"/>
    <w:rsid w:val="003F1D16"/>
    <w:rsid w:val="003F2779"/>
    <w:rsid w:val="003F46D9"/>
    <w:rsid w:val="003F69D2"/>
    <w:rsid w:val="00400AFD"/>
    <w:rsid w:val="00400DD5"/>
    <w:rsid w:val="0040258C"/>
    <w:rsid w:val="00402A63"/>
    <w:rsid w:val="00403FA8"/>
    <w:rsid w:val="00404543"/>
    <w:rsid w:val="0040644B"/>
    <w:rsid w:val="00406F44"/>
    <w:rsid w:val="00407DA8"/>
    <w:rsid w:val="004109E5"/>
    <w:rsid w:val="00410CCC"/>
    <w:rsid w:val="00410CF9"/>
    <w:rsid w:val="00410E30"/>
    <w:rsid w:val="00411A2E"/>
    <w:rsid w:val="00414070"/>
    <w:rsid w:val="00414220"/>
    <w:rsid w:val="004142E1"/>
    <w:rsid w:val="00414391"/>
    <w:rsid w:val="0041537B"/>
    <w:rsid w:val="004155E0"/>
    <w:rsid w:val="00416FB1"/>
    <w:rsid w:val="00417B09"/>
    <w:rsid w:val="00420111"/>
    <w:rsid w:val="004206E5"/>
    <w:rsid w:val="00420C0F"/>
    <w:rsid w:val="00420E2B"/>
    <w:rsid w:val="004212B5"/>
    <w:rsid w:val="00421ED4"/>
    <w:rsid w:val="004240EA"/>
    <w:rsid w:val="0042438B"/>
    <w:rsid w:val="0042508B"/>
    <w:rsid w:val="004256E1"/>
    <w:rsid w:val="0042637A"/>
    <w:rsid w:val="004307C2"/>
    <w:rsid w:val="00430C17"/>
    <w:rsid w:val="00431043"/>
    <w:rsid w:val="00431530"/>
    <w:rsid w:val="004326E0"/>
    <w:rsid w:val="00433118"/>
    <w:rsid w:val="00433435"/>
    <w:rsid w:val="00437FC7"/>
    <w:rsid w:val="00440C77"/>
    <w:rsid w:val="00442193"/>
    <w:rsid w:val="0044239B"/>
    <w:rsid w:val="0044386B"/>
    <w:rsid w:val="004454C3"/>
    <w:rsid w:val="004456CE"/>
    <w:rsid w:val="004464F1"/>
    <w:rsid w:val="00446625"/>
    <w:rsid w:val="00447F47"/>
    <w:rsid w:val="00454975"/>
    <w:rsid w:val="004550B5"/>
    <w:rsid w:val="0045617D"/>
    <w:rsid w:val="00457456"/>
    <w:rsid w:val="00457978"/>
    <w:rsid w:val="00461B02"/>
    <w:rsid w:val="00462155"/>
    <w:rsid w:val="0046343E"/>
    <w:rsid w:val="00463B07"/>
    <w:rsid w:val="00463D6F"/>
    <w:rsid w:val="00464203"/>
    <w:rsid w:val="004645B7"/>
    <w:rsid w:val="004669F8"/>
    <w:rsid w:val="00466BD9"/>
    <w:rsid w:val="00467B82"/>
    <w:rsid w:val="00470344"/>
    <w:rsid w:val="00476521"/>
    <w:rsid w:val="0047658A"/>
    <w:rsid w:val="004769BD"/>
    <w:rsid w:val="00477069"/>
    <w:rsid w:val="00481090"/>
    <w:rsid w:val="00481575"/>
    <w:rsid w:val="00481C4D"/>
    <w:rsid w:val="00482E3E"/>
    <w:rsid w:val="004832C8"/>
    <w:rsid w:val="0048330D"/>
    <w:rsid w:val="004839FD"/>
    <w:rsid w:val="004844E3"/>
    <w:rsid w:val="004856E2"/>
    <w:rsid w:val="00490FF0"/>
    <w:rsid w:val="0049280E"/>
    <w:rsid w:val="00493CEF"/>
    <w:rsid w:val="00493F97"/>
    <w:rsid w:val="004941EC"/>
    <w:rsid w:val="00494CD1"/>
    <w:rsid w:val="00497044"/>
    <w:rsid w:val="004971F7"/>
    <w:rsid w:val="00497AD2"/>
    <w:rsid w:val="004A103E"/>
    <w:rsid w:val="004A1DF5"/>
    <w:rsid w:val="004A22EA"/>
    <w:rsid w:val="004A2CF4"/>
    <w:rsid w:val="004A2DDD"/>
    <w:rsid w:val="004A2DF2"/>
    <w:rsid w:val="004A2F84"/>
    <w:rsid w:val="004A3A86"/>
    <w:rsid w:val="004A410D"/>
    <w:rsid w:val="004A45F4"/>
    <w:rsid w:val="004A4E43"/>
    <w:rsid w:val="004A5A9F"/>
    <w:rsid w:val="004B02F0"/>
    <w:rsid w:val="004B1CCA"/>
    <w:rsid w:val="004B24D1"/>
    <w:rsid w:val="004B419E"/>
    <w:rsid w:val="004B4274"/>
    <w:rsid w:val="004B61D5"/>
    <w:rsid w:val="004B6855"/>
    <w:rsid w:val="004B7E9B"/>
    <w:rsid w:val="004C0424"/>
    <w:rsid w:val="004C14C1"/>
    <w:rsid w:val="004C2845"/>
    <w:rsid w:val="004C31BF"/>
    <w:rsid w:val="004C5397"/>
    <w:rsid w:val="004C6C9A"/>
    <w:rsid w:val="004C6EB3"/>
    <w:rsid w:val="004C7AA0"/>
    <w:rsid w:val="004D00D4"/>
    <w:rsid w:val="004D084C"/>
    <w:rsid w:val="004D12DD"/>
    <w:rsid w:val="004D5497"/>
    <w:rsid w:val="004D5BE5"/>
    <w:rsid w:val="004D5C75"/>
    <w:rsid w:val="004D69FA"/>
    <w:rsid w:val="004D6F56"/>
    <w:rsid w:val="004D7870"/>
    <w:rsid w:val="004E0988"/>
    <w:rsid w:val="004E0E9B"/>
    <w:rsid w:val="004E1200"/>
    <w:rsid w:val="004E1C9F"/>
    <w:rsid w:val="004E32FE"/>
    <w:rsid w:val="004E3725"/>
    <w:rsid w:val="004E3967"/>
    <w:rsid w:val="004E3CAE"/>
    <w:rsid w:val="004E43E3"/>
    <w:rsid w:val="004E7EB2"/>
    <w:rsid w:val="004F1DCB"/>
    <w:rsid w:val="004F1FCC"/>
    <w:rsid w:val="004F372C"/>
    <w:rsid w:val="004F3782"/>
    <w:rsid w:val="004F430A"/>
    <w:rsid w:val="004F4645"/>
    <w:rsid w:val="004F4B0E"/>
    <w:rsid w:val="004F6044"/>
    <w:rsid w:val="004F6078"/>
    <w:rsid w:val="004F639A"/>
    <w:rsid w:val="004F6A0F"/>
    <w:rsid w:val="004F7305"/>
    <w:rsid w:val="004F733C"/>
    <w:rsid w:val="00502BE4"/>
    <w:rsid w:val="00503FB1"/>
    <w:rsid w:val="00504993"/>
    <w:rsid w:val="00504ACB"/>
    <w:rsid w:val="00506564"/>
    <w:rsid w:val="00506670"/>
    <w:rsid w:val="00511DD5"/>
    <w:rsid w:val="00511FB6"/>
    <w:rsid w:val="00512C91"/>
    <w:rsid w:val="00514831"/>
    <w:rsid w:val="00514955"/>
    <w:rsid w:val="0051595B"/>
    <w:rsid w:val="00517985"/>
    <w:rsid w:val="00520C1D"/>
    <w:rsid w:val="00521C87"/>
    <w:rsid w:val="005255E6"/>
    <w:rsid w:val="00525C8D"/>
    <w:rsid w:val="00526243"/>
    <w:rsid w:val="00526A8E"/>
    <w:rsid w:val="0052703A"/>
    <w:rsid w:val="005271E6"/>
    <w:rsid w:val="00531E3D"/>
    <w:rsid w:val="00532173"/>
    <w:rsid w:val="00532550"/>
    <w:rsid w:val="005329E1"/>
    <w:rsid w:val="00533ABF"/>
    <w:rsid w:val="00534DA2"/>
    <w:rsid w:val="00535E9D"/>
    <w:rsid w:val="00536BD7"/>
    <w:rsid w:val="005377AC"/>
    <w:rsid w:val="00537882"/>
    <w:rsid w:val="00540AAA"/>
    <w:rsid w:val="00541043"/>
    <w:rsid w:val="00541A2D"/>
    <w:rsid w:val="00542095"/>
    <w:rsid w:val="00545404"/>
    <w:rsid w:val="00545C16"/>
    <w:rsid w:val="0054623C"/>
    <w:rsid w:val="00546EC7"/>
    <w:rsid w:val="00547968"/>
    <w:rsid w:val="00547BFF"/>
    <w:rsid w:val="00547ECE"/>
    <w:rsid w:val="0055003D"/>
    <w:rsid w:val="00550BEB"/>
    <w:rsid w:val="00551F07"/>
    <w:rsid w:val="00552863"/>
    <w:rsid w:val="005531D2"/>
    <w:rsid w:val="005545CE"/>
    <w:rsid w:val="005551C0"/>
    <w:rsid w:val="00555DAC"/>
    <w:rsid w:val="005604F0"/>
    <w:rsid w:val="00560F1D"/>
    <w:rsid w:val="00560FF5"/>
    <w:rsid w:val="00571D05"/>
    <w:rsid w:val="00574E22"/>
    <w:rsid w:val="00575C89"/>
    <w:rsid w:val="00576F33"/>
    <w:rsid w:val="005771A1"/>
    <w:rsid w:val="00577DBF"/>
    <w:rsid w:val="00580129"/>
    <w:rsid w:val="0058197E"/>
    <w:rsid w:val="00581A5D"/>
    <w:rsid w:val="00581C57"/>
    <w:rsid w:val="00581DBB"/>
    <w:rsid w:val="00582014"/>
    <w:rsid w:val="0058209C"/>
    <w:rsid w:val="00582758"/>
    <w:rsid w:val="00583A4C"/>
    <w:rsid w:val="00583DD5"/>
    <w:rsid w:val="00584043"/>
    <w:rsid w:val="00584638"/>
    <w:rsid w:val="00584D3A"/>
    <w:rsid w:val="0058555C"/>
    <w:rsid w:val="00585FD8"/>
    <w:rsid w:val="00587C42"/>
    <w:rsid w:val="00592F1D"/>
    <w:rsid w:val="00593736"/>
    <w:rsid w:val="00593CC4"/>
    <w:rsid w:val="0059466A"/>
    <w:rsid w:val="0059503A"/>
    <w:rsid w:val="005951C6"/>
    <w:rsid w:val="00595599"/>
    <w:rsid w:val="0059755B"/>
    <w:rsid w:val="00597D49"/>
    <w:rsid w:val="005A09A0"/>
    <w:rsid w:val="005A1415"/>
    <w:rsid w:val="005A2FCC"/>
    <w:rsid w:val="005A3B54"/>
    <w:rsid w:val="005A6F5B"/>
    <w:rsid w:val="005A702D"/>
    <w:rsid w:val="005A7D1F"/>
    <w:rsid w:val="005B1CB8"/>
    <w:rsid w:val="005B242A"/>
    <w:rsid w:val="005B3A6B"/>
    <w:rsid w:val="005B4A3D"/>
    <w:rsid w:val="005B500E"/>
    <w:rsid w:val="005B5172"/>
    <w:rsid w:val="005B5D7E"/>
    <w:rsid w:val="005B6FC0"/>
    <w:rsid w:val="005B78BE"/>
    <w:rsid w:val="005C1B67"/>
    <w:rsid w:val="005C2A12"/>
    <w:rsid w:val="005C2D3E"/>
    <w:rsid w:val="005C493F"/>
    <w:rsid w:val="005C4AEE"/>
    <w:rsid w:val="005C5311"/>
    <w:rsid w:val="005C5629"/>
    <w:rsid w:val="005C694B"/>
    <w:rsid w:val="005C6E40"/>
    <w:rsid w:val="005D0096"/>
    <w:rsid w:val="005D0D9A"/>
    <w:rsid w:val="005D102D"/>
    <w:rsid w:val="005D10DE"/>
    <w:rsid w:val="005D1A04"/>
    <w:rsid w:val="005D1F43"/>
    <w:rsid w:val="005D3570"/>
    <w:rsid w:val="005D5EA0"/>
    <w:rsid w:val="005D6E9E"/>
    <w:rsid w:val="005D77C4"/>
    <w:rsid w:val="005D7E57"/>
    <w:rsid w:val="005E2D6A"/>
    <w:rsid w:val="005E330A"/>
    <w:rsid w:val="005E3AD9"/>
    <w:rsid w:val="005E3B1C"/>
    <w:rsid w:val="005E3E68"/>
    <w:rsid w:val="005E40D4"/>
    <w:rsid w:val="005E486F"/>
    <w:rsid w:val="005E5272"/>
    <w:rsid w:val="005E58F3"/>
    <w:rsid w:val="005E6171"/>
    <w:rsid w:val="005E6519"/>
    <w:rsid w:val="005F0785"/>
    <w:rsid w:val="005F0A7B"/>
    <w:rsid w:val="005F1062"/>
    <w:rsid w:val="005F18DE"/>
    <w:rsid w:val="005F2763"/>
    <w:rsid w:val="005F2EFB"/>
    <w:rsid w:val="005F3510"/>
    <w:rsid w:val="005F4E8E"/>
    <w:rsid w:val="006000C9"/>
    <w:rsid w:val="0060010D"/>
    <w:rsid w:val="00600FD5"/>
    <w:rsid w:val="00601A63"/>
    <w:rsid w:val="0060244E"/>
    <w:rsid w:val="00603FF3"/>
    <w:rsid w:val="006052F3"/>
    <w:rsid w:val="006056FF"/>
    <w:rsid w:val="00606A2B"/>
    <w:rsid w:val="006074A3"/>
    <w:rsid w:val="00611948"/>
    <w:rsid w:val="00611A62"/>
    <w:rsid w:val="00611C82"/>
    <w:rsid w:val="00612ED8"/>
    <w:rsid w:val="00614222"/>
    <w:rsid w:val="00615739"/>
    <w:rsid w:val="006167F7"/>
    <w:rsid w:val="006169CD"/>
    <w:rsid w:val="00617D06"/>
    <w:rsid w:val="00620036"/>
    <w:rsid w:val="0062244D"/>
    <w:rsid w:val="00622C3A"/>
    <w:rsid w:val="00623152"/>
    <w:rsid w:val="00625365"/>
    <w:rsid w:val="006254F5"/>
    <w:rsid w:val="00631167"/>
    <w:rsid w:val="00631B97"/>
    <w:rsid w:val="00632993"/>
    <w:rsid w:val="00632AA0"/>
    <w:rsid w:val="00634432"/>
    <w:rsid w:val="00634CDF"/>
    <w:rsid w:val="0063645C"/>
    <w:rsid w:val="00637145"/>
    <w:rsid w:val="00640124"/>
    <w:rsid w:val="00640FC7"/>
    <w:rsid w:val="006410A2"/>
    <w:rsid w:val="006410F7"/>
    <w:rsid w:val="006411A4"/>
    <w:rsid w:val="00642B81"/>
    <w:rsid w:val="00642D96"/>
    <w:rsid w:val="006434D9"/>
    <w:rsid w:val="00650643"/>
    <w:rsid w:val="00650BDD"/>
    <w:rsid w:val="006515BF"/>
    <w:rsid w:val="00651F55"/>
    <w:rsid w:val="006535E5"/>
    <w:rsid w:val="00653F4C"/>
    <w:rsid w:val="0065418A"/>
    <w:rsid w:val="00654203"/>
    <w:rsid w:val="006544F9"/>
    <w:rsid w:val="0065553E"/>
    <w:rsid w:val="00655813"/>
    <w:rsid w:val="006575D5"/>
    <w:rsid w:val="00660C26"/>
    <w:rsid w:val="00660EB6"/>
    <w:rsid w:val="00661B1C"/>
    <w:rsid w:val="00662DF8"/>
    <w:rsid w:val="00663239"/>
    <w:rsid w:val="00663554"/>
    <w:rsid w:val="006646E9"/>
    <w:rsid w:val="00664ED8"/>
    <w:rsid w:val="006656D8"/>
    <w:rsid w:val="00666666"/>
    <w:rsid w:val="00666B40"/>
    <w:rsid w:val="00667749"/>
    <w:rsid w:val="00667AD0"/>
    <w:rsid w:val="00667C10"/>
    <w:rsid w:val="0067146C"/>
    <w:rsid w:val="00673D02"/>
    <w:rsid w:val="00674F05"/>
    <w:rsid w:val="00675C6D"/>
    <w:rsid w:val="00680478"/>
    <w:rsid w:val="00680EDD"/>
    <w:rsid w:val="00680FB9"/>
    <w:rsid w:val="00682BE1"/>
    <w:rsid w:val="006845FF"/>
    <w:rsid w:val="00684E56"/>
    <w:rsid w:val="0068580F"/>
    <w:rsid w:val="00685CD5"/>
    <w:rsid w:val="00687CC4"/>
    <w:rsid w:val="0069289E"/>
    <w:rsid w:val="00692AC7"/>
    <w:rsid w:val="00696797"/>
    <w:rsid w:val="00696C05"/>
    <w:rsid w:val="00696C65"/>
    <w:rsid w:val="006A1865"/>
    <w:rsid w:val="006A2169"/>
    <w:rsid w:val="006A242B"/>
    <w:rsid w:val="006A3315"/>
    <w:rsid w:val="006A4E36"/>
    <w:rsid w:val="006A5664"/>
    <w:rsid w:val="006B054A"/>
    <w:rsid w:val="006B076C"/>
    <w:rsid w:val="006B0842"/>
    <w:rsid w:val="006B086E"/>
    <w:rsid w:val="006B0AA6"/>
    <w:rsid w:val="006B1263"/>
    <w:rsid w:val="006B1313"/>
    <w:rsid w:val="006B154A"/>
    <w:rsid w:val="006B2D82"/>
    <w:rsid w:val="006B3255"/>
    <w:rsid w:val="006B3274"/>
    <w:rsid w:val="006B3323"/>
    <w:rsid w:val="006B649D"/>
    <w:rsid w:val="006C11B3"/>
    <w:rsid w:val="006C1E21"/>
    <w:rsid w:val="006C32A8"/>
    <w:rsid w:val="006C339B"/>
    <w:rsid w:val="006C3CA3"/>
    <w:rsid w:val="006C3E5B"/>
    <w:rsid w:val="006C61B3"/>
    <w:rsid w:val="006C7D72"/>
    <w:rsid w:val="006D0F6E"/>
    <w:rsid w:val="006D1B0F"/>
    <w:rsid w:val="006D2F04"/>
    <w:rsid w:val="006D3144"/>
    <w:rsid w:val="006D3A99"/>
    <w:rsid w:val="006D4336"/>
    <w:rsid w:val="006D4D00"/>
    <w:rsid w:val="006D4FEA"/>
    <w:rsid w:val="006D6013"/>
    <w:rsid w:val="006D6976"/>
    <w:rsid w:val="006D700C"/>
    <w:rsid w:val="006E022E"/>
    <w:rsid w:val="006E1494"/>
    <w:rsid w:val="006E20FA"/>
    <w:rsid w:val="006E2389"/>
    <w:rsid w:val="006E2492"/>
    <w:rsid w:val="006E2577"/>
    <w:rsid w:val="006E2769"/>
    <w:rsid w:val="006E276B"/>
    <w:rsid w:val="006E2C69"/>
    <w:rsid w:val="006E6208"/>
    <w:rsid w:val="006E6850"/>
    <w:rsid w:val="006E7DFC"/>
    <w:rsid w:val="006F0BF4"/>
    <w:rsid w:val="006F1183"/>
    <w:rsid w:val="006F3CB7"/>
    <w:rsid w:val="006F451E"/>
    <w:rsid w:val="006F50B9"/>
    <w:rsid w:val="006F5B92"/>
    <w:rsid w:val="006F723A"/>
    <w:rsid w:val="0070319A"/>
    <w:rsid w:val="00703985"/>
    <w:rsid w:val="00703BC0"/>
    <w:rsid w:val="007043F4"/>
    <w:rsid w:val="0070588A"/>
    <w:rsid w:val="00706E5F"/>
    <w:rsid w:val="00710F6C"/>
    <w:rsid w:val="00711677"/>
    <w:rsid w:val="00713038"/>
    <w:rsid w:val="00713FBE"/>
    <w:rsid w:val="00714705"/>
    <w:rsid w:val="00715000"/>
    <w:rsid w:val="00715748"/>
    <w:rsid w:val="00715B03"/>
    <w:rsid w:val="00715CB3"/>
    <w:rsid w:val="00715FB4"/>
    <w:rsid w:val="007205F8"/>
    <w:rsid w:val="007232C7"/>
    <w:rsid w:val="00723A80"/>
    <w:rsid w:val="0072499B"/>
    <w:rsid w:val="007250B6"/>
    <w:rsid w:val="00726FA2"/>
    <w:rsid w:val="00727561"/>
    <w:rsid w:val="00727EF3"/>
    <w:rsid w:val="00731482"/>
    <w:rsid w:val="007318F9"/>
    <w:rsid w:val="0073271A"/>
    <w:rsid w:val="00732DFD"/>
    <w:rsid w:val="007338A7"/>
    <w:rsid w:val="007350D6"/>
    <w:rsid w:val="00735FFF"/>
    <w:rsid w:val="00740624"/>
    <w:rsid w:val="00740B14"/>
    <w:rsid w:val="00744211"/>
    <w:rsid w:val="00744343"/>
    <w:rsid w:val="007448B2"/>
    <w:rsid w:val="00744967"/>
    <w:rsid w:val="00744F35"/>
    <w:rsid w:val="00746AD1"/>
    <w:rsid w:val="00746E96"/>
    <w:rsid w:val="0075192E"/>
    <w:rsid w:val="00751D89"/>
    <w:rsid w:val="00752C3C"/>
    <w:rsid w:val="00752F58"/>
    <w:rsid w:val="0075437A"/>
    <w:rsid w:val="00755C16"/>
    <w:rsid w:val="00755F90"/>
    <w:rsid w:val="00756720"/>
    <w:rsid w:val="00757688"/>
    <w:rsid w:val="00757FE3"/>
    <w:rsid w:val="00760B78"/>
    <w:rsid w:val="00760DA6"/>
    <w:rsid w:val="00760F45"/>
    <w:rsid w:val="007612A8"/>
    <w:rsid w:val="00761FE7"/>
    <w:rsid w:val="00762679"/>
    <w:rsid w:val="00763B51"/>
    <w:rsid w:val="00764828"/>
    <w:rsid w:val="00764A38"/>
    <w:rsid w:val="007653E9"/>
    <w:rsid w:val="0076585C"/>
    <w:rsid w:val="007669CB"/>
    <w:rsid w:val="00766FFC"/>
    <w:rsid w:val="00770AB4"/>
    <w:rsid w:val="00771998"/>
    <w:rsid w:val="00771BEB"/>
    <w:rsid w:val="00773459"/>
    <w:rsid w:val="00774DFF"/>
    <w:rsid w:val="0077502D"/>
    <w:rsid w:val="007755AD"/>
    <w:rsid w:val="00775A82"/>
    <w:rsid w:val="00775E3A"/>
    <w:rsid w:val="0077790C"/>
    <w:rsid w:val="00780228"/>
    <w:rsid w:val="00780362"/>
    <w:rsid w:val="007809D1"/>
    <w:rsid w:val="00782383"/>
    <w:rsid w:val="00782CF0"/>
    <w:rsid w:val="00783589"/>
    <w:rsid w:val="007844F9"/>
    <w:rsid w:val="007845E0"/>
    <w:rsid w:val="00793C8A"/>
    <w:rsid w:val="0079439F"/>
    <w:rsid w:val="00794C37"/>
    <w:rsid w:val="0079718E"/>
    <w:rsid w:val="007975F1"/>
    <w:rsid w:val="00797922"/>
    <w:rsid w:val="007A1FF0"/>
    <w:rsid w:val="007A266B"/>
    <w:rsid w:val="007A3BCB"/>
    <w:rsid w:val="007A5473"/>
    <w:rsid w:val="007A569D"/>
    <w:rsid w:val="007A5914"/>
    <w:rsid w:val="007A5ED5"/>
    <w:rsid w:val="007A6232"/>
    <w:rsid w:val="007A62F5"/>
    <w:rsid w:val="007A64DC"/>
    <w:rsid w:val="007A6A4D"/>
    <w:rsid w:val="007A729F"/>
    <w:rsid w:val="007A749F"/>
    <w:rsid w:val="007B0368"/>
    <w:rsid w:val="007B0C4F"/>
    <w:rsid w:val="007B19AF"/>
    <w:rsid w:val="007B19B5"/>
    <w:rsid w:val="007B1B38"/>
    <w:rsid w:val="007B4B2F"/>
    <w:rsid w:val="007B597F"/>
    <w:rsid w:val="007B682A"/>
    <w:rsid w:val="007B6842"/>
    <w:rsid w:val="007B7BE5"/>
    <w:rsid w:val="007C0004"/>
    <w:rsid w:val="007C19CE"/>
    <w:rsid w:val="007C2FF7"/>
    <w:rsid w:val="007C38D1"/>
    <w:rsid w:val="007C3C34"/>
    <w:rsid w:val="007C5F6B"/>
    <w:rsid w:val="007C7CE3"/>
    <w:rsid w:val="007D026C"/>
    <w:rsid w:val="007D0389"/>
    <w:rsid w:val="007D1868"/>
    <w:rsid w:val="007D30EC"/>
    <w:rsid w:val="007D393B"/>
    <w:rsid w:val="007D7BDE"/>
    <w:rsid w:val="007E1A6B"/>
    <w:rsid w:val="007E1E79"/>
    <w:rsid w:val="007E319A"/>
    <w:rsid w:val="007E5152"/>
    <w:rsid w:val="007E525D"/>
    <w:rsid w:val="007E55F3"/>
    <w:rsid w:val="007E6B2F"/>
    <w:rsid w:val="007E70BD"/>
    <w:rsid w:val="007E7576"/>
    <w:rsid w:val="007F3404"/>
    <w:rsid w:val="007F3A6C"/>
    <w:rsid w:val="007F5A17"/>
    <w:rsid w:val="007F5D8C"/>
    <w:rsid w:val="007F6110"/>
    <w:rsid w:val="007F6FB5"/>
    <w:rsid w:val="008007AF"/>
    <w:rsid w:val="00800D19"/>
    <w:rsid w:val="00800D4A"/>
    <w:rsid w:val="008018BB"/>
    <w:rsid w:val="00801CF4"/>
    <w:rsid w:val="0080200C"/>
    <w:rsid w:val="00802CFE"/>
    <w:rsid w:val="00805277"/>
    <w:rsid w:val="00805BD9"/>
    <w:rsid w:val="00806631"/>
    <w:rsid w:val="008103A1"/>
    <w:rsid w:val="0081505D"/>
    <w:rsid w:val="0081555C"/>
    <w:rsid w:val="00816B5A"/>
    <w:rsid w:val="008174F8"/>
    <w:rsid w:val="00817A10"/>
    <w:rsid w:val="00817A94"/>
    <w:rsid w:val="00820DD3"/>
    <w:rsid w:val="00822DFB"/>
    <w:rsid w:val="00823D00"/>
    <w:rsid w:val="00823D94"/>
    <w:rsid w:val="0082442A"/>
    <w:rsid w:val="00824850"/>
    <w:rsid w:val="008248B7"/>
    <w:rsid w:val="00824D2E"/>
    <w:rsid w:val="00825298"/>
    <w:rsid w:val="008253F7"/>
    <w:rsid w:val="00827661"/>
    <w:rsid w:val="00827781"/>
    <w:rsid w:val="008300CE"/>
    <w:rsid w:val="008312F1"/>
    <w:rsid w:val="008316F7"/>
    <w:rsid w:val="008346A0"/>
    <w:rsid w:val="008366D5"/>
    <w:rsid w:val="008371A3"/>
    <w:rsid w:val="0084363E"/>
    <w:rsid w:val="00843D86"/>
    <w:rsid w:val="008453BF"/>
    <w:rsid w:val="00846808"/>
    <w:rsid w:val="00846F7C"/>
    <w:rsid w:val="0084786D"/>
    <w:rsid w:val="00850E85"/>
    <w:rsid w:val="008518D8"/>
    <w:rsid w:val="00851AC8"/>
    <w:rsid w:val="00853EC0"/>
    <w:rsid w:val="00855511"/>
    <w:rsid w:val="00855A6A"/>
    <w:rsid w:val="00855DBE"/>
    <w:rsid w:val="00856A82"/>
    <w:rsid w:val="00857CE5"/>
    <w:rsid w:val="00857E03"/>
    <w:rsid w:val="00860028"/>
    <w:rsid w:val="00860751"/>
    <w:rsid w:val="008645AA"/>
    <w:rsid w:val="008648AF"/>
    <w:rsid w:val="00865CF8"/>
    <w:rsid w:val="00866627"/>
    <w:rsid w:val="00866DE9"/>
    <w:rsid w:val="00866FCE"/>
    <w:rsid w:val="00870029"/>
    <w:rsid w:val="00870451"/>
    <w:rsid w:val="0087121A"/>
    <w:rsid w:val="00875633"/>
    <w:rsid w:val="008764D4"/>
    <w:rsid w:val="008769B3"/>
    <w:rsid w:val="00876AF7"/>
    <w:rsid w:val="00876E44"/>
    <w:rsid w:val="0088011E"/>
    <w:rsid w:val="00880472"/>
    <w:rsid w:val="008819FE"/>
    <w:rsid w:val="00883EEB"/>
    <w:rsid w:val="00884C9B"/>
    <w:rsid w:val="00886B73"/>
    <w:rsid w:val="00890FC3"/>
    <w:rsid w:val="008919B8"/>
    <w:rsid w:val="00892BE8"/>
    <w:rsid w:val="00893634"/>
    <w:rsid w:val="00893BBF"/>
    <w:rsid w:val="00896EAC"/>
    <w:rsid w:val="008A0015"/>
    <w:rsid w:val="008A0346"/>
    <w:rsid w:val="008A1B1B"/>
    <w:rsid w:val="008A285F"/>
    <w:rsid w:val="008A2C5C"/>
    <w:rsid w:val="008A2EA3"/>
    <w:rsid w:val="008A3074"/>
    <w:rsid w:val="008A3E55"/>
    <w:rsid w:val="008A5273"/>
    <w:rsid w:val="008A5E90"/>
    <w:rsid w:val="008A7334"/>
    <w:rsid w:val="008B0671"/>
    <w:rsid w:val="008B0AC7"/>
    <w:rsid w:val="008B3475"/>
    <w:rsid w:val="008B6CF9"/>
    <w:rsid w:val="008B6F26"/>
    <w:rsid w:val="008B7DA3"/>
    <w:rsid w:val="008C05F8"/>
    <w:rsid w:val="008C167D"/>
    <w:rsid w:val="008C19A4"/>
    <w:rsid w:val="008C220E"/>
    <w:rsid w:val="008C2328"/>
    <w:rsid w:val="008C2C9A"/>
    <w:rsid w:val="008C35F2"/>
    <w:rsid w:val="008C3AC1"/>
    <w:rsid w:val="008C3EC2"/>
    <w:rsid w:val="008C41D5"/>
    <w:rsid w:val="008C4EC5"/>
    <w:rsid w:val="008C5824"/>
    <w:rsid w:val="008C6329"/>
    <w:rsid w:val="008C69C0"/>
    <w:rsid w:val="008C7E40"/>
    <w:rsid w:val="008D0E42"/>
    <w:rsid w:val="008D3011"/>
    <w:rsid w:val="008D36B9"/>
    <w:rsid w:val="008D5259"/>
    <w:rsid w:val="008D58FE"/>
    <w:rsid w:val="008D6DDC"/>
    <w:rsid w:val="008E036C"/>
    <w:rsid w:val="008E1F0C"/>
    <w:rsid w:val="008E3A03"/>
    <w:rsid w:val="008E51F0"/>
    <w:rsid w:val="008E5555"/>
    <w:rsid w:val="008E6D64"/>
    <w:rsid w:val="008E7001"/>
    <w:rsid w:val="008E777C"/>
    <w:rsid w:val="008F11C5"/>
    <w:rsid w:val="008F4A00"/>
    <w:rsid w:val="008F5764"/>
    <w:rsid w:val="008F6F3B"/>
    <w:rsid w:val="008F7446"/>
    <w:rsid w:val="008F7489"/>
    <w:rsid w:val="0090030A"/>
    <w:rsid w:val="00900EF5"/>
    <w:rsid w:val="0090182A"/>
    <w:rsid w:val="0090194A"/>
    <w:rsid w:val="00901BAE"/>
    <w:rsid w:val="00902979"/>
    <w:rsid w:val="00903445"/>
    <w:rsid w:val="009034B9"/>
    <w:rsid w:val="009042FE"/>
    <w:rsid w:val="009046C1"/>
    <w:rsid w:val="009060D3"/>
    <w:rsid w:val="0090622C"/>
    <w:rsid w:val="009073BC"/>
    <w:rsid w:val="00907A08"/>
    <w:rsid w:val="009101DA"/>
    <w:rsid w:val="00911036"/>
    <w:rsid w:val="00911981"/>
    <w:rsid w:val="00911EE8"/>
    <w:rsid w:val="00912ED6"/>
    <w:rsid w:val="009130E2"/>
    <w:rsid w:val="0091384D"/>
    <w:rsid w:val="00913E36"/>
    <w:rsid w:val="009140D6"/>
    <w:rsid w:val="00914B54"/>
    <w:rsid w:val="00915939"/>
    <w:rsid w:val="009170B7"/>
    <w:rsid w:val="009172B9"/>
    <w:rsid w:val="00917C90"/>
    <w:rsid w:val="00920379"/>
    <w:rsid w:val="0092285D"/>
    <w:rsid w:val="00923464"/>
    <w:rsid w:val="00925415"/>
    <w:rsid w:val="00927380"/>
    <w:rsid w:val="0093092B"/>
    <w:rsid w:val="00930FA3"/>
    <w:rsid w:val="009319E3"/>
    <w:rsid w:val="00932FFD"/>
    <w:rsid w:val="009335D9"/>
    <w:rsid w:val="0093434B"/>
    <w:rsid w:val="009359DB"/>
    <w:rsid w:val="00935A30"/>
    <w:rsid w:val="00936232"/>
    <w:rsid w:val="00942039"/>
    <w:rsid w:val="00942209"/>
    <w:rsid w:val="00942A21"/>
    <w:rsid w:val="00942A82"/>
    <w:rsid w:val="009432F8"/>
    <w:rsid w:val="0094345C"/>
    <w:rsid w:val="0094492D"/>
    <w:rsid w:val="00946681"/>
    <w:rsid w:val="00946726"/>
    <w:rsid w:val="00946BF7"/>
    <w:rsid w:val="00946E9E"/>
    <w:rsid w:val="009502B4"/>
    <w:rsid w:val="00951263"/>
    <w:rsid w:val="00951555"/>
    <w:rsid w:val="00951850"/>
    <w:rsid w:val="00951A61"/>
    <w:rsid w:val="0095246C"/>
    <w:rsid w:val="00952E17"/>
    <w:rsid w:val="009555F4"/>
    <w:rsid w:val="009558C2"/>
    <w:rsid w:val="0095629B"/>
    <w:rsid w:val="00957560"/>
    <w:rsid w:val="00961182"/>
    <w:rsid w:val="0096129C"/>
    <w:rsid w:val="00961473"/>
    <w:rsid w:val="00961F6D"/>
    <w:rsid w:val="00962966"/>
    <w:rsid w:val="00962BB6"/>
    <w:rsid w:val="00962C30"/>
    <w:rsid w:val="00964786"/>
    <w:rsid w:val="00964F22"/>
    <w:rsid w:val="00965B55"/>
    <w:rsid w:val="00970656"/>
    <w:rsid w:val="00970E5C"/>
    <w:rsid w:val="009750D0"/>
    <w:rsid w:val="009766C1"/>
    <w:rsid w:val="00980E76"/>
    <w:rsid w:val="00980FAE"/>
    <w:rsid w:val="0098177E"/>
    <w:rsid w:val="009823A1"/>
    <w:rsid w:val="00982D54"/>
    <w:rsid w:val="00982D7C"/>
    <w:rsid w:val="009838D4"/>
    <w:rsid w:val="009839BB"/>
    <w:rsid w:val="0098454A"/>
    <w:rsid w:val="009850A6"/>
    <w:rsid w:val="00986844"/>
    <w:rsid w:val="009873DD"/>
    <w:rsid w:val="009905CA"/>
    <w:rsid w:val="00991222"/>
    <w:rsid w:val="00991668"/>
    <w:rsid w:val="0099381B"/>
    <w:rsid w:val="0099548F"/>
    <w:rsid w:val="00995EAF"/>
    <w:rsid w:val="009965B2"/>
    <w:rsid w:val="009A07D5"/>
    <w:rsid w:val="009A2D79"/>
    <w:rsid w:val="009A3B73"/>
    <w:rsid w:val="009A3F83"/>
    <w:rsid w:val="009A4059"/>
    <w:rsid w:val="009A6348"/>
    <w:rsid w:val="009A6491"/>
    <w:rsid w:val="009B02B6"/>
    <w:rsid w:val="009B0F4C"/>
    <w:rsid w:val="009B1459"/>
    <w:rsid w:val="009B170E"/>
    <w:rsid w:val="009B2BE3"/>
    <w:rsid w:val="009B2E15"/>
    <w:rsid w:val="009B3237"/>
    <w:rsid w:val="009B4BCB"/>
    <w:rsid w:val="009B57A3"/>
    <w:rsid w:val="009B60D2"/>
    <w:rsid w:val="009B63C4"/>
    <w:rsid w:val="009B6D1D"/>
    <w:rsid w:val="009B6F82"/>
    <w:rsid w:val="009B753B"/>
    <w:rsid w:val="009C02E5"/>
    <w:rsid w:val="009C51E0"/>
    <w:rsid w:val="009C59EB"/>
    <w:rsid w:val="009C5E7B"/>
    <w:rsid w:val="009C6D2D"/>
    <w:rsid w:val="009C7C3C"/>
    <w:rsid w:val="009D0A1B"/>
    <w:rsid w:val="009D1000"/>
    <w:rsid w:val="009D152A"/>
    <w:rsid w:val="009D272D"/>
    <w:rsid w:val="009D3948"/>
    <w:rsid w:val="009D5F10"/>
    <w:rsid w:val="009E1BFE"/>
    <w:rsid w:val="009E1D8F"/>
    <w:rsid w:val="009E243C"/>
    <w:rsid w:val="009E4B46"/>
    <w:rsid w:val="009E5FD8"/>
    <w:rsid w:val="009E7109"/>
    <w:rsid w:val="009E744B"/>
    <w:rsid w:val="009F06BF"/>
    <w:rsid w:val="009F06F8"/>
    <w:rsid w:val="009F0B53"/>
    <w:rsid w:val="009F0E5B"/>
    <w:rsid w:val="009F25DD"/>
    <w:rsid w:val="009F2956"/>
    <w:rsid w:val="009F3277"/>
    <w:rsid w:val="009F39D0"/>
    <w:rsid w:val="009F44B8"/>
    <w:rsid w:val="009F4745"/>
    <w:rsid w:val="009F4D56"/>
    <w:rsid w:val="009F51E7"/>
    <w:rsid w:val="009F66CE"/>
    <w:rsid w:val="009F6B1A"/>
    <w:rsid w:val="009F791A"/>
    <w:rsid w:val="00A04695"/>
    <w:rsid w:val="00A04805"/>
    <w:rsid w:val="00A065CE"/>
    <w:rsid w:val="00A06D9B"/>
    <w:rsid w:val="00A10200"/>
    <w:rsid w:val="00A11D0E"/>
    <w:rsid w:val="00A11D1E"/>
    <w:rsid w:val="00A121EB"/>
    <w:rsid w:val="00A13158"/>
    <w:rsid w:val="00A13615"/>
    <w:rsid w:val="00A14146"/>
    <w:rsid w:val="00A14B74"/>
    <w:rsid w:val="00A14C96"/>
    <w:rsid w:val="00A16C1F"/>
    <w:rsid w:val="00A21739"/>
    <w:rsid w:val="00A2194A"/>
    <w:rsid w:val="00A22C75"/>
    <w:rsid w:val="00A2436D"/>
    <w:rsid w:val="00A243A9"/>
    <w:rsid w:val="00A261C4"/>
    <w:rsid w:val="00A263FA"/>
    <w:rsid w:val="00A27FF4"/>
    <w:rsid w:val="00A30E39"/>
    <w:rsid w:val="00A3150F"/>
    <w:rsid w:val="00A31876"/>
    <w:rsid w:val="00A35F33"/>
    <w:rsid w:val="00A361E9"/>
    <w:rsid w:val="00A3666F"/>
    <w:rsid w:val="00A36B5A"/>
    <w:rsid w:val="00A370B8"/>
    <w:rsid w:val="00A4062E"/>
    <w:rsid w:val="00A40D56"/>
    <w:rsid w:val="00A41E2A"/>
    <w:rsid w:val="00A41EF2"/>
    <w:rsid w:val="00A4273F"/>
    <w:rsid w:val="00A44547"/>
    <w:rsid w:val="00A4674C"/>
    <w:rsid w:val="00A46F7D"/>
    <w:rsid w:val="00A471B6"/>
    <w:rsid w:val="00A51BCB"/>
    <w:rsid w:val="00A5503B"/>
    <w:rsid w:val="00A551AA"/>
    <w:rsid w:val="00A5548B"/>
    <w:rsid w:val="00A565D6"/>
    <w:rsid w:val="00A5667B"/>
    <w:rsid w:val="00A60CDB"/>
    <w:rsid w:val="00A60F1C"/>
    <w:rsid w:val="00A61DAC"/>
    <w:rsid w:val="00A61E9A"/>
    <w:rsid w:val="00A61F51"/>
    <w:rsid w:val="00A640A6"/>
    <w:rsid w:val="00A64DE8"/>
    <w:rsid w:val="00A663A7"/>
    <w:rsid w:val="00A66516"/>
    <w:rsid w:val="00A67232"/>
    <w:rsid w:val="00A72041"/>
    <w:rsid w:val="00A72D38"/>
    <w:rsid w:val="00A73935"/>
    <w:rsid w:val="00A7471E"/>
    <w:rsid w:val="00A7508F"/>
    <w:rsid w:val="00A75D82"/>
    <w:rsid w:val="00A76CCA"/>
    <w:rsid w:val="00A77695"/>
    <w:rsid w:val="00A803DA"/>
    <w:rsid w:val="00A81448"/>
    <w:rsid w:val="00A81764"/>
    <w:rsid w:val="00A83B6D"/>
    <w:rsid w:val="00A8450A"/>
    <w:rsid w:val="00A85813"/>
    <w:rsid w:val="00A85F7E"/>
    <w:rsid w:val="00A86183"/>
    <w:rsid w:val="00A87772"/>
    <w:rsid w:val="00A87A9C"/>
    <w:rsid w:val="00A9085E"/>
    <w:rsid w:val="00A91ABC"/>
    <w:rsid w:val="00A92C6D"/>
    <w:rsid w:val="00A9340E"/>
    <w:rsid w:val="00A939EE"/>
    <w:rsid w:val="00A93DFE"/>
    <w:rsid w:val="00A93E86"/>
    <w:rsid w:val="00A94099"/>
    <w:rsid w:val="00A97001"/>
    <w:rsid w:val="00A97163"/>
    <w:rsid w:val="00AA0D9C"/>
    <w:rsid w:val="00AA17B0"/>
    <w:rsid w:val="00AA20D3"/>
    <w:rsid w:val="00AA2129"/>
    <w:rsid w:val="00AA34DF"/>
    <w:rsid w:val="00AA5771"/>
    <w:rsid w:val="00AA610C"/>
    <w:rsid w:val="00AA61A1"/>
    <w:rsid w:val="00AA6A3D"/>
    <w:rsid w:val="00AB151C"/>
    <w:rsid w:val="00AB15A2"/>
    <w:rsid w:val="00AB1E56"/>
    <w:rsid w:val="00AB2C9E"/>
    <w:rsid w:val="00AB44A6"/>
    <w:rsid w:val="00AB4BE3"/>
    <w:rsid w:val="00AB5EBF"/>
    <w:rsid w:val="00AB7481"/>
    <w:rsid w:val="00AC0385"/>
    <w:rsid w:val="00AC25B7"/>
    <w:rsid w:val="00AC36B7"/>
    <w:rsid w:val="00AC59A6"/>
    <w:rsid w:val="00AC5C6B"/>
    <w:rsid w:val="00AC74AB"/>
    <w:rsid w:val="00AC7CB2"/>
    <w:rsid w:val="00AD0815"/>
    <w:rsid w:val="00AD0E09"/>
    <w:rsid w:val="00AD136B"/>
    <w:rsid w:val="00AD18F9"/>
    <w:rsid w:val="00AD21F2"/>
    <w:rsid w:val="00AD2569"/>
    <w:rsid w:val="00AD33CF"/>
    <w:rsid w:val="00AD3D32"/>
    <w:rsid w:val="00AD4675"/>
    <w:rsid w:val="00AD567A"/>
    <w:rsid w:val="00AD78D6"/>
    <w:rsid w:val="00AD7C09"/>
    <w:rsid w:val="00AE0176"/>
    <w:rsid w:val="00AE2198"/>
    <w:rsid w:val="00AE3B65"/>
    <w:rsid w:val="00AE698D"/>
    <w:rsid w:val="00AE75E8"/>
    <w:rsid w:val="00AE7F6A"/>
    <w:rsid w:val="00AF0F43"/>
    <w:rsid w:val="00AF17CD"/>
    <w:rsid w:val="00AF23DD"/>
    <w:rsid w:val="00AF3375"/>
    <w:rsid w:val="00AF3820"/>
    <w:rsid w:val="00AF483B"/>
    <w:rsid w:val="00AF492F"/>
    <w:rsid w:val="00AF4B7A"/>
    <w:rsid w:val="00AF564A"/>
    <w:rsid w:val="00AF751D"/>
    <w:rsid w:val="00AF78C3"/>
    <w:rsid w:val="00AF7938"/>
    <w:rsid w:val="00B0159F"/>
    <w:rsid w:val="00B032BE"/>
    <w:rsid w:val="00B04B60"/>
    <w:rsid w:val="00B063ED"/>
    <w:rsid w:val="00B064C3"/>
    <w:rsid w:val="00B13361"/>
    <w:rsid w:val="00B1348D"/>
    <w:rsid w:val="00B156C8"/>
    <w:rsid w:val="00B16076"/>
    <w:rsid w:val="00B16900"/>
    <w:rsid w:val="00B21A3D"/>
    <w:rsid w:val="00B225EC"/>
    <w:rsid w:val="00B23710"/>
    <w:rsid w:val="00B23D3F"/>
    <w:rsid w:val="00B24892"/>
    <w:rsid w:val="00B25AAC"/>
    <w:rsid w:val="00B25AFC"/>
    <w:rsid w:val="00B25C11"/>
    <w:rsid w:val="00B25CB3"/>
    <w:rsid w:val="00B267C3"/>
    <w:rsid w:val="00B2684A"/>
    <w:rsid w:val="00B27EB1"/>
    <w:rsid w:val="00B30508"/>
    <w:rsid w:val="00B30D68"/>
    <w:rsid w:val="00B30E37"/>
    <w:rsid w:val="00B322E8"/>
    <w:rsid w:val="00B32511"/>
    <w:rsid w:val="00B33A68"/>
    <w:rsid w:val="00B34625"/>
    <w:rsid w:val="00B34D46"/>
    <w:rsid w:val="00B3574E"/>
    <w:rsid w:val="00B368F4"/>
    <w:rsid w:val="00B37F15"/>
    <w:rsid w:val="00B4088D"/>
    <w:rsid w:val="00B40C9C"/>
    <w:rsid w:val="00B41A7E"/>
    <w:rsid w:val="00B42527"/>
    <w:rsid w:val="00B42F61"/>
    <w:rsid w:val="00B43826"/>
    <w:rsid w:val="00B459E3"/>
    <w:rsid w:val="00B46797"/>
    <w:rsid w:val="00B46905"/>
    <w:rsid w:val="00B4708A"/>
    <w:rsid w:val="00B510CA"/>
    <w:rsid w:val="00B524EA"/>
    <w:rsid w:val="00B53823"/>
    <w:rsid w:val="00B53F3F"/>
    <w:rsid w:val="00B53F46"/>
    <w:rsid w:val="00B5515C"/>
    <w:rsid w:val="00B55A36"/>
    <w:rsid w:val="00B55FEC"/>
    <w:rsid w:val="00B57BB6"/>
    <w:rsid w:val="00B60297"/>
    <w:rsid w:val="00B6068F"/>
    <w:rsid w:val="00B63BF6"/>
    <w:rsid w:val="00B645B1"/>
    <w:rsid w:val="00B657F0"/>
    <w:rsid w:val="00B679B1"/>
    <w:rsid w:val="00B67C3B"/>
    <w:rsid w:val="00B67E81"/>
    <w:rsid w:val="00B72052"/>
    <w:rsid w:val="00B7254C"/>
    <w:rsid w:val="00B741AC"/>
    <w:rsid w:val="00B74999"/>
    <w:rsid w:val="00B74CC9"/>
    <w:rsid w:val="00B7558D"/>
    <w:rsid w:val="00B759A3"/>
    <w:rsid w:val="00B759B5"/>
    <w:rsid w:val="00B75D32"/>
    <w:rsid w:val="00B768A5"/>
    <w:rsid w:val="00B800DE"/>
    <w:rsid w:val="00B83A61"/>
    <w:rsid w:val="00B85006"/>
    <w:rsid w:val="00B86289"/>
    <w:rsid w:val="00B865E2"/>
    <w:rsid w:val="00B913F4"/>
    <w:rsid w:val="00B92812"/>
    <w:rsid w:val="00B928CF"/>
    <w:rsid w:val="00B93738"/>
    <w:rsid w:val="00B94DBD"/>
    <w:rsid w:val="00B95AF4"/>
    <w:rsid w:val="00B95E58"/>
    <w:rsid w:val="00B95EE8"/>
    <w:rsid w:val="00B9740D"/>
    <w:rsid w:val="00B974E0"/>
    <w:rsid w:val="00BA0200"/>
    <w:rsid w:val="00BA1205"/>
    <w:rsid w:val="00BA20A1"/>
    <w:rsid w:val="00BA2474"/>
    <w:rsid w:val="00BA257A"/>
    <w:rsid w:val="00BA2D21"/>
    <w:rsid w:val="00BA2FCB"/>
    <w:rsid w:val="00BA655D"/>
    <w:rsid w:val="00BB1303"/>
    <w:rsid w:val="00BB14E8"/>
    <w:rsid w:val="00BB2591"/>
    <w:rsid w:val="00BB27B4"/>
    <w:rsid w:val="00BB3437"/>
    <w:rsid w:val="00BB3E05"/>
    <w:rsid w:val="00BB409B"/>
    <w:rsid w:val="00BB54CB"/>
    <w:rsid w:val="00BB60DE"/>
    <w:rsid w:val="00BB6A34"/>
    <w:rsid w:val="00BB7D42"/>
    <w:rsid w:val="00BC062C"/>
    <w:rsid w:val="00BC0649"/>
    <w:rsid w:val="00BC2024"/>
    <w:rsid w:val="00BC455A"/>
    <w:rsid w:val="00BC4840"/>
    <w:rsid w:val="00BC4CF5"/>
    <w:rsid w:val="00BC567A"/>
    <w:rsid w:val="00BC59D0"/>
    <w:rsid w:val="00BC5A64"/>
    <w:rsid w:val="00BD135D"/>
    <w:rsid w:val="00BD2DD5"/>
    <w:rsid w:val="00BD3B1D"/>
    <w:rsid w:val="00BD5638"/>
    <w:rsid w:val="00BD58D1"/>
    <w:rsid w:val="00BD5DC9"/>
    <w:rsid w:val="00BD6144"/>
    <w:rsid w:val="00BD61D9"/>
    <w:rsid w:val="00BD64B3"/>
    <w:rsid w:val="00BE1D13"/>
    <w:rsid w:val="00BE1D56"/>
    <w:rsid w:val="00BE270F"/>
    <w:rsid w:val="00BE4397"/>
    <w:rsid w:val="00BE4A55"/>
    <w:rsid w:val="00BE56AA"/>
    <w:rsid w:val="00BE690B"/>
    <w:rsid w:val="00BE7D4D"/>
    <w:rsid w:val="00BF0079"/>
    <w:rsid w:val="00BF0F90"/>
    <w:rsid w:val="00BF1118"/>
    <w:rsid w:val="00BF5148"/>
    <w:rsid w:val="00BF5ED3"/>
    <w:rsid w:val="00BF6453"/>
    <w:rsid w:val="00BF755E"/>
    <w:rsid w:val="00C005E5"/>
    <w:rsid w:val="00C009E8"/>
    <w:rsid w:val="00C05406"/>
    <w:rsid w:val="00C072A0"/>
    <w:rsid w:val="00C077D9"/>
    <w:rsid w:val="00C07D58"/>
    <w:rsid w:val="00C11266"/>
    <w:rsid w:val="00C11ACF"/>
    <w:rsid w:val="00C11AF4"/>
    <w:rsid w:val="00C11C57"/>
    <w:rsid w:val="00C1221A"/>
    <w:rsid w:val="00C12916"/>
    <w:rsid w:val="00C13A99"/>
    <w:rsid w:val="00C15472"/>
    <w:rsid w:val="00C16031"/>
    <w:rsid w:val="00C205F8"/>
    <w:rsid w:val="00C20701"/>
    <w:rsid w:val="00C21A20"/>
    <w:rsid w:val="00C2300C"/>
    <w:rsid w:val="00C234D5"/>
    <w:rsid w:val="00C243D2"/>
    <w:rsid w:val="00C24826"/>
    <w:rsid w:val="00C27C30"/>
    <w:rsid w:val="00C27ED0"/>
    <w:rsid w:val="00C345CD"/>
    <w:rsid w:val="00C361A1"/>
    <w:rsid w:val="00C40A40"/>
    <w:rsid w:val="00C40E8F"/>
    <w:rsid w:val="00C41CAA"/>
    <w:rsid w:val="00C41E2E"/>
    <w:rsid w:val="00C42227"/>
    <w:rsid w:val="00C4249A"/>
    <w:rsid w:val="00C428E0"/>
    <w:rsid w:val="00C436A0"/>
    <w:rsid w:val="00C43B02"/>
    <w:rsid w:val="00C43FE7"/>
    <w:rsid w:val="00C44212"/>
    <w:rsid w:val="00C46522"/>
    <w:rsid w:val="00C46D19"/>
    <w:rsid w:val="00C50CEE"/>
    <w:rsid w:val="00C517A1"/>
    <w:rsid w:val="00C51A4B"/>
    <w:rsid w:val="00C51FDE"/>
    <w:rsid w:val="00C52358"/>
    <w:rsid w:val="00C52FB7"/>
    <w:rsid w:val="00C549DB"/>
    <w:rsid w:val="00C561B8"/>
    <w:rsid w:val="00C56C1A"/>
    <w:rsid w:val="00C574F8"/>
    <w:rsid w:val="00C57599"/>
    <w:rsid w:val="00C61248"/>
    <w:rsid w:val="00C61E42"/>
    <w:rsid w:val="00C623C8"/>
    <w:rsid w:val="00C657B6"/>
    <w:rsid w:val="00C66BF3"/>
    <w:rsid w:val="00C705E1"/>
    <w:rsid w:val="00C708B2"/>
    <w:rsid w:val="00C726F8"/>
    <w:rsid w:val="00C737B5"/>
    <w:rsid w:val="00C73BA5"/>
    <w:rsid w:val="00C73BB1"/>
    <w:rsid w:val="00C74E3D"/>
    <w:rsid w:val="00C751F5"/>
    <w:rsid w:val="00C76831"/>
    <w:rsid w:val="00C77022"/>
    <w:rsid w:val="00C80030"/>
    <w:rsid w:val="00C8124C"/>
    <w:rsid w:val="00C81944"/>
    <w:rsid w:val="00C8287E"/>
    <w:rsid w:val="00C82F83"/>
    <w:rsid w:val="00C8303B"/>
    <w:rsid w:val="00C83954"/>
    <w:rsid w:val="00C84207"/>
    <w:rsid w:val="00C84A05"/>
    <w:rsid w:val="00C84D42"/>
    <w:rsid w:val="00C84F79"/>
    <w:rsid w:val="00C86FDE"/>
    <w:rsid w:val="00C90AE0"/>
    <w:rsid w:val="00C92776"/>
    <w:rsid w:val="00C930D2"/>
    <w:rsid w:val="00C93269"/>
    <w:rsid w:val="00C951A6"/>
    <w:rsid w:val="00C965DD"/>
    <w:rsid w:val="00C96AC5"/>
    <w:rsid w:val="00CA0179"/>
    <w:rsid w:val="00CA0DEA"/>
    <w:rsid w:val="00CA10A8"/>
    <w:rsid w:val="00CA3811"/>
    <w:rsid w:val="00CA66BF"/>
    <w:rsid w:val="00CA6749"/>
    <w:rsid w:val="00CA6D33"/>
    <w:rsid w:val="00CA7787"/>
    <w:rsid w:val="00CB06E2"/>
    <w:rsid w:val="00CB1971"/>
    <w:rsid w:val="00CB26AC"/>
    <w:rsid w:val="00CB356E"/>
    <w:rsid w:val="00CB3619"/>
    <w:rsid w:val="00CB40F7"/>
    <w:rsid w:val="00CB483D"/>
    <w:rsid w:val="00CB5B19"/>
    <w:rsid w:val="00CC11C4"/>
    <w:rsid w:val="00CC3878"/>
    <w:rsid w:val="00CC3FA2"/>
    <w:rsid w:val="00CC475C"/>
    <w:rsid w:val="00CC4DCB"/>
    <w:rsid w:val="00CC5CE8"/>
    <w:rsid w:val="00CC6101"/>
    <w:rsid w:val="00CC67FA"/>
    <w:rsid w:val="00CC6CB2"/>
    <w:rsid w:val="00CC6F04"/>
    <w:rsid w:val="00CC72A9"/>
    <w:rsid w:val="00CD00CC"/>
    <w:rsid w:val="00CD040D"/>
    <w:rsid w:val="00CD12AC"/>
    <w:rsid w:val="00CD13C1"/>
    <w:rsid w:val="00CD315B"/>
    <w:rsid w:val="00CD387F"/>
    <w:rsid w:val="00CD3C89"/>
    <w:rsid w:val="00CD3C9C"/>
    <w:rsid w:val="00CD46E9"/>
    <w:rsid w:val="00CD47D5"/>
    <w:rsid w:val="00CD4A7C"/>
    <w:rsid w:val="00CD7AC1"/>
    <w:rsid w:val="00CE15CF"/>
    <w:rsid w:val="00CE371F"/>
    <w:rsid w:val="00CE5729"/>
    <w:rsid w:val="00CE5EDA"/>
    <w:rsid w:val="00CE6D32"/>
    <w:rsid w:val="00CF2E98"/>
    <w:rsid w:val="00CF3A48"/>
    <w:rsid w:val="00CF69EE"/>
    <w:rsid w:val="00CF6A77"/>
    <w:rsid w:val="00CF6F54"/>
    <w:rsid w:val="00D00C9F"/>
    <w:rsid w:val="00D0137A"/>
    <w:rsid w:val="00D01491"/>
    <w:rsid w:val="00D03301"/>
    <w:rsid w:val="00D048EE"/>
    <w:rsid w:val="00D0519D"/>
    <w:rsid w:val="00D05CE5"/>
    <w:rsid w:val="00D06F5B"/>
    <w:rsid w:val="00D10858"/>
    <w:rsid w:val="00D10AF0"/>
    <w:rsid w:val="00D11BEE"/>
    <w:rsid w:val="00D12441"/>
    <w:rsid w:val="00D139E7"/>
    <w:rsid w:val="00D158CE"/>
    <w:rsid w:val="00D1603C"/>
    <w:rsid w:val="00D20AA5"/>
    <w:rsid w:val="00D2213E"/>
    <w:rsid w:val="00D223A2"/>
    <w:rsid w:val="00D2602F"/>
    <w:rsid w:val="00D30C83"/>
    <w:rsid w:val="00D32EE0"/>
    <w:rsid w:val="00D33D3F"/>
    <w:rsid w:val="00D36C7A"/>
    <w:rsid w:val="00D36EDA"/>
    <w:rsid w:val="00D4092C"/>
    <w:rsid w:val="00D41A6F"/>
    <w:rsid w:val="00D41F0E"/>
    <w:rsid w:val="00D4398F"/>
    <w:rsid w:val="00D43AFA"/>
    <w:rsid w:val="00D43D0B"/>
    <w:rsid w:val="00D441BB"/>
    <w:rsid w:val="00D4467E"/>
    <w:rsid w:val="00D45220"/>
    <w:rsid w:val="00D4559D"/>
    <w:rsid w:val="00D45A93"/>
    <w:rsid w:val="00D45D5C"/>
    <w:rsid w:val="00D46206"/>
    <w:rsid w:val="00D474A3"/>
    <w:rsid w:val="00D476CF"/>
    <w:rsid w:val="00D509A6"/>
    <w:rsid w:val="00D51265"/>
    <w:rsid w:val="00D51888"/>
    <w:rsid w:val="00D544E5"/>
    <w:rsid w:val="00D555C0"/>
    <w:rsid w:val="00D55635"/>
    <w:rsid w:val="00D56644"/>
    <w:rsid w:val="00D5728B"/>
    <w:rsid w:val="00D62CE7"/>
    <w:rsid w:val="00D636E3"/>
    <w:rsid w:val="00D64296"/>
    <w:rsid w:val="00D64577"/>
    <w:rsid w:val="00D64CDE"/>
    <w:rsid w:val="00D652BB"/>
    <w:rsid w:val="00D65376"/>
    <w:rsid w:val="00D6542B"/>
    <w:rsid w:val="00D66B3C"/>
    <w:rsid w:val="00D6792A"/>
    <w:rsid w:val="00D702B7"/>
    <w:rsid w:val="00D70790"/>
    <w:rsid w:val="00D70CB1"/>
    <w:rsid w:val="00D70DC3"/>
    <w:rsid w:val="00D70F8A"/>
    <w:rsid w:val="00D7241E"/>
    <w:rsid w:val="00D72FC5"/>
    <w:rsid w:val="00D73600"/>
    <w:rsid w:val="00D74EA6"/>
    <w:rsid w:val="00D77BBF"/>
    <w:rsid w:val="00D82646"/>
    <w:rsid w:val="00D82C45"/>
    <w:rsid w:val="00D83B39"/>
    <w:rsid w:val="00D857C2"/>
    <w:rsid w:val="00D858CB"/>
    <w:rsid w:val="00D85EDD"/>
    <w:rsid w:val="00D867C5"/>
    <w:rsid w:val="00D86AF1"/>
    <w:rsid w:val="00D873AE"/>
    <w:rsid w:val="00D9047F"/>
    <w:rsid w:val="00D9124E"/>
    <w:rsid w:val="00D91513"/>
    <w:rsid w:val="00D92FDE"/>
    <w:rsid w:val="00D9341C"/>
    <w:rsid w:val="00D94511"/>
    <w:rsid w:val="00D950C4"/>
    <w:rsid w:val="00D956DB"/>
    <w:rsid w:val="00D959DB"/>
    <w:rsid w:val="00D96F40"/>
    <w:rsid w:val="00D97056"/>
    <w:rsid w:val="00D9710F"/>
    <w:rsid w:val="00DA1A74"/>
    <w:rsid w:val="00DA2822"/>
    <w:rsid w:val="00DA338C"/>
    <w:rsid w:val="00DA3E83"/>
    <w:rsid w:val="00DA464E"/>
    <w:rsid w:val="00DA467A"/>
    <w:rsid w:val="00DA6AD8"/>
    <w:rsid w:val="00DA6EA2"/>
    <w:rsid w:val="00DA718C"/>
    <w:rsid w:val="00DB001E"/>
    <w:rsid w:val="00DB254D"/>
    <w:rsid w:val="00DB3330"/>
    <w:rsid w:val="00DB352A"/>
    <w:rsid w:val="00DB3B38"/>
    <w:rsid w:val="00DB3D29"/>
    <w:rsid w:val="00DB3E3C"/>
    <w:rsid w:val="00DB47E5"/>
    <w:rsid w:val="00DB4956"/>
    <w:rsid w:val="00DB65EA"/>
    <w:rsid w:val="00DB791C"/>
    <w:rsid w:val="00DB7DC3"/>
    <w:rsid w:val="00DC235F"/>
    <w:rsid w:val="00DC2ED6"/>
    <w:rsid w:val="00DC384C"/>
    <w:rsid w:val="00DC45E1"/>
    <w:rsid w:val="00DC4ECA"/>
    <w:rsid w:val="00DC5147"/>
    <w:rsid w:val="00DC5F6C"/>
    <w:rsid w:val="00DC7CC0"/>
    <w:rsid w:val="00DD29BF"/>
    <w:rsid w:val="00DD3410"/>
    <w:rsid w:val="00DD421E"/>
    <w:rsid w:val="00DD5637"/>
    <w:rsid w:val="00DD700E"/>
    <w:rsid w:val="00DE00F4"/>
    <w:rsid w:val="00DE173E"/>
    <w:rsid w:val="00DE1C1C"/>
    <w:rsid w:val="00DE26F7"/>
    <w:rsid w:val="00DE27E9"/>
    <w:rsid w:val="00DE2D48"/>
    <w:rsid w:val="00DE378C"/>
    <w:rsid w:val="00DE3C8A"/>
    <w:rsid w:val="00DE5A4F"/>
    <w:rsid w:val="00DE6011"/>
    <w:rsid w:val="00DE6672"/>
    <w:rsid w:val="00DE702A"/>
    <w:rsid w:val="00DF0501"/>
    <w:rsid w:val="00DF1801"/>
    <w:rsid w:val="00DF4298"/>
    <w:rsid w:val="00DF4473"/>
    <w:rsid w:val="00DF5260"/>
    <w:rsid w:val="00DF52B8"/>
    <w:rsid w:val="00DF68F2"/>
    <w:rsid w:val="00DF6BFE"/>
    <w:rsid w:val="00DF75D2"/>
    <w:rsid w:val="00E023ED"/>
    <w:rsid w:val="00E04320"/>
    <w:rsid w:val="00E0435E"/>
    <w:rsid w:val="00E069B8"/>
    <w:rsid w:val="00E06D94"/>
    <w:rsid w:val="00E11B0C"/>
    <w:rsid w:val="00E11B48"/>
    <w:rsid w:val="00E11CFC"/>
    <w:rsid w:val="00E13A39"/>
    <w:rsid w:val="00E1469D"/>
    <w:rsid w:val="00E15164"/>
    <w:rsid w:val="00E155B5"/>
    <w:rsid w:val="00E17CED"/>
    <w:rsid w:val="00E20788"/>
    <w:rsid w:val="00E20DD7"/>
    <w:rsid w:val="00E21710"/>
    <w:rsid w:val="00E21A6F"/>
    <w:rsid w:val="00E22671"/>
    <w:rsid w:val="00E2282E"/>
    <w:rsid w:val="00E2307B"/>
    <w:rsid w:val="00E23523"/>
    <w:rsid w:val="00E27300"/>
    <w:rsid w:val="00E307F7"/>
    <w:rsid w:val="00E3368E"/>
    <w:rsid w:val="00E33F10"/>
    <w:rsid w:val="00E35BB9"/>
    <w:rsid w:val="00E36BBD"/>
    <w:rsid w:val="00E409D8"/>
    <w:rsid w:val="00E42DEC"/>
    <w:rsid w:val="00E431C4"/>
    <w:rsid w:val="00E4347F"/>
    <w:rsid w:val="00E438F2"/>
    <w:rsid w:val="00E43A85"/>
    <w:rsid w:val="00E44827"/>
    <w:rsid w:val="00E453DD"/>
    <w:rsid w:val="00E45D0D"/>
    <w:rsid w:val="00E46106"/>
    <w:rsid w:val="00E46AAE"/>
    <w:rsid w:val="00E47AC4"/>
    <w:rsid w:val="00E47BE8"/>
    <w:rsid w:val="00E511C6"/>
    <w:rsid w:val="00E51474"/>
    <w:rsid w:val="00E51D5C"/>
    <w:rsid w:val="00E53357"/>
    <w:rsid w:val="00E53744"/>
    <w:rsid w:val="00E53901"/>
    <w:rsid w:val="00E55862"/>
    <w:rsid w:val="00E55B1C"/>
    <w:rsid w:val="00E55DDD"/>
    <w:rsid w:val="00E563F0"/>
    <w:rsid w:val="00E5684D"/>
    <w:rsid w:val="00E571D9"/>
    <w:rsid w:val="00E60615"/>
    <w:rsid w:val="00E60AEB"/>
    <w:rsid w:val="00E638AB"/>
    <w:rsid w:val="00E656CD"/>
    <w:rsid w:val="00E66026"/>
    <w:rsid w:val="00E66D46"/>
    <w:rsid w:val="00E67CBA"/>
    <w:rsid w:val="00E71BCE"/>
    <w:rsid w:val="00E72871"/>
    <w:rsid w:val="00E7363D"/>
    <w:rsid w:val="00E758D3"/>
    <w:rsid w:val="00E8080C"/>
    <w:rsid w:val="00E820C7"/>
    <w:rsid w:val="00E8236D"/>
    <w:rsid w:val="00E83ECA"/>
    <w:rsid w:val="00E8464B"/>
    <w:rsid w:val="00E8596D"/>
    <w:rsid w:val="00E85CC7"/>
    <w:rsid w:val="00E867B5"/>
    <w:rsid w:val="00E87EBD"/>
    <w:rsid w:val="00E9148E"/>
    <w:rsid w:val="00E91C89"/>
    <w:rsid w:val="00E9492D"/>
    <w:rsid w:val="00E9520B"/>
    <w:rsid w:val="00E97F0F"/>
    <w:rsid w:val="00EA02A7"/>
    <w:rsid w:val="00EA0B46"/>
    <w:rsid w:val="00EA0DCF"/>
    <w:rsid w:val="00EA2345"/>
    <w:rsid w:val="00EA23EE"/>
    <w:rsid w:val="00EA33BA"/>
    <w:rsid w:val="00EA359F"/>
    <w:rsid w:val="00EA3F83"/>
    <w:rsid w:val="00EA4491"/>
    <w:rsid w:val="00EA44C2"/>
    <w:rsid w:val="00EA4721"/>
    <w:rsid w:val="00EB1196"/>
    <w:rsid w:val="00EB1230"/>
    <w:rsid w:val="00EB1FB2"/>
    <w:rsid w:val="00EB275D"/>
    <w:rsid w:val="00EB27F6"/>
    <w:rsid w:val="00EB349B"/>
    <w:rsid w:val="00EB4521"/>
    <w:rsid w:val="00EB4DF3"/>
    <w:rsid w:val="00EB595B"/>
    <w:rsid w:val="00EB6635"/>
    <w:rsid w:val="00EC2027"/>
    <w:rsid w:val="00EC25CA"/>
    <w:rsid w:val="00EC5B88"/>
    <w:rsid w:val="00EC6705"/>
    <w:rsid w:val="00EC79A5"/>
    <w:rsid w:val="00ED2B1A"/>
    <w:rsid w:val="00ED4C00"/>
    <w:rsid w:val="00ED5678"/>
    <w:rsid w:val="00ED5714"/>
    <w:rsid w:val="00ED5FCF"/>
    <w:rsid w:val="00ED6D02"/>
    <w:rsid w:val="00ED7C0E"/>
    <w:rsid w:val="00ED7E9D"/>
    <w:rsid w:val="00EE00AE"/>
    <w:rsid w:val="00EE2414"/>
    <w:rsid w:val="00EE3252"/>
    <w:rsid w:val="00EE51B0"/>
    <w:rsid w:val="00EE5B35"/>
    <w:rsid w:val="00EE7332"/>
    <w:rsid w:val="00EE784D"/>
    <w:rsid w:val="00EF237B"/>
    <w:rsid w:val="00EF2E83"/>
    <w:rsid w:val="00EF4C5D"/>
    <w:rsid w:val="00EF4E7C"/>
    <w:rsid w:val="00EF5217"/>
    <w:rsid w:val="00EF5859"/>
    <w:rsid w:val="00EF5E35"/>
    <w:rsid w:val="00EF62C1"/>
    <w:rsid w:val="00EF6335"/>
    <w:rsid w:val="00EF79DB"/>
    <w:rsid w:val="00F0058F"/>
    <w:rsid w:val="00F0440F"/>
    <w:rsid w:val="00F04437"/>
    <w:rsid w:val="00F04885"/>
    <w:rsid w:val="00F04FB7"/>
    <w:rsid w:val="00F05922"/>
    <w:rsid w:val="00F109C0"/>
    <w:rsid w:val="00F10E4A"/>
    <w:rsid w:val="00F1117A"/>
    <w:rsid w:val="00F135BA"/>
    <w:rsid w:val="00F13EEE"/>
    <w:rsid w:val="00F1451C"/>
    <w:rsid w:val="00F15585"/>
    <w:rsid w:val="00F160CB"/>
    <w:rsid w:val="00F16BEF"/>
    <w:rsid w:val="00F226C6"/>
    <w:rsid w:val="00F22A01"/>
    <w:rsid w:val="00F24A5D"/>
    <w:rsid w:val="00F24C67"/>
    <w:rsid w:val="00F24C7D"/>
    <w:rsid w:val="00F24FE5"/>
    <w:rsid w:val="00F25D18"/>
    <w:rsid w:val="00F2616E"/>
    <w:rsid w:val="00F278C2"/>
    <w:rsid w:val="00F27D56"/>
    <w:rsid w:val="00F31455"/>
    <w:rsid w:val="00F321D7"/>
    <w:rsid w:val="00F33B63"/>
    <w:rsid w:val="00F35744"/>
    <w:rsid w:val="00F364E8"/>
    <w:rsid w:val="00F36B97"/>
    <w:rsid w:val="00F37057"/>
    <w:rsid w:val="00F400F0"/>
    <w:rsid w:val="00F40B6B"/>
    <w:rsid w:val="00F428F1"/>
    <w:rsid w:val="00F42A2A"/>
    <w:rsid w:val="00F440D6"/>
    <w:rsid w:val="00F4440E"/>
    <w:rsid w:val="00F44473"/>
    <w:rsid w:val="00F4529D"/>
    <w:rsid w:val="00F452C9"/>
    <w:rsid w:val="00F459EA"/>
    <w:rsid w:val="00F4642D"/>
    <w:rsid w:val="00F50A20"/>
    <w:rsid w:val="00F52C8F"/>
    <w:rsid w:val="00F55BCE"/>
    <w:rsid w:val="00F56835"/>
    <w:rsid w:val="00F5792E"/>
    <w:rsid w:val="00F6048C"/>
    <w:rsid w:val="00F60A43"/>
    <w:rsid w:val="00F60B73"/>
    <w:rsid w:val="00F60FEE"/>
    <w:rsid w:val="00F61082"/>
    <w:rsid w:val="00F6192C"/>
    <w:rsid w:val="00F62675"/>
    <w:rsid w:val="00F64596"/>
    <w:rsid w:val="00F65081"/>
    <w:rsid w:val="00F65190"/>
    <w:rsid w:val="00F65C9B"/>
    <w:rsid w:val="00F70A77"/>
    <w:rsid w:val="00F711BB"/>
    <w:rsid w:val="00F711E0"/>
    <w:rsid w:val="00F7319F"/>
    <w:rsid w:val="00F73DB4"/>
    <w:rsid w:val="00F74600"/>
    <w:rsid w:val="00F7494D"/>
    <w:rsid w:val="00F76F04"/>
    <w:rsid w:val="00F80703"/>
    <w:rsid w:val="00F8209F"/>
    <w:rsid w:val="00F840E9"/>
    <w:rsid w:val="00F867C2"/>
    <w:rsid w:val="00F87870"/>
    <w:rsid w:val="00F90B45"/>
    <w:rsid w:val="00F9117C"/>
    <w:rsid w:val="00F93C16"/>
    <w:rsid w:val="00FA0417"/>
    <w:rsid w:val="00FA08CE"/>
    <w:rsid w:val="00FA39C7"/>
    <w:rsid w:val="00FA3C97"/>
    <w:rsid w:val="00FA3E96"/>
    <w:rsid w:val="00FA46E1"/>
    <w:rsid w:val="00FA4806"/>
    <w:rsid w:val="00FA48AD"/>
    <w:rsid w:val="00FA60A2"/>
    <w:rsid w:val="00FA64BD"/>
    <w:rsid w:val="00FA7438"/>
    <w:rsid w:val="00FB0A14"/>
    <w:rsid w:val="00FB2C82"/>
    <w:rsid w:val="00FB2D6E"/>
    <w:rsid w:val="00FB2FB9"/>
    <w:rsid w:val="00FB463E"/>
    <w:rsid w:val="00FB49DD"/>
    <w:rsid w:val="00FB4E59"/>
    <w:rsid w:val="00FB53E3"/>
    <w:rsid w:val="00FB686D"/>
    <w:rsid w:val="00FB7366"/>
    <w:rsid w:val="00FB7DB9"/>
    <w:rsid w:val="00FB7F73"/>
    <w:rsid w:val="00FC1EDE"/>
    <w:rsid w:val="00FC3131"/>
    <w:rsid w:val="00FC6590"/>
    <w:rsid w:val="00FC759A"/>
    <w:rsid w:val="00FD073B"/>
    <w:rsid w:val="00FD0C9D"/>
    <w:rsid w:val="00FD1ED9"/>
    <w:rsid w:val="00FD360D"/>
    <w:rsid w:val="00FD3F35"/>
    <w:rsid w:val="00FD4DB3"/>
    <w:rsid w:val="00FD5E09"/>
    <w:rsid w:val="00FD63EE"/>
    <w:rsid w:val="00FD6AB2"/>
    <w:rsid w:val="00FD6C9D"/>
    <w:rsid w:val="00FE0C5A"/>
    <w:rsid w:val="00FE0E63"/>
    <w:rsid w:val="00FE142D"/>
    <w:rsid w:val="00FE2B64"/>
    <w:rsid w:val="00FE3443"/>
    <w:rsid w:val="00FE368A"/>
    <w:rsid w:val="00FE513C"/>
    <w:rsid w:val="00FE517F"/>
    <w:rsid w:val="00FE54D8"/>
    <w:rsid w:val="00FE6063"/>
    <w:rsid w:val="00FE65DE"/>
    <w:rsid w:val="00FE7325"/>
    <w:rsid w:val="00FF0E51"/>
    <w:rsid w:val="00FF161E"/>
    <w:rsid w:val="00FF31E9"/>
    <w:rsid w:val="00FF3FD1"/>
    <w:rsid w:val="00FF4059"/>
    <w:rsid w:val="00FF42B8"/>
    <w:rsid w:val="00FF52A4"/>
    <w:rsid w:val="00FF644C"/>
    <w:rsid w:val="00FF6F0D"/>
  </w:rsids>
  <m:mathPr>
    <m:mathFont m:val="Cambria Math"/>
  </m:mathPr>
  <w:themeFontLang w:val="en-AU" w:eastAsia="zh-CN"/>
  <w:clrSchemeMapping w:bg1="light1" w:t1="dark1" w:bg2="light2" w:t2="dark2" w:accent1="accent1" w:accent2="accent2" w:accent3="accent3" w:accent4="accent4" w:accent5="accent5" w:accent6="accent6" w:hyperlink="hyperlink" w:followedHyperlink="followedHyperlink"/>
  <w15:docId w15:val="{2FF1DB4C-0053-2547-981F-ECF3464E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96"/>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hAnsi="Calibri" w:eastAsiaTheme="majorEastAsia" w:cstheme="majorBidi"/>
      <w:b/>
      <w:bCs/>
      <w:color w:val="3C4B55"/>
      <w:sz w:val="70"/>
      <w:szCs w:val="28"/>
      <w:lang w:eastAsia="en-US"/>
    </w:rPr>
  </w:style>
  <w:style w:type="paragraph" w:styleId="Heading2">
    <w:name w:val="heading 2"/>
    <w:basedOn w:val="Normal"/>
    <w:next w:val="Normal"/>
    <w:link w:val="Heading2Char"/>
    <w:uiPriority w:val="3"/>
    <w:rsid w:val="002A3686"/>
    <w:pPr>
      <w:keepNext/>
      <w:keepLines/>
      <w:pageBreakBefore/>
      <w:numPr>
        <w:numId w:val="12"/>
      </w:numPr>
      <w:spacing w:after="240" w:line="240" w:lineRule="auto"/>
      <w:outlineLvl w:val="1"/>
    </w:pPr>
    <w:rPr>
      <w:rFonts w:ascii="Calibri" w:hAnsi="Calibri" w:eastAsiaTheme="minorEastAsia"/>
      <w:bCs/>
      <w:color w:val="427BA1"/>
      <w:sz w:val="56"/>
      <w:szCs w:val="28"/>
      <w:lang w:eastAsia="ja-JP"/>
    </w:rPr>
  </w:style>
  <w:style w:type="paragraph" w:styleId="Heading3">
    <w:name w:val="heading 3"/>
    <w:next w:val="Normal"/>
    <w:link w:val="Heading3Char"/>
    <w:uiPriority w:val="4"/>
    <w:qFormat/>
    <w:rsid w:val="002A3686"/>
    <w:pPr>
      <w:keepNext/>
      <w:keepLines/>
      <w:numPr>
        <w:ilvl w:val="1"/>
        <w:numId w:val="12"/>
      </w:numPr>
      <w:spacing w:before="120" w:line="276" w:lineRule="auto"/>
      <w:outlineLvl w:val="2"/>
    </w:pPr>
    <w:rPr>
      <w:rFonts w:ascii="Calibri" w:hAnsi="Calibri" w:eastAsiaTheme="minorHAnsi" w:cstheme="minorBidi"/>
      <w:b/>
      <w:bCs/>
      <w:sz w:val="28"/>
      <w:szCs w:val="22"/>
      <w:lang w:eastAsia="en-US"/>
    </w:rPr>
  </w:style>
  <w:style w:type="paragraph" w:styleId="Heading4">
    <w:name w:val="heading 4"/>
    <w:next w:val="Normal"/>
    <w:link w:val="Heading4Char"/>
    <w:uiPriority w:val="5"/>
    <w:qFormat/>
    <w:rsid w:val="00D0519D"/>
    <w:pPr>
      <w:keepNext/>
      <w:keepLines/>
      <w:numPr>
        <w:ilvl w:val="2"/>
        <w:numId w:val="12"/>
      </w:numPr>
      <w:spacing w:before="120" w:line="276" w:lineRule="auto"/>
      <w:outlineLvl w:val="3"/>
    </w:pPr>
    <w:rPr>
      <w:rFonts w:ascii="Calibri" w:hAnsi="Calibri" w:eastAsiaTheme="minorHAnsi" w:cstheme="minorBidi"/>
      <w:b/>
      <w:bCs/>
      <w:iCs/>
      <w:color w:val="427BA1"/>
      <w:sz w:val="24"/>
      <w:szCs w:val="22"/>
      <w:lang w:eastAsia="en-US"/>
    </w:rPr>
  </w:style>
  <w:style w:type="paragraph" w:styleId="Heading5">
    <w:name w:val="heading 5"/>
    <w:next w:val="Normal"/>
    <w:link w:val="Heading5Char"/>
    <w:uiPriority w:val="6"/>
    <w:qFormat/>
    <w:rsid w:val="003936BD"/>
    <w:pPr>
      <w:keepNext/>
      <w:keepLines/>
      <w:spacing w:before="120" w:line="276" w:lineRule="auto"/>
      <w:outlineLvl w:val="4"/>
    </w:pPr>
    <w:rPr>
      <w:rFonts w:ascii="Calibri" w:hAnsi="Calibri" w:eastAsiaTheme="minorHAnsi" w:cstheme="minorBidi"/>
      <w:b/>
      <w:sz w:val="22"/>
      <w:szCs w:val="22"/>
      <w:lang w:eastAsia="en-US"/>
    </w:rPr>
  </w:style>
  <w:style w:type="paragraph" w:styleId="Heading6">
    <w:name w:val="heading 6"/>
    <w:next w:val="Normal"/>
    <w:link w:val="Heading6Char"/>
    <w:uiPriority w:val="9"/>
    <w:qFormat/>
    <w:rsid w:val="003936BD"/>
    <w:pPr>
      <w:keepNext/>
      <w:keepLines/>
      <w:spacing w:before="40" w:line="276" w:lineRule="auto"/>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hAnsi="Calibri" w:eastAsiaTheme="minorHAns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hAnsi="Calibri" w:eastAsiaTheme="majorEastAsia"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3"/>
    <w:rsid w:val="002A3686"/>
    <w:rPr>
      <w:rFonts w:ascii="Calibri" w:hAnsi="Calibri" w:eastAsiaTheme="minorEastAsia" w:cstheme="minorBidi"/>
      <w:bCs/>
      <w:color w:val="427BA1"/>
      <w:sz w:val="56"/>
      <w:szCs w:val="28"/>
      <w:lang w:eastAsia="ja-JP"/>
    </w:rPr>
  </w:style>
  <w:style w:type="character" w:customStyle="1" w:styleId="Heading3Char">
    <w:name w:val="Heading 3 Char"/>
    <w:basedOn w:val="DefaultParagraphFont"/>
    <w:link w:val="Heading3"/>
    <w:uiPriority w:val="4"/>
    <w:rsid w:val="002A3686"/>
    <w:rPr>
      <w:rFonts w:ascii="Calibri" w:hAnsi="Calibri" w:eastAsiaTheme="minorHAnsi" w:cstheme="minorBidi"/>
      <w:b/>
      <w:bCs/>
      <w:sz w:val="28"/>
      <w:szCs w:val="22"/>
      <w:lang w:eastAsia="en-US"/>
    </w:rPr>
  </w:style>
  <w:style w:type="character" w:customStyle="1" w:styleId="Heading4Char">
    <w:name w:val="Heading 4 Char"/>
    <w:basedOn w:val="DefaultParagraphFont"/>
    <w:link w:val="Heading4"/>
    <w:uiPriority w:val="5"/>
    <w:rsid w:val="00D0519D"/>
    <w:rPr>
      <w:rFonts w:ascii="Calibri" w:hAnsi="Calibri" w:eastAsiaTheme="minorHAnsi" w:cstheme="minorBidi"/>
      <w:b/>
      <w:bCs/>
      <w:iCs/>
      <w:color w:val="427BA1"/>
      <w:sz w:val="24"/>
      <w:szCs w:val="22"/>
      <w:lang w:eastAsia="en-US"/>
    </w:rPr>
  </w:style>
  <w:style w:type="character" w:customStyle="1" w:styleId="Heading5Char">
    <w:name w:val="Heading 5 Char"/>
    <w:basedOn w:val="DefaultParagraphFont"/>
    <w:link w:val="Heading5"/>
    <w:uiPriority w:val="6"/>
    <w:rsid w:val="003936BD"/>
    <w:rPr>
      <w:rFonts w:ascii="Calibri" w:hAnsi="Calibri" w:eastAsiaTheme="minorHAns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hAnsi="Calibri" w:eastAsiaTheme="majorEastAsia"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1F0E5C"/>
    <w:rPr>
      <w:color w:val="4F81BD" w:themeColor="accent1"/>
      <w:u w:val="none"/>
    </w:rPr>
  </w:style>
  <w:style w:type="paragraph" w:styleId="ListBullet">
    <w:name w:val="List Bullet"/>
    <w:uiPriority w:val="7"/>
    <w:qFormat/>
    <w:rsid w:val="00903445"/>
    <w:pPr>
      <w:numPr>
        <w:numId w:val="7"/>
      </w:numPr>
      <w:spacing w:before="120" w:after="120" w:line="276" w:lineRule="auto"/>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rsid w:val="00903445"/>
    <w:pPr>
      <w:numPr>
        <w:ilvl w:val="1"/>
        <w:numId w:val="7"/>
      </w:numPr>
      <w:spacing w:before="120" w:after="120" w:line="276" w:lineRule="auto"/>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rsid w:val="00903445"/>
    <w:pPr>
      <w:numPr>
        <w:numId w:val="9"/>
      </w:numPr>
      <w:spacing w:before="120" w:after="120"/>
    </w:pPr>
    <w:rPr>
      <w:szCs w:val="20"/>
    </w:rPr>
  </w:style>
  <w:style w:type="paragraph" w:styleId="ListNumber2">
    <w:name w:val="List Number 2"/>
    <w:uiPriority w:val="10"/>
    <w:qFormat/>
    <w:pPr>
      <w:numPr>
        <w:ilvl w:val="1"/>
        <w:numId w:val="9"/>
      </w:numPr>
      <w:spacing w:before="120" w:after="120" w:line="264" w:lineRule="auto"/>
    </w:pPr>
    <w:rPr>
      <w:rFonts w:eastAsia="Times New Roman" w:asciiTheme="minorHAnsi"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eastAsia="Times New Roman" w:asciiTheme="minorHAnsi"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sid w:val="002A0E99"/>
    <w:rPr>
      <w:color w:val="4F81BD" w:themeColor="accent1"/>
      <w:u w:val="non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sid w:val="003936BD"/>
    <w:rPr>
      <w:rFonts w:asciiTheme="minorHAnsi" w:eastAsiaTheme="majorEastAsia" w:hAnsiTheme="minorHAnsi" w:cstheme="majorBidi"/>
      <w:i/>
      <w:sz w:val="22"/>
      <w:szCs w:val="22"/>
      <w:lang w:eastAsia="en-US"/>
    </w:rPr>
  </w:style>
  <w:style w:type="paragraph" w:styleId="Subtitle">
    <w:name w:val="Subtitle"/>
    <w:aliases w:val="Subheading"/>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aliases w:val="Subheading Char"/>
    <w:basedOn w:val="DefaultParagraphFont"/>
    <w:link w:val="Subtitle"/>
    <w:uiPriority w:val="11"/>
    <w:rPr>
      <w:rFonts w:ascii="Calibri" w:hAnsi="Calibri" w:eastAsiaTheme="minorHAns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hAnsi="Calibri" w:eastAsiaTheme="majorEastAsia" w:cstheme="majorBidi"/>
      <w:bCs/>
      <w:color w:val="427BA1"/>
      <w:sz w:val="36"/>
      <w:szCs w:val="28"/>
      <w:lang w:val="en-US" w:eastAsia="en-US"/>
    </w:rPr>
  </w:style>
  <w:style w:type="numbering" w:customStyle="1" w:styleId="Style1">
    <w:name w:val="Style1"/>
    <w:uiPriority w:val="99"/>
    <w:pPr>
      <w:numPr>
        <w:numId w:val="11"/>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character" w:customStyle="1" w:styleId="UnresolvedMention1">
    <w:name w:val="Unresolved Mention1"/>
    <w:basedOn w:val="DefaultParagraphFont"/>
    <w:uiPriority w:val="99"/>
    <w:semiHidden/>
    <w:unhideWhenUsed/>
    <w:rsid w:val="0077790C"/>
    <w:rPr>
      <w:color w:val="605E5C"/>
      <w:shd w:val="clear" w:color="auto" w:fill="E1DFDD"/>
    </w:rPr>
  </w:style>
  <w:style w:type="paragraph" w:styleId="BodyText">
    <w:name w:val="Body Text"/>
    <w:basedOn w:val="Normal"/>
    <w:link w:val="BodyTextChar"/>
    <w:uiPriority w:val="1"/>
    <w:qFormat/>
    <w:rsid w:val="00C751F5"/>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C751F5"/>
    <w:rPr>
      <w:rFonts w:ascii="Arial" w:eastAsia="Arial" w:hAnsi="Arial" w:cs="Arial"/>
      <w:sz w:val="18"/>
      <w:szCs w:val="18"/>
      <w:lang w:val="en-US" w:eastAsia="en-US"/>
    </w:rPr>
  </w:style>
  <w:style w:type="paragraph" w:customStyle="1" w:styleId="TableParagraph">
    <w:name w:val="Table Paragraph"/>
    <w:basedOn w:val="Normal"/>
    <w:uiPriority w:val="1"/>
    <w:qFormat/>
    <w:rsid w:val="00C751F5"/>
    <w:pPr>
      <w:widowControl w:val="0"/>
      <w:autoSpaceDE w:val="0"/>
      <w:autoSpaceDN w:val="0"/>
      <w:spacing w:after="0" w:line="240" w:lineRule="auto"/>
    </w:pPr>
    <w:rPr>
      <w:rFonts w:ascii="Arial" w:eastAsia="Arial" w:hAnsi="Arial" w:cs="Arial"/>
      <w:lang w:val="en-US"/>
    </w:rPr>
  </w:style>
  <w:style w:type="character" w:customStyle="1" w:styleId="UnresolvedMention2">
    <w:name w:val="Unresolved Mention2"/>
    <w:basedOn w:val="DefaultParagraphFont"/>
    <w:uiPriority w:val="99"/>
    <w:semiHidden/>
    <w:unhideWhenUsed/>
    <w:rsid w:val="00A640A6"/>
    <w:rPr>
      <w:color w:val="605E5C"/>
      <w:shd w:val="clear" w:color="auto" w:fill="E1DFDD"/>
    </w:rPr>
  </w:style>
  <w:style w:type="paragraph" w:styleId="Bibliography">
    <w:name w:val="Bibliography"/>
    <w:basedOn w:val="Normal"/>
    <w:next w:val="Normal"/>
    <w:uiPriority w:val="37"/>
    <w:unhideWhenUsed/>
    <w:rsid w:val="004A2F84"/>
    <w:rPr>
      <w:sz w:val="21"/>
    </w:rPr>
  </w:style>
  <w:style w:type="character" w:customStyle="1" w:styleId="apple-converted-space">
    <w:name w:val="apple-converted-space"/>
    <w:basedOn w:val="DefaultParagraphFont"/>
    <w:rsid w:val="00051985"/>
  </w:style>
  <w:style w:type="character" w:customStyle="1" w:styleId="UnresolvedMention3">
    <w:name w:val="Unresolved Mention3"/>
    <w:basedOn w:val="DefaultParagraphFont"/>
    <w:uiPriority w:val="99"/>
    <w:semiHidden/>
    <w:unhideWhenUsed/>
    <w:rsid w:val="00D36C7A"/>
    <w:rPr>
      <w:color w:val="605E5C"/>
      <w:shd w:val="clear" w:color="auto" w:fill="E1DFDD"/>
    </w:rPr>
  </w:style>
  <w:style w:type="character" w:customStyle="1" w:styleId="UnresolvedMention4">
    <w:name w:val="Unresolved Mention4"/>
    <w:basedOn w:val="DefaultParagraphFont"/>
    <w:uiPriority w:val="99"/>
    <w:rsid w:val="00866FCE"/>
    <w:rPr>
      <w:color w:val="605E5C"/>
      <w:shd w:val="clear" w:color="auto" w:fill="E1DFDD"/>
    </w:rPr>
  </w:style>
  <w:style w:type="paragraph" w:customStyle="1" w:styleId="ListRoman">
    <w:name w:val="List Roman"/>
    <w:basedOn w:val="Normal"/>
    <w:qFormat/>
    <w:rsid w:val="00816B5A"/>
    <w:pPr>
      <w:numPr>
        <w:numId w:val="13"/>
      </w:numPr>
      <w:spacing w:before="60" w:after="60" w:line="240" w:lineRule="auto"/>
    </w:pPr>
    <w:rPr>
      <w:spacing w:val="-2"/>
      <w:sz w:val="20"/>
      <w:szCs w:val="20"/>
    </w:rPr>
  </w:style>
  <w:style w:type="paragraph" w:customStyle="1" w:styleId="ListRoman2">
    <w:name w:val="List Roman 2"/>
    <w:basedOn w:val="ListRoman"/>
    <w:qFormat/>
    <w:rsid w:val="00816B5A"/>
    <w:pPr>
      <w:numPr>
        <w:ilvl w:val="1"/>
      </w:numPr>
    </w:pPr>
  </w:style>
  <w:style w:type="paragraph" w:customStyle="1" w:styleId="ListRoman3">
    <w:name w:val="List Roman 3"/>
    <w:basedOn w:val="ListRoman2"/>
    <w:qFormat/>
    <w:rsid w:val="00816B5A"/>
    <w:pPr>
      <w:numPr>
        <w:ilvl w:val="2"/>
      </w:numPr>
    </w:pPr>
  </w:style>
  <w:style w:type="character" w:customStyle="1" w:styleId="UnresolvedMention5">
    <w:name w:val="Unresolved Mention5"/>
    <w:basedOn w:val="DefaultParagraphFont"/>
    <w:uiPriority w:val="99"/>
    <w:rsid w:val="00892BE8"/>
    <w:rPr>
      <w:color w:val="605E5C"/>
      <w:shd w:val="clear" w:color="auto" w:fill="E1DFDD"/>
    </w:rPr>
  </w:style>
  <w:style w:type="paragraph" w:customStyle="1" w:styleId="biblioindent">
    <w:name w:val="biblio_indent"/>
    <w:basedOn w:val="Normal"/>
    <w:rsid w:val="00DF6B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6">
    <w:name w:val="Unresolved Mention6"/>
    <w:basedOn w:val="DefaultParagraphFont"/>
    <w:uiPriority w:val="99"/>
    <w:rsid w:val="00FC1EDE"/>
    <w:rPr>
      <w:color w:val="605E5C"/>
      <w:shd w:val="clear" w:color="auto" w:fill="E1DFDD"/>
    </w:rPr>
  </w:style>
  <w:style w:type="character" w:customStyle="1" w:styleId="UnresolvedMention7">
    <w:name w:val="Unresolved Mention7"/>
    <w:basedOn w:val="DefaultParagraphFont"/>
    <w:uiPriority w:val="99"/>
    <w:rsid w:val="003E0104"/>
    <w:rPr>
      <w:color w:val="605E5C"/>
      <w:shd w:val="clear" w:color="auto" w:fill="E1DFDD"/>
    </w:rPr>
  </w:style>
  <w:style w:type="character" w:customStyle="1" w:styleId="UnresolvedMention8">
    <w:name w:val="Unresolved Mention8"/>
    <w:basedOn w:val="DefaultParagraphFont"/>
    <w:uiPriority w:val="99"/>
    <w:rsid w:val="0003038C"/>
    <w:rPr>
      <w:color w:val="605E5C"/>
      <w:shd w:val="clear" w:color="auto" w:fill="E1DFDD"/>
    </w:rPr>
  </w:style>
  <w:style w:type="character" w:customStyle="1" w:styleId="UnresolvedMention">
    <w:name w:val="Unresolved Mention"/>
    <w:basedOn w:val="DefaultParagraphFont"/>
    <w:uiPriority w:val="99"/>
    <w:rsid w:val="003D0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8" Type="http://schemas.openxmlformats.org/officeDocument/2006/relationships/customXml" Target="../customXml/item5.xml"/><Relationship Id="rId21" Type="http://schemas.openxmlformats.org/officeDocument/2006/relationships/footer" Target="footer3.xml"/><Relationship Id="rId3"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header" Target="header4.xml"/><Relationship Id="rId7" Type="http://schemas.openxmlformats.org/officeDocument/2006/relationships/customXml" Target="../customXml/item4.xml"/><Relationship Id="rId16" Type="http://schemas.openxmlformats.org/officeDocument/2006/relationships/header" Target="header3.xml"/><Relationship Id="rId2" Type="http://schemas.openxmlformats.org/officeDocument/2006/relationships/webSettings" Target="webSettings.xml"/><Relationship Id="rId20" Type="http://schemas.openxmlformats.org/officeDocument/2006/relationships/header" Target="header6.xml"/><Relationship Id="rId1"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styles" Target="styles.xml"/><Relationship Id="rId6" Type="http://schemas.openxmlformats.org/officeDocument/2006/relationships/customXml" Target="../customXml/item3.xml"/><Relationship Id="rId15" Type="http://schemas.openxmlformats.org/officeDocument/2006/relationships/image" Target="media/image4.emf"/><Relationship Id="rId23" Type="http://schemas.openxmlformats.org/officeDocument/2006/relationships/numbering" Target="numbering.xml"/><Relationship Id="rId10" Type="http://schemas.openxmlformats.org/officeDocument/2006/relationships/image" Target="media/image1.png"/><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theme" Target="theme/theme1.xml"/><Relationship Id="rId4" Type="http://schemas.openxmlformats.org/officeDocument/2006/relationships/customXml" Target="../customXml/item1.xml"/></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1D323EF-822C-4E4A-9DA5-304476EA7B2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5cb30a-de11-40ab-bdcc-f1d56023b01d"/>
    <ds:schemaRef ds:uri="http://www.w3.org/XML/1998/namespace"/>
    <ds:schemaRef ds:uri="http://purl.org/dc/dcmitype/"/>
  </ds:schemaRefs>
</ds:datastoreItem>
</file>

<file path=customXml/itemProps2.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3.xml><?xml version="1.0" encoding="utf-8"?>
<ds:datastoreItem xmlns:ds="http://schemas.openxmlformats.org/officeDocument/2006/customXml" ds:itemID="{60DA29B9-9318-4327-8F5A-A2DA284AF95D}"/>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5.xml><?xml version="1.0" encoding="utf-8"?>
<ds:datastoreItem xmlns:ds="http://schemas.openxmlformats.org/officeDocument/2006/customXml" ds:itemID="{3A9983BE-8DC8-4745-ACB7-110064B7A767}">
  <ds:schemaRefs>
    <ds:schemaRef ds:uri="http://schemas.openxmlformats.org/officeDocument/2006/bibliography"/>
  </ds:schemaRefs>
</ds:datastoreItem>
</file>

<file path=customXml/itemProps6.xml><?xml version="1.0" encoding="utf-8"?>
<ds:datastoreItem xmlns:ds="http://schemas.openxmlformats.org/officeDocument/2006/customXml" ds:itemID="{086CE546-3E0F-4174-A106-4E7F4E698FD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28848</Words>
  <Characters>164440</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Tybell, Linda</cp:lastModifiedBy>
  <cp:revision>2</cp:revision>
  <cp:lastPrinted>2023-07-19T02:48:00Z</cp:lastPrinted>
  <dcterms:created xsi:type="dcterms:W3CDTF">2023-07-19T06:28:00Z</dcterms:created>
  <dcterms:modified xsi:type="dcterms:W3CDTF">2023-07-19T06:28:00Z</dcterms:modified>
</cp:coreProperties>
</file>