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4BEB5" w14:textId="77777777" w:rsidR="004040B5" w:rsidRDefault="004040B5" w:rsidP="004040B5"/>
    <w:p w14:paraId="5E74E96A" w14:textId="77777777" w:rsidR="004040B5" w:rsidRDefault="004040B5" w:rsidP="004040B5"/>
    <w:p w14:paraId="462B622C" w14:textId="77777777" w:rsidR="004040B5" w:rsidRPr="004040B5" w:rsidRDefault="004040B5" w:rsidP="004040B5"/>
    <w:p w14:paraId="09620396" w14:textId="4B8B23CF" w:rsidR="004040B5" w:rsidRDefault="004D1E9E" w:rsidP="004040B5">
      <w:pPr>
        <w:pStyle w:val="Heading1"/>
        <w:rPr>
          <w:rStyle w:val="Emphasis"/>
        </w:rPr>
      </w:pPr>
      <w:r>
        <w:t>Response to public submissions on draft default guideline values for</w:t>
      </w:r>
      <w:r w:rsidR="00B745B2">
        <w:t xml:space="preserve"> </w:t>
      </w:r>
      <w:r w:rsidR="002400EB">
        <w:t>fluoride</w:t>
      </w:r>
      <w:r>
        <w:t xml:space="preserve"> in freshwater </w:t>
      </w:r>
    </w:p>
    <w:p w14:paraId="10303D8E" w14:textId="634FDDB7" w:rsidR="004040B5" w:rsidRDefault="001D1893" w:rsidP="004040B5">
      <w:pPr>
        <w:pStyle w:val="Subtitle"/>
      </w:pPr>
      <w:r>
        <w:t>August</w:t>
      </w:r>
      <w:r w:rsidR="00FF420B">
        <w:t xml:space="preserve"> 202</w:t>
      </w:r>
      <w:r w:rsidR="00A24038">
        <w:t>4</w:t>
      </w:r>
    </w:p>
    <w:p w14:paraId="25B61C92" w14:textId="77777777" w:rsidR="004040B5" w:rsidRDefault="004040B5" w:rsidP="004040B5"/>
    <w:p w14:paraId="5672D86A" w14:textId="5D258D28" w:rsidR="004040B5" w:rsidRDefault="004D1E9E" w:rsidP="004040B5">
      <w:r>
        <w:t xml:space="preserve">Draft </w:t>
      </w:r>
      <w:r w:rsidR="00F1273A">
        <w:t xml:space="preserve">default guideline values (DGVs) </w:t>
      </w:r>
      <w:r>
        <w:t xml:space="preserve">for </w:t>
      </w:r>
      <w:r w:rsidR="00FF5920">
        <w:t>fluoride</w:t>
      </w:r>
      <w:r>
        <w:t xml:space="preserve"> in freshwater were published on the Water Quality Guidelines website for a 3-month public consultation period. During this period, comments for the draft DGVs for </w:t>
      </w:r>
      <w:r w:rsidR="00FF5920">
        <w:t>fluoride</w:t>
      </w:r>
      <w:r>
        <w:t xml:space="preserve"> in freshwater were received via public submission.</w:t>
      </w:r>
    </w:p>
    <w:p w14:paraId="0EE55060" w14:textId="2C62CBC2" w:rsidR="00876E7E" w:rsidRDefault="004D1E9E" w:rsidP="004040B5">
      <w:r>
        <w:t>All submissions were reviewed by the Water Quality Guidelines Improvement Program technical manager. The revised technical brief w</w:t>
      </w:r>
      <w:r w:rsidR="00A24038">
        <w:t>as</w:t>
      </w:r>
      <w:r>
        <w:t xml:space="preserve"> subject to re-approval</w:t>
      </w:r>
      <w:r w:rsidR="006E3967">
        <w:t xml:space="preserve"> by the relevant jurisdictional committees</w:t>
      </w:r>
      <w:r>
        <w:t xml:space="preserve">. </w:t>
      </w:r>
      <w:r w:rsidR="00A24038">
        <w:t>Responses to c</w:t>
      </w:r>
      <w:r>
        <w:t>omments are outlined in this report for public record</w:t>
      </w:r>
      <w:r w:rsidR="008D264E">
        <w:t>, with the identity of submissions omitted.</w:t>
      </w:r>
    </w:p>
    <w:p w14:paraId="0E491BA4" w14:textId="1EE6CBFD" w:rsidR="004040B5" w:rsidRDefault="004D1E9E" w:rsidP="004040B5">
      <w:r>
        <w:t xml:space="preserve">Following public consultation and re-review, the default guideline values for </w:t>
      </w:r>
      <w:r w:rsidR="00FF5920">
        <w:t>fluoride</w:t>
      </w:r>
      <w:r>
        <w:t xml:space="preserve"> in freshwater are now published as final. For additional information on the publication process, please refer to the </w:t>
      </w:r>
      <w:r w:rsidRPr="004040B5">
        <w:t>pathway for toxicant default guideline value publication</w:t>
      </w:r>
      <w:r>
        <w:t>.</w:t>
      </w:r>
    </w:p>
    <w:p w14:paraId="25B60EDD" w14:textId="77777777" w:rsidR="004040B5" w:rsidRPr="004040B5" w:rsidRDefault="004D1E9E" w:rsidP="004040B5">
      <w:r>
        <w:t>The Water Quality Guidelines Improvement Program thanks all submissions for their valuable contribution to the development of water quality assessment for the protection of ecosystem health.</w:t>
      </w:r>
    </w:p>
    <w:p w14:paraId="5464F52C" w14:textId="77777777" w:rsidR="00EE431E" w:rsidRDefault="00EE431E" w:rsidP="004040B5"/>
    <w:p w14:paraId="401E7E5D" w14:textId="77777777" w:rsidR="00B2382D" w:rsidRDefault="00B2382D" w:rsidP="004040B5"/>
    <w:p w14:paraId="6CE28668" w14:textId="77777777" w:rsidR="00B2382D" w:rsidRDefault="00B2382D" w:rsidP="004040B5"/>
    <w:p w14:paraId="494B2EB4" w14:textId="77777777" w:rsidR="00B2382D" w:rsidRDefault="00B2382D" w:rsidP="004040B5"/>
    <w:p w14:paraId="644B9105" w14:textId="77777777" w:rsidR="00B2382D" w:rsidRDefault="004D1E9E" w:rsidP="00B745B2">
      <w:pPr>
        <w:tabs>
          <w:tab w:val="left" w:pos="7520"/>
        </w:tabs>
        <w:sectPr w:rsidR="00B2382D" w:rsidSect="007707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tab/>
      </w:r>
    </w:p>
    <w:tbl>
      <w:tblPr>
        <w:tblStyle w:val="TableGrid"/>
        <w:tblW w:w="0" w:type="auto"/>
        <w:tblLook w:val="04A0" w:firstRow="1" w:lastRow="0" w:firstColumn="1" w:lastColumn="0" w:noHBand="0" w:noVBand="1"/>
      </w:tblPr>
      <w:tblGrid>
        <w:gridCol w:w="5098"/>
        <w:gridCol w:w="5245"/>
        <w:gridCol w:w="3260"/>
      </w:tblGrid>
      <w:tr w:rsidR="001A72CA" w14:paraId="646D933D" w14:textId="77777777" w:rsidTr="00FF5920">
        <w:trPr>
          <w:tblHeader/>
        </w:trPr>
        <w:tc>
          <w:tcPr>
            <w:tcW w:w="5098" w:type="dxa"/>
          </w:tcPr>
          <w:p w14:paraId="420760A8" w14:textId="77777777" w:rsidR="00B745B2" w:rsidRPr="00B745B2" w:rsidRDefault="004D1E9E" w:rsidP="005E63E7">
            <w:pPr>
              <w:spacing w:before="60" w:after="60" w:line="280" w:lineRule="atLeast"/>
              <w:rPr>
                <w:rFonts w:asciiTheme="minorHAnsi" w:hAnsiTheme="minorHAnsi" w:cstheme="minorHAnsi"/>
                <w:b/>
                <w:bCs/>
                <w:sz w:val="20"/>
                <w:szCs w:val="20"/>
              </w:rPr>
            </w:pPr>
            <w:r w:rsidRPr="00B745B2">
              <w:rPr>
                <w:rFonts w:asciiTheme="minorHAnsi" w:hAnsiTheme="minorHAnsi" w:cstheme="minorHAnsi"/>
                <w:b/>
                <w:bCs/>
                <w:sz w:val="20"/>
                <w:szCs w:val="20"/>
              </w:rPr>
              <w:lastRenderedPageBreak/>
              <w:t>Comment</w:t>
            </w:r>
          </w:p>
        </w:tc>
        <w:tc>
          <w:tcPr>
            <w:tcW w:w="5245" w:type="dxa"/>
          </w:tcPr>
          <w:p w14:paraId="3013DFD4" w14:textId="77777777" w:rsidR="00B745B2" w:rsidRPr="00B745B2" w:rsidRDefault="004D1E9E" w:rsidP="005E63E7">
            <w:pPr>
              <w:spacing w:before="60" w:after="60" w:line="280" w:lineRule="atLeast"/>
              <w:rPr>
                <w:rFonts w:asciiTheme="minorHAnsi" w:hAnsiTheme="minorHAnsi" w:cstheme="minorHAnsi"/>
                <w:b/>
                <w:bCs/>
                <w:sz w:val="20"/>
                <w:szCs w:val="20"/>
              </w:rPr>
            </w:pPr>
            <w:r w:rsidRPr="00B745B2">
              <w:rPr>
                <w:rFonts w:asciiTheme="minorHAnsi" w:hAnsiTheme="minorHAnsi" w:cstheme="minorHAnsi"/>
                <w:b/>
                <w:bCs/>
                <w:sz w:val="20"/>
                <w:szCs w:val="20"/>
              </w:rPr>
              <w:t>Response</w:t>
            </w:r>
          </w:p>
        </w:tc>
        <w:tc>
          <w:tcPr>
            <w:tcW w:w="3260" w:type="dxa"/>
          </w:tcPr>
          <w:p w14:paraId="057E96D8" w14:textId="77777777" w:rsidR="00B745B2" w:rsidRPr="00B745B2" w:rsidRDefault="004D1E9E" w:rsidP="005E63E7">
            <w:pPr>
              <w:spacing w:before="60" w:after="60" w:line="280" w:lineRule="atLeast"/>
              <w:rPr>
                <w:rFonts w:asciiTheme="minorHAnsi" w:hAnsiTheme="minorHAnsi" w:cstheme="minorHAnsi"/>
                <w:b/>
                <w:bCs/>
                <w:sz w:val="20"/>
                <w:szCs w:val="20"/>
              </w:rPr>
            </w:pPr>
            <w:r w:rsidRPr="00B745B2">
              <w:rPr>
                <w:rFonts w:asciiTheme="minorHAnsi" w:hAnsiTheme="minorHAnsi" w:cstheme="minorHAnsi"/>
                <w:b/>
                <w:bCs/>
                <w:sz w:val="20"/>
                <w:szCs w:val="20"/>
              </w:rPr>
              <w:t>Action taken</w:t>
            </w:r>
          </w:p>
        </w:tc>
      </w:tr>
      <w:tr w:rsidR="001A72CA" w14:paraId="7D963580" w14:textId="77777777" w:rsidTr="00FF5920">
        <w:tc>
          <w:tcPr>
            <w:tcW w:w="5098" w:type="dxa"/>
          </w:tcPr>
          <w:p w14:paraId="5B35157E" w14:textId="77777777" w:rsidR="00FF5920" w:rsidRDefault="00FF5920" w:rsidP="005E63E7">
            <w:pPr>
              <w:spacing w:before="60" w:after="60" w:line="280" w:lineRule="atLeast"/>
              <w:rPr>
                <w:sz w:val="18"/>
                <w:szCs w:val="18"/>
                <w:lang w:val="en-GB"/>
              </w:rPr>
            </w:pPr>
            <w:r w:rsidRPr="00FF5920">
              <w:rPr>
                <w:sz w:val="18"/>
                <w:szCs w:val="18"/>
                <w:lang w:val="en-GB"/>
              </w:rPr>
              <w:t xml:space="preserve">The respondent appreciates the work and need to derive DGVs for F in freshwaters. </w:t>
            </w:r>
          </w:p>
          <w:p w14:paraId="1DDD5031" w14:textId="30417BBF" w:rsidR="00FF5920" w:rsidRPr="00FF5920" w:rsidRDefault="00FF5920" w:rsidP="005E63E7">
            <w:pPr>
              <w:spacing w:before="60" w:after="60" w:line="280" w:lineRule="atLeast"/>
              <w:rPr>
                <w:sz w:val="18"/>
                <w:szCs w:val="18"/>
                <w:lang w:val="en-GB"/>
              </w:rPr>
            </w:pPr>
            <w:r w:rsidRPr="00FF5920">
              <w:rPr>
                <w:sz w:val="18"/>
                <w:szCs w:val="18"/>
                <w:lang w:val="en-GB"/>
              </w:rPr>
              <w:t xml:space="preserve">The method used to determine 4 DGVs appears to be inappropriate for the data available to determine 4 DGVs. The derivation of the DGVs at 80-99% species level protection are premature. </w:t>
            </w:r>
          </w:p>
          <w:p w14:paraId="73D7CD50" w14:textId="77777777" w:rsidR="00FF5920" w:rsidRPr="00FF5920" w:rsidRDefault="00FF5920" w:rsidP="005E63E7">
            <w:pPr>
              <w:spacing w:before="60" w:after="60" w:line="280" w:lineRule="atLeast"/>
              <w:rPr>
                <w:sz w:val="18"/>
                <w:szCs w:val="18"/>
                <w:lang w:val="en-GB"/>
              </w:rPr>
            </w:pPr>
            <w:r w:rsidRPr="00FF5920">
              <w:rPr>
                <w:sz w:val="18"/>
                <w:szCs w:val="18"/>
                <w:lang w:val="en-GB"/>
              </w:rPr>
              <w:t xml:space="preserve">1. The model used to predict the 80 to 99% species level protection is acknowledged by the authors as a poor </w:t>
            </w:r>
            <w:proofErr w:type="gramStart"/>
            <w:r w:rsidRPr="00FF5920">
              <w:rPr>
                <w:sz w:val="18"/>
                <w:szCs w:val="18"/>
                <w:lang w:val="en-GB"/>
              </w:rPr>
              <w:t>fit</w:t>
            </w:r>
            <w:proofErr w:type="gramEnd"/>
            <w:r w:rsidRPr="00FF5920">
              <w:rPr>
                <w:sz w:val="18"/>
                <w:szCs w:val="18"/>
                <w:lang w:val="en-GB"/>
              </w:rPr>
              <w:t xml:space="preserve"> yet the model is recommended to be adopted for the determination of national DGVs. This is most apparent in the F range of 1,000-5,000 micrograms where the basis for the 99, 95 and 90% DGVs are entirely inferred from limited data sets and 2 species. </w:t>
            </w:r>
          </w:p>
          <w:p w14:paraId="61205048" w14:textId="77777777" w:rsidR="00FF5920" w:rsidRPr="00FF5920" w:rsidRDefault="00FF5920" w:rsidP="005E63E7">
            <w:pPr>
              <w:spacing w:before="60" w:after="60" w:line="280" w:lineRule="atLeast"/>
              <w:rPr>
                <w:sz w:val="18"/>
                <w:szCs w:val="18"/>
                <w:lang w:val="en-GB"/>
              </w:rPr>
            </w:pPr>
            <w:r w:rsidRPr="00FF5920">
              <w:rPr>
                <w:sz w:val="18"/>
                <w:szCs w:val="18"/>
                <w:lang w:val="en-GB"/>
              </w:rPr>
              <w:t xml:space="preserve">2. Toxicity modifying factors are explored and acknowledged as being significant but then not recommended for adjusting the DGVs. The steps in the raw data and consequent poor fit of the model suggest that other parameters are also important in determining toxicity of fluoride. </w:t>
            </w:r>
          </w:p>
          <w:p w14:paraId="5AB682E5" w14:textId="38EC6D0D" w:rsidR="00B745B2" w:rsidRPr="00FF5920" w:rsidRDefault="00FF5920" w:rsidP="005E63E7">
            <w:pPr>
              <w:spacing w:before="60" w:after="60" w:line="280" w:lineRule="atLeast"/>
              <w:rPr>
                <w:rFonts w:asciiTheme="minorHAnsi" w:hAnsiTheme="minorHAnsi" w:cstheme="minorHAnsi"/>
                <w:iCs/>
                <w:sz w:val="18"/>
                <w:szCs w:val="18"/>
                <w:lang w:val="en-GB"/>
              </w:rPr>
            </w:pPr>
            <w:r w:rsidRPr="00FF5920">
              <w:rPr>
                <w:sz w:val="18"/>
                <w:szCs w:val="18"/>
                <w:lang w:val="en-GB"/>
              </w:rPr>
              <w:t>Despite a poor model result and clear indication that toxicity modifying factors are important an illogical position is adopted where the model is accepted and the effect of toxicity modifying factors are dismissed or assumed to be insignificant only due to lack of information</w:t>
            </w:r>
          </w:p>
        </w:tc>
        <w:tc>
          <w:tcPr>
            <w:tcW w:w="5245" w:type="dxa"/>
          </w:tcPr>
          <w:p w14:paraId="15DBA0FE" w14:textId="537871BD" w:rsidR="00B745B2" w:rsidRDefault="00FF5920" w:rsidP="005E63E7">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 xml:space="preserve">The derivation of the </w:t>
            </w:r>
            <w:r w:rsidR="00A02EEE">
              <w:rPr>
                <w:rFonts w:asciiTheme="minorHAnsi" w:hAnsiTheme="minorHAnsi" w:cstheme="minorHAnsi"/>
                <w:bCs/>
                <w:sz w:val="18"/>
                <w:szCs w:val="18"/>
              </w:rPr>
              <w:t>default guideline values (</w:t>
            </w:r>
            <w:r>
              <w:rPr>
                <w:rFonts w:asciiTheme="minorHAnsi" w:hAnsiTheme="minorHAnsi" w:cstheme="minorHAnsi"/>
                <w:bCs/>
                <w:sz w:val="18"/>
                <w:szCs w:val="18"/>
              </w:rPr>
              <w:t>DGVs</w:t>
            </w:r>
            <w:r w:rsidR="00A02EEE">
              <w:rPr>
                <w:rFonts w:asciiTheme="minorHAnsi" w:hAnsiTheme="minorHAnsi" w:cstheme="minorHAnsi"/>
                <w:bCs/>
                <w:sz w:val="18"/>
                <w:szCs w:val="18"/>
              </w:rPr>
              <w:t>)</w:t>
            </w:r>
            <w:r>
              <w:rPr>
                <w:rFonts w:asciiTheme="minorHAnsi" w:hAnsiTheme="minorHAnsi" w:cstheme="minorHAnsi"/>
                <w:bCs/>
                <w:sz w:val="18"/>
                <w:szCs w:val="18"/>
              </w:rPr>
              <w:t xml:space="preserve"> for fluoride in freshwater was consistent with the approved derivation method described in Warne et al. (2018)</w:t>
            </w:r>
            <w:r w:rsidR="00986B23">
              <w:rPr>
                <w:rFonts w:asciiTheme="minorHAnsi" w:hAnsiTheme="minorHAnsi" w:cstheme="minorHAnsi"/>
                <w:bCs/>
                <w:sz w:val="18"/>
                <w:szCs w:val="18"/>
              </w:rPr>
              <w:t>. The derivation met the minimum requirements for using the species sensitivity distribution (SSD) approach, and the resulting DGVs are considered appropriate for adoption as DGVs under the ANZG (2018) Guidelines.</w:t>
            </w:r>
          </w:p>
          <w:p w14:paraId="71FD7A9B" w14:textId="4005E094" w:rsidR="00986B23" w:rsidRDefault="00986B23" w:rsidP="005E63E7">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 xml:space="preserve">In response to point 1, it is acknowledged that the SSD model fit </w:t>
            </w:r>
            <w:r w:rsidR="00A161C1">
              <w:rPr>
                <w:rFonts w:asciiTheme="minorHAnsi" w:hAnsiTheme="minorHAnsi" w:cstheme="minorHAnsi"/>
                <w:bCs/>
                <w:sz w:val="18"/>
                <w:szCs w:val="18"/>
              </w:rPr>
              <w:t>w</w:t>
            </w:r>
            <w:r>
              <w:rPr>
                <w:rFonts w:asciiTheme="minorHAnsi" w:hAnsiTheme="minorHAnsi" w:cstheme="minorHAnsi"/>
                <w:bCs/>
                <w:sz w:val="18"/>
                <w:szCs w:val="18"/>
              </w:rPr>
              <w:t>as judged to be poor. However, this does not exclude the DGVs from being adopted. The fit of the SSD model contributes to the classification of the ‘reliability’ of the DGVs, as described in Section 3.8 of Warne et al. (2018). The other two factors that contribute to the reliability rating of the DGVs are the number and type (chronic or acute) of toxicity values in the dataset used to derive the DGVs. For fluoride in freshwater, there were 22 toxicity values all of which were representative of chronic toxicity. These three factors (number of values, type of values, SSD model fit) combined to result in the DGVs being assigned a moderate reliability rating. Moderate reliability DGVs are still acceptable as DGVs under the ANZG (2018) Guidelines</w:t>
            </w:r>
            <w:r w:rsidR="00A161C1">
              <w:rPr>
                <w:rFonts w:asciiTheme="minorHAnsi" w:hAnsiTheme="minorHAnsi" w:cstheme="minorHAnsi"/>
                <w:bCs/>
                <w:sz w:val="18"/>
                <w:szCs w:val="18"/>
              </w:rPr>
              <w:t>,</w:t>
            </w:r>
            <w:r>
              <w:rPr>
                <w:rFonts w:asciiTheme="minorHAnsi" w:hAnsiTheme="minorHAnsi" w:cstheme="minorHAnsi"/>
                <w:bCs/>
                <w:sz w:val="18"/>
                <w:szCs w:val="18"/>
              </w:rPr>
              <w:t xml:space="preserve"> as described in the ANZG website page on </w:t>
            </w:r>
            <w:hyperlink r:id="rId14" w:anchor="application-of-default-guideline-values" w:history="1">
              <w:r w:rsidRPr="00986B23">
                <w:rPr>
                  <w:rStyle w:val="Hyperlink"/>
                  <w:rFonts w:asciiTheme="minorHAnsi" w:hAnsiTheme="minorHAnsi" w:cstheme="minorHAnsi"/>
                  <w:bCs/>
                  <w:sz w:val="18"/>
                  <w:szCs w:val="18"/>
                </w:rPr>
                <w:t>Application of toxicant DGVs</w:t>
              </w:r>
            </w:hyperlink>
            <w:r>
              <w:rPr>
                <w:rFonts w:asciiTheme="minorHAnsi" w:hAnsiTheme="minorHAnsi" w:cstheme="minorHAnsi"/>
                <w:bCs/>
                <w:sz w:val="18"/>
                <w:szCs w:val="18"/>
              </w:rPr>
              <w:t>.</w:t>
            </w:r>
          </w:p>
          <w:p w14:paraId="269D8EFC" w14:textId="3FE3B76F" w:rsidR="008F7BA5" w:rsidRDefault="00833D34" w:rsidP="005E63E7">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In response to point 2, it is acknowledged that various abiotic factors (e.g. water hardness, chloride, temperature, pH) can affect the toxicity of fluoride. However, for it to be possible to incorporate adjustments for toxicity modifying factors (TMFs) into DGVs, there needs to be sufficient quantitative data characterising the effects of TMFs on fluoride toxicity to a range of species</w:t>
            </w:r>
            <w:r w:rsidR="00A161C1">
              <w:rPr>
                <w:rFonts w:asciiTheme="minorHAnsi" w:hAnsiTheme="minorHAnsi" w:cstheme="minorHAnsi"/>
                <w:bCs/>
                <w:sz w:val="18"/>
                <w:szCs w:val="18"/>
              </w:rPr>
              <w:t xml:space="preserve"> (and, preferably, Australasian species)</w:t>
            </w:r>
            <w:r>
              <w:rPr>
                <w:rFonts w:asciiTheme="minorHAnsi" w:hAnsiTheme="minorHAnsi" w:cstheme="minorHAnsi"/>
                <w:bCs/>
                <w:sz w:val="18"/>
                <w:szCs w:val="18"/>
              </w:rPr>
              <w:t xml:space="preserve">. Currently, there are insufficient such data available for fluoride chronic toxicity and, </w:t>
            </w:r>
            <w:r w:rsidR="00A02EEE">
              <w:rPr>
                <w:rFonts w:asciiTheme="minorHAnsi" w:hAnsiTheme="minorHAnsi" w:cstheme="minorHAnsi"/>
                <w:bCs/>
                <w:sz w:val="18"/>
                <w:szCs w:val="18"/>
              </w:rPr>
              <w:t>unfortunately</w:t>
            </w:r>
            <w:r>
              <w:rPr>
                <w:rFonts w:asciiTheme="minorHAnsi" w:hAnsiTheme="minorHAnsi" w:cstheme="minorHAnsi"/>
                <w:bCs/>
                <w:sz w:val="18"/>
                <w:szCs w:val="18"/>
              </w:rPr>
              <w:t xml:space="preserve">, it </w:t>
            </w:r>
            <w:r w:rsidR="00A161C1">
              <w:rPr>
                <w:rFonts w:asciiTheme="minorHAnsi" w:hAnsiTheme="minorHAnsi" w:cstheme="minorHAnsi"/>
                <w:bCs/>
                <w:sz w:val="18"/>
                <w:szCs w:val="18"/>
              </w:rPr>
              <w:t>wa</w:t>
            </w:r>
            <w:r>
              <w:rPr>
                <w:rFonts w:asciiTheme="minorHAnsi" w:hAnsiTheme="minorHAnsi" w:cstheme="minorHAnsi"/>
                <w:bCs/>
                <w:sz w:val="18"/>
                <w:szCs w:val="18"/>
              </w:rPr>
              <w:t xml:space="preserve">s not possible to develop robust algorithms that </w:t>
            </w:r>
            <w:r w:rsidR="00A02EEE">
              <w:rPr>
                <w:rFonts w:asciiTheme="minorHAnsi" w:hAnsiTheme="minorHAnsi" w:cstheme="minorHAnsi"/>
                <w:bCs/>
                <w:sz w:val="18"/>
                <w:szCs w:val="18"/>
              </w:rPr>
              <w:t>e</w:t>
            </w:r>
            <w:r>
              <w:rPr>
                <w:rFonts w:asciiTheme="minorHAnsi" w:hAnsiTheme="minorHAnsi" w:cstheme="minorHAnsi"/>
                <w:bCs/>
                <w:sz w:val="18"/>
                <w:szCs w:val="18"/>
              </w:rPr>
              <w:t xml:space="preserve">nable the </w:t>
            </w:r>
            <w:r w:rsidR="00A02EEE">
              <w:rPr>
                <w:rFonts w:asciiTheme="minorHAnsi" w:hAnsiTheme="minorHAnsi" w:cstheme="minorHAnsi"/>
                <w:bCs/>
                <w:sz w:val="18"/>
                <w:szCs w:val="18"/>
              </w:rPr>
              <w:t xml:space="preserve">fluoride DGVs </w:t>
            </w:r>
            <w:r w:rsidR="00A02EEE">
              <w:rPr>
                <w:rFonts w:asciiTheme="minorHAnsi" w:hAnsiTheme="minorHAnsi" w:cstheme="minorHAnsi"/>
                <w:bCs/>
                <w:sz w:val="18"/>
                <w:szCs w:val="18"/>
              </w:rPr>
              <w:lastRenderedPageBreak/>
              <w:t xml:space="preserve">to be adjusted based on levels of key TMFs. </w:t>
            </w:r>
            <w:r w:rsidR="008F7BA5">
              <w:rPr>
                <w:rFonts w:asciiTheme="minorHAnsi" w:hAnsiTheme="minorHAnsi" w:cstheme="minorHAnsi"/>
                <w:bCs/>
                <w:sz w:val="18"/>
                <w:szCs w:val="18"/>
              </w:rPr>
              <w:t>Supporting this conclusion, a recent study by Parker et al. (2022) arrived at the same conclusion for fluoride chronic toxicity; a brief reference to this study has been added to the fluoride DGVs technical brief.</w:t>
            </w:r>
          </w:p>
          <w:p w14:paraId="4F5F28C4" w14:textId="77777777" w:rsidR="00833D34" w:rsidRDefault="00A02EEE" w:rsidP="005E63E7">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 xml:space="preserve">It should be noted that the ANZG (2018) Guidelines encourage the derivation </w:t>
            </w:r>
            <w:r w:rsidR="00636AD9">
              <w:rPr>
                <w:rFonts w:asciiTheme="minorHAnsi" w:hAnsiTheme="minorHAnsi" w:cstheme="minorHAnsi"/>
                <w:bCs/>
                <w:sz w:val="18"/>
                <w:szCs w:val="18"/>
              </w:rPr>
              <w:t xml:space="preserve">and use </w:t>
            </w:r>
            <w:r>
              <w:rPr>
                <w:rFonts w:asciiTheme="minorHAnsi" w:hAnsiTheme="minorHAnsi" w:cstheme="minorHAnsi"/>
                <w:bCs/>
                <w:sz w:val="18"/>
                <w:szCs w:val="18"/>
              </w:rPr>
              <w:t>of site-specific guideline values</w:t>
            </w:r>
            <w:r w:rsidR="00636AD9">
              <w:rPr>
                <w:rFonts w:asciiTheme="minorHAnsi" w:hAnsiTheme="minorHAnsi" w:cstheme="minorHAnsi"/>
                <w:bCs/>
                <w:sz w:val="18"/>
                <w:szCs w:val="18"/>
              </w:rPr>
              <w:t xml:space="preserve"> over DGVs</w:t>
            </w:r>
            <w:r>
              <w:rPr>
                <w:rFonts w:asciiTheme="minorHAnsi" w:hAnsiTheme="minorHAnsi" w:cstheme="minorHAnsi"/>
                <w:bCs/>
                <w:sz w:val="18"/>
                <w:szCs w:val="18"/>
              </w:rPr>
              <w:t>, especially where ambient water quality suggests the DGVs may not be applicable. This is noted in the fluoride DGVs technical brief.</w:t>
            </w:r>
          </w:p>
          <w:p w14:paraId="06D604ED" w14:textId="77777777" w:rsidR="00872F4F" w:rsidRDefault="00B505E0" w:rsidP="005E63E7">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 xml:space="preserve">In conclusion, there is no need to make any modifications to the fluoride in freshwater DGVs, and they are appropriate for adoption by the ANG (2018) Guidelines. </w:t>
            </w:r>
            <w:r w:rsidR="00872F4F">
              <w:rPr>
                <w:rFonts w:asciiTheme="minorHAnsi" w:hAnsiTheme="minorHAnsi" w:cstheme="minorHAnsi"/>
                <w:bCs/>
                <w:sz w:val="18"/>
                <w:szCs w:val="18"/>
              </w:rPr>
              <w:t>Nevertheless, minor edits have been made to the technical brief (Summary, Section 3, Section 4.3) to further support the conclusion that it was not possible to incorporate the effect of TMFs in the DGVs.</w:t>
            </w:r>
          </w:p>
          <w:p w14:paraId="26C86F13" w14:textId="78673D75" w:rsidR="00B505E0" w:rsidRPr="00B745B2" w:rsidRDefault="00872F4F" w:rsidP="005E63E7">
            <w:pPr>
              <w:spacing w:before="60" w:after="60" w:line="280" w:lineRule="atLeast"/>
              <w:rPr>
                <w:rFonts w:asciiTheme="minorHAnsi" w:hAnsiTheme="minorHAnsi" w:cstheme="minorHAnsi"/>
                <w:bCs/>
                <w:sz w:val="18"/>
                <w:szCs w:val="18"/>
              </w:rPr>
            </w:pPr>
            <w:r>
              <w:rPr>
                <w:rFonts w:asciiTheme="minorHAnsi" w:hAnsiTheme="minorHAnsi" w:cstheme="minorHAnsi"/>
                <w:bCs/>
                <w:sz w:val="18"/>
                <w:szCs w:val="18"/>
              </w:rPr>
              <w:t xml:space="preserve">Finally, it is important to note that the </w:t>
            </w:r>
            <w:r w:rsidRPr="00872F4F">
              <w:rPr>
                <w:rFonts w:asciiTheme="minorHAnsi" w:hAnsiTheme="minorHAnsi" w:cstheme="minorHAnsi"/>
                <w:bCs/>
                <w:sz w:val="18"/>
                <w:szCs w:val="18"/>
                <w:lang w:val="en-US"/>
              </w:rPr>
              <w:t xml:space="preserve">new fluoride </w:t>
            </w:r>
            <w:r>
              <w:rPr>
                <w:rFonts w:asciiTheme="minorHAnsi" w:hAnsiTheme="minorHAnsi" w:cstheme="minorHAnsi"/>
                <w:bCs/>
                <w:sz w:val="18"/>
                <w:szCs w:val="18"/>
                <w:lang w:val="en-US"/>
              </w:rPr>
              <w:t xml:space="preserve">in freshwater </w:t>
            </w:r>
            <w:r w:rsidRPr="00872F4F">
              <w:rPr>
                <w:rFonts w:asciiTheme="minorHAnsi" w:hAnsiTheme="minorHAnsi" w:cstheme="minorHAnsi"/>
                <w:bCs/>
                <w:sz w:val="18"/>
                <w:szCs w:val="18"/>
                <w:lang w:val="en-US"/>
              </w:rPr>
              <w:t xml:space="preserve">DGVs represent a substantial improvement over the current gap in information, given that there are no DGVs </w:t>
            </w:r>
            <w:r>
              <w:rPr>
                <w:rFonts w:asciiTheme="minorHAnsi" w:hAnsiTheme="minorHAnsi" w:cstheme="minorHAnsi"/>
                <w:bCs/>
                <w:sz w:val="18"/>
                <w:szCs w:val="18"/>
                <w:lang w:val="en-US"/>
              </w:rPr>
              <w:t xml:space="preserve">(or </w:t>
            </w:r>
            <w:r w:rsidRPr="00872F4F">
              <w:rPr>
                <w:rFonts w:asciiTheme="minorHAnsi" w:hAnsiTheme="minorHAnsi" w:cstheme="minorHAnsi"/>
                <w:bCs/>
                <w:sz w:val="18"/>
                <w:szCs w:val="18"/>
                <w:lang w:val="en-US"/>
              </w:rPr>
              <w:t>interim/low reliability levels</w:t>
            </w:r>
            <w:r>
              <w:rPr>
                <w:rFonts w:asciiTheme="minorHAnsi" w:hAnsiTheme="minorHAnsi" w:cstheme="minorHAnsi"/>
                <w:bCs/>
                <w:sz w:val="18"/>
                <w:szCs w:val="18"/>
                <w:lang w:val="en-US"/>
              </w:rPr>
              <w:t xml:space="preserve">) </w:t>
            </w:r>
            <w:r w:rsidRPr="00872F4F">
              <w:rPr>
                <w:rFonts w:asciiTheme="minorHAnsi" w:hAnsiTheme="minorHAnsi" w:cstheme="minorHAnsi"/>
                <w:bCs/>
                <w:sz w:val="18"/>
                <w:szCs w:val="18"/>
                <w:lang w:val="en-US"/>
              </w:rPr>
              <w:t xml:space="preserve">for fluoride in aquatic ecosystems under ANZG </w:t>
            </w:r>
            <w:r>
              <w:rPr>
                <w:rFonts w:asciiTheme="minorHAnsi" w:hAnsiTheme="minorHAnsi" w:cstheme="minorHAnsi"/>
                <w:bCs/>
                <w:sz w:val="18"/>
                <w:szCs w:val="18"/>
                <w:lang w:val="en-US"/>
              </w:rPr>
              <w:t xml:space="preserve">(2018) </w:t>
            </w:r>
            <w:r w:rsidRPr="00872F4F">
              <w:rPr>
                <w:rFonts w:asciiTheme="minorHAnsi" w:hAnsiTheme="minorHAnsi" w:cstheme="minorHAnsi"/>
                <w:bCs/>
                <w:sz w:val="18"/>
                <w:szCs w:val="18"/>
                <w:lang w:val="en-US"/>
              </w:rPr>
              <w:t>or ANZECC</w:t>
            </w:r>
            <w:r>
              <w:rPr>
                <w:rFonts w:asciiTheme="minorHAnsi" w:hAnsiTheme="minorHAnsi" w:cstheme="minorHAnsi"/>
                <w:bCs/>
                <w:sz w:val="18"/>
                <w:szCs w:val="18"/>
                <w:lang w:val="en-US"/>
              </w:rPr>
              <w:t>/ARMCANZ (2000</w:t>
            </w:r>
            <w:r w:rsidRPr="00872F4F">
              <w:rPr>
                <w:rFonts w:asciiTheme="minorHAnsi" w:hAnsiTheme="minorHAnsi" w:cstheme="minorHAnsi"/>
                <w:bCs/>
                <w:sz w:val="18"/>
                <w:szCs w:val="18"/>
                <w:lang w:val="en-US"/>
              </w:rPr>
              <w:t>).</w:t>
            </w:r>
            <w:r>
              <w:rPr>
                <w:rFonts w:asciiTheme="minorHAnsi" w:hAnsiTheme="minorHAnsi" w:cstheme="minorHAnsi"/>
                <w:bCs/>
                <w:sz w:val="18"/>
                <w:szCs w:val="18"/>
              </w:rPr>
              <w:t xml:space="preserve"> </w:t>
            </w:r>
          </w:p>
        </w:tc>
        <w:tc>
          <w:tcPr>
            <w:tcW w:w="3260" w:type="dxa"/>
          </w:tcPr>
          <w:p w14:paraId="7259E43F" w14:textId="6B7351F5" w:rsidR="00B745B2" w:rsidRPr="00B745B2" w:rsidRDefault="006E3967" w:rsidP="005E63E7">
            <w:pPr>
              <w:spacing w:before="60" w:after="60" w:line="280" w:lineRule="atLeast"/>
              <w:rPr>
                <w:rFonts w:asciiTheme="minorHAnsi" w:hAnsiTheme="minorHAnsi" w:cstheme="minorHAnsi"/>
                <w:sz w:val="18"/>
                <w:szCs w:val="18"/>
              </w:rPr>
            </w:pPr>
            <w:r>
              <w:rPr>
                <w:rFonts w:asciiTheme="minorHAnsi" w:hAnsiTheme="minorHAnsi" w:cstheme="minorHAnsi"/>
                <w:sz w:val="18"/>
                <w:szCs w:val="18"/>
              </w:rPr>
              <w:lastRenderedPageBreak/>
              <w:t xml:space="preserve">Minor text edits </w:t>
            </w:r>
            <w:r w:rsidR="00A161C1">
              <w:rPr>
                <w:rFonts w:asciiTheme="minorHAnsi" w:hAnsiTheme="minorHAnsi" w:cstheme="minorHAnsi"/>
                <w:sz w:val="18"/>
                <w:szCs w:val="18"/>
              </w:rPr>
              <w:t>in the Summary</w:t>
            </w:r>
            <w:r w:rsidR="003B0532">
              <w:rPr>
                <w:rFonts w:asciiTheme="minorHAnsi" w:hAnsiTheme="minorHAnsi" w:cstheme="minorHAnsi"/>
                <w:sz w:val="18"/>
                <w:szCs w:val="18"/>
              </w:rPr>
              <w:t>,</w:t>
            </w:r>
            <w:r w:rsidR="00A161C1">
              <w:rPr>
                <w:rFonts w:asciiTheme="minorHAnsi" w:hAnsiTheme="minorHAnsi" w:cstheme="minorHAnsi"/>
                <w:sz w:val="18"/>
                <w:szCs w:val="18"/>
              </w:rPr>
              <w:t xml:space="preserve"> Section 3 </w:t>
            </w:r>
            <w:r w:rsidR="003B0532">
              <w:rPr>
                <w:rFonts w:asciiTheme="minorHAnsi" w:hAnsiTheme="minorHAnsi" w:cstheme="minorHAnsi"/>
                <w:sz w:val="18"/>
                <w:szCs w:val="18"/>
              </w:rPr>
              <w:t xml:space="preserve">and </w:t>
            </w:r>
            <w:r w:rsidR="003B0532">
              <w:rPr>
                <w:rFonts w:asciiTheme="minorHAnsi" w:hAnsiTheme="minorHAnsi" w:cstheme="minorHAnsi"/>
                <w:bCs/>
                <w:sz w:val="18"/>
                <w:szCs w:val="18"/>
              </w:rPr>
              <w:t xml:space="preserve">Section 4.3 </w:t>
            </w:r>
            <w:r>
              <w:rPr>
                <w:rFonts w:asciiTheme="minorHAnsi" w:hAnsiTheme="minorHAnsi" w:cstheme="minorHAnsi"/>
                <w:sz w:val="18"/>
                <w:szCs w:val="18"/>
              </w:rPr>
              <w:t xml:space="preserve">to support the conclusion that the effects of toxicity modifying factors could not be incorporated into the DGVs derivation. </w:t>
            </w:r>
          </w:p>
        </w:tc>
      </w:tr>
    </w:tbl>
    <w:p w14:paraId="4EE92245" w14:textId="77777777" w:rsidR="00B2382D" w:rsidRDefault="00B2382D" w:rsidP="004040B5"/>
    <w:p w14:paraId="33C2DFBA" w14:textId="6DA21F8E" w:rsidR="00CF08F1" w:rsidRPr="00CF08F1" w:rsidRDefault="00CF08F1" w:rsidP="004040B5">
      <w:pPr>
        <w:rPr>
          <w:b/>
          <w:bCs/>
          <w:sz w:val="24"/>
          <w:szCs w:val="24"/>
        </w:rPr>
      </w:pPr>
      <w:r w:rsidRPr="00CF08F1">
        <w:rPr>
          <w:b/>
          <w:bCs/>
          <w:sz w:val="24"/>
          <w:szCs w:val="24"/>
        </w:rPr>
        <w:t>Additional issues identified while addressing public comments</w:t>
      </w:r>
    </w:p>
    <w:tbl>
      <w:tblPr>
        <w:tblStyle w:val="TableGrid"/>
        <w:tblW w:w="0" w:type="auto"/>
        <w:tblLook w:val="04A0" w:firstRow="1" w:lastRow="0" w:firstColumn="1" w:lastColumn="0" w:noHBand="0" w:noVBand="1"/>
      </w:tblPr>
      <w:tblGrid>
        <w:gridCol w:w="3823"/>
        <w:gridCol w:w="6520"/>
        <w:gridCol w:w="3605"/>
      </w:tblGrid>
      <w:tr w:rsidR="00CF08F1" w:rsidRPr="00CF08F1" w14:paraId="275EB3F9" w14:textId="77777777" w:rsidTr="00E70B3F">
        <w:tc>
          <w:tcPr>
            <w:tcW w:w="3823" w:type="dxa"/>
          </w:tcPr>
          <w:p w14:paraId="4DB9AD93" w14:textId="0C20166D" w:rsidR="00CF08F1" w:rsidRPr="00CF08F1" w:rsidRDefault="00CF08F1" w:rsidP="00CF08F1">
            <w:pPr>
              <w:spacing w:before="60" w:after="60" w:line="280" w:lineRule="atLeast"/>
              <w:rPr>
                <w:sz w:val="18"/>
                <w:szCs w:val="18"/>
              </w:rPr>
            </w:pPr>
            <w:r>
              <w:rPr>
                <w:rFonts w:asciiTheme="minorHAnsi" w:hAnsiTheme="minorHAnsi" w:cstheme="minorHAnsi"/>
                <w:b/>
                <w:bCs/>
                <w:sz w:val="20"/>
                <w:szCs w:val="20"/>
              </w:rPr>
              <w:t>Issue</w:t>
            </w:r>
          </w:p>
        </w:tc>
        <w:tc>
          <w:tcPr>
            <w:tcW w:w="6520" w:type="dxa"/>
          </w:tcPr>
          <w:p w14:paraId="6744B478" w14:textId="4A08546C" w:rsidR="00CF08F1" w:rsidRPr="00CF08F1" w:rsidRDefault="00CF08F1" w:rsidP="00CF08F1">
            <w:pPr>
              <w:spacing w:before="60" w:after="60" w:line="280" w:lineRule="atLeast"/>
              <w:rPr>
                <w:sz w:val="18"/>
                <w:szCs w:val="18"/>
              </w:rPr>
            </w:pPr>
            <w:r w:rsidRPr="00B745B2">
              <w:rPr>
                <w:rFonts w:asciiTheme="minorHAnsi" w:hAnsiTheme="minorHAnsi" w:cstheme="minorHAnsi"/>
                <w:b/>
                <w:bCs/>
                <w:sz w:val="20"/>
                <w:szCs w:val="20"/>
              </w:rPr>
              <w:t>Response</w:t>
            </w:r>
          </w:p>
        </w:tc>
        <w:tc>
          <w:tcPr>
            <w:tcW w:w="3605" w:type="dxa"/>
          </w:tcPr>
          <w:p w14:paraId="51CC5827" w14:textId="3C9B9085" w:rsidR="00CF08F1" w:rsidRPr="00CF08F1" w:rsidRDefault="00CF08F1" w:rsidP="00CF08F1">
            <w:pPr>
              <w:spacing w:before="60" w:after="60" w:line="280" w:lineRule="atLeast"/>
              <w:rPr>
                <w:sz w:val="18"/>
                <w:szCs w:val="18"/>
              </w:rPr>
            </w:pPr>
            <w:r w:rsidRPr="00B745B2">
              <w:rPr>
                <w:rFonts w:asciiTheme="minorHAnsi" w:hAnsiTheme="minorHAnsi" w:cstheme="minorHAnsi"/>
                <w:b/>
                <w:bCs/>
                <w:sz w:val="20"/>
                <w:szCs w:val="20"/>
              </w:rPr>
              <w:t>Action taken</w:t>
            </w:r>
          </w:p>
        </w:tc>
      </w:tr>
      <w:tr w:rsidR="00CF08F1" w:rsidRPr="00CF08F1" w14:paraId="3DD3CC68" w14:textId="77777777" w:rsidTr="00E70B3F">
        <w:tc>
          <w:tcPr>
            <w:tcW w:w="3823" w:type="dxa"/>
          </w:tcPr>
          <w:p w14:paraId="772B2F32" w14:textId="4F64B9BF" w:rsidR="00CF08F1" w:rsidRPr="00CF08F1" w:rsidRDefault="00CF08F1" w:rsidP="00CF08F1">
            <w:pPr>
              <w:spacing w:before="60" w:after="60" w:line="280" w:lineRule="atLeast"/>
              <w:rPr>
                <w:sz w:val="18"/>
                <w:szCs w:val="18"/>
              </w:rPr>
            </w:pPr>
            <w:r w:rsidRPr="00CF08F1">
              <w:rPr>
                <w:sz w:val="18"/>
                <w:szCs w:val="18"/>
              </w:rPr>
              <w:t xml:space="preserve">Upon addressing </w:t>
            </w:r>
            <w:r>
              <w:rPr>
                <w:sz w:val="18"/>
                <w:szCs w:val="18"/>
              </w:rPr>
              <w:t>jurisdictional committee</w:t>
            </w:r>
            <w:r w:rsidRPr="00CF08F1">
              <w:rPr>
                <w:sz w:val="18"/>
                <w:szCs w:val="18"/>
              </w:rPr>
              <w:t xml:space="preserve"> comments on the final </w:t>
            </w:r>
            <w:r>
              <w:rPr>
                <w:sz w:val="18"/>
                <w:szCs w:val="18"/>
              </w:rPr>
              <w:t>‘</w:t>
            </w:r>
            <w:r w:rsidRPr="00CF08F1">
              <w:rPr>
                <w:sz w:val="18"/>
                <w:szCs w:val="18"/>
              </w:rPr>
              <w:t>post-public comment</w:t>
            </w:r>
            <w:r>
              <w:rPr>
                <w:sz w:val="18"/>
                <w:szCs w:val="18"/>
              </w:rPr>
              <w:t>’</w:t>
            </w:r>
            <w:r w:rsidRPr="00CF08F1">
              <w:rPr>
                <w:sz w:val="18"/>
                <w:szCs w:val="18"/>
              </w:rPr>
              <w:t xml:space="preserve"> version of the draft fluoride freshwater DGVs, it became evident that </w:t>
            </w:r>
            <w:r>
              <w:rPr>
                <w:sz w:val="18"/>
                <w:szCs w:val="18"/>
              </w:rPr>
              <w:t xml:space="preserve">the </w:t>
            </w:r>
            <w:proofErr w:type="spellStart"/>
            <w:r w:rsidRPr="00CF08F1">
              <w:rPr>
                <w:sz w:val="18"/>
                <w:szCs w:val="18"/>
              </w:rPr>
              <w:t>Burrlioz</w:t>
            </w:r>
            <w:proofErr w:type="spellEnd"/>
            <w:r w:rsidRPr="00CF08F1">
              <w:rPr>
                <w:sz w:val="18"/>
                <w:szCs w:val="18"/>
              </w:rPr>
              <w:t xml:space="preserve"> </w:t>
            </w:r>
            <w:r>
              <w:rPr>
                <w:sz w:val="18"/>
                <w:szCs w:val="18"/>
              </w:rPr>
              <w:t xml:space="preserve">software </w:t>
            </w:r>
            <w:r w:rsidRPr="00CF08F1">
              <w:rPr>
                <w:sz w:val="18"/>
                <w:szCs w:val="18"/>
              </w:rPr>
              <w:t>yield</w:t>
            </w:r>
            <w:r>
              <w:rPr>
                <w:sz w:val="18"/>
                <w:szCs w:val="18"/>
              </w:rPr>
              <w:t>ed</w:t>
            </w:r>
            <w:r w:rsidRPr="00CF08F1">
              <w:rPr>
                <w:sz w:val="18"/>
                <w:szCs w:val="18"/>
              </w:rPr>
              <w:t xml:space="preserve"> different DGVs depending on the units </w:t>
            </w:r>
            <w:r w:rsidRPr="00CF08F1">
              <w:rPr>
                <w:sz w:val="18"/>
                <w:szCs w:val="18"/>
              </w:rPr>
              <w:lastRenderedPageBreak/>
              <w:t>that are used for fluoride dataset (i.e. µg/L or mg/L). This should not happen and represent</w:t>
            </w:r>
            <w:r>
              <w:rPr>
                <w:sz w:val="18"/>
                <w:szCs w:val="18"/>
              </w:rPr>
              <w:t>ed</w:t>
            </w:r>
            <w:r w:rsidRPr="00CF08F1">
              <w:rPr>
                <w:sz w:val="18"/>
                <w:szCs w:val="18"/>
              </w:rPr>
              <w:t xml:space="preserve"> an unacceptable situation for the fluoride DGVs.</w:t>
            </w:r>
          </w:p>
        </w:tc>
        <w:tc>
          <w:tcPr>
            <w:tcW w:w="6520" w:type="dxa"/>
          </w:tcPr>
          <w:p w14:paraId="6B47BEA4" w14:textId="77777777" w:rsidR="00CF08F1" w:rsidRDefault="00CF08F1" w:rsidP="00CF08F1">
            <w:pPr>
              <w:spacing w:before="60" w:after="60" w:line="280" w:lineRule="atLeast"/>
              <w:rPr>
                <w:sz w:val="18"/>
                <w:szCs w:val="18"/>
              </w:rPr>
            </w:pPr>
            <w:r>
              <w:rPr>
                <w:sz w:val="18"/>
                <w:szCs w:val="18"/>
              </w:rPr>
              <w:lastRenderedPageBreak/>
              <w:t xml:space="preserve">Upon investigation, it was found </w:t>
            </w:r>
            <w:r w:rsidRPr="00CF08F1">
              <w:rPr>
                <w:sz w:val="18"/>
                <w:szCs w:val="18"/>
              </w:rPr>
              <w:t xml:space="preserve">that </w:t>
            </w:r>
            <w:proofErr w:type="spellStart"/>
            <w:r w:rsidRPr="00CF08F1">
              <w:rPr>
                <w:sz w:val="18"/>
                <w:szCs w:val="18"/>
              </w:rPr>
              <w:t>Burrlioz</w:t>
            </w:r>
            <w:proofErr w:type="spellEnd"/>
            <w:r w:rsidRPr="00CF08F1">
              <w:rPr>
                <w:sz w:val="18"/>
                <w:szCs w:val="18"/>
              </w:rPr>
              <w:t xml:space="preserve"> was selecting a different distribution for the two datasets; the inverse Weibull distribution was selected for the µg/L dataset while the </w:t>
            </w:r>
            <w:proofErr w:type="gramStart"/>
            <w:r w:rsidRPr="00CF08F1">
              <w:rPr>
                <w:sz w:val="18"/>
                <w:szCs w:val="18"/>
              </w:rPr>
              <w:t>Burr(</w:t>
            </w:r>
            <w:proofErr w:type="gramEnd"/>
            <w:r w:rsidRPr="00CF08F1">
              <w:rPr>
                <w:sz w:val="18"/>
                <w:szCs w:val="18"/>
              </w:rPr>
              <w:t xml:space="preserve">III) distribution was selected for the mg/L dataset. While the </w:t>
            </w:r>
            <w:proofErr w:type="gramStart"/>
            <w:r w:rsidRPr="00CF08F1">
              <w:rPr>
                <w:sz w:val="18"/>
                <w:szCs w:val="18"/>
              </w:rPr>
              <w:t>Burr(</w:t>
            </w:r>
            <w:proofErr w:type="gramEnd"/>
            <w:r w:rsidRPr="00CF08F1">
              <w:rPr>
                <w:sz w:val="18"/>
                <w:szCs w:val="18"/>
              </w:rPr>
              <w:t xml:space="preserve">III) distribution is the default distribution for </w:t>
            </w:r>
            <w:proofErr w:type="spellStart"/>
            <w:r w:rsidRPr="00CF08F1">
              <w:rPr>
                <w:sz w:val="18"/>
                <w:szCs w:val="18"/>
              </w:rPr>
              <w:t>Burrlioz</w:t>
            </w:r>
            <w:proofErr w:type="spellEnd"/>
            <w:r w:rsidRPr="00CF08F1">
              <w:rPr>
                <w:sz w:val="18"/>
                <w:szCs w:val="18"/>
              </w:rPr>
              <w:t xml:space="preserve">, the software will select either the inverse </w:t>
            </w:r>
            <w:proofErr w:type="spellStart"/>
            <w:r w:rsidRPr="00CF08F1">
              <w:rPr>
                <w:sz w:val="18"/>
                <w:szCs w:val="18"/>
              </w:rPr>
              <w:t>weibull</w:t>
            </w:r>
            <w:proofErr w:type="spellEnd"/>
            <w:r w:rsidRPr="00CF08F1">
              <w:rPr>
                <w:sz w:val="18"/>
                <w:szCs w:val="18"/>
              </w:rPr>
              <w:t xml:space="preserve"> or the inverse pareto distribution if the k and c parameter estimates </w:t>
            </w:r>
            <w:r w:rsidRPr="00CF08F1">
              <w:rPr>
                <w:sz w:val="18"/>
                <w:szCs w:val="18"/>
              </w:rPr>
              <w:lastRenderedPageBreak/>
              <w:t xml:space="preserve">are &gt;100 and &gt;80, respectively. According to the </w:t>
            </w:r>
            <w:proofErr w:type="spellStart"/>
            <w:r w:rsidRPr="00CF08F1">
              <w:rPr>
                <w:sz w:val="18"/>
                <w:szCs w:val="18"/>
              </w:rPr>
              <w:t>Burrlioz</w:t>
            </w:r>
            <w:proofErr w:type="spellEnd"/>
            <w:r w:rsidRPr="00CF08F1">
              <w:rPr>
                <w:sz w:val="18"/>
                <w:szCs w:val="18"/>
              </w:rPr>
              <w:t xml:space="preserve"> 2.0 User Guide (Barry 2014), this is necessary to ensure numerical stability and does not have significant impacts on the results. In the case of the µg/L dataset, the k parameter exceeded 100 and the inverse Weibull distribution was selected, whereas the k parameter did not exceed 100 for the mg/L dataset and the default </w:t>
            </w:r>
            <w:proofErr w:type="gramStart"/>
            <w:r w:rsidRPr="00CF08F1">
              <w:rPr>
                <w:sz w:val="18"/>
                <w:szCs w:val="18"/>
              </w:rPr>
              <w:t>Burr(</w:t>
            </w:r>
            <w:proofErr w:type="gramEnd"/>
            <w:r w:rsidRPr="00CF08F1">
              <w:rPr>
                <w:sz w:val="18"/>
                <w:szCs w:val="18"/>
              </w:rPr>
              <w:t>III) distribution was retained. This is simply a scale issue, where the k parameter for the µg/L dataset is 10</w:t>
            </w:r>
            <w:r w:rsidRPr="00CF08F1">
              <w:rPr>
                <w:sz w:val="18"/>
                <w:szCs w:val="18"/>
                <w:vertAlign w:val="superscript"/>
              </w:rPr>
              <w:t>3</w:t>
            </w:r>
            <w:r w:rsidRPr="00CF08F1">
              <w:rPr>
                <w:sz w:val="18"/>
                <w:szCs w:val="18"/>
              </w:rPr>
              <w:t xml:space="preserve">x higher than that for the mg/L dataset. This represents a flaw in the </w:t>
            </w:r>
            <w:proofErr w:type="spellStart"/>
            <w:r w:rsidRPr="00CF08F1">
              <w:rPr>
                <w:sz w:val="18"/>
                <w:szCs w:val="18"/>
              </w:rPr>
              <w:t>Burrlioz</w:t>
            </w:r>
            <w:proofErr w:type="spellEnd"/>
            <w:r w:rsidRPr="00CF08F1">
              <w:rPr>
                <w:sz w:val="18"/>
                <w:szCs w:val="18"/>
              </w:rPr>
              <w:t xml:space="preserve"> statistical approach that has not previously been identified through the DGV derivation process nor </w:t>
            </w:r>
            <w:r>
              <w:rPr>
                <w:sz w:val="18"/>
                <w:szCs w:val="18"/>
              </w:rPr>
              <w:t>a</w:t>
            </w:r>
            <w:r w:rsidRPr="00CF08F1">
              <w:rPr>
                <w:sz w:val="18"/>
                <w:szCs w:val="18"/>
              </w:rPr>
              <w:t xml:space="preserve"> comparative analysis of </w:t>
            </w:r>
            <w:proofErr w:type="spellStart"/>
            <w:r w:rsidRPr="00CF08F1">
              <w:rPr>
                <w:sz w:val="18"/>
                <w:szCs w:val="18"/>
              </w:rPr>
              <w:t>Burrlioz</w:t>
            </w:r>
            <w:proofErr w:type="spellEnd"/>
            <w:r w:rsidRPr="00CF08F1">
              <w:rPr>
                <w:sz w:val="18"/>
                <w:szCs w:val="18"/>
              </w:rPr>
              <w:t xml:space="preserve"> and </w:t>
            </w:r>
            <w:proofErr w:type="spellStart"/>
            <w:r w:rsidRPr="00CF08F1">
              <w:rPr>
                <w:sz w:val="18"/>
                <w:szCs w:val="18"/>
              </w:rPr>
              <w:t>ssdtools</w:t>
            </w:r>
            <w:proofErr w:type="spellEnd"/>
            <w:r w:rsidRPr="00CF08F1">
              <w:rPr>
                <w:sz w:val="18"/>
                <w:szCs w:val="18"/>
              </w:rPr>
              <w:t xml:space="preserve"> that was undertaken in 2023</w:t>
            </w:r>
            <w:r>
              <w:rPr>
                <w:sz w:val="18"/>
                <w:szCs w:val="18"/>
              </w:rPr>
              <w:t xml:space="preserve">. </w:t>
            </w:r>
          </w:p>
          <w:p w14:paraId="4EBE85E7" w14:textId="6C322904" w:rsidR="00CF08F1" w:rsidRPr="00CF08F1" w:rsidRDefault="00CF08F1" w:rsidP="00CF08F1">
            <w:pPr>
              <w:spacing w:before="60" w:after="60" w:line="280" w:lineRule="atLeast"/>
              <w:rPr>
                <w:sz w:val="18"/>
                <w:szCs w:val="18"/>
              </w:rPr>
            </w:pPr>
            <w:r>
              <w:rPr>
                <w:sz w:val="18"/>
                <w:szCs w:val="18"/>
              </w:rPr>
              <w:t xml:space="preserve">The solution, which was agreed </w:t>
            </w:r>
            <w:r w:rsidR="00F74C86">
              <w:rPr>
                <w:sz w:val="18"/>
                <w:szCs w:val="18"/>
              </w:rPr>
              <w:t xml:space="preserve">to </w:t>
            </w:r>
            <w:r>
              <w:rPr>
                <w:sz w:val="18"/>
                <w:szCs w:val="18"/>
              </w:rPr>
              <w:t xml:space="preserve">by the jurisdictional review/approval committees, was to derive the fluoride freshwater DGVs using the </w:t>
            </w:r>
            <w:proofErr w:type="spellStart"/>
            <w:r>
              <w:rPr>
                <w:sz w:val="18"/>
                <w:szCs w:val="18"/>
              </w:rPr>
              <w:t>shinyssdtools</w:t>
            </w:r>
            <w:proofErr w:type="spellEnd"/>
            <w:r>
              <w:rPr>
                <w:sz w:val="18"/>
                <w:szCs w:val="18"/>
              </w:rPr>
              <w:t xml:space="preserve"> software</w:t>
            </w:r>
            <w:r w:rsidR="002F4D21">
              <w:rPr>
                <w:sz w:val="18"/>
                <w:szCs w:val="18"/>
              </w:rPr>
              <w:t xml:space="preserve"> (Dalgarno 2018)</w:t>
            </w:r>
            <w:r>
              <w:rPr>
                <w:sz w:val="18"/>
                <w:szCs w:val="18"/>
              </w:rPr>
              <w:t xml:space="preserve">, which the ANZG Guidelines is </w:t>
            </w:r>
            <w:r w:rsidR="00E70B3F">
              <w:rPr>
                <w:sz w:val="18"/>
                <w:szCs w:val="18"/>
              </w:rPr>
              <w:t xml:space="preserve">already in the process of </w:t>
            </w:r>
            <w:r>
              <w:rPr>
                <w:sz w:val="18"/>
                <w:szCs w:val="18"/>
              </w:rPr>
              <w:t>transitioning to</w:t>
            </w:r>
            <w:r w:rsidR="00E70B3F">
              <w:rPr>
                <w:sz w:val="18"/>
                <w:szCs w:val="18"/>
              </w:rPr>
              <w:t xml:space="preserve"> for DGV derivation</w:t>
            </w:r>
            <w:r>
              <w:rPr>
                <w:sz w:val="18"/>
                <w:szCs w:val="18"/>
              </w:rPr>
              <w:t>.</w:t>
            </w:r>
            <w:r w:rsidR="002F4D21">
              <w:rPr>
                <w:sz w:val="18"/>
                <w:szCs w:val="18"/>
              </w:rPr>
              <w:t xml:space="preserve"> </w:t>
            </w:r>
            <w:proofErr w:type="spellStart"/>
            <w:r w:rsidR="002F4D21">
              <w:rPr>
                <w:sz w:val="18"/>
                <w:szCs w:val="18"/>
              </w:rPr>
              <w:t>Shinyssdtools</w:t>
            </w:r>
            <w:proofErr w:type="spellEnd"/>
            <w:r w:rsidR="002F4D21">
              <w:rPr>
                <w:sz w:val="18"/>
                <w:szCs w:val="18"/>
              </w:rPr>
              <w:t xml:space="preserve"> does not experience the scaling issue that was exhibited by </w:t>
            </w:r>
            <w:proofErr w:type="spellStart"/>
            <w:r w:rsidR="002F4D21">
              <w:rPr>
                <w:sz w:val="18"/>
                <w:szCs w:val="18"/>
              </w:rPr>
              <w:t>Burrlioz</w:t>
            </w:r>
            <w:proofErr w:type="spellEnd"/>
            <w:r w:rsidR="002F4D21">
              <w:rPr>
                <w:sz w:val="18"/>
                <w:szCs w:val="18"/>
              </w:rPr>
              <w:t xml:space="preserve"> 2.0.</w:t>
            </w:r>
          </w:p>
        </w:tc>
        <w:tc>
          <w:tcPr>
            <w:tcW w:w="3605" w:type="dxa"/>
          </w:tcPr>
          <w:p w14:paraId="3573ABC1" w14:textId="77777777" w:rsidR="00A60791" w:rsidRDefault="00E70B3F" w:rsidP="00CF08F1">
            <w:pPr>
              <w:spacing w:before="60" w:after="60" w:line="280" w:lineRule="atLeast"/>
              <w:rPr>
                <w:sz w:val="18"/>
                <w:szCs w:val="18"/>
              </w:rPr>
            </w:pPr>
            <w:r>
              <w:rPr>
                <w:sz w:val="18"/>
                <w:szCs w:val="18"/>
              </w:rPr>
              <w:lastRenderedPageBreak/>
              <w:t xml:space="preserve">The fluoride freshwater DGVs were re-derived using the </w:t>
            </w:r>
            <w:proofErr w:type="spellStart"/>
            <w:r>
              <w:rPr>
                <w:sz w:val="18"/>
                <w:szCs w:val="18"/>
              </w:rPr>
              <w:t>shinyssdtools</w:t>
            </w:r>
            <w:proofErr w:type="spellEnd"/>
            <w:r>
              <w:rPr>
                <w:sz w:val="18"/>
                <w:szCs w:val="18"/>
              </w:rPr>
              <w:t xml:space="preserve"> (V 0.2.0) software, and associated changes to the technical brief</w:t>
            </w:r>
            <w:r w:rsidR="00F63725">
              <w:rPr>
                <w:sz w:val="18"/>
                <w:szCs w:val="18"/>
              </w:rPr>
              <w:t xml:space="preserve"> </w:t>
            </w:r>
            <w:r>
              <w:rPr>
                <w:sz w:val="18"/>
                <w:szCs w:val="18"/>
              </w:rPr>
              <w:t xml:space="preserve">were made. </w:t>
            </w:r>
          </w:p>
          <w:p w14:paraId="7E23C89B" w14:textId="331B32AB" w:rsidR="0064741C" w:rsidRPr="00CF08F1" w:rsidRDefault="0064741C" w:rsidP="00CF08F1">
            <w:pPr>
              <w:spacing w:before="60" w:after="60" w:line="280" w:lineRule="atLeast"/>
              <w:rPr>
                <w:sz w:val="18"/>
                <w:szCs w:val="18"/>
              </w:rPr>
            </w:pPr>
            <w:r>
              <w:rPr>
                <w:sz w:val="18"/>
                <w:szCs w:val="18"/>
              </w:rPr>
              <w:lastRenderedPageBreak/>
              <w:t xml:space="preserve">Also, </w:t>
            </w:r>
            <w:proofErr w:type="gramStart"/>
            <w:r>
              <w:rPr>
                <w:sz w:val="18"/>
                <w:szCs w:val="18"/>
              </w:rPr>
              <w:t>as a result of</w:t>
            </w:r>
            <w:proofErr w:type="gramEnd"/>
            <w:r>
              <w:rPr>
                <w:sz w:val="18"/>
                <w:szCs w:val="18"/>
              </w:rPr>
              <w:t xml:space="preserve"> these revisions, all units </w:t>
            </w:r>
            <w:r w:rsidR="00ED4252">
              <w:rPr>
                <w:sz w:val="18"/>
                <w:szCs w:val="18"/>
              </w:rPr>
              <w:t xml:space="preserve">for fluoride </w:t>
            </w:r>
            <w:r>
              <w:rPr>
                <w:sz w:val="18"/>
                <w:szCs w:val="18"/>
              </w:rPr>
              <w:t>in the technical brief, including those for the DGVs, were reported in mg/L.</w:t>
            </w:r>
          </w:p>
        </w:tc>
      </w:tr>
    </w:tbl>
    <w:p w14:paraId="71C6883F" w14:textId="77777777" w:rsidR="00CF08F1" w:rsidRDefault="00CF08F1" w:rsidP="004040B5"/>
    <w:p w14:paraId="1FFD34FE" w14:textId="50404A7C" w:rsidR="008F7BA5" w:rsidRDefault="008F7BA5" w:rsidP="008F7BA5">
      <w:pPr>
        <w:pStyle w:val="Heading2"/>
      </w:pPr>
      <w:r>
        <w:t>References</w:t>
      </w:r>
    </w:p>
    <w:p w14:paraId="6FCEE45E" w14:textId="77777777" w:rsidR="00B27ADA" w:rsidRPr="00CF08F1" w:rsidRDefault="00B27ADA" w:rsidP="008F7BA5">
      <w:pPr>
        <w:rPr>
          <w:sz w:val="20"/>
          <w:szCs w:val="20"/>
          <w:lang w:val="en-GB"/>
        </w:rPr>
      </w:pPr>
      <w:r w:rsidRPr="00CF08F1">
        <w:rPr>
          <w:sz w:val="20"/>
          <w:szCs w:val="20"/>
          <w:lang w:val="en-GB"/>
        </w:rPr>
        <w:t>ANZECC/ARMCANZ 2000. Australian and New Zealand guidelines for fresh and marine water quality. National Water Quality Management Strategy Paper No 4. Australian and New Zealand Environment and Conservation Council and Agriculture and Resource Management Council of Australia and New Zealand, Canberra, ACT.</w:t>
      </w:r>
    </w:p>
    <w:p w14:paraId="199AC848" w14:textId="1F9233C7" w:rsidR="00A24038" w:rsidRPr="00CF08F1" w:rsidRDefault="00A24038" w:rsidP="008F7BA5">
      <w:pPr>
        <w:rPr>
          <w:sz w:val="20"/>
          <w:szCs w:val="20"/>
        </w:rPr>
      </w:pPr>
      <w:r w:rsidRPr="00CF08F1">
        <w:rPr>
          <w:sz w:val="20"/>
          <w:szCs w:val="20"/>
        </w:rPr>
        <w:t>ANZG 2018. Australian and New Zealand Guidelines for Fresh and Marine Water Quality. Australian and New Zealand Governments and Australian state and territory governments, Canberra, ACT, Australia</w:t>
      </w:r>
      <w:r w:rsidR="00CF08F1" w:rsidRPr="00CF08F1">
        <w:rPr>
          <w:sz w:val="20"/>
          <w:szCs w:val="20"/>
        </w:rPr>
        <w:t>.</w:t>
      </w:r>
    </w:p>
    <w:p w14:paraId="14B6BA99" w14:textId="0F9871A9" w:rsidR="00CF08F1" w:rsidRDefault="00CF08F1" w:rsidP="008F7BA5">
      <w:pPr>
        <w:rPr>
          <w:sz w:val="20"/>
          <w:szCs w:val="20"/>
        </w:rPr>
      </w:pPr>
      <w:r w:rsidRPr="00CF08F1">
        <w:rPr>
          <w:sz w:val="20"/>
          <w:szCs w:val="20"/>
        </w:rPr>
        <w:t xml:space="preserve">Barry SC 2014. </w:t>
      </w:r>
      <w:r w:rsidRPr="00CF08F1">
        <w:rPr>
          <w:iCs/>
          <w:sz w:val="20"/>
          <w:szCs w:val="20"/>
        </w:rPr>
        <w:t xml:space="preserve">Burrlioz2.0 User manual. </w:t>
      </w:r>
      <w:r w:rsidRPr="00CF08F1">
        <w:rPr>
          <w:sz w:val="20"/>
          <w:szCs w:val="20"/>
        </w:rPr>
        <w:t>CSIRO Technical report. CSIRO, Canberra, ACT.</w:t>
      </w:r>
    </w:p>
    <w:p w14:paraId="5373210C" w14:textId="695792B2" w:rsidR="002F4D21" w:rsidRPr="00CF08F1" w:rsidRDefault="002F4D21" w:rsidP="008F7BA5">
      <w:pPr>
        <w:rPr>
          <w:sz w:val="20"/>
          <w:szCs w:val="20"/>
        </w:rPr>
      </w:pPr>
      <w:r w:rsidRPr="002F4D21">
        <w:rPr>
          <w:sz w:val="20"/>
          <w:szCs w:val="20"/>
          <w:lang w:val="en-GB"/>
        </w:rPr>
        <w:t xml:space="preserve">Dalgarno S (2018) </w:t>
      </w:r>
      <w:proofErr w:type="spellStart"/>
      <w:r w:rsidRPr="002F4D21">
        <w:rPr>
          <w:sz w:val="20"/>
          <w:szCs w:val="20"/>
          <w:lang w:val="en-GB"/>
        </w:rPr>
        <w:t>ssdtools</w:t>
      </w:r>
      <w:proofErr w:type="spellEnd"/>
      <w:r w:rsidRPr="002F4D21">
        <w:rPr>
          <w:sz w:val="20"/>
          <w:szCs w:val="20"/>
          <w:lang w:val="en-GB"/>
        </w:rPr>
        <w:t>: A shiny web app to analyse species sensitivity distributions, Prepared by Poisson Consulting for the Ministry of the Environment, British Columbia, Canada. https://bcgov-env.shinyapps.io/ssdtools/.</w:t>
      </w:r>
    </w:p>
    <w:p w14:paraId="4BC8A05D" w14:textId="2C6E2C00" w:rsidR="008F7BA5" w:rsidRPr="00CF08F1" w:rsidRDefault="008F7BA5" w:rsidP="008F7BA5">
      <w:pPr>
        <w:rPr>
          <w:sz w:val="20"/>
          <w:szCs w:val="20"/>
        </w:rPr>
      </w:pPr>
      <w:r w:rsidRPr="00CF08F1">
        <w:rPr>
          <w:sz w:val="20"/>
          <w:szCs w:val="20"/>
        </w:rPr>
        <w:t xml:space="preserve">Parker SP, Wilkes AE, Long GR, Goulding NWE &amp; Ghosh RS 2022. Development of fluoride protective values for aquatic life using empirical bioavailability models. </w:t>
      </w:r>
      <w:r w:rsidRPr="00CF08F1">
        <w:rPr>
          <w:i/>
          <w:iCs/>
          <w:sz w:val="20"/>
          <w:szCs w:val="20"/>
        </w:rPr>
        <w:t>Environmental Toxicology and Chemistry</w:t>
      </w:r>
      <w:r w:rsidRPr="00CF08F1">
        <w:rPr>
          <w:sz w:val="20"/>
          <w:szCs w:val="20"/>
        </w:rPr>
        <w:t xml:space="preserve"> 41, 396–409.</w:t>
      </w:r>
    </w:p>
    <w:p w14:paraId="4EF0074D" w14:textId="3E9A53D5" w:rsidR="008F7BA5" w:rsidRPr="00A24038" w:rsidRDefault="00A24038" w:rsidP="004040B5">
      <w:pPr>
        <w:rPr>
          <w:sz w:val="20"/>
          <w:szCs w:val="20"/>
        </w:rPr>
      </w:pPr>
      <w:r w:rsidRPr="00A24038">
        <w:rPr>
          <w:sz w:val="20"/>
          <w:szCs w:val="20"/>
          <w:lang w:val="en-GB"/>
        </w:rPr>
        <w:lastRenderedPageBreak/>
        <w:t xml:space="preserve">Warne </w:t>
      </w:r>
      <w:proofErr w:type="spellStart"/>
      <w:r w:rsidRPr="00A24038">
        <w:rPr>
          <w:sz w:val="20"/>
          <w:szCs w:val="20"/>
          <w:lang w:val="en-GB"/>
        </w:rPr>
        <w:t>MStJ</w:t>
      </w:r>
      <w:proofErr w:type="spellEnd"/>
      <w:r w:rsidRPr="00A24038">
        <w:rPr>
          <w:sz w:val="20"/>
          <w:szCs w:val="20"/>
          <w:lang w:val="en-GB"/>
        </w:rPr>
        <w:t>, Batley GE, van Dam RA, Chapman JC, Fox DR, Hickey CW &amp;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sectPr w:rsidR="008F7BA5" w:rsidRPr="00A24038" w:rsidSect="00770755">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6B46F" w14:textId="77777777" w:rsidR="00466529" w:rsidRDefault="00466529">
      <w:pPr>
        <w:spacing w:before="0" w:after="0" w:line="240" w:lineRule="auto"/>
      </w:pPr>
      <w:r>
        <w:separator/>
      </w:r>
    </w:p>
  </w:endnote>
  <w:endnote w:type="continuationSeparator" w:id="0">
    <w:p w14:paraId="16B5B1DE" w14:textId="77777777" w:rsidR="00466529" w:rsidRDefault="00466529">
      <w:pPr>
        <w:spacing w:before="0" w:after="0" w:line="240" w:lineRule="auto"/>
      </w:pPr>
      <w:r>
        <w:continuationSeparator/>
      </w:r>
    </w:p>
  </w:endnote>
  <w:endnote w:type="continuationNotice" w:id="1">
    <w:p w14:paraId="5628BFF1" w14:textId="77777777" w:rsidR="00466529" w:rsidRDefault="004665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4FB0" w14:textId="537D7F26" w:rsidR="00A24038" w:rsidRDefault="001D1893">
    <w:pPr>
      <w:pStyle w:val="Footer"/>
    </w:pPr>
    <w:r>
      <w:rPr>
        <w:noProof/>
      </w:rPr>
      <mc:AlternateContent>
        <mc:Choice Requires="wps">
          <w:drawing>
            <wp:anchor distT="0" distB="0" distL="0" distR="0" simplePos="0" relativeHeight="251658248" behindDoc="0" locked="0" layoutInCell="1" allowOverlap="1" wp14:anchorId="1083BB89" wp14:editId="654A9B7A">
              <wp:simplePos x="635" y="635"/>
              <wp:positionH relativeFrom="page">
                <wp:align>center</wp:align>
              </wp:positionH>
              <wp:positionV relativeFrom="page">
                <wp:align>bottom</wp:align>
              </wp:positionV>
              <wp:extent cx="551815" cy="480695"/>
              <wp:effectExtent l="0" t="0" r="635" b="0"/>
              <wp:wrapNone/>
              <wp:docPr id="121675390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E756FB2" w14:textId="2A4AF9E0"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83BB89" id="_x0000_t202" coordsize="21600,21600" o:spt="202" path="m,l,21600r21600,l21600,xe">
              <v:stroke joinstyle="miter"/>
              <v:path gradientshapeok="t" o:connecttype="rect"/>
            </v:shapetype>
            <v:shape id="Text Box 8" o:spid="_x0000_s1028" type="#_x0000_t202" alt="OFFICIAL" style="position:absolute;margin-left:0;margin-top:0;width:43.45pt;height:37.8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R1DwIAABwEAAAOAAAAZHJzL2Uyb0RvYy54bWysU8Fu2zAMvQ/YPwi6L7aLpUu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6yy/vplGlOxy2ToffgjQJBoVdbiVRBY7&#10;rH0YUseUWMvAqlUqbUaZvxyIGT3ZpcNohX7bk7au6L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AtuFHU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6E756FB2" w14:textId="2A4AF9E0"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6FF1" w14:textId="77777777" w:rsidR="001D1893" w:rsidRDefault="001D1893" w:rsidP="00FB3DCB">
    <w:pPr>
      <w:pStyle w:val="Footer"/>
      <w:jc w:val="right"/>
    </w:pPr>
    <w:r>
      <w:rPr>
        <w:noProof/>
      </w:rPr>
      <mc:AlternateContent>
        <mc:Choice Requires="wps">
          <w:drawing>
            <wp:anchor distT="0" distB="0" distL="0" distR="0" simplePos="0" relativeHeight="251658249" behindDoc="0" locked="0" layoutInCell="1" allowOverlap="1" wp14:anchorId="482F7ED9" wp14:editId="640845D1">
              <wp:simplePos x="635" y="635"/>
              <wp:positionH relativeFrom="page">
                <wp:align>center</wp:align>
              </wp:positionH>
              <wp:positionV relativeFrom="page">
                <wp:align>bottom</wp:align>
              </wp:positionV>
              <wp:extent cx="551815" cy="480695"/>
              <wp:effectExtent l="0" t="0" r="635" b="0"/>
              <wp:wrapNone/>
              <wp:docPr id="69591503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12859C7" w14:textId="5408E58F"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2F7ED9"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37.8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z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UdDF1X0NzwqEcjPv2lm86LL1lPrwwhwvGOVC0&#10;4RkPqaCvKJwtSlpwP/7mj/nIO0Yp6VEwFTWoaErUN4P7iNqaDDcZdTKKu3yeY9wc9AOgDAt8EZYn&#10;E70uqMmUDvQbynkdC2GIGY7lKlpP5kMYlYvPgYv1OiWhjCwLW7OzPEJHuiKXr8Mbc/ZMeMBNPcGk&#10;Jla+433MjTe9XR8Csp+WEqkdiTwzjhJMaz0/l6jxX/9T1vVRr3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Ia/t8w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112859C7" w14:textId="5408E58F"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sdt>
    <w:sdtPr>
      <w:id w:val="1653562080"/>
      <w:docPartObj>
        <w:docPartGallery w:val="Page Numbers (Bottom of Page)"/>
        <w:docPartUnique/>
      </w:docPartObj>
    </w:sdtPr>
    <w:sdtContent>
      <w:sdt>
        <w:sdtPr>
          <w:id w:val="-1784957734"/>
          <w:docPartObj>
            <w:docPartGallery w:val="Page Numbers (Top of Page)"/>
            <w:docPartUnique/>
          </w:docPartObj>
        </w:sdtPr>
        <w:sdtContent>
          <w:p w14:paraId="207D8F05" w14:textId="77777777" w:rsidR="00FB3DCB" w:rsidRDefault="00FB3DCB" w:rsidP="00FB3DCB">
            <w:pPr>
              <w:pStyle w:val="Footer"/>
              <w:jc w:val="right"/>
            </w:pPr>
          </w:p>
          <w:p w14:paraId="0BE4676B" w14:textId="4126C255" w:rsidR="00FB3DCB" w:rsidRDefault="004D1E9E" w:rsidP="00B745B2">
            <w:pPr>
              <w:pStyle w:val="Footer"/>
              <w:jc w:val="both"/>
            </w:pPr>
            <w:r>
              <w:t xml:space="preserve">Response to public submissions on draft default guidelines for </w:t>
            </w:r>
            <w:r w:rsidR="00A24038">
              <w:t>fluoride</w:t>
            </w:r>
            <w:r>
              <w:t xml:space="preserve"> in freshwater</w:t>
            </w:r>
            <w:r>
              <w:tab/>
              <w:t xml:space="preserve">                                                                       </w:t>
            </w:r>
            <w:r w:rsidR="00B745B2">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w:t>
            </w:r>
            <w:r>
              <w:rPr>
                <w:b/>
                <w:bCs/>
                <w:sz w:val="24"/>
                <w:szCs w:val="24"/>
              </w:rPr>
              <w:fldChar w:fldCharType="end"/>
            </w:r>
          </w:p>
        </w:sdtContent>
      </w:sdt>
    </w:sdtContent>
  </w:sdt>
  <w:p w14:paraId="54603AFA" w14:textId="77777777" w:rsidR="00FB3DCB" w:rsidRDefault="00FB3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A808" w14:textId="2FAA9027" w:rsidR="005B6710" w:rsidRDefault="001D1893">
    <w:pPr>
      <w:pStyle w:val="Footer"/>
      <w:jc w:val="right"/>
    </w:pPr>
    <w:r>
      <w:rPr>
        <w:noProof/>
      </w:rPr>
      <mc:AlternateContent>
        <mc:Choice Requires="wps">
          <w:drawing>
            <wp:anchor distT="0" distB="0" distL="0" distR="0" simplePos="0" relativeHeight="251658247" behindDoc="0" locked="0" layoutInCell="1" allowOverlap="1" wp14:anchorId="3D68FE30" wp14:editId="1FB1A231">
              <wp:simplePos x="914400" y="9899650"/>
              <wp:positionH relativeFrom="page">
                <wp:align>center</wp:align>
              </wp:positionH>
              <wp:positionV relativeFrom="page">
                <wp:align>bottom</wp:align>
              </wp:positionV>
              <wp:extent cx="551815" cy="480695"/>
              <wp:effectExtent l="0" t="0" r="635" b="0"/>
              <wp:wrapNone/>
              <wp:docPr id="104002806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A3DDB73" w14:textId="22189841"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68FE30"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7.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ZIDgIAABwEAAAOAAAAZHJzL2Uyb0RvYy54bWysU8Fu2zAMvQ/YPwi6L7aLJUiNOEXaIsOA&#10;oC2QDj0rshQbkERBUmJnXz9KjpOt22noRaZJ6pF8fFrc9VqRo3C+BVPRYpJTIgyHujX7iv54XX+Z&#10;U+IDMzVTYERFT8LTu+XnT4vOluIGGlC1cARBjC87W9EmBFtmmeeN0MxPwAqDQQlOs4C/bp/VjnWI&#10;rlV2k+ezrANXWwdceI/exyFIlwlfSsHDs5ReBKIqir2FdLp07uKZLRes3Dtmm5af22D/0YVmrcGi&#10;F6hHFhg5uPYvKN1yBx5kmHDQGUjZcpFmwGmK/N0024ZZkWZBcry90OQ/DpY/Hbf2xZHQ30OPC4yE&#10;dNaXHp1xnl46Hb/YKcE4Uni60Cb6QDg6p9NiXkwp4Rj6Os9nt9OIkl0vW+fDNwGaRKOiDreSyGLH&#10;jQ9D6pgSaxlYt0qlzSjzhwMxoye7dhit0O960tYVnY3d76A+4VAOhn17y9ctlt4wH16YwwXjHCja&#10;8IyHVNBVFM4WJQ24n//yx3zkHaOUdCiYihpUNCXqu8F9RG2NhhuNXTKK23ya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ZtGmSA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2A3DDB73" w14:textId="22189841"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sdt>
      <w:sdtPr>
        <w:id w:val="1782456477"/>
        <w:docPartObj>
          <w:docPartGallery w:val="Page Numbers (Bottom of Page)"/>
          <w:docPartUnique/>
        </w:docPartObj>
      </w:sdtPr>
      <w:sdtContent>
        <w:sdt>
          <w:sdtPr>
            <w:id w:val="1089893921"/>
            <w:docPartObj>
              <w:docPartGallery w:val="Page Numbers (Top of Page)"/>
              <w:docPartUnique/>
            </w:docPartObj>
          </w:sdtPr>
          <w:sdtContent>
            <w:r w:rsidR="004D1E9E">
              <w:t xml:space="preserve">Page </w:t>
            </w:r>
            <w:r w:rsidR="004D1E9E">
              <w:rPr>
                <w:b/>
                <w:bCs/>
                <w:sz w:val="24"/>
                <w:szCs w:val="24"/>
              </w:rPr>
              <w:fldChar w:fldCharType="begin"/>
            </w:r>
            <w:r w:rsidR="004D1E9E">
              <w:rPr>
                <w:b/>
                <w:bCs/>
              </w:rPr>
              <w:instrText xml:space="preserve"> PAGE </w:instrText>
            </w:r>
            <w:r w:rsidR="004D1E9E">
              <w:rPr>
                <w:b/>
                <w:bCs/>
                <w:sz w:val="24"/>
                <w:szCs w:val="24"/>
              </w:rPr>
              <w:fldChar w:fldCharType="separate"/>
            </w:r>
            <w:r w:rsidR="004D1E9E">
              <w:rPr>
                <w:b/>
                <w:bCs/>
              </w:rPr>
              <w:t>1</w:t>
            </w:r>
            <w:r w:rsidR="004D1E9E">
              <w:rPr>
                <w:b/>
                <w:bCs/>
                <w:sz w:val="24"/>
                <w:szCs w:val="24"/>
              </w:rPr>
              <w:fldChar w:fldCharType="end"/>
            </w:r>
            <w:r w:rsidR="004D1E9E">
              <w:t xml:space="preserve"> of </w:t>
            </w:r>
            <w:r w:rsidR="004D1E9E">
              <w:rPr>
                <w:b/>
                <w:bCs/>
                <w:sz w:val="24"/>
                <w:szCs w:val="24"/>
              </w:rPr>
              <w:fldChar w:fldCharType="begin"/>
            </w:r>
            <w:r w:rsidR="004D1E9E">
              <w:rPr>
                <w:b/>
                <w:bCs/>
              </w:rPr>
              <w:instrText xml:space="preserve"> NUMPAGES  </w:instrText>
            </w:r>
            <w:r w:rsidR="004D1E9E">
              <w:rPr>
                <w:b/>
                <w:bCs/>
                <w:sz w:val="24"/>
                <w:szCs w:val="24"/>
              </w:rPr>
              <w:fldChar w:fldCharType="separate"/>
            </w:r>
            <w:r w:rsidR="004D1E9E">
              <w:rPr>
                <w:b/>
                <w:bCs/>
              </w:rPr>
              <w:t>6</w:t>
            </w:r>
            <w:r w:rsidR="004D1E9E">
              <w:rPr>
                <w:b/>
                <w:bCs/>
                <w:sz w:val="24"/>
                <w:szCs w:val="24"/>
              </w:rPr>
              <w:fldChar w:fldCharType="end"/>
            </w:r>
          </w:sdtContent>
        </w:sdt>
      </w:sdtContent>
    </w:sdt>
  </w:p>
  <w:p w14:paraId="076C37E4" w14:textId="77777777" w:rsidR="005B6710" w:rsidRDefault="005B67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EABF" w14:textId="27D9AF28" w:rsidR="001D1893" w:rsidRDefault="001D1893">
    <w:pPr>
      <w:pStyle w:val="Footer"/>
    </w:pPr>
    <w:r>
      <w:rPr>
        <w:noProof/>
      </w:rPr>
      <mc:AlternateContent>
        <mc:Choice Requires="wps">
          <w:drawing>
            <wp:anchor distT="0" distB="0" distL="0" distR="0" simplePos="0" relativeHeight="251658251" behindDoc="0" locked="0" layoutInCell="1" allowOverlap="1" wp14:anchorId="65216539" wp14:editId="2E854F80">
              <wp:simplePos x="635" y="635"/>
              <wp:positionH relativeFrom="page">
                <wp:align>center</wp:align>
              </wp:positionH>
              <wp:positionV relativeFrom="page">
                <wp:align>bottom</wp:align>
              </wp:positionV>
              <wp:extent cx="551815" cy="480695"/>
              <wp:effectExtent l="0" t="0" r="635" b="0"/>
              <wp:wrapNone/>
              <wp:docPr id="136075100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091DBD4" w14:textId="06AB3401"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16539" id="_x0000_t202" coordsize="21600,21600" o:spt="202" path="m,l,21600r21600,l21600,xe">
              <v:stroke joinstyle="miter"/>
              <v:path gradientshapeok="t" o:connecttype="rect"/>
            </v:shapetype>
            <v:shape id="Text Box 11" o:spid="_x0000_s1034" type="#_x0000_t202" alt="OFFICIAL" style="position:absolute;margin-left:0;margin-top:0;width:43.45pt;height:37.8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CiDQIAAB0EAAAOAAAAZHJzL2Uyb0RvYy54bWysU01v2zAMvQ/YfxB0X2wXS5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2f57d00Vsmulx368FVBx6JRcSRWElji&#10;sPbhlDqmxF4WVq0xiRljf3NQzejJrhNGKwzbgbU1TZ/4jK4t1EfaCuFEuHdy1VLvtfDhRSAxTIuQ&#10;asMzHdpAX3E4W5w1gD/+5o/5BDxFOetJMRW3JGnOzDdLhERxjQaOxjYZxV0+zSlu990DkA4LehJO&#10;JpO8GMxoaoTujfS8jI0oJKykdhXfjuZDOEmX3oNUy2VKIh05EdZ242QsHfGKYL4ObwLdGfFAVD3B&#10;KCdRvgP+lBtverfcB4I/sXIF8gw5aTDxen4vUeS//qes66te/AQ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AJSrCiDQIAAB0E&#10;AAAOAAAAAAAAAAAAAAAAAC4CAABkcnMvZTJvRG9jLnhtbFBLAQItABQABgAIAAAAIQBUS1sW2wAA&#10;AAMBAAAPAAAAAAAAAAAAAAAAAGcEAABkcnMvZG93bnJldi54bWxQSwUGAAAAAAQABADzAAAAbwUA&#10;AAAA&#10;" filled="f" stroked="f">
              <v:fill o:detectmouseclick="t"/>
              <v:textbox style="mso-fit-shape-to-text:t" inset="0,0,0,15pt">
                <w:txbxContent>
                  <w:p w14:paraId="5091DBD4" w14:textId="06AB3401"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417C" w14:textId="35EA2A17" w:rsidR="001D1893" w:rsidRDefault="001D1893">
    <w:pPr>
      <w:pStyle w:val="Footer"/>
    </w:pPr>
    <w:r>
      <w:rPr>
        <w:noProof/>
      </w:rPr>
      <mc:AlternateContent>
        <mc:Choice Requires="wps">
          <w:drawing>
            <wp:anchor distT="0" distB="0" distL="0" distR="0" simplePos="0" relativeHeight="251658252" behindDoc="0" locked="0" layoutInCell="1" allowOverlap="1" wp14:anchorId="735D76D0" wp14:editId="79E6AE4B">
              <wp:simplePos x="635" y="635"/>
              <wp:positionH relativeFrom="page">
                <wp:align>center</wp:align>
              </wp:positionH>
              <wp:positionV relativeFrom="page">
                <wp:align>bottom</wp:align>
              </wp:positionV>
              <wp:extent cx="551815" cy="480695"/>
              <wp:effectExtent l="0" t="0" r="635" b="0"/>
              <wp:wrapNone/>
              <wp:docPr id="114632080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452130E" w14:textId="4BB1DC2C"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D76D0" id="_x0000_t202" coordsize="21600,21600" o:spt="202" path="m,l,21600r21600,l21600,xe">
              <v:stroke joinstyle="miter"/>
              <v:path gradientshapeok="t" o:connecttype="rect"/>
            </v:shapetype>
            <v:shape id="Text Box 12" o:spid="_x0000_s1035" type="#_x0000_t202" alt="OFFICIAL" style="position:absolute;margin-left:0;margin-top:0;width:43.45pt;height:37.8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KfDgIAAB0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95f2a2hOOJWDceHe8k2HtbfMhxfmcMM4CKo2&#10;POMhFfQVhbNFSQvux9/8MR+JxyglPSqmogYlTYn6ZnAhUVyT4SajTkZxl89zjJuDfgDUYYFPwvJk&#10;otcFNZnSgX5DPa9jIQwxw7FcRevJfAijdPE9cLFepyTUkWVha3aWR+jIVyTzdXhjzp4ZD7iqJ5jk&#10;xMp3xI+58aa360NA+tNWIrcjkWfKUYNpr+f3EkX+63/Kur7q1U8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ZPUCnw4CAAAd&#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3452130E" w14:textId="4BB1DC2C"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D89F" w14:textId="77777777" w:rsidR="001D1893" w:rsidRDefault="001D1893">
    <w:pPr>
      <w:pStyle w:val="Footer"/>
      <w:jc w:val="right"/>
    </w:pPr>
    <w:r>
      <w:rPr>
        <w:noProof/>
      </w:rPr>
      <mc:AlternateContent>
        <mc:Choice Requires="wps">
          <w:drawing>
            <wp:anchor distT="0" distB="0" distL="0" distR="0" simplePos="0" relativeHeight="251658250" behindDoc="0" locked="0" layoutInCell="1" allowOverlap="1" wp14:anchorId="3EAB2663" wp14:editId="621FA63A">
              <wp:simplePos x="915035" y="6599555"/>
              <wp:positionH relativeFrom="page">
                <wp:align>center</wp:align>
              </wp:positionH>
              <wp:positionV relativeFrom="page">
                <wp:align>bottom</wp:align>
              </wp:positionV>
              <wp:extent cx="551815" cy="480695"/>
              <wp:effectExtent l="0" t="0" r="635" b="0"/>
              <wp:wrapNone/>
              <wp:docPr id="57885475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2B0E29F" w14:textId="26F2ADAD"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AB2663" id="_x0000_t202" coordsize="21600,21600" o:spt="202" path="m,l,21600r21600,l21600,xe">
              <v:stroke joinstyle="miter"/>
              <v:path gradientshapeok="t" o:connecttype="rect"/>
            </v:shapetype>
            <v:shape id="Text Box 10" o:spid="_x0000_s1037" type="#_x0000_t202" alt="OFFICIAL" style="position:absolute;left:0;text-align:left;margin-left:0;margin-top:0;width:43.45pt;height:37.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DgIAABwEAAAOAAAAZHJzL2Uyb0RvYy54bWysU8Fu2zAMvQ/YPwi6L7aLpUiMOEXaIsOA&#10;oC2QDj0rshQbkERBUmJnXz9KjpOt22noRaZJ6pF8fFrc9VqRo3C+BVPRYpJTIgyHujX7iv54XX+Z&#10;UeIDMzVTYERFT8LTu+XnT4vOluIGGlC1cARBjC87W9EmBFtmmeeN0MxPwAqDQQlOs4C/bp/VjnWI&#10;rlV2k+e3WQeutg648B69j0OQLhO+lIKHZym9CERVFHsL6XTp3MUzWy5YuXfMNi0/t8H+owvNWoNF&#10;L1CPLDBycO1fULrlDjzIMOGgM5Cy5SLNgNMU+btptg2zIs2C5Hh7ocl/HCx/Om7tiyOhv4ceFxgJ&#10;6awvPTrjPL10On6xU4JxpPB0oU30gXB0TqfFrJhSwjH0dZbfzqcRJbtets6HbwI0iUZFHW4lkcWO&#10;Gx+G1DEl1jKwbpVKm1HmDwdiRk927TBaod/1pK0rOh+730F9wqEcDPv2lq9bLL1hPrwwhwvGOVC0&#10;4RkPqaCrKJwtShpwP//lj/nIO0Yp6VAwFTWoaErUd4P7iNoaDTcau2QU83ya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TBBfz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12B0E29F" w14:textId="26F2ADAD"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sdt>
    <w:sdtPr>
      <w:id w:val="1435940881"/>
      <w:docPartObj>
        <w:docPartGallery w:val="Page Numbers (Bottom of Page)"/>
        <w:docPartUnique/>
      </w:docPartObj>
    </w:sdtPr>
    <w:sdtContent>
      <w:sdt>
        <w:sdtPr>
          <w:id w:val="-1769616900"/>
          <w:docPartObj>
            <w:docPartGallery w:val="Page Numbers (Top of Page)"/>
            <w:docPartUnique/>
          </w:docPartObj>
        </w:sdtPr>
        <w:sdtContent>
          <w:p w14:paraId="2FF4A7B1" w14:textId="77777777" w:rsidR="00B2382D" w:rsidRDefault="00B2382D">
            <w:pPr>
              <w:pStyle w:val="Footer"/>
              <w:jc w:val="right"/>
            </w:pPr>
          </w:p>
          <w:p w14:paraId="57D200F3" w14:textId="003FB64D" w:rsidR="00B2382D" w:rsidRDefault="004D1E9E" w:rsidP="00B2382D">
            <w:pPr>
              <w:pStyle w:val="Header"/>
            </w:pPr>
            <w:r>
              <w:t xml:space="preserve">Response to public submissions on draft default guideline values for </w:t>
            </w:r>
            <w:r w:rsidR="00FF5920">
              <w:t>fluoride</w:t>
            </w:r>
            <w:r>
              <w:t xml:space="preserve"> in freshwater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62A49" w14:textId="77777777" w:rsidR="00466529" w:rsidRDefault="00466529">
      <w:pPr>
        <w:spacing w:before="0" w:after="0" w:line="240" w:lineRule="auto"/>
      </w:pPr>
      <w:r>
        <w:separator/>
      </w:r>
    </w:p>
  </w:footnote>
  <w:footnote w:type="continuationSeparator" w:id="0">
    <w:p w14:paraId="37305021" w14:textId="77777777" w:rsidR="00466529" w:rsidRDefault="00466529">
      <w:pPr>
        <w:spacing w:before="0" w:after="0" w:line="240" w:lineRule="auto"/>
      </w:pPr>
      <w:r>
        <w:continuationSeparator/>
      </w:r>
    </w:p>
  </w:footnote>
  <w:footnote w:type="continuationNotice" w:id="1">
    <w:p w14:paraId="41182FFA" w14:textId="77777777" w:rsidR="00466529" w:rsidRDefault="004665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7980" w14:textId="535E0FA1" w:rsidR="00A24038" w:rsidRDefault="001D1893">
    <w:pPr>
      <w:pStyle w:val="Header"/>
    </w:pPr>
    <w:r>
      <w:rPr>
        <w:noProof/>
      </w:rPr>
      <mc:AlternateContent>
        <mc:Choice Requires="wps">
          <w:drawing>
            <wp:anchor distT="0" distB="0" distL="0" distR="0" simplePos="0" relativeHeight="251658242" behindDoc="0" locked="0" layoutInCell="1" allowOverlap="1" wp14:anchorId="005EC418" wp14:editId="21B584B0">
              <wp:simplePos x="635" y="635"/>
              <wp:positionH relativeFrom="page">
                <wp:align>center</wp:align>
              </wp:positionH>
              <wp:positionV relativeFrom="page">
                <wp:align>top</wp:align>
              </wp:positionV>
              <wp:extent cx="551815" cy="480695"/>
              <wp:effectExtent l="0" t="0" r="635" b="14605"/>
              <wp:wrapNone/>
              <wp:docPr id="16719621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8DE6456" w14:textId="16BC11C2"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5EC418"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48DE6456" w14:textId="16BC11C2"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302D" w14:textId="5A8A6BC1" w:rsidR="00A24038" w:rsidRDefault="001D1893">
    <w:pPr>
      <w:pStyle w:val="Header"/>
    </w:pPr>
    <w:r>
      <w:rPr>
        <w:noProof/>
      </w:rPr>
      <mc:AlternateContent>
        <mc:Choice Requires="wps">
          <w:drawing>
            <wp:anchor distT="0" distB="0" distL="0" distR="0" simplePos="0" relativeHeight="251658243" behindDoc="0" locked="0" layoutInCell="1" allowOverlap="1" wp14:anchorId="70EACC81" wp14:editId="70E0C3C4">
              <wp:simplePos x="635" y="635"/>
              <wp:positionH relativeFrom="page">
                <wp:align>center</wp:align>
              </wp:positionH>
              <wp:positionV relativeFrom="page">
                <wp:align>top</wp:align>
              </wp:positionV>
              <wp:extent cx="551815" cy="480695"/>
              <wp:effectExtent l="0" t="0" r="635" b="14605"/>
              <wp:wrapNone/>
              <wp:docPr id="2466717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11B8F5F" w14:textId="79582179"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EACC81"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611B8F5F" w14:textId="79582179"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861C" w14:textId="5C1CAE78" w:rsidR="00AD184E" w:rsidRDefault="001D1893">
    <w:pPr>
      <w:pStyle w:val="Header"/>
    </w:pPr>
    <w:r>
      <w:rPr>
        <w:noProof/>
      </w:rPr>
      <mc:AlternateContent>
        <mc:Choice Requires="wps">
          <w:drawing>
            <wp:anchor distT="0" distB="0" distL="0" distR="0" simplePos="0" relativeHeight="251658241" behindDoc="0" locked="0" layoutInCell="1" allowOverlap="1" wp14:anchorId="6FC7798B" wp14:editId="12722940">
              <wp:simplePos x="914400" y="450850"/>
              <wp:positionH relativeFrom="page">
                <wp:align>center</wp:align>
              </wp:positionH>
              <wp:positionV relativeFrom="page">
                <wp:align>top</wp:align>
              </wp:positionV>
              <wp:extent cx="551815" cy="480695"/>
              <wp:effectExtent l="0" t="0" r="635" b="14605"/>
              <wp:wrapNone/>
              <wp:docPr id="14787553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AEE2F82" w14:textId="3EA13D0F"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C7798B"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1AEE2F82" w14:textId="3EA13D0F"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r w:rsidR="00EF5A68">
      <w:rPr>
        <w:noProof/>
      </w:rPr>
      <w:drawing>
        <wp:anchor distT="0" distB="0" distL="114300" distR="114300" simplePos="0" relativeHeight="251658240" behindDoc="1" locked="0" layoutInCell="1" allowOverlap="1" wp14:anchorId="441CF7BA" wp14:editId="28C20DE3">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descr="Australian and New Zealand Guidelines for Fresh and Marine Water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and New Zealand Guidelines for Fresh and Marine Water Quality logo"/>
                  <pic:cNvPicPr/>
                </pic:nvPicPr>
                <pic:blipFill>
                  <a:blip r:embed="rId1">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AC9B1" w14:textId="4920B81F" w:rsidR="00A24038" w:rsidRDefault="001D1893">
    <w:pPr>
      <w:pStyle w:val="Header"/>
    </w:pPr>
    <w:r>
      <w:rPr>
        <w:noProof/>
      </w:rPr>
      <mc:AlternateContent>
        <mc:Choice Requires="wps">
          <w:drawing>
            <wp:anchor distT="0" distB="0" distL="0" distR="0" simplePos="0" relativeHeight="251658245" behindDoc="0" locked="0" layoutInCell="1" allowOverlap="1" wp14:anchorId="62ADC788" wp14:editId="700A858C">
              <wp:simplePos x="635" y="635"/>
              <wp:positionH relativeFrom="page">
                <wp:align>center</wp:align>
              </wp:positionH>
              <wp:positionV relativeFrom="page">
                <wp:align>top</wp:align>
              </wp:positionV>
              <wp:extent cx="551815" cy="480695"/>
              <wp:effectExtent l="0" t="0" r="635" b="14605"/>
              <wp:wrapNone/>
              <wp:docPr id="143410914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10CA5CB" w14:textId="5D411FE1"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ADC788" id="_x0000_t202" coordsize="21600,21600" o:spt="202" path="m,l,21600r21600,l21600,xe">
              <v:stroke joinstyle="miter"/>
              <v:path gradientshapeok="t" o:connecttype="rect"/>
            </v:shapetype>
            <v:shape id="Text Box 5" o:spid="_x0000_s1032" type="#_x0000_t202" alt="OFFICIAL" style="position:absolute;margin-left:0;margin-top:0;width:43.45pt;height:37.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010CA5CB" w14:textId="5D411FE1"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0BF5" w14:textId="074469FD" w:rsidR="00A24038" w:rsidRDefault="001D1893">
    <w:pPr>
      <w:pStyle w:val="Header"/>
    </w:pPr>
    <w:r>
      <w:rPr>
        <w:noProof/>
      </w:rPr>
      <mc:AlternateContent>
        <mc:Choice Requires="wps">
          <w:drawing>
            <wp:anchor distT="0" distB="0" distL="0" distR="0" simplePos="0" relativeHeight="251658246" behindDoc="0" locked="0" layoutInCell="1" allowOverlap="1" wp14:anchorId="098E20D9" wp14:editId="2FD47898">
              <wp:simplePos x="635" y="635"/>
              <wp:positionH relativeFrom="page">
                <wp:align>center</wp:align>
              </wp:positionH>
              <wp:positionV relativeFrom="page">
                <wp:align>top</wp:align>
              </wp:positionV>
              <wp:extent cx="551815" cy="480695"/>
              <wp:effectExtent l="0" t="0" r="635" b="14605"/>
              <wp:wrapNone/>
              <wp:docPr id="185419618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B07F708" w14:textId="0B9CC8B9"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E20D9" id="_x0000_t202" coordsize="21600,21600" o:spt="202" path="m,l,21600r21600,l21600,xe">
              <v:stroke joinstyle="miter"/>
              <v:path gradientshapeok="t" o:connecttype="rect"/>
            </v:shapetype>
            <v:shape id="Text Box 6" o:spid="_x0000_s1033" type="#_x0000_t202" alt="OFFICIAL" style="position:absolute;margin-left:0;margin-top:0;width:43.45pt;height:37.8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C6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XYyNT9DpoTDuVg3Le3fN1h6Q3z4YU5XDDOgaIN&#10;z3hIBX1N4WxR0oL78Td/zEfeMUpJj4KpqUFFU6K+GdxH1FYyiru8zPHmJvduMsxBPwDKsMAXYXky&#10;Y15Qkykd6DeU8yoWwhAzHMvVNEzmQxiVi8+Bi9UqJaGMLAsbs7U8Qke6Ipevwxtz9kx4wE09waQm&#10;Vr3jfcyNf3q7OgRkPy0lUjsSeWYcJZjWen4uUeO/3lPW9VEvfwI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E/XILo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4B07F708" w14:textId="0B9CC8B9"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D890" w14:textId="0B54A3E8" w:rsidR="00B2382D" w:rsidRPr="00B2382D" w:rsidRDefault="001D1893" w:rsidP="00B2382D">
    <w:pPr>
      <w:pStyle w:val="Header"/>
    </w:pPr>
    <w:r>
      <w:rPr>
        <w:noProof/>
      </w:rPr>
      <mc:AlternateContent>
        <mc:Choice Requires="wps">
          <w:drawing>
            <wp:anchor distT="0" distB="0" distL="0" distR="0" simplePos="0" relativeHeight="251658244" behindDoc="0" locked="0" layoutInCell="1" allowOverlap="1" wp14:anchorId="42834685" wp14:editId="65D93BE9">
              <wp:simplePos x="915035" y="450215"/>
              <wp:positionH relativeFrom="page">
                <wp:align>center</wp:align>
              </wp:positionH>
              <wp:positionV relativeFrom="page">
                <wp:align>top</wp:align>
              </wp:positionV>
              <wp:extent cx="551815" cy="480695"/>
              <wp:effectExtent l="0" t="0" r="635" b="14605"/>
              <wp:wrapNone/>
              <wp:docPr id="471601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C42D7F4" w14:textId="3B637AFE"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834685" id="_x0000_t202" coordsize="21600,21600" o:spt="202" path="m,l,21600r21600,l21600,xe">
              <v:stroke joinstyle="miter"/>
              <v:path gradientshapeok="t" o:connecttype="rect"/>
            </v:shapetype>
            <v:shape id="Text Box 4" o:spid="_x0000_s1036" type="#_x0000_t202" alt="OFFICIAL" style="position:absolute;margin-left:0;margin-top:0;width:43.45pt;height:37.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83DgIAABwEAAAOAAAAZHJzL2Uyb0RvYy54bWysU8Fu2zAMvQ/YPwi6L7a7pUiNOEXWIsOA&#10;oC2QDj0rshQbkERBUmJnXz9KjpOu7WnYRaZI+pF8fJrf9lqRg3C+BVPRYpJTIgyHujW7iv56Xn2Z&#10;UeIDMzVTYERFj8LT28XnT/POluIKGlC1cARBjC87W9EmBFtmmeeN0MxPwAqDQQlOs4BXt8tqxzpE&#10;1yq7yvPrrANXWwdceI/e+yFIFwlfSsHDo5ReBKIqir2FdLp0buOZLeas3Dlmm5af2mD/0IVmrcGi&#10;Z6h7FhjZu/YdlG65Aw8yTDjoDKRsuUgz4DRF/maaTcOsSLMgOd6eafL/D5Y/HDb2yZHQf4ceFxgJ&#10;6awvPTrjPL10On6xU4JxpPB4pk30gXB0TqfFrJhSwjH0bZZf30wjSnb52ToffgjQJBoVdbiVRBY7&#10;rH0YUseUWMvAqlUqbUaZvxyIGT3ZpcNohX7bk7au6Nex+y3URxzKwbBvb/mqxdJr5sMTc7hgnANF&#10;Gx7xkAq6isLJoqQB9/sjf8xH3jFKSYeCqahBRVOifhrcR9RWMoqbfJrjzY3u7WiYvb4DlGGBL8Ly&#10;ZMa8oEZTOtAvKOdlLIQhZjiWq2gYzbswKBefAxfLZUpCGVkW1mZjeYSOdEUun/sX5uyJ8ICbeoBR&#10;Tax8w/uQG//0drkPyH5aSqR2IPLEOEowrfX0XKLGX99T1uVRL/4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AhVI83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4C42D7F4" w14:textId="3B637AFE" w:rsidR="001D1893" w:rsidRPr="001D1893" w:rsidRDefault="001D1893" w:rsidP="001D1893">
                    <w:pPr>
                      <w:spacing w:after="0"/>
                      <w:rPr>
                        <w:rFonts w:cs="Calibri"/>
                        <w:noProof/>
                        <w:color w:val="FF0000"/>
                        <w:sz w:val="24"/>
                        <w:szCs w:val="24"/>
                      </w:rPr>
                    </w:pPr>
                    <w:r w:rsidRPr="001D1893">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6379A"/>
    <w:multiLevelType w:val="hybridMultilevel"/>
    <w:tmpl w:val="8FD6A018"/>
    <w:lvl w:ilvl="0" w:tplc="75B29E86">
      <w:start w:val="1"/>
      <w:numFmt w:val="bullet"/>
      <w:lvlText w:val="o"/>
      <w:lvlJc w:val="left"/>
      <w:pPr>
        <w:ind w:left="720" w:hanging="360"/>
      </w:pPr>
      <w:rPr>
        <w:rFonts w:ascii="Courier New" w:hAnsi="Courier New" w:cs="Courier New" w:hint="default"/>
      </w:rPr>
    </w:lvl>
    <w:lvl w:ilvl="1" w:tplc="E6D630D4" w:tentative="1">
      <w:start w:val="1"/>
      <w:numFmt w:val="bullet"/>
      <w:lvlText w:val="o"/>
      <w:lvlJc w:val="left"/>
      <w:pPr>
        <w:ind w:left="1440" w:hanging="360"/>
      </w:pPr>
      <w:rPr>
        <w:rFonts w:ascii="Courier New" w:hAnsi="Courier New" w:cs="Courier New" w:hint="default"/>
      </w:rPr>
    </w:lvl>
    <w:lvl w:ilvl="2" w:tplc="BA16924E" w:tentative="1">
      <w:start w:val="1"/>
      <w:numFmt w:val="bullet"/>
      <w:lvlText w:val=""/>
      <w:lvlJc w:val="left"/>
      <w:pPr>
        <w:ind w:left="2160" w:hanging="360"/>
      </w:pPr>
      <w:rPr>
        <w:rFonts w:ascii="Wingdings" w:hAnsi="Wingdings" w:hint="default"/>
      </w:rPr>
    </w:lvl>
    <w:lvl w:ilvl="3" w:tplc="234C94F0" w:tentative="1">
      <w:start w:val="1"/>
      <w:numFmt w:val="bullet"/>
      <w:lvlText w:val=""/>
      <w:lvlJc w:val="left"/>
      <w:pPr>
        <w:ind w:left="2880" w:hanging="360"/>
      </w:pPr>
      <w:rPr>
        <w:rFonts w:ascii="Symbol" w:hAnsi="Symbol" w:hint="default"/>
      </w:rPr>
    </w:lvl>
    <w:lvl w:ilvl="4" w:tplc="3262420E" w:tentative="1">
      <w:start w:val="1"/>
      <w:numFmt w:val="bullet"/>
      <w:lvlText w:val="o"/>
      <w:lvlJc w:val="left"/>
      <w:pPr>
        <w:ind w:left="3600" w:hanging="360"/>
      </w:pPr>
      <w:rPr>
        <w:rFonts w:ascii="Courier New" w:hAnsi="Courier New" w:cs="Courier New" w:hint="default"/>
      </w:rPr>
    </w:lvl>
    <w:lvl w:ilvl="5" w:tplc="A8181532" w:tentative="1">
      <w:start w:val="1"/>
      <w:numFmt w:val="bullet"/>
      <w:lvlText w:val=""/>
      <w:lvlJc w:val="left"/>
      <w:pPr>
        <w:ind w:left="4320" w:hanging="360"/>
      </w:pPr>
      <w:rPr>
        <w:rFonts w:ascii="Wingdings" w:hAnsi="Wingdings" w:hint="default"/>
      </w:rPr>
    </w:lvl>
    <w:lvl w:ilvl="6" w:tplc="6DB4090C" w:tentative="1">
      <w:start w:val="1"/>
      <w:numFmt w:val="bullet"/>
      <w:lvlText w:val=""/>
      <w:lvlJc w:val="left"/>
      <w:pPr>
        <w:ind w:left="5040" w:hanging="360"/>
      </w:pPr>
      <w:rPr>
        <w:rFonts w:ascii="Symbol" w:hAnsi="Symbol" w:hint="default"/>
      </w:rPr>
    </w:lvl>
    <w:lvl w:ilvl="7" w:tplc="6D9C67CC" w:tentative="1">
      <w:start w:val="1"/>
      <w:numFmt w:val="bullet"/>
      <w:lvlText w:val="o"/>
      <w:lvlJc w:val="left"/>
      <w:pPr>
        <w:ind w:left="5760" w:hanging="360"/>
      </w:pPr>
      <w:rPr>
        <w:rFonts w:ascii="Courier New" w:hAnsi="Courier New" w:cs="Courier New" w:hint="default"/>
      </w:rPr>
    </w:lvl>
    <w:lvl w:ilvl="8" w:tplc="98462CE4" w:tentative="1">
      <w:start w:val="1"/>
      <w:numFmt w:val="bullet"/>
      <w:lvlText w:val=""/>
      <w:lvlJc w:val="left"/>
      <w:pPr>
        <w:ind w:left="6480" w:hanging="360"/>
      </w:pPr>
      <w:rPr>
        <w:rFonts w:ascii="Wingdings" w:hAnsi="Wingdings" w:hint="default"/>
      </w:rPr>
    </w:lvl>
  </w:abstractNum>
  <w:abstractNum w:abstractNumId="1" w15:restartNumberingAfterBreak="0">
    <w:nsid w:val="3D5641C3"/>
    <w:multiLevelType w:val="hybridMultilevel"/>
    <w:tmpl w:val="4210F486"/>
    <w:lvl w:ilvl="0" w:tplc="E5188B0A">
      <w:start w:val="1"/>
      <w:numFmt w:val="decimal"/>
      <w:pStyle w:val="Heading3bold"/>
      <w:lvlText w:val="%1"/>
      <w:lvlJc w:val="left"/>
      <w:pPr>
        <w:ind w:left="360" w:hanging="360"/>
      </w:pPr>
      <w:rPr>
        <w:rFonts w:hint="default"/>
        <w:color w:val="auto"/>
      </w:rPr>
    </w:lvl>
    <w:lvl w:ilvl="1" w:tplc="60D2DBD4" w:tentative="1">
      <w:start w:val="1"/>
      <w:numFmt w:val="lowerLetter"/>
      <w:lvlText w:val="%2."/>
      <w:lvlJc w:val="left"/>
      <w:pPr>
        <w:ind w:left="-3805" w:hanging="360"/>
      </w:pPr>
    </w:lvl>
    <w:lvl w:ilvl="2" w:tplc="1672843C" w:tentative="1">
      <w:start w:val="1"/>
      <w:numFmt w:val="lowerRoman"/>
      <w:lvlText w:val="%3."/>
      <w:lvlJc w:val="right"/>
      <w:pPr>
        <w:ind w:left="-3085" w:hanging="180"/>
      </w:pPr>
    </w:lvl>
    <w:lvl w:ilvl="3" w:tplc="983A92A2" w:tentative="1">
      <w:start w:val="1"/>
      <w:numFmt w:val="decimal"/>
      <w:lvlText w:val="%4."/>
      <w:lvlJc w:val="left"/>
      <w:pPr>
        <w:ind w:left="-2365" w:hanging="360"/>
      </w:pPr>
    </w:lvl>
    <w:lvl w:ilvl="4" w:tplc="E92026D0" w:tentative="1">
      <w:start w:val="1"/>
      <w:numFmt w:val="lowerLetter"/>
      <w:lvlText w:val="%5."/>
      <w:lvlJc w:val="left"/>
      <w:pPr>
        <w:ind w:left="-1645" w:hanging="360"/>
      </w:pPr>
    </w:lvl>
    <w:lvl w:ilvl="5" w:tplc="42CAC166" w:tentative="1">
      <w:start w:val="1"/>
      <w:numFmt w:val="lowerRoman"/>
      <w:lvlText w:val="%6."/>
      <w:lvlJc w:val="right"/>
      <w:pPr>
        <w:ind w:left="-925" w:hanging="180"/>
      </w:pPr>
    </w:lvl>
    <w:lvl w:ilvl="6" w:tplc="1C28A2C0" w:tentative="1">
      <w:start w:val="1"/>
      <w:numFmt w:val="decimal"/>
      <w:lvlText w:val="%7."/>
      <w:lvlJc w:val="left"/>
      <w:pPr>
        <w:ind w:left="-205" w:hanging="360"/>
      </w:pPr>
    </w:lvl>
    <w:lvl w:ilvl="7" w:tplc="2F7887B4" w:tentative="1">
      <w:start w:val="1"/>
      <w:numFmt w:val="lowerLetter"/>
      <w:lvlText w:val="%8."/>
      <w:lvlJc w:val="left"/>
      <w:pPr>
        <w:ind w:left="515" w:hanging="360"/>
      </w:pPr>
    </w:lvl>
    <w:lvl w:ilvl="8" w:tplc="71343F7E" w:tentative="1">
      <w:start w:val="1"/>
      <w:numFmt w:val="lowerRoman"/>
      <w:lvlText w:val="%9."/>
      <w:lvlJc w:val="right"/>
      <w:pPr>
        <w:ind w:left="1235" w:hanging="180"/>
      </w:pPr>
    </w:lvl>
  </w:abstractNum>
  <w:abstractNum w:abstractNumId="2" w15:restartNumberingAfterBreak="0">
    <w:nsid w:val="6EFD344F"/>
    <w:multiLevelType w:val="hybridMultilevel"/>
    <w:tmpl w:val="0154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76F63"/>
    <w:multiLevelType w:val="hybridMultilevel"/>
    <w:tmpl w:val="EA6A860C"/>
    <w:lvl w:ilvl="0" w:tplc="7C3EE1A0">
      <w:start w:val="1"/>
      <w:numFmt w:val="bullet"/>
      <w:lvlText w:val="o"/>
      <w:lvlJc w:val="left"/>
      <w:pPr>
        <w:ind w:left="720" w:hanging="360"/>
      </w:pPr>
      <w:rPr>
        <w:rFonts w:ascii="Courier New" w:hAnsi="Courier New" w:cs="Courier New" w:hint="default"/>
      </w:rPr>
    </w:lvl>
    <w:lvl w:ilvl="1" w:tplc="52805EFA" w:tentative="1">
      <w:start w:val="1"/>
      <w:numFmt w:val="bullet"/>
      <w:lvlText w:val="o"/>
      <w:lvlJc w:val="left"/>
      <w:pPr>
        <w:ind w:left="1440" w:hanging="360"/>
      </w:pPr>
      <w:rPr>
        <w:rFonts w:ascii="Courier New" w:hAnsi="Courier New" w:cs="Courier New" w:hint="default"/>
      </w:rPr>
    </w:lvl>
    <w:lvl w:ilvl="2" w:tplc="087023DA" w:tentative="1">
      <w:start w:val="1"/>
      <w:numFmt w:val="bullet"/>
      <w:lvlText w:val=""/>
      <w:lvlJc w:val="left"/>
      <w:pPr>
        <w:ind w:left="2160" w:hanging="360"/>
      </w:pPr>
      <w:rPr>
        <w:rFonts w:ascii="Wingdings" w:hAnsi="Wingdings" w:hint="default"/>
      </w:rPr>
    </w:lvl>
    <w:lvl w:ilvl="3" w:tplc="C234B7A6" w:tentative="1">
      <w:start w:val="1"/>
      <w:numFmt w:val="bullet"/>
      <w:lvlText w:val=""/>
      <w:lvlJc w:val="left"/>
      <w:pPr>
        <w:ind w:left="2880" w:hanging="360"/>
      </w:pPr>
      <w:rPr>
        <w:rFonts w:ascii="Symbol" w:hAnsi="Symbol" w:hint="default"/>
      </w:rPr>
    </w:lvl>
    <w:lvl w:ilvl="4" w:tplc="E86E5C12" w:tentative="1">
      <w:start w:val="1"/>
      <w:numFmt w:val="bullet"/>
      <w:lvlText w:val="o"/>
      <w:lvlJc w:val="left"/>
      <w:pPr>
        <w:ind w:left="3600" w:hanging="360"/>
      </w:pPr>
      <w:rPr>
        <w:rFonts w:ascii="Courier New" w:hAnsi="Courier New" w:cs="Courier New" w:hint="default"/>
      </w:rPr>
    </w:lvl>
    <w:lvl w:ilvl="5" w:tplc="74F44C8C" w:tentative="1">
      <w:start w:val="1"/>
      <w:numFmt w:val="bullet"/>
      <w:lvlText w:val=""/>
      <w:lvlJc w:val="left"/>
      <w:pPr>
        <w:ind w:left="4320" w:hanging="360"/>
      </w:pPr>
      <w:rPr>
        <w:rFonts w:ascii="Wingdings" w:hAnsi="Wingdings" w:hint="default"/>
      </w:rPr>
    </w:lvl>
    <w:lvl w:ilvl="6" w:tplc="28B64C36" w:tentative="1">
      <w:start w:val="1"/>
      <w:numFmt w:val="bullet"/>
      <w:lvlText w:val=""/>
      <w:lvlJc w:val="left"/>
      <w:pPr>
        <w:ind w:left="5040" w:hanging="360"/>
      </w:pPr>
      <w:rPr>
        <w:rFonts w:ascii="Symbol" w:hAnsi="Symbol" w:hint="default"/>
      </w:rPr>
    </w:lvl>
    <w:lvl w:ilvl="7" w:tplc="4246CFF6" w:tentative="1">
      <w:start w:val="1"/>
      <w:numFmt w:val="bullet"/>
      <w:lvlText w:val="o"/>
      <w:lvlJc w:val="left"/>
      <w:pPr>
        <w:ind w:left="5760" w:hanging="360"/>
      </w:pPr>
      <w:rPr>
        <w:rFonts w:ascii="Courier New" w:hAnsi="Courier New" w:cs="Courier New" w:hint="default"/>
      </w:rPr>
    </w:lvl>
    <w:lvl w:ilvl="8" w:tplc="C774265C" w:tentative="1">
      <w:start w:val="1"/>
      <w:numFmt w:val="bullet"/>
      <w:lvlText w:val=""/>
      <w:lvlJc w:val="left"/>
      <w:pPr>
        <w:ind w:left="6480" w:hanging="360"/>
      </w:pPr>
      <w:rPr>
        <w:rFonts w:ascii="Wingdings" w:hAnsi="Wingdings" w:hint="default"/>
      </w:rPr>
    </w:lvl>
  </w:abstractNum>
  <w:abstractNum w:abstractNumId="4" w15:restartNumberingAfterBreak="0">
    <w:nsid w:val="775006E2"/>
    <w:multiLevelType w:val="hybridMultilevel"/>
    <w:tmpl w:val="81B0A066"/>
    <w:lvl w:ilvl="0" w:tplc="A26A46FA">
      <w:start w:val="1"/>
      <w:numFmt w:val="bullet"/>
      <w:lvlText w:val="o"/>
      <w:lvlJc w:val="left"/>
      <w:pPr>
        <w:ind w:left="720" w:hanging="360"/>
      </w:pPr>
      <w:rPr>
        <w:rFonts w:ascii="Courier New" w:hAnsi="Courier New" w:cs="Courier New" w:hint="default"/>
      </w:rPr>
    </w:lvl>
    <w:lvl w:ilvl="1" w:tplc="76CCF4A8" w:tentative="1">
      <w:start w:val="1"/>
      <w:numFmt w:val="bullet"/>
      <w:lvlText w:val="o"/>
      <w:lvlJc w:val="left"/>
      <w:pPr>
        <w:ind w:left="1440" w:hanging="360"/>
      </w:pPr>
      <w:rPr>
        <w:rFonts w:ascii="Courier New" w:hAnsi="Courier New" w:cs="Courier New" w:hint="default"/>
      </w:rPr>
    </w:lvl>
    <w:lvl w:ilvl="2" w:tplc="686C769E" w:tentative="1">
      <w:start w:val="1"/>
      <w:numFmt w:val="bullet"/>
      <w:lvlText w:val=""/>
      <w:lvlJc w:val="left"/>
      <w:pPr>
        <w:ind w:left="2160" w:hanging="360"/>
      </w:pPr>
      <w:rPr>
        <w:rFonts w:ascii="Wingdings" w:hAnsi="Wingdings" w:hint="default"/>
      </w:rPr>
    </w:lvl>
    <w:lvl w:ilvl="3" w:tplc="0FB889FA" w:tentative="1">
      <w:start w:val="1"/>
      <w:numFmt w:val="bullet"/>
      <w:lvlText w:val=""/>
      <w:lvlJc w:val="left"/>
      <w:pPr>
        <w:ind w:left="2880" w:hanging="360"/>
      </w:pPr>
      <w:rPr>
        <w:rFonts w:ascii="Symbol" w:hAnsi="Symbol" w:hint="default"/>
      </w:rPr>
    </w:lvl>
    <w:lvl w:ilvl="4" w:tplc="B0A056C6" w:tentative="1">
      <w:start w:val="1"/>
      <w:numFmt w:val="bullet"/>
      <w:lvlText w:val="o"/>
      <w:lvlJc w:val="left"/>
      <w:pPr>
        <w:ind w:left="3600" w:hanging="360"/>
      </w:pPr>
      <w:rPr>
        <w:rFonts w:ascii="Courier New" w:hAnsi="Courier New" w:cs="Courier New" w:hint="default"/>
      </w:rPr>
    </w:lvl>
    <w:lvl w:ilvl="5" w:tplc="66CAB92E" w:tentative="1">
      <w:start w:val="1"/>
      <w:numFmt w:val="bullet"/>
      <w:lvlText w:val=""/>
      <w:lvlJc w:val="left"/>
      <w:pPr>
        <w:ind w:left="4320" w:hanging="360"/>
      </w:pPr>
      <w:rPr>
        <w:rFonts w:ascii="Wingdings" w:hAnsi="Wingdings" w:hint="default"/>
      </w:rPr>
    </w:lvl>
    <w:lvl w:ilvl="6" w:tplc="B57AA8DC" w:tentative="1">
      <w:start w:val="1"/>
      <w:numFmt w:val="bullet"/>
      <w:lvlText w:val=""/>
      <w:lvlJc w:val="left"/>
      <w:pPr>
        <w:ind w:left="5040" w:hanging="360"/>
      </w:pPr>
      <w:rPr>
        <w:rFonts w:ascii="Symbol" w:hAnsi="Symbol" w:hint="default"/>
      </w:rPr>
    </w:lvl>
    <w:lvl w:ilvl="7" w:tplc="6EB4899A" w:tentative="1">
      <w:start w:val="1"/>
      <w:numFmt w:val="bullet"/>
      <w:lvlText w:val="o"/>
      <w:lvlJc w:val="left"/>
      <w:pPr>
        <w:ind w:left="5760" w:hanging="360"/>
      </w:pPr>
      <w:rPr>
        <w:rFonts w:ascii="Courier New" w:hAnsi="Courier New" w:cs="Courier New" w:hint="default"/>
      </w:rPr>
    </w:lvl>
    <w:lvl w:ilvl="8" w:tplc="534E5446" w:tentative="1">
      <w:start w:val="1"/>
      <w:numFmt w:val="bullet"/>
      <w:lvlText w:val=""/>
      <w:lvlJc w:val="left"/>
      <w:pPr>
        <w:ind w:left="6480" w:hanging="360"/>
      </w:pPr>
      <w:rPr>
        <w:rFonts w:ascii="Wingdings" w:hAnsi="Wingdings" w:hint="default"/>
      </w:rPr>
    </w:lvl>
  </w:abstractNum>
  <w:num w:numId="1" w16cid:durableId="11808492">
    <w:abstractNumId w:val="1"/>
  </w:num>
  <w:num w:numId="2" w16cid:durableId="1135870626">
    <w:abstractNumId w:val="3"/>
  </w:num>
  <w:num w:numId="3" w16cid:durableId="1331834540">
    <w:abstractNumId w:val="4"/>
  </w:num>
  <w:num w:numId="4" w16cid:durableId="1299726729">
    <w:abstractNumId w:val="0"/>
  </w:num>
  <w:num w:numId="5" w16cid:durableId="205685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B5"/>
    <w:rsid w:val="00006272"/>
    <w:rsid w:val="00013507"/>
    <w:rsid w:val="000238D3"/>
    <w:rsid w:val="000F799B"/>
    <w:rsid w:val="00141FC8"/>
    <w:rsid w:val="001828BD"/>
    <w:rsid w:val="001A72CA"/>
    <w:rsid w:val="001B255F"/>
    <w:rsid w:val="001D1893"/>
    <w:rsid w:val="001E2EAA"/>
    <w:rsid w:val="001F32FD"/>
    <w:rsid w:val="002400EB"/>
    <w:rsid w:val="002B1FB5"/>
    <w:rsid w:val="002C784A"/>
    <w:rsid w:val="002F4D21"/>
    <w:rsid w:val="00340453"/>
    <w:rsid w:val="003B0532"/>
    <w:rsid w:val="003B0AA4"/>
    <w:rsid w:val="003E3D0A"/>
    <w:rsid w:val="004024F5"/>
    <w:rsid w:val="004040B5"/>
    <w:rsid w:val="00466529"/>
    <w:rsid w:val="004C0FD3"/>
    <w:rsid w:val="004D1E9E"/>
    <w:rsid w:val="004F5C30"/>
    <w:rsid w:val="00573F08"/>
    <w:rsid w:val="005B6710"/>
    <w:rsid w:val="005E63E7"/>
    <w:rsid w:val="00636AD9"/>
    <w:rsid w:val="0064741C"/>
    <w:rsid w:val="006E34FA"/>
    <w:rsid w:val="006E3967"/>
    <w:rsid w:val="00723B30"/>
    <w:rsid w:val="0077050F"/>
    <w:rsid w:val="00770755"/>
    <w:rsid w:val="007A560F"/>
    <w:rsid w:val="00833D34"/>
    <w:rsid w:val="00872F4F"/>
    <w:rsid w:val="00876E7E"/>
    <w:rsid w:val="008D264E"/>
    <w:rsid w:val="008D3E5E"/>
    <w:rsid w:val="008F7BA5"/>
    <w:rsid w:val="009603C4"/>
    <w:rsid w:val="00986B23"/>
    <w:rsid w:val="009B0E1E"/>
    <w:rsid w:val="00A02EEE"/>
    <w:rsid w:val="00A161C1"/>
    <w:rsid w:val="00A24038"/>
    <w:rsid w:val="00A60791"/>
    <w:rsid w:val="00AD184E"/>
    <w:rsid w:val="00B2382D"/>
    <w:rsid w:val="00B27ADA"/>
    <w:rsid w:val="00B505E0"/>
    <w:rsid w:val="00B745B2"/>
    <w:rsid w:val="00BA5022"/>
    <w:rsid w:val="00BF2C36"/>
    <w:rsid w:val="00C02BA3"/>
    <w:rsid w:val="00C85A6D"/>
    <w:rsid w:val="00CA61D9"/>
    <w:rsid w:val="00CF08F1"/>
    <w:rsid w:val="00D214E5"/>
    <w:rsid w:val="00E55DFF"/>
    <w:rsid w:val="00E636DE"/>
    <w:rsid w:val="00E70B3F"/>
    <w:rsid w:val="00E879CA"/>
    <w:rsid w:val="00ED4252"/>
    <w:rsid w:val="00EE431E"/>
    <w:rsid w:val="00EF5A68"/>
    <w:rsid w:val="00F1273A"/>
    <w:rsid w:val="00F63725"/>
    <w:rsid w:val="00F74C86"/>
    <w:rsid w:val="00FB3DCB"/>
    <w:rsid w:val="00FF420B"/>
    <w:rsid w:val="00FF5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149C0"/>
  <w15:chartTrackingRefBased/>
  <w15:docId w15:val="{5508E7E9-67CC-4E10-BD53-0C114E4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4040B5"/>
    <w:pPr>
      <w:spacing w:before="12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4040B5"/>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4040B5"/>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B5"/>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040B5"/>
    <w:rPr>
      <w:rFonts w:ascii="Calibri" w:eastAsia="Times New Roman" w:hAnsi="Calibri" w:cs="Times New Roman"/>
      <w:b/>
      <w:bCs/>
      <w:color w:val="4F81BD"/>
      <w:sz w:val="26"/>
      <w:szCs w:val="26"/>
    </w:rPr>
  </w:style>
  <w:style w:type="character" w:styleId="Hyperlink">
    <w:name w:val="Hyperlink"/>
    <w:basedOn w:val="DefaultParagraphFont"/>
    <w:uiPriority w:val="99"/>
    <w:rsid w:val="004040B5"/>
    <w:rPr>
      <w:color w:val="0000FF"/>
      <w:u w:val="single"/>
    </w:rPr>
  </w:style>
  <w:style w:type="character" w:styleId="Emphasis">
    <w:name w:val="Emphasis"/>
    <w:basedOn w:val="DefaultParagraphFont"/>
    <w:uiPriority w:val="20"/>
    <w:qFormat/>
    <w:rsid w:val="004040B5"/>
    <w:rPr>
      <w:i/>
      <w:iCs/>
    </w:rPr>
  </w:style>
  <w:style w:type="character" w:styleId="Strong">
    <w:name w:val="Strong"/>
    <w:basedOn w:val="DefaultParagraphFont"/>
    <w:uiPriority w:val="22"/>
    <w:qFormat/>
    <w:rsid w:val="004040B5"/>
    <w:rPr>
      <w:rFonts w:ascii="Calibri" w:hAnsi="Calibri"/>
      <w:b/>
      <w:bCs/>
      <w:sz w:val="22"/>
    </w:rPr>
  </w:style>
  <w:style w:type="paragraph" w:customStyle="1" w:styleId="Heading3bold">
    <w:name w:val="Heading 3 bold"/>
    <w:basedOn w:val="Normal"/>
    <w:qFormat/>
    <w:rsid w:val="004040B5"/>
    <w:pPr>
      <w:numPr>
        <w:numId w:val="1"/>
      </w:numPr>
      <w:tabs>
        <w:tab w:val="left" w:pos="284"/>
      </w:tabs>
      <w:ind w:left="284"/>
    </w:pPr>
    <w:rPr>
      <w:b/>
    </w:rPr>
  </w:style>
  <w:style w:type="paragraph" w:styleId="Subtitle">
    <w:name w:val="Subtitle"/>
    <w:basedOn w:val="Normal"/>
    <w:next w:val="Normal"/>
    <w:link w:val="SubtitleChar"/>
    <w:uiPriority w:val="11"/>
    <w:qFormat/>
    <w:rsid w:val="004040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040B5"/>
    <w:rPr>
      <w:rFonts w:eastAsiaTheme="minorEastAsia"/>
      <w:color w:val="5A5A5A" w:themeColor="text1" w:themeTint="A5"/>
      <w:spacing w:val="15"/>
    </w:rPr>
  </w:style>
  <w:style w:type="paragraph" w:styleId="Header">
    <w:name w:val="header"/>
    <w:basedOn w:val="Normal"/>
    <w:link w:val="HeaderChar"/>
    <w:uiPriority w:val="99"/>
    <w:unhideWhenUsed/>
    <w:rsid w:val="004040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40B5"/>
    <w:rPr>
      <w:rFonts w:ascii="Calibri" w:eastAsia="Calibri" w:hAnsi="Calibri" w:cs="Times New Roman"/>
    </w:rPr>
  </w:style>
  <w:style w:type="paragraph" w:styleId="Footer">
    <w:name w:val="footer"/>
    <w:basedOn w:val="Normal"/>
    <w:link w:val="FooterChar"/>
    <w:uiPriority w:val="99"/>
    <w:unhideWhenUsed/>
    <w:rsid w:val="004040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40B5"/>
    <w:rPr>
      <w:rFonts w:ascii="Calibri" w:eastAsia="Calibri" w:hAnsi="Calibri" w:cs="Times New Roman"/>
    </w:rPr>
  </w:style>
  <w:style w:type="character" w:customStyle="1" w:styleId="UnresolvedMention1">
    <w:name w:val="Unresolved Mention1"/>
    <w:basedOn w:val="DefaultParagraphFont"/>
    <w:uiPriority w:val="99"/>
    <w:semiHidden/>
    <w:unhideWhenUsed/>
    <w:rsid w:val="004040B5"/>
    <w:rPr>
      <w:color w:val="605E5C"/>
      <w:shd w:val="clear" w:color="auto" w:fill="E1DFDD"/>
    </w:rPr>
  </w:style>
  <w:style w:type="table" w:styleId="TableGrid">
    <w:name w:val="Table Grid"/>
    <w:basedOn w:val="TableNormal"/>
    <w:uiPriority w:val="39"/>
    <w:rsid w:val="00B2382D"/>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B2"/>
    <w:pPr>
      <w:spacing w:before="0" w:after="0" w:line="240" w:lineRule="auto"/>
      <w:ind w:left="720"/>
      <w:contextualSpacing/>
    </w:pPr>
    <w:rPr>
      <w:rFonts w:asciiTheme="minorHAnsi" w:eastAsiaTheme="minorHAnsi" w:hAnsiTheme="minorHAnsi" w:cstheme="minorBidi"/>
      <w:sz w:val="24"/>
      <w:szCs w:val="24"/>
    </w:rPr>
  </w:style>
  <w:style w:type="character" w:styleId="UnresolvedMention">
    <w:name w:val="Unresolved Mention"/>
    <w:basedOn w:val="DefaultParagraphFont"/>
    <w:uiPriority w:val="99"/>
    <w:rsid w:val="0098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terquality.gov.au/anz-guidelines/guideline-values/default/water-quality-toxicant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3376FA5A-F6DA-48B1-90F4-91451B3933BA}">
  <ds:schemaRefs>
    <ds:schemaRef ds:uri="http://schemas.openxmlformats.org/officeDocument/2006/bibliography"/>
  </ds:schemaRefs>
</ds:datastoreItem>
</file>

<file path=customXml/itemProps2.xml><?xml version="1.0" encoding="utf-8"?>
<ds:datastoreItem xmlns:ds="http://schemas.openxmlformats.org/officeDocument/2006/customXml" ds:itemID="{F26BAA26-6253-4172-84EB-9E7C8330FD1F}"/>
</file>

<file path=customXml/itemProps3.xml><?xml version="1.0" encoding="utf-8"?>
<ds:datastoreItem xmlns:ds="http://schemas.openxmlformats.org/officeDocument/2006/customXml" ds:itemID="{B55D6B85-4E49-4062-A94D-DB7BA680B87E}"/>
</file>

<file path=customXml/itemProps4.xml><?xml version="1.0" encoding="utf-8"?>
<ds:datastoreItem xmlns:ds="http://schemas.openxmlformats.org/officeDocument/2006/customXml" ds:itemID="{7C8C328E-AECB-4CB3-9767-D03CBB823FD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public submissions on draft default guideline values for fluoride in freshwater</dc:title>
  <dc:subject/>
  <dc:creator>Australian and New Zealand Guidelines for Fresh and Marine Water Quality</dc:creator>
  <cp:keywords/>
  <dc:description/>
  <cp:lastModifiedBy>Bec DURACK</cp:lastModifiedBy>
  <cp:revision>6</cp:revision>
  <cp:lastPrinted>2024-10-14T22:54:00Z</cp:lastPrinted>
  <dcterms:created xsi:type="dcterms:W3CDTF">2024-10-30T06:21:00Z</dcterms:created>
  <dcterms:modified xsi:type="dcterms:W3CDTF">2024-10-30T06:24:00Z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58240432,63a81e00,eb3e962,2cf9b81,557ac4dd,6e84c9d7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3dfd919c,488630f1,297ad218,22809f60,511b69a1,445377a7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ies>
</file>