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F57C" w14:textId="3024A130" w:rsidR="001C0D1C" w:rsidRDefault="004D52CE">
      <w:pPr>
        <w:pStyle w:val="Heading1"/>
      </w:pPr>
      <w:r>
        <w:t>Toxicant default guideline values for aquatic ecosystem protection</w:t>
      </w:r>
    </w:p>
    <w:p w14:paraId="524A81B3" w14:textId="5F11278E" w:rsidR="001C0D1C" w:rsidRDefault="00F31487">
      <w:pPr>
        <w:pStyle w:val="Subtitle"/>
      </w:pPr>
      <w:r w:rsidRPr="00F31487">
        <w:t>Glyphosate</w:t>
      </w:r>
      <w:r>
        <w:t xml:space="preserve"> </w:t>
      </w:r>
      <w:r w:rsidR="004D52CE">
        <w:t>in freshwater</w:t>
      </w:r>
    </w:p>
    <w:p w14:paraId="0F5E9269" w14:textId="54247ED7" w:rsidR="001C0D1C" w:rsidRDefault="004D52CE">
      <w:pPr>
        <w:pStyle w:val="Documenttype"/>
      </w:pPr>
      <w:r>
        <w:t>Technical brief</w:t>
      </w:r>
    </w:p>
    <w:p w14:paraId="3A238C94" w14:textId="7BD867C5" w:rsidR="001C0D1C" w:rsidRDefault="00BB6B99">
      <w:pPr>
        <w:pStyle w:val="Publicationdate"/>
        <w:rPr>
          <w:highlight w:val="yellow"/>
        </w:rPr>
      </w:pPr>
      <w:r>
        <w:t>Ju</w:t>
      </w:r>
      <w:r w:rsidR="00E27543">
        <w:t>ly</w:t>
      </w:r>
      <w:r w:rsidR="00F3209D">
        <w:t xml:space="preserve"> </w:t>
      </w:r>
      <w:r w:rsidR="005A71C2">
        <w:t>2021</w:t>
      </w:r>
    </w:p>
    <w:p w14:paraId="00D4D9B8" w14:textId="77777777" w:rsidR="001C0D1C" w:rsidRDefault="00E55B1C">
      <w:pPr>
        <w:spacing w:after="0" w:line="240" w:lineRule="auto"/>
        <w:rPr>
          <w:noProof/>
          <w:lang w:eastAsia="en-AU"/>
        </w:rPr>
      </w:pPr>
      <w:r>
        <w:br w:type="page"/>
      </w:r>
    </w:p>
    <w:p w14:paraId="00B1140E" w14:textId="2DDD8126" w:rsidR="001C0D1C" w:rsidRDefault="00E55B1C">
      <w:pPr>
        <w:rPr>
          <w:sz w:val="18"/>
          <w:szCs w:val="18"/>
        </w:rPr>
      </w:pPr>
      <w:r>
        <w:rPr>
          <w:sz w:val="18"/>
          <w:szCs w:val="18"/>
        </w:rPr>
        <w:lastRenderedPageBreak/>
        <w:t xml:space="preserve">© Commonwealth of Australia </w:t>
      </w:r>
      <w:r w:rsidR="005A71C2">
        <w:rPr>
          <w:sz w:val="18"/>
          <w:szCs w:val="18"/>
        </w:rPr>
        <w:t>2021</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Default="00B151F6" w:rsidP="00B151F6">
      <w:pPr>
        <w:rPr>
          <w:sz w:val="18"/>
          <w:szCs w:val="18"/>
        </w:rPr>
      </w:pPr>
      <w:r>
        <w:rPr>
          <w:noProof/>
          <w:sz w:val="18"/>
          <w:szCs w:val="18"/>
          <w:lang w:eastAsia="en-AU"/>
        </w:rPr>
        <w:drawing>
          <wp:anchor distT="0" distB="0" distL="114300" distR="114300" simplePos="0" relativeHeight="251659264" behindDoc="0" locked="0" layoutInCell="1" allowOverlap="1" wp14:anchorId="3297F2F5" wp14:editId="0A506425">
            <wp:simplePos x="923925" y="240030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4" w:history="1">
        <w:r>
          <w:rPr>
            <w:rStyle w:val="Hyperlink"/>
            <w:sz w:val="18"/>
            <w:szCs w:val="18"/>
          </w:rPr>
          <w:t>summary of the licence terms</w:t>
        </w:r>
      </w:hyperlink>
      <w:r>
        <w:rPr>
          <w:sz w:val="18"/>
          <w:szCs w:val="18"/>
        </w:rPr>
        <w:t xml:space="preserve"> or the </w:t>
      </w:r>
      <w:hyperlink r:id="rId15" w:history="1">
        <w:r>
          <w:rPr>
            <w:rStyle w:val="Hyperlink"/>
            <w:sz w:val="18"/>
            <w:szCs w:val="18"/>
          </w:rPr>
          <w:t>full licence terms</w:t>
        </w:r>
      </w:hyperlink>
      <w:r>
        <w:rPr>
          <w:sz w:val="18"/>
          <w:szCs w:val="18"/>
        </w:rPr>
        <w:t>.</w:t>
      </w:r>
    </w:p>
    <w:p w14:paraId="44635A9C" w14:textId="77777777" w:rsidR="00B151F6" w:rsidRDefault="00B151F6" w:rsidP="00B151F6">
      <w:pPr>
        <w:rPr>
          <w:sz w:val="18"/>
          <w:szCs w:val="18"/>
        </w:rPr>
      </w:pPr>
      <w:r>
        <w:rPr>
          <w:sz w:val="18"/>
          <w:szCs w:val="18"/>
        </w:rPr>
        <w:t xml:space="preserve">Inquiries about the licence and any use of this document should be emailed to </w:t>
      </w:r>
      <w:hyperlink r:id="rId16" w:history="1">
        <w:r>
          <w:rPr>
            <w:rStyle w:val="Hyperlink"/>
            <w:sz w:val="18"/>
            <w:szCs w:val="18"/>
          </w:rPr>
          <w:t>copyright@agriculture.gov.au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25B05949" w:rsidR="00B151F6" w:rsidRDefault="00E55B1C"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5A71C2">
        <w:rPr>
          <w:sz w:val="18"/>
          <w:szCs w:val="18"/>
        </w:rPr>
        <w:t>2021</w:t>
      </w:r>
      <w:r>
        <w:rPr>
          <w:sz w:val="18"/>
          <w:szCs w:val="18"/>
        </w:rPr>
        <w:t>,</w:t>
      </w:r>
      <w:r w:rsidR="00DF1801">
        <w:rPr>
          <w:sz w:val="18"/>
          <w:szCs w:val="18"/>
        </w:rPr>
        <w:t xml:space="preserve"> </w:t>
      </w:r>
      <w:r w:rsidR="00B151F6">
        <w:rPr>
          <w:i/>
          <w:sz w:val="18"/>
          <w:szCs w:val="18"/>
        </w:rPr>
        <w:t xml:space="preserve">Toxicant default guideline values for aquatic ecosystem protection: </w:t>
      </w:r>
      <w:r w:rsidR="00D22761">
        <w:rPr>
          <w:i/>
          <w:sz w:val="18"/>
          <w:szCs w:val="18"/>
        </w:rPr>
        <w:t>Glyphosate in fresh</w:t>
      </w:r>
      <w:r w:rsidR="000A4069" w:rsidRPr="000A4069">
        <w:rPr>
          <w:i/>
          <w:sz w:val="18"/>
          <w:szCs w:val="18"/>
        </w:rPr>
        <w:t>water</w:t>
      </w:r>
      <w:r w:rsidR="00B151F6">
        <w:rPr>
          <w:i/>
          <w:sz w:val="18"/>
          <w:szCs w:val="18"/>
        </w:rPr>
        <w:t xml:space="preserve">. </w:t>
      </w:r>
      <w:r w:rsidR="00343147">
        <w:rPr>
          <w:sz w:val="18"/>
          <w:szCs w:val="18"/>
        </w:rPr>
        <w:t>Australian and New Zealand Guidelines for Fresh and Marine Water Quality.</w:t>
      </w:r>
      <w:r w:rsidR="00343147" w:rsidRPr="00D47CA4">
        <w:rPr>
          <w:sz w:val="18"/>
          <w:szCs w:val="18"/>
        </w:rPr>
        <w:t xml:space="preserve"> </w:t>
      </w:r>
      <w:r w:rsidR="00B151F6" w:rsidRPr="00D47CA4">
        <w:rPr>
          <w:sz w:val="18"/>
          <w:szCs w:val="18"/>
        </w:rPr>
        <w:t>CC BY 4.0. Australian and New Zealand Governments and Australian state and territory governments, Canberra, ACT, Australia</w:t>
      </w:r>
      <w:r w:rsidR="00B151F6">
        <w:rPr>
          <w:sz w:val="18"/>
          <w:szCs w:val="18"/>
        </w:rPr>
        <w:t>.</w:t>
      </w:r>
    </w:p>
    <w:p w14:paraId="5AD69391" w14:textId="77777777" w:rsidR="00B151F6" w:rsidRDefault="00B151F6" w:rsidP="00B151F6">
      <w:pPr>
        <w:rPr>
          <w:sz w:val="18"/>
          <w:szCs w:val="18"/>
        </w:rPr>
      </w:pPr>
      <w:r>
        <w:rPr>
          <w:sz w:val="18"/>
          <w:szCs w:val="18"/>
        </w:rPr>
        <w:t xml:space="preserve">This publication is available at </w:t>
      </w:r>
      <w:hyperlink r:id="rId17"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66EB3F64" w14:textId="75A31BE3" w:rsidR="00824850" w:rsidRDefault="00E55B1C" w:rsidP="00824850">
      <w:pPr>
        <w:spacing w:after="0"/>
        <w:rPr>
          <w:b/>
          <w:sz w:val="18"/>
          <w:szCs w:val="18"/>
        </w:rPr>
      </w:pPr>
      <w:r>
        <w:rPr>
          <w:sz w:val="18"/>
          <w:szCs w:val="18"/>
        </w:rPr>
        <w:t>Australian Government Department of</w:t>
      </w:r>
      <w:r w:rsidR="00F51350">
        <w:rPr>
          <w:sz w:val="18"/>
          <w:szCs w:val="18"/>
        </w:rPr>
        <w:t xml:space="preserve"> Agriculture, Water and the Environment</w:t>
      </w:r>
    </w:p>
    <w:p w14:paraId="2C59091B" w14:textId="69EBDF01" w:rsidR="001C0D1C" w:rsidRPr="00824850" w:rsidRDefault="00E55B1C" w:rsidP="00824850">
      <w:pPr>
        <w:spacing w:after="0"/>
        <w:rPr>
          <w:b/>
          <w:sz w:val="18"/>
          <w:szCs w:val="18"/>
        </w:rPr>
      </w:pPr>
      <w:r>
        <w:rPr>
          <w:sz w:val="18"/>
          <w:szCs w:val="18"/>
        </w:rPr>
        <w:t>GPO Box 858 Canberra ACT 2601</w:t>
      </w:r>
    </w:p>
    <w:p w14:paraId="6EBF1CEF" w14:textId="77777777" w:rsidR="001C0D1C" w:rsidRDefault="00E55B1C" w:rsidP="00824850">
      <w:pPr>
        <w:spacing w:after="0"/>
        <w:rPr>
          <w:sz w:val="18"/>
          <w:szCs w:val="18"/>
        </w:rPr>
      </w:pPr>
      <w:r>
        <w:rPr>
          <w:sz w:val="18"/>
          <w:szCs w:val="18"/>
        </w:rPr>
        <w:t>Switchboard +61 2 6272 3933 or 1800 900 090</w:t>
      </w:r>
    </w:p>
    <w:p w14:paraId="34C5EBA5" w14:textId="765C1D0C" w:rsidR="001C0D1C" w:rsidRDefault="00E55B1C" w:rsidP="00824850">
      <w:pPr>
        <w:spacing w:after="120"/>
        <w:rPr>
          <w:sz w:val="18"/>
          <w:szCs w:val="18"/>
        </w:rPr>
      </w:pPr>
      <w:r>
        <w:rPr>
          <w:sz w:val="18"/>
          <w:szCs w:val="18"/>
        </w:rPr>
        <w:t xml:space="preserve">Email </w:t>
      </w:r>
      <w:hyperlink r:id="rId18" w:history="1">
        <w:r w:rsidR="00B151F6">
          <w:rPr>
            <w:rStyle w:val="Hyperlink"/>
            <w:sz w:val="18"/>
            <w:szCs w:val="18"/>
          </w:rPr>
          <w:t>waterquality@agriculture.gov.au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99A4E9" w14:textId="77777777" w:rsidR="00B151F6" w:rsidRDefault="00B151F6" w:rsidP="00B151F6">
      <w:pPr>
        <w:spacing w:after="0"/>
        <w:rPr>
          <w:sz w:val="18"/>
          <w:szCs w:val="18"/>
        </w:rPr>
      </w:pP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D9B5F96" w14:textId="459E6395" w:rsidR="001C0D1C"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343147">
        <w:rPr>
          <w:sz w:val="18"/>
          <w:szCs w:val="18"/>
        </w:rPr>
        <w:t>DGVs</w:t>
      </w:r>
      <w:r w:rsidR="001B1DB2">
        <w:rPr>
          <w:sz w:val="18"/>
          <w:szCs w:val="18"/>
        </w:rPr>
        <w:t>)</w:t>
      </w:r>
      <w:r>
        <w:rPr>
          <w:sz w:val="18"/>
          <w:szCs w:val="18"/>
        </w:rPr>
        <w:t xml:space="preserve"> were derived by</w:t>
      </w:r>
      <w:r w:rsidR="000A4069">
        <w:rPr>
          <w:sz w:val="18"/>
          <w:szCs w:val="18"/>
        </w:rPr>
        <w:t xml:space="preserve"> </w:t>
      </w:r>
      <w:r w:rsidR="000A4069" w:rsidRPr="000A4069">
        <w:rPr>
          <w:sz w:val="18"/>
          <w:szCs w:val="18"/>
        </w:rPr>
        <w:t xml:space="preserve">Gabrielle Dern (Griffith University), Olivia C King, Dr Rachael A Smith (Water Quality and Investigations, Environmental Monitoring and Assessment Sciences, Science Delivery, Department of Environment and Science) and Dr Michael Warne (School of </w:t>
      </w:r>
      <w:r w:rsidR="000A4069">
        <w:rPr>
          <w:sz w:val="18"/>
          <w:szCs w:val="18"/>
        </w:rPr>
        <w:t>E</w:t>
      </w:r>
      <w:r w:rsidR="000A4069" w:rsidRPr="000A4069">
        <w:rPr>
          <w:sz w:val="18"/>
          <w:szCs w:val="18"/>
        </w:rPr>
        <w:t>arth and Environmental Sciences; Department of Environment and Science; Centre for Agroecology, Water and Resilience, Covent</w:t>
      </w:r>
      <w:r w:rsidR="000A4069">
        <w:rPr>
          <w:sz w:val="18"/>
          <w:szCs w:val="18"/>
        </w:rPr>
        <w:t>ry University, United Kingdom).</w:t>
      </w:r>
      <w:r w:rsidR="00AC3142">
        <w:rPr>
          <w:sz w:val="18"/>
          <w:szCs w:val="18"/>
        </w:rPr>
        <w:t xml:space="preserve"> The DGVs were peer reviewed by two anonymous reviewers and two contracted technical advisors, Dr Rick van Dam and Alicia Hogan.</w:t>
      </w:r>
      <w:r w:rsidR="00AC3142">
        <w:rPr>
          <w:noProof/>
          <w:sz w:val="18"/>
          <w:szCs w:val="18"/>
          <w:lang w:eastAsia="en-AU"/>
        </w:rPr>
        <w:t xml:space="preserve"> </w:t>
      </w:r>
      <w:r w:rsidR="005A71C2">
        <w:rPr>
          <w:sz w:val="18"/>
          <w:szCs w:val="18"/>
        </w:rPr>
        <w:t>The DGVs were also reviewed and approved by jurisdictional technical and policy oversight groups and a National Water Reform Committee, prior to being published</w:t>
      </w:r>
      <w:r w:rsidR="00896E0F">
        <w:rPr>
          <w:sz w:val="18"/>
          <w:szCs w:val="18"/>
        </w:rPr>
        <w:t>.</w:t>
      </w:r>
      <w:r w:rsidR="005A71C2">
        <w:rPr>
          <w:noProof/>
          <w:sz w:val="18"/>
          <w:szCs w:val="18"/>
          <w:lang w:eastAsia="en-AU"/>
        </w:rPr>
        <w:t xml:space="preserve"> </w:t>
      </w:r>
      <w:r w:rsidR="00E55B1C">
        <w:rPr>
          <w:noProof/>
          <w:sz w:val="18"/>
          <w:szCs w:val="18"/>
          <w:lang w:eastAsia="en-AU"/>
        </w:rPr>
        <w:drawing>
          <wp:inline distT="0" distB="0" distL="0" distR="0" wp14:anchorId="21C06E27" wp14:editId="345B248C">
            <wp:extent cx="5759331" cy="1673711"/>
            <wp:effectExtent l="0" t="0" r="0" b="3175"/>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19">
                      <a:extLst>
                        <a:ext uri="{28A0092B-C50C-407E-A947-70E740481C1C}">
                          <a14:useLocalDpi xmlns:a14="http://schemas.microsoft.com/office/drawing/2010/main" val="0"/>
                        </a:ext>
                      </a:extLst>
                    </a:blip>
                    <a:srcRect t="26395" b="-2"/>
                    <a:stretch/>
                  </pic:blipFill>
                  <pic:spPr bwMode="auto">
                    <a:xfrm>
                      <a:off x="0" y="0"/>
                      <a:ext cx="5759450" cy="1673746"/>
                    </a:xfrm>
                    <a:prstGeom prst="rect">
                      <a:avLst/>
                    </a:prstGeom>
                    <a:ln>
                      <a:noFill/>
                    </a:ln>
                    <a:extLst>
                      <a:ext uri="{53640926-AAD7-44D8-BBD7-CCE9431645EC}">
                        <a14:shadowObscured xmlns:a14="http://schemas.microsoft.com/office/drawing/2010/main"/>
                      </a:ext>
                    </a:extLst>
                  </pic:spPr>
                </pic:pic>
              </a:graphicData>
            </a:graphic>
          </wp:inline>
        </w:drawing>
      </w:r>
    </w:p>
    <w:p w14:paraId="4A316D6E" w14:textId="77777777" w:rsidR="001C0D1C" w:rsidRDefault="00E55B1C">
      <w:pPr>
        <w:pStyle w:val="TOCHeading"/>
      </w:pPr>
      <w:r>
        <w:lastRenderedPageBreak/>
        <w:t>Contents</w:t>
      </w:r>
    </w:p>
    <w:p w14:paraId="6E55C8FE" w14:textId="4C8EB68B" w:rsidR="00994C9F" w:rsidRDefault="00E55B1C">
      <w:pPr>
        <w:pStyle w:val="TOC1"/>
        <w:rPr>
          <w:rFonts w:eastAsiaTheme="minorEastAsia"/>
          <w:b w:val="0"/>
          <w:sz w:val="24"/>
          <w:szCs w:val="24"/>
          <w:lang w:eastAsia="en-GB"/>
        </w:rPr>
      </w:pPr>
      <w:r>
        <w:rPr>
          <w:bCs/>
          <w:szCs w:val="24"/>
        </w:rPr>
        <w:fldChar w:fldCharType="begin"/>
      </w:r>
      <w:r>
        <w:rPr>
          <w:bCs/>
          <w:szCs w:val="24"/>
        </w:rPr>
        <w:instrText xml:space="preserve"> TOC \t "Heading 2,1,Heading 3,2" </w:instrText>
      </w:r>
      <w:r>
        <w:rPr>
          <w:bCs/>
          <w:szCs w:val="24"/>
        </w:rPr>
        <w:fldChar w:fldCharType="separate"/>
      </w:r>
      <w:r w:rsidR="00994C9F">
        <w:t>Summary</w:t>
      </w:r>
      <w:r w:rsidR="00994C9F">
        <w:tab/>
      </w:r>
      <w:r w:rsidR="00994C9F">
        <w:fldChar w:fldCharType="begin"/>
      </w:r>
      <w:r w:rsidR="00994C9F">
        <w:instrText xml:space="preserve"> PAGEREF _Toc64624219 \h </w:instrText>
      </w:r>
      <w:r w:rsidR="00994C9F">
        <w:fldChar w:fldCharType="separate"/>
      </w:r>
      <w:r w:rsidR="00994C9F">
        <w:t>iv</w:t>
      </w:r>
      <w:r w:rsidR="00994C9F">
        <w:fldChar w:fldCharType="end"/>
      </w:r>
    </w:p>
    <w:p w14:paraId="6C0C9FD2" w14:textId="64FD1640" w:rsidR="00994C9F" w:rsidRDefault="00994C9F">
      <w:pPr>
        <w:pStyle w:val="TOC1"/>
        <w:rPr>
          <w:rFonts w:eastAsiaTheme="minorEastAsia"/>
          <w:b w:val="0"/>
          <w:sz w:val="24"/>
          <w:szCs w:val="24"/>
          <w:lang w:eastAsia="en-GB"/>
        </w:rPr>
      </w:pPr>
      <w:r w:rsidRPr="00F348C6">
        <w:t>1</w:t>
      </w:r>
      <w:r>
        <w:rPr>
          <w:rFonts w:eastAsiaTheme="minorEastAsia"/>
          <w:b w:val="0"/>
          <w:sz w:val="24"/>
          <w:szCs w:val="24"/>
          <w:lang w:eastAsia="en-GB"/>
        </w:rPr>
        <w:tab/>
      </w:r>
      <w:r>
        <w:t>Introduction</w:t>
      </w:r>
      <w:r>
        <w:tab/>
      </w:r>
      <w:r>
        <w:fldChar w:fldCharType="begin"/>
      </w:r>
      <w:r>
        <w:instrText xml:space="preserve"> PAGEREF _Toc64624220 \h </w:instrText>
      </w:r>
      <w:r>
        <w:fldChar w:fldCharType="separate"/>
      </w:r>
      <w:r>
        <w:t>1</w:t>
      </w:r>
      <w:r>
        <w:fldChar w:fldCharType="end"/>
      </w:r>
    </w:p>
    <w:p w14:paraId="3B5C3CB1" w14:textId="2D461F1E" w:rsidR="00994C9F" w:rsidRDefault="00994C9F">
      <w:pPr>
        <w:pStyle w:val="TOC1"/>
        <w:rPr>
          <w:rFonts w:eastAsiaTheme="minorEastAsia"/>
          <w:b w:val="0"/>
          <w:sz w:val="24"/>
          <w:szCs w:val="24"/>
          <w:lang w:eastAsia="en-GB"/>
        </w:rPr>
      </w:pPr>
      <w:r w:rsidRPr="00F348C6">
        <w:t>2</w:t>
      </w:r>
      <w:r>
        <w:rPr>
          <w:rFonts w:eastAsiaTheme="minorEastAsia"/>
          <w:b w:val="0"/>
          <w:sz w:val="24"/>
          <w:szCs w:val="24"/>
          <w:lang w:eastAsia="en-GB"/>
        </w:rPr>
        <w:tab/>
      </w:r>
      <w:r>
        <w:t>Aquatic toxicology</w:t>
      </w:r>
      <w:r>
        <w:tab/>
      </w:r>
      <w:r>
        <w:fldChar w:fldCharType="begin"/>
      </w:r>
      <w:r>
        <w:instrText xml:space="preserve"> PAGEREF _Toc64624221 \h </w:instrText>
      </w:r>
      <w:r>
        <w:fldChar w:fldCharType="separate"/>
      </w:r>
      <w:r>
        <w:t>2</w:t>
      </w:r>
      <w:r>
        <w:fldChar w:fldCharType="end"/>
      </w:r>
    </w:p>
    <w:p w14:paraId="5C912073" w14:textId="59A6BF38" w:rsidR="00994C9F" w:rsidRDefault="00994C9F">
      <w:pPr>
        <w:pStyle w:val="TOC2"/>
        <w:tabs>
          <w:tab w:val="left" w:pos="960"/>
        </w:tabs>
        <w:rPr>
          <w:rFonts w:eastAsiaTheme="minorEastAsia"/>
          <w:sz w:val="24"/>
          <w:szCs w:val="24"/>
          <w:lang w:eastAsia="en-GB"/>
        </w:rPr>
      </w:pPr>
      <w:r>
        <w:t>2.1</w:t>
      </w:r>
      <w:r>
        <w:rPr>
          <w:rFonts w:eastAsiaTheme="minorEastAsia"/>
          <w:sz w:val="24"/>
          <w:szCs w:val="24"/>
          <w:lang w:eastAsia="en-GB"/>
        </w:rPr>
        <w:tab/>
      </w:r>
      <w:r>
        <w:t>Mechanisms of toxicity</w:t>
      </w:r>
      <w:r>
        <w:tab/>
      </w:r>
      <w:r>
        <w:fldChar w:fldCharType="begin"/>
      </w:r>
      <w:r>
        <w:instrText xml:space="preserve"> PAGEREF _Toc64624222 \h </w:instrText>
      </w:r>
      <w:r>
        <w:fldChar w:fldCharType="separate"/>
      </w:r>
      <w:r>
        <w:t>2</w:t>
      </w:r>
      <w:r>
        <w:fldChar w:fldCharType="end"/>
      </w:r>
    </w:p>
    <w:p w14:paraId="4696C6ED" w14:textId="2DAE4B81" w:rsidR="00994C9F" w:rsidRDefault="00994C9F">
      <w:pPr>
        <w:pStyle w:val="TOC2"/>
        <w:tabs>
          <w:tab w:val="left" w:pos="960"/>
        </w:tabs>
        <w:rPr>
          <w:rFonts w:eastAsiaTheme="minorEastAsia"/>
          <w:sz w:val="24"/>
          <w:szCs w:val="24"/>
          <w:lang w:eastAsia="en-GB"/>
        </w:rPr>
      </w:pPr>
      <w:r>
        <w:t>2.2</w:t>
      </w:r>
      <w:r>
        <w:rPr>
          <w:rFonts w:eastAsiaTheme="minorEastAsia"/>
          <w:sz w:val="24"/>
          <w:szCs w:val="24"/>
          <w:lang w:eastAsia="en-GB"/>
        </w:rPr>
        <w:tab/>
      </w:r>
      <w:r>
        <w:t>Toxicity</w:t>
      </w:r>
      <w:r>
        <w:tab/>
      </w:r>
      <w:r>
        <w:fldChar w:fldCharType="begin"/>
      </w:r>
      <w:r>
        <w:instrText xml:space="preserve"> PAGEREF _Toc64624223 \h </w:instrText>
      </w:r>
      <w:r>
        <w:fldChar w:fldCharType="separate"/>
      </w:r>
      <w:r>
        <w:t>3</w:t>
      </w:r>
      <w:r>
        <w:fldChar w:fldCharType="end"/>
      </w:r>
    </w:p>
    <w:p w14:paraId="215A4233" w14:textId="75B1B99E" w:rsidR="00994C9F" w:rsidRDefault="00994C9F">
      <w:pPr>
        <w:pStyle w:val="TOC1"/>
        <w:rPr>
          <w:rFonts w:eastAsiaTheme="minorEastAsia"/>
          <w:b w:val="0"/>
          <w:sz w:val="24"/>
          <w:szCs w:val="24"/>
          <w:lang w:eastAsia="en-GB"/>
        </w:rPr>
      </w:pPr>
      <w:r w:rsidRPr="00F348C6">
        <w:t>3</w:t>
      </w:r>
      <w:r>
        <w:rPr>
          <w:rFonts w:eastAsiaTheme="minorEastAsia"/>
          <w:b w:val="0"/>
          <w:sz w:val="24"/>
          <w:szCs w:val="24"/>
          <w:lang w:eastAsia="en-GB"/>
        </w:rPr>
        <w:tab/>
      </w:r>
      <w:r>
        <w:t>Factors affecting toxicity</w:t>
      </w:r>
      <w:r>
        <w:tab/>
      </w:r>
      <w:r>
        <w:fldChar w:fldCharType="begin"/>
      </w:r>
      <w:r>
        <w:instrText xml:space="preserve"> PAGEREF _Toc64624291 \h </w:instrText>
      </w:r>
      <w:r>
        <w:fldChar w:fldCharType="separate"/>
      </w:r>
      <w:r>
        <w:t>3</w:t>
      </w:r>
      <w:r>
        <w:fldChar w:fldCharType="end"/>
      </w:r>
    </w:p>
    <w:p w14:paraId="1EAA58AD" w14:textId="520174B8" w:rsidR="00994C9F" w:rsidRDefault="00994C9F">
      <w:pPr>
        <w:pStyle w:val="TOC1"/>
        <w:rPr>
          <w:rFonts w:eastAsiaTheme="minorEastAsia"/>
          <w:b w:val="0"/>
          <w:sz w:val="24"/>
          <w:szCs w:val="24"/>
          <w:lang w:eastAsia="en-GB"/>
        </w:rPr>
      </w:pPr>
      <w:r w:rsidRPr="00F348C6">
        <w:t>4</w:t>
      </w:r>
      <w:r>
        <w:rPr>
          <w:rFonts w:eastAsiaTheme="minorEastAsia"/>
          <w:b w:val="0"/>
          <w:sz w:val="24"/>
          <w:szCs w:val="24"/>
          <w:lang w:eastAsia="en-GB"/>
        </w:rPr>
        <w:tab/>
      </w:r>
      <w:r>
        <w:t>Default guideline value derivation</w:t>
      </w:r>
      <w:r>
        <w:tab/>
      </w:r>
      <w:r>
        <w:fldChar w:fldCharType="begin"/>
      </w:r>
      <w:r>
        <w:instrText xml:space="preserve"> PAGEREF _Toc64624292 \h </w:instrText>
      </w:r>
      <w:r>
        <w:fldChar w:fldCharType="separate"/>
      </w:r>
      <w:r>
        <w:t>4</w:t>
      </w:r>
      <w:r>
        <w:fldChar w:fldCharType="end"/>
      </w:r>
    </w:p>
    <w:p w14:paraId="08189687" w14:textId="23965B91" w:rsidR="00994C9F" w:rsidRDefault="00994C9F">
      <w:pPr>
        <w:pStyle w:val="TOC2"/>
        <w:tabs>
          <w:tab w:val="left" w:pos="960"/>
        </w:tabs>
        <w:rPr>
          <w:rFonts w:eastAsiaTheme="minorEastAsia"/>
          <w:sz w:val="24"/>
          <w:szCs w:val="24"/>
          <w:lang w:eastAsia="en-GB"/>
        </w:rPr>
      </w:pPr>
      <w:r>
        <w:t>4.1</w:t>
      </w:r>
      <w:r>
        <w:rPr>
          <w:rFonts w:eastAsiaTheme="minorEastAsia"/>
          <w:sz w:val="24"/>
          <w:szCs w:val="24"/>
          <w:lang w:eastAsia="en-GB"/>
        </w:rPr>
        <w:tab/>
      </w:r>
      <w:r>
        <w:t>Toxicity data used in derivation</w:t>
      </w:r>
      <w:r>
        <w:tab/>
      </w:r>
      <w:r>
        <w:fldChar w:fldCharType="begin"/>
      </w:r>
      <w:r>
        <w:instrText xml:space="preserve"> PAGEREF _Toc64624293 \h </w:instrText>
      </w:r>
      <w:r>
        <w:fldChar w:fldCharType="separate"/>
      </w:r>
      <w:r>
        <w:t>4</w:t>
      </w:r>
      <w:r>
        <w:fldChar w:fldCharType="end"/>
      </w:r>
    </w:p>
    <w:p w14:paraId="32537CEE" w14:textId="32EC2BC0" w:rsidR="00994C9F" w:rsidRDefault="00994C9F">
      <w:pPr>
        <w:pStyle w:val="TOC2"/>
        <w:tabs>
          <w:tab w:val="left" w:pos="960"/>
        </w:tabs>
        <w:rPr>
          <w:rFonts w:eastAsiaTheme="minorEastAsia"/>
          <w:sz w:val="24"/>
          <w:szCs w:val="24"/>
          <w:lang w:eastAsia="en-GB"/>
        </w:rPr>
      </w:pPr>
      <w:r>
        <w:t>4.2</w:t>
      </w:r>
      <w:r>
        <w:rPr>
          <w:rFonts w:eastAsiaTheme="minorEastAsia"/>
          <w:sz w:val="24"/>
          <w:szCs w:val="24"/>
          <w:lang w:eastAsia="en-GB"/>
        </w:rPr>
        <w:tab/>
      </w:r>
      <w:r>
        <w:t>Species sensitivity distribution</w:t>
      </w:r>
      <w:r>
        <w:tab/>
      </w:r>
      <w:r>
        <w:fldChar w:fldCharType="begin"/>
      </w:r>
      <w:r>
        <w:instrText xml:space="preserve"> PAGEREF _Toc64624294 \h </w:instrText>
      </w:r>
      <w:r>
        <w:fldChar w:fldCharType="separate"/>
      </w:r>
      <w:r>
        <w:t>7</w:t>
      </w:r>
      <w:r>
        <w:fldChar w:fldCharType="end"/>
      </w:r>
    </w:p>
    <w:p w14:paraId="47EC7FAA" w14:textId="1D0D8288" w:rsidR="00994C9F" w:rsidRDefault="00994C9F">
      <w:pPr>
        <w:pStyle w:val="TOC2"/>
        <w:tabs>
          <w:tab w:val="left" w:pos="960"/>
        </w:tabs>
        <w:rPr>
          <w:rFonts w:eastAsiaTheme="minorEastAsia"/>
          <w:sz w:val="24"/>
          <w:szCs w:val="24"/>
          <w:lang w:eastAsia="en-GB"/>
        </w:rPr>
      </w:pPr>
      <w:r>
        <w:t>4.3</w:t>
      </w:r>
      <w:r>
        <w:rPr>
          <w:rFonts w:eastAsiaTheme="minorEastAsia"/>
          <w:sz w:val="24"/>
          <w:szCs w:val="24"/>
          <w:lang w:eastAsia="en-GB"/>
        </w:rPr>
        <w:tab/>
      </w:r>
      <w:r>
        <w:t>Default guideline values</w:t>
      </w:r>
      <w:r>
        <w:tab/>
      </w:r>
      <w:r>
        <w:fldChar w:fldCharType="begin"/>
      </w:r>
      <w:r>
        <w:instrText xml:space="preserve"> PAGEREF _Toc64624295 \h </w:instrText>
      </w:r>
      <w:r>
        <w:fldChar w:fldCharType="separate"/>
      </w:r>
      <w:r>
        <w:t>7</w:t>
      </w:r>
      <w:r>
        <w:fldChar w:fldCharType="end"/>
      </w:r>
    </w:p>
    <w:p w14:paraId="56EA885B" w14:textId="5C4BE7BE" w:rsidR="00994C9F" w:rsidRDefault="00994C9F">
      <w:pPr>
        <w:pStyle w:val="TOC2"/>
        <w:tabs>
          <w:tab w:val="left" w:pos="960"/>
        </w:tabs>
        <w:rPr>
          <w:rFonts w:eastAsiaTheme="minorEastAsia"/>
          <w:sz w:val="24"/>
          <w:szCs w:val="24"/>
          <w:lang w:eastAsia="en-GB"/>
        </w:rPr>
      </w:pPr>
      <w:r>
        <w:t>4.4</w:t>
      </w:r>
      <w:r>
        <w:rPr>
          <w:rFonts w:eastAsiaTheme="minorEastAsia"/>
          <w:sz w:val="24"/>
          <w:szCs w:val="24"/>
          <w:lang w:eastAsia="en-GB"/>
        </w:rPr>
        <w:tab/>
      </w:r>
      <w:r>
        <w:t>Reliability classification</w:t>
      </w:r>
      <w:r>
        <w:tab/>
      </w:r>
      <w:r>
        <w:fldChar w:fldCharType="begin"/>
      </w:r>
      <w:r>
        <w:instrText xml:space="preserve"> PAGEREF _Toc64624296 \h </w:instrText>
      </w:r>
      <w:r>
        <w:fldChar w:fldCharType="separate"/>
      </w:r>
      <w:r>
        <w:t>8</w:t>
      </w:r>
      <w:r>
        <w:fldChar w:fldCharType="end"/>
      </w:r>
    </w:p>
    <w:p w14:paraId="7E7DDE9A" w14:textId="39D00279" w:rsidR="00994C9F" w:rsidRDefault="00994C9F">
      <w:pPr>
        <w:pStyle w:val="TOC1"/>
        <w:rPr>
          <w:rFonts w:eastAsiaTheme="minorEastAsia"/>
          <w:b w:val="0"/>
          <w:sz w:val="24"/>
          <w:szCs w:val="24"/>
          <w:lang w:eastAsia="en-GB"/>
        </w:rPr>
      </w:pPr>
      <w:r>
        <w:t>Glossary</w:t>
      </w:r>
      <w:r>
        <w:tab/>
      </w:r>
      <w:r>
        <w:fldChar w:fldCharType="begin"/>
      </w:r>
      <w:r>
        <w:instrText xml:space="preserve"> PAGEREF _Toc64624297 \h </w:instrText>
      </w:r>
      <w:r>
        <w:fldChar w:fldCharType="separate"/>
      </w:r>
      <w:r>
        <w:t>9</w:t>
      </w:r>
      <w:r>
        <w:fldChar w:fldCharType="end"/>
      </w:r>
    </w:p>
    <w:p w14:paraId="3DD1A817" w14:textId="32D3B533" w:rsidR="00994C9F" w:rsidRDefault="00994C9F">
      <w:pPr>
        <w:pStyle w:val="TOC1"/>
        <w:rPr>
          <w:rFonts w:eastAsiaTheme="minorEastAsia"/>
          <w:b w:val="0"/>
          <w:sz w:val="24"/>
          <w:szCs w:val="24"/>
          <w:lang w:eastAsia="en-GB"/>
        </w:rPr>
      </w:pPr>
      <w:r>
        <w:t>Appendix A: Toxicity data that passed the screening and quality assessment and were used to derive the default guideline values</w:t>
      </w:r>
      <w:r>
        <w:tab/>
      </w:r>
      <w:r>
        <w:fldChar w:fldCharType="begin"/>
      </w:r>
      <w:r>
        <w:instrText xml:space="preserve"> PAGEREF _Toc64624298 \h </w:instrText>
      </w:r>
      <w:r>
        <w:fldChar w:fldCharType="separate"/>
      </w:r>
      <w:r>
        <w:t>11</w:t>
      </w:r>
      <w:r>
        <w:fldChar w:fldCharType="end"/>
      </w:r>
    </w:p>
    <w:p w14:paraId="2F2A54CC" w14:textId="0487A6AC" w:rsidR="00994C9F" w:rsidRDefault="00994C9F">
      <w:pPr>
        <w:pStyle w:val="TOC1"/>
        <w:rPr>
          <w:rFonts w:eastAsiaTheme="minorEastAsia"/>
          <w:b w:val="0"/>
          <w:sz w:val="24"/>
          <w:szCs w:val="24"/>
          <w:lang w:eastAsia="en-GB"/>
        </w:rPr>
      </w:pPr>
      <w:r>
        <w:t>Appendix B: Modality assessment for glyphosate toxicity to freshwater species</w:t>
      </w:r>
      <w:r>
        <w:tab/>
      </w:r>
      <w:r>
        <w:fldChar w:fldCharType="begin"/>
      </w:r>
      <w:r>
        <w:instrText xml:space="preserve"> PAGEREF _Toc64624299 \h </w:instrText>
      </w:r>
      <w:r>
        <w:fldChar w:fldCharType="separate"/>
      </w:r>
      <w:r>
        <w:t>15</w:t>
      </w:r>
      <w:r>
        <w:fldChar w:fldCharType="end"/>
      </w:r>
    </w:p>
    <w:p w14:paraId="0603D2CE" w14:textId="3A0845CA" w:rsidR="00994C9F" w:rsidRDefault="00994C9F">
      <w:pPr>
        <w:pStyle w:val="TOC1"/>
        <w:rPr>
          <w:rFonts w:eastAsiaTheme="minorEastAsia"/>
          <w:b w:val="0"/>
          <w:sz w:val="24"/>
          <w:szCs w:val="24"/>
          <w:lang w:eastAsia="en-GB"/>
        </w:rPr>
      </w:pPr>
      <w:r>
        <w:t>References</w:t>
      </w:r>
      <w:r>
        <w:tab/>
      </w:r>
      <w:r>
        <w:fldChar w:fldCharType="begin"/>
      </w:r>
      <w:r>
        <w:instrText xml:space="preserve"> PAGEREF _Toc64624300 \h </w:instrText>
      </w:r>
      <w:r>
        <w:fldChar w:fldCharType="separate"/>
      </w:r>
      <w:r>
        <w:t>18</w:t>
      </w:r>
      <w:r>
        <w:fldChar w:fldCharType="end"/>
      </w:r>
    </w:p>
    <w:p w14:paraId="11B0DAB9" w14:textId="5BBAE141" w:rsidR="001C0D1C" w:rsidRDefault="00E55B1C">
      <w:pPr>
        <w:pStyle w:val="TOCHeading2"/>
      </w:pPr>
      <w:r>
        <w:rPr>
          <w:rFonts w:asciiTheme="minorHAnsi" w:eastAsiaTheme="minorHAnsi" w:hAnsiTheme="minorHAnsi" w:cstheme="minorBidi"/>
          <w:noProof/>
          <w:color w:val="auto"/>
          <w:sz w:val="22"/>
          <w:szCs w:val="24"/>
          <w:lang w:val="en-AU"/>
        </w:rPr>
        <w:fldChar w:fldCharType="end"/>
      </w:r>
      <w:r>
        <w:t>Figures</w:t>
      </w:r>
    </w:p>
    <w:p w14:paraId="5709C9FB" w14:textId="2BAE5E5E" w:rsidR="00994C9F" w:rsidRDefault="00E55B1C">
      <w:pPr>
        <w:pStyle w:val="TableofFigures"/>
        <w:tabs>
          <w:tab w:val="right" w:leader="dot" w:pos="9060"/>
        </w:tabs>
        <w:rPr>
          <w:rFonts w:eastAsiaTheme="minorEastAsia"/>
          <w:noProof/>
          <w:sz w:val="24"/>
          <w:szCs w:val="24"/>
          <w:lang w:eastAsia="en-GB"/>
        </w:rPr>
      </w:pPr>
      <w:r>
        <w:fldChar w:fldCharType="begin"/>
      </w:r>
      <w:r>
        <w:instrText xml:space="preserve"> TOC \c "Figure" </w:instrText>
      </w:r>
      <w:r>
        <w:fldChar w:fldCharType="separate"/>
      </w:r>
      <w:r w:rsidR="00994C9F">
        <w:rPr>
          <w:noProof/>
        </w:rPr>
        <w:t>Figure 1 Structure of glyphosate</w:t>
      </w:r>
      <w:r w:rsidR="00994C9F">
        <w:rPr>
          <w:noProof/>
        </w:rPr>
        <w:tab/>
      </w:r>
      <w:r w:rsidR="00994C9F">
        <w:rPr>
          <w:noProof/>
        </w:rPr>
        <w:fldChar w:fldCharType="begin"/>
      </w:r>
      <w:r w:rsidR="00994C9F">
        <w:rPr>
          <w:noProof/>
        </w:rPr>
        <w:instrText xml:space="preserve"> PAGEREF _Toc64624301 \h </w:instrText>
      </w:r>
      <w:r w:rsidR="00994C9F">
        <w:rPr>
          <w:noProof/>
        </w:rPr>
      </w:r>
      <w:r w:rsidR="00994C9F">
        <w:rPr>
          <w:noProof/>
        </w:rPr>
        <w:fldChar w:fldCharType="separate"/>
      </w:r>
      <w:r w:rsidR="00994C9F">
        <w:rPr>
          <w:noProof/>
        </w:rPr>
        <w:t>1</w:t>
      </w:r>
      <w:r w:rsidR="00994C9F">
        <w:rPr>
          <w:noProof/>
        </w:rPr>
        <w:fldChar w:fldCharType="end"/>
      </w:r>
    </w:p>
    <w:p w14:paraId="2D9686BD" w14:textId="62D3FA26" w:rsidR="00994C9F" w:rsidRDefault="00994C9F">
      <w:pPr>
        <w:pStyle w:val="TableofFigures"/>
        <w:tabs>
          <w:tab w:val="right" w:leader="dot" w:pos="9060"/>
        </w:tabs>
        <w:rPr>
          <w:rFonts w:eastAsiaTheme="minorEastAsia"/>
          <w:noProof/>
          <w:sz w:val="24"/>
          <w:szCs w:val="24"/>
          <w:lang w:eastAsia="en-GB"/>
        </w:rPr>
      </w:pPr>
      <w:r>
        <w:rPr>
          <w:noProof/>
        </w:rPr>
        <w:t>Figure 2 Species sensitivity distribution, glyphosate in freshwater</w:t>
      </w:r>
      <w:r>
        <w:rPr>
          <w:noProof/>
        </w:rPr>
        <w:tab/>
      </w:r>
      <w:r>
        <w:rPr>
          <w:noProof/>
        </w:rPr>
        <w:fldChar w:fldCharType="begin"/>
      </w:r>
      <w:r>
        <w:rPr>
          <w:noProof/>
        </w:rPr>
        <w:instrText xml:space="preserve"> PAGEREF _Toc64624302 \h </w:instrText>
      </w:r>
      <w:r>
        <w:rPr>
          <w:noProof/>
        </w:rPr>
      </w:r>
      <w:r>
        <w:rPr>
          <w:noProof/>
        </w:rPr>
        <w:fldChar w:fldCharType="separate"/>
      </w:r>
      <w:r>
        <w:rPr>
          <w:noProof/>
        </w:rPr>
        <w:t>7</w:t>
      </w:r>
      <w:r>
        <w:rPr>
          <w:noProof/>
        </w:rPr>
        <w:fldChar w:fldCharType="end"/>
      </w:r>
    </w:p>
    <w:p w14:paraId="17A22399" w14:textId="02BBD15D" w:rsidR="001C0D1C" w:rsidRDefault="00E55B1C">
      <w:pPr>
        <w:pStyle w:val="TOCHeading2"/>
      </w:pPr>
      <w:r>
        <w:rPr>
          <w:rFonts w:ascii="Cambria" w:hAnsi="Cambria"/>
          <w:color w:val="auto"/>
          <w:sz w:val="22"/>
          <w:szCs w:val="24"/>
        </w:rPr>
        <w:fldChar w:fldCharType="end"/>
      </w:r>
      <w:r>
        <w:t>Tables</w:t>
      </w:r>
    </w:p>
    <w:p w14:paraId="1863E73F" w14:textId="6B4BE6BD" w:rsidR="00994C9F" w:rsidRDefault="00E55B1C">
      <w:pPr>
        <w:pStyle w:val="TableofFigures"/>
        <w:tabs>
          <w:tab w:val="right" w:leader="dot" w:pos="9060"/>
        </w:tabs>
        <w:rPr>
          <w:rFonts w:eastAsiaTheme="minorEastAsia"/>
          <w:noProof/>
          <w:sz w:val="24"/>
          <w:szCs w:val="24"/>
          <w:lang w:eastAsia="en-GB"/>
        </w:rPr>
      </w:pPr>
      <w:r>
        <w:rPr>
          <w:bCs/>
          <w:szCs w:val="24"/>
        </w:rPr>
        <w:fldChar w:fldCharType="begin"/>
      </w:r>
      <w:r>
        <w:rPr>
          <w:bCs/>
        </w:rPr>
        <w:instrText xml:space="preserve"> TOC \c "Table" </w:instrText>
      </w:r>
      <w:r>
        <w:rPr>
          <w:bCs/>
          <w:szCs w:val="24"/>
        </w:rPr>
        <w:fldChar w:fldCharType="separate"/>
      </w:r>
      <w:r w:rsidR="00994C9F">
        <w:rPr>
          <w:noProof/>
        </w:rPr>
        <w:t>Table 1 Summary of selected physico-chemical properties of glyphosate</w:t>
      </w:r>
      <w:r w:rsidR="00994C9F">
        <w:rPr>
          <w:noProof/>
        </w:rPr>
        <w:tab/>
      </w:r>
      <w:r w:rsidR="00994C9F">
        <w:rPr>
          <w:noProof/>
        </w:rPr>
        <w:fldChar w:fldCharType="begin"/>
      </w:r>
      <w:r w:rsidR="00994C9F">
        <w:rPr>
          <w:noProof/>
        </w:rPr>
        <w:instrText xml:space="preserve"> PAGEREF _Toc64624303 \h </w:instrText>
      </w:r>
      <w:r w:rsidR="00994C9F">
        <w:rPr>
          <w:noProof/>
        </w:rPr>
      </w:r>
      <w:r w:rsidR="00994C9F">
        <w:rPr>
          <w:noProof/>
        </w:rPr>
        <w:fldChar w:fldCharType="separate"/>
      </w:r>
      <w:r w:rsidR="00994C9F">
        <w:rPr>
          <w:noProof/>
        </w:rPr>
        <w:t>1</w:t>
      </w:r>
      <w:r w:rsidR="00994C9F">
        <w:rPr>
          <w:noProof/>
        </w:rPr>
        <w:fldChar w:fldCharType="end"/>
      </w:r>
    </w:p>
    <w:p w14:paraId="4BAB1043" w14:textId="674FA5A1" w:rsidR="00994C9F" w:rsidRDefault="00994C9F">
      <w:pPr>
        <w:pStyle w:val="TableofFigures"/>
        <w:tabs>
          <w:tab w:val="right" w:leader="dot" w:pos="9060"/>
        </w:tabs>
        <w:rPr>
          <w:rFonts w:eastAsiaTheme="minorEastAsia"/>
          <w:noProof/>
          <w:sz w:val="24"/>
          <w:szCs w:val="24"/>
          <w:lang w:eastAsia="en-GB"/>
        </w:rPr>
      </w:pPr>
      <w:r>
        <w:rPr>
          <w:noProof/>
        </w:rPr>
        <w:t>Table 2 Summary of single chronic toxicity values, all species used to derive default guideline values for glyphosate in freshwater</w:t>
      </w:r>
      <w:r>
        <w:rPr>
          <w:noProof/>
        </w:rPr>
        <w:tab/>
      </w:r>
      <w:r>
        <w:rPr>
          <w:noProof/>
        </w:rPr>
        <w:fldChar w:fldCharType="begin"/>
      </w:r>
      <w:r>
        <w:rPr>
          <w:noProof/>
        </w:rPr>
        <w:instrText xml:space="preserve"> PAGEREF _Toc64624304 \h </w:instrText>
      </w:r>
      <w:r>
        <w:rPr>
          <w:noProof/>
        </w:rPr>
      </w:r>
      <w:r>
        <w:rPr>
          <w:noProof/>
        </w:rPr>
        <w:fldChar w:fldCharType="separate"/>
      </w:r>
      <w:r>
        <w:rPr>
          <w:noProof/>
        </w:rPr>
        <w:t>6</w:t>
      </w:r>
      <w:r>
        <w:rPr>
          <w:noProof/>
        </w:rPr>
        <w:fldChar w:fldCharType="end"/>
      </w:r>
    </w:p>
    <w:p w14:paraId="7C9BB2E7" w14:textId="15A2A335" w:rsidR="00994C9F" w:rsidRDefault="00994C9F">
      <w:pPr>
        <w:pStyle w:val="TableofFigures"/>
        <w:tabs>
          <w:tab w:val="right" w:leader="dot" w:pos="9060"/>
        </w:tabs>
        <w:rPr>
          <w:rFonts w:eastAsiaTheme="minorEastAsia"/>
          <w:noProof/>
          <w:sz w:val="24"/>
          <w:szCs w:val="24"/>
          <w:lang w:eastAsia="en-GB"/>
        </w:rPr>
      </w:pPr>
      <w:r>
        <w:rPr>
          <w:noProof/>
        </w:rPr>
        <w:t xml:space="preserve">Table 3 Toxicant default guideline values, glyphosate in freshwater, </w:t>
      </w:r>
      <w:r w:rsidR="008E0CDA">
        <w:rPr>
          <w:noProof/>
        </w:rPr>
        <w:t xml:space="preserve">very </w:t>
      </w:r>
      <w:r>
        <w:rPr>
          <w:noProof/>
        </w:rPr>
        <w:t>high reliability</w:t>
      </w:r>
      <w:r>
        <w:rPr>
          <w:noProof/>
        </w:rPr>
        <w:tab/>
      </w:r>
      <w:r>
        <w:rPr>
          <w:noProof/>
        </w:rPr>
        <w:fldChar w:fldCharType="begin"/>
      </w:r>
      <w:r>
        <w:rPr>
          <w:noProof/>
        </w:rPr>
        <w:instrText xml:space="preserve"> PAGEREF _Toc64624305 \h </w:instrText>
      </w:r>
      <w:r>
        <w:rPr>
          <w:noProof/>
        </w:rPr>
      </w:r>
      <w:r>
        <w:rPr>
          <w:noProof/>
        </w:rPr>
        <w:fldChar w:fldCharType="separate"/>
      </w:r>
      <w:r>
        <w:rPr>
          <w:noProof/>
        </w:rPr>
        <w:t>8</w:t>
      </w:r>
      <w:r>
        <w:rPr>
          <w:noProof/>
        </w:rPr>
        <w:fldChar w:fldCharType="end"/>
      </w:r>
    </w:p>
    <w:p w14:paraId="0D6E1C80" w14:textId="7C2B3C94" w:rsidR="00401C43" w:rsidRDefault="00E55B1C" w:rsidP="00401C43">
      <w:pPr>
        <w:pStyle w:val="TOCHeading2"/>
        <w:rPr>
          <w:bCs w:val="0"/>
          <w:szCs w:val="24"/>
        </w:rPr>
      </w:pPr>
      <w:r>
        <w:fldChar w:fldCharType="end"/>
      </w:r>
      <w:r w:rsidR="00401C43">
        <w:rPr>
          <w:bCs w:val="0"/>
          <w:szCs w:val="24"/>
        </w:rPr>
        <w:t>Appendix tables</w:t>
      </w:r>
    </w:p>
    <w:p w14:paraId="44EE524F" w14:textId="097F8338" w:rsidR="00023A1F" w:rsidRDefault="00401C43">
      <w:pPr>
        <w:pStyle w:val="TableofFigures"/>
        <w:tabs>
          <w:tab w:val="right" w:leader="dot" w:pos="9060"/>
        </w:tabs>
        <w:rPr>
          <w:rFonts w:eastAsiaTheme="minorEastAsia"/>
          <w:noProof/>
          <w:lang w:eastAsia="en-AU"/>
        </w:rPr>
      </w:pPr>
      <w:r>
        <w:rPr>
          <w:bCs/>
        </w:rPr>
        <w:fldChar w:fldCharType="begin"/>
      </w:r>
      <w:r>
        <w:rPr>
          <w:bCs/>
        </w:rPr>
        <w:instrText xml:space="preserve"> TOC \h \z \c "Table A" </w:instrText>
      </w:r>
      <w:r>
        <w:rPr>
          <w:bCs/>
        </w:rPr>
        <w:fldChar w:fldCharType="separate"/>
      </w:r>
      <w:hyperlink w:anchor="_Toc32491888" w:history="1">
        <w:r w:rsidR="00023A1F" w:rsidRPr="00192F83">
          <w:rPr>
            <w:rStyle w:val="Hyperlink"/>
            <w:noProof/>
          </w:rPr>
          <w:t>Table A 1 Summary,</w:t>
        </w:r>
        <w:r w:rsidR="008E0CDA">
          <w:rPr>
            <w:rStyle w:val="Hyperlink"/>
            <w:noProof/>
          </w:rPr>
          <w:t xml:space="preserve"> chronic</w:t>
        </w:r>
        <w:r w:rsidR="00023A1F" w:rsidRPr="00192F83">
          <w:rPr>
            <w:rStyle w:val="Hyperlink"/>
            <w:noProof/>
          </w:rPr>
          <w:t xml:space="preserve"> toxicity data that passed the screening and quality assurance processes, glyphosate in freshwater</w:t>
        </w:r>
        <w:r w:rsidR="00023A1F">
          <w:rPr>
            <w:noProof/>
            <w:webHidden/>
          </w:rPr>
          <w:tab/>
        </w:r>
        <w:r w:rsidR="00023A1F">
          <w:rPr>
            <w:noProof/>
            <w:webHidden/>
          </w:rPr>
          <w:fldChar w:fldCharType="begin"/>
        </w:r>
        <w:r w:rsidR="00023A1F">
          <w:rPr>
            <w:noProof/>
            <w:webHidden/>
          </w:rPr>
          <w:instrText xml:space="preserve"> PAGEREF _Toc32491888 \h </w:instrText>
        </w:r>
        <w:r w:rsidR="00023A1F">
          <w:rPr>
            <w:noProof/>
            <w:webHidden/>
          </w:rPr>
        </w:r>
        <w:r w:rsidR="00023A1F">
          <w:rPr>
            <w:noProof/>
            <w:webHidden/>
          </w:rPr>
          <w:fldChar w:fldCharType="separate"/>
        </w:r>
        <w:r w:rsidR="00994C9F">
          <w:rPr>
            <w:noProof/>
            <w:webHidden/>
          </w:rPr>
          <w:t>11</w:t>
        </w:r>
        <w:r w:rsidR="00023A1F">
          <w:rPr>
            <w:noProof/>
            <w:webHidden/>
          </w:rPr>
          <w:fldChar w:fldCharType="end"/>
        </w:r>
      </w:hyperlink>
    </w:p>
    <w:p w14:paraId="0BF17FC2" w14:textId="77777777" w:rsidR="00994C9F" w:rsidRDefault="00401C43" w:rsidP="0057591A">
      <w:pPr>
        <w:pStyle w:val="TOCHeading2"/>
        <w:rPr>
          <w:noProof/>
        </w:rPr>
      </w:pPr>
      <w:r>
        <w:rPr>
          <w:bCs w:val="0"/>
        </w:rPr>
        <w:fldChar w:fldCharType="end"/>
      </w:r>
      <w:r w:rsidR="0057591A">
        <w:rPr>
          <w:bCs w:val="0"/>
          <w:szCs w:val="24"/>
        </w:rPr>
        <w:t>Appendix figures</w:t>
      </w:r>
      <w:r w:rsidR="0057591A">
        <w:rPr>
          <w:bCs w:val="0"/>
        </w:rPr>
        <w:fldChar w:fldCharType="begin"/>
      </w:r>
      <w:r w:rsidR="0057591A">
        <w:rPr>
          <w:bCs w:val="0"/>
        </w:rPr>
        <w:instrText xml:space="preserve"> TOC \h \z \c "Figure B" </w:instrText>
      </w:r>
      <w:r w:rsidR="0057591A">
        <w:rPr>
          <w:bCs w:val="0"/>
        </w:rPr>
        <w:fldChar w:fldCharType="separate"/>
      </w:r>
    </w:p>
    <w:p w14:paraId="4ABEE8CD" w14:textId="5D5D3BA6" w:rsidR="00994C9F" w:rsidRDefault="00736C4F">
      <w:pPr>
        <w:pStyle w:val="TableofFigures"/>
        <w:tabs>
          <w:tab w:val="right" w:leader="dot" w:pos="9060"/>
        </w:tabs>
        <w:rPr>
          <w:rFonts w:eastAsiaTheme="minorEastAsia"/>
          <w:noProof/>
          <w:sz w:val="24"/>
          <w:szCs w:val="24"/>
          <w:lang w:eastAsia="en-GB"/>
        </w:rPr>
      </w:pPr>
      <w:hyperlink w:anchor="_Toc64624308" w:history="1">
        <w:r w:rsidR="00994C9F" w:rsidRPr="003875E5">
          <w:rPr>
            <w:rStyle w:val="Hyperlink"/>
            <w:noProof/>
          </w:rPr>
          <w:t>Figure B 1 Frequency histogram, log-transformed glyphosate ecotoxicity data, freshwater species</w:t>
        </w:r>
        <w:r w:rsidR="00994C9F">
          <w:rPr>
            <w:noProof/>
            <w:webHidden/>
          </w:rPr>
          <w:tab/>
        </w:r>
        <w:r w:rsidR="00994C9F">
          <w:rPr>
            <w:noProof/>
            <w:webHidden/>
          </w:rPr>
          <w:fldChar w:fldCharType="begin"/>
        </w:r>
        <w:r w:rsidR="00994C9F">
          <w:rPr>
            <w:noProof/>
            <w:webHidden/>
          </w:rPr>
          <w:instrText xml:space="preserve"> PAGEREF _Toc64624308 \h </w:instrText>
        </w:r>
        <w:r w:rsidR="00994C9F">
          <w:rPr>
            <w:noProof/>
            <w:webHidden/>
          </w:rPr>
        </w:r>
        <w:r w:rsidR="00994C9F">
          <w:rPr>
            <w:noProof/>
            <w:webHidden/>
          </w:rPr>
          <w:fldChar w:fldCharType="separate"/>
        </w:r>
        <w:r w:rsidR="00994C9F">
          <w:rPr>
            <w:noProof/>
            <w:webHidden/>
          </w:rPr>
          <w:t>15</w:t>
        </w:r>
        <w:r w:rsidR="00994C9F">
          <w:rPr>
            <w:noProof/>
            <w:webHidden/>
          </w:rPr>
          <w:fldChar w:fldCharType="end"/>
        </w:r>
      </w:hyperlink>
    </w:p>
    <w:p w14:paraId="18F5EA93" w14:textId="2868C1AB" w:rsidR="00994C9F" w:rsidRDefault="00736C4F">
      <w:pPr>
        <w:pStyle w:val="TableofFigures"/>
        <w:tabs>
          <w:tab w:val="right" w:leader="dot" w:pos="9060"/>
        </w:tabs>
        <w:rPr>
          <w:rFonts w:eastAsiaTheme="minorEastAsia"/>
          <w:noProof/>
          <w:sz w:val="24"/>
          <w:szCs w:val="24"/>
          <w:lang w:eastAsia="en-GB"/>
        </w:rPr>
      </w:pPr>
      <w:hyperlink w:anchor="_Toc64624309" w:history="1">
        <w:r w:rsidR="00994C9F" w:rsidRPr="003875E5">
          <w:rPr>
            <w:rStyle w:val="Hyperlink"/>
            <w:noProof/>
          </w:rPr>
          <w:t>Figure B 2 Box and whisker plots, glyphosate toxicity, freshwater phototrophs and heterotrophs</w:t>
        </w:r>
        <w:r w:rsidR="00994C9F">
          <w:rPr>
            <w:noProof/>
            <w:webHidden/>
          </w:rPr>
          <w:tab/>
        </w:r>
        <w:r w:rsidR="00994C9F">
          <w:rPr>
            <w:noProof/>
            <w:webHidden/>
          </w:rPr>
          <w:fldChar w:fldCharType="begin"/>
        </w:r>
        <w:r w:rsidR="00994C9F">
          <w:rPr>
            <w:noProof/>
            <w:webHidden/>
          </w:rPr>
          <w:instrText xml:space="preserve"> PAGEREF _Toc64624309 \h </w:instrText>
        </w:r>
        <w:r w:rsidR="00994C9F">
          <w:rPr>
            <w:noProof/>
            <w:webHidden/>
          </w:rPr>
        </w:r>
        <w:r w:rsidR="00994C9F">
          <w:rPr>
            <w:noProof/>
            <w:webHidden/>
          </w:rPr>
          <w:fldChar w:fldCharType="separate"/>
        </w:r>
        <w:r w:rsidR="00994C9F">
          <w:rPr>
            <w:noProof/>
            <w:webHidden/>
          </w:rPr>
          <w:t>16</w:t>
        </w:r>
        <w:r w:rsidR="00994C9F">
          <w:rPr>
            <w:noProof/>
            <w:webHidden/>
          </w:rPr>
          <w:fldChar w:fldCharType="end"/>
        </w:r>
      </w:hyperlink>
    </w:p>
    <w:p w14:paraId="2D34C4AC" w14:textId="4C8BB3A9" w:rsidR="00994C9F" w:rsidRDefault="00736C4F">
      <w:pPr>
        <w:pStyle w:val="TableofFigures"/>
        <w:tabs>
          <w:tab w:val="right" w:leader="dot" w:pos="9060"/>
        </w:tabs>
        <w:rPr>
          <w:rFonts w:eastAsiaTheme="minorEastAsia"/>
          <w:noProof/>
          <w:sz w:val="24"/>
          <w:szCs w:val="24"/>
          <w:lang w:eastAsia="en-GB"/>
        </w:rPr>
      </w:pPr>
      <w:hyperlink w:anchor="_Toc64624310" w:history="1">
        <w:r w:rsidR="00994C9F" w:rsidRPr="003875E5">
          <w:rPr>
            <w:rStyle w:val="Hyperlink"/>
            <w:noProof/>
          </w:rPr>
          <w:t>Figure B 3 Species sensitivity distribution, glyphosate toxicity, freshwater phototrophs and heterotrophs</w:t>
        </w:r>
        <w:r w:rsidR="00994C9F">
          <w:rPr>
            <w:noProof/>
            <w:webHidden/>
          </w:rPr>
          <w:tab/>
        </w:r>
        <w:r w:rsidR="00994C9F">
          <w:rPr>
            <w:noProof/>
            <w:webHidden/>
          </w:rPr>
          <w:fldChar w:fldCharType="begin"/>
        </w:r>
        <w:r w:rsidR="00994C9F">
          <w:rPr>
            <w:noProof/>
            <w:webHidden/>
          </w:rPr>
          <w:instrText xml:space="preserve"> PAGEREF _Toc64624310 \h </w:instrText>
        </w:r>
        <w:r w:rsidR="00994C9F">
          <w:rPr>
            <w:noProof/>
            <w:webHidden/>
          </w:rPr>
        </w:r>
        <w:r w:rsidR="00994C9F">
          <w:rPr>
            <w:noProof/>
            <w:webHidden/>
          </w:rPr>
          <w:fldChar w:fldCharType="separate"/>
        </w:r>
        <w:r w:rsidR="00994C9F">
          <w:rPr>
            <w:noProof/>
            <w:webHidden/>
          </w:rPr>
          <w:t>16</w:t>
        </w:r>
        <w:r w:rsidR="00994C9F">
          <w:rPr>
            <w:noProof/>
            <w:webHidden/>
          </w:rPr>
          <w:fldChar w:fldCharType="end"/>
        </w:r>
      </w:hyperlink>
    </w:p>
    <w:p w14:paraId="0C18E2A3" w14:textId="0F23CFF0" w:rsidR="00401C43" w:rsidRDefault="0057591A" w:rsidP="0057591A">
      <w:pPr>
        <w:pStyle w:val="TableofFigures"/>
        <w:tabs>
          <w:tab w:val="right" w:leader="dot" w:pos="9060"/>
        </w:tabs>
      </w:pPr>
      <w:r>
        <w:rPr>
          <w:bCs/>
        </w:rPr>
        <w:fldChar w:fldCharType="end"/>
      </w:r>
      <w:r w:rsidR="00401C43">
        <w:br w:type="page"/>
      </w:r>
    </w:p>
    <w:p w14:paraId="5463ADEF" w14:textId="5FBB8844" w:rsidR="001C0D1C" w:rsidRDefault="00E55B1C" w:rsidP="00BA02DD">
      <w:pPr>
        <w:pStyle w:val="Heading2"/>
        <w:numPr>
          <w:ilvl w:val="0"/>
          <w:numId w:val="0"/>
        </w:numPr>
        <w:ind w:left="680" w:hanging="680"/>
      </w:pPr>
      <w:bookmarkStart w:id="0" w:name="_Toc64624219"/>
      <w:r>
        <w:lastRenderedPageBreak/>
        <w:t>Summary</w:t>
      </w:r>
      <w:bookmarkEnd w:id="0"/>
    </w:p>
    <w:p w14:paraId="06CD922F" w14:textId="36FCD614" w:rsidR="00BF0280" w:rsidRDefault="00736C4F" w:rsidP="007336AC">
      <w:sdt>
        <w:sdtPr>
          <w:alias w:val="Compulsary - text and location locked to Summary"/>
          <w:tag w:val="Compulsary text"/>
          <w:id w:val="-1841920371"/>
          <w:lock w:val="contentLocked"/>
          <w:placeholder>
            <w:docPart w:val="D0BCF04297E7495D9D8E1D30CC03263B"/>
          </w:placeholder>
          <w:text/>
        </w:sdtPr>
        <w:sdtEndPr/>
        <w:sdtContent>
          <w:r w:rsidR="00514ADA"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34EC5F6C" w14:textId="248DF4B1" w:rsidR="00D83CD0" w:rsidRDefault="00D83CD0" w:rsidP="007336AC">
      <w:pPr>
        <w:rPr>
          <w:highlight w:val="yellow"/>
        </w:rPr>
      </w:pPr>
      <w:r w:rsidRPr="00D83CD0">
        <w:t>Glyphosate (N-(phosphonomethyl) glycine, CAS No. 1071-83-6) is a common non-selective, systemic organophosphorus herbicide. Other organophosphorus herbicides include bensulide, fosamine and glufosinate. Glyphosate exerts its toxicity to plants by binding to and inhibiting the enzyme 5-enolpyruvylshikimate 3-phosphate (EPSP) synthase, which prevents the formation of a range of hormones, vitamins and other essential plant metabolites through an inhibition of aromatic amino acid synthesis (APVMA 2014</w:t>
      </w:r>
      <w:r w:rsidR="00634E99">
        <w:t>,</w:t>
      </w:r>
      <w:r w:rsidRPr="00D83CD0">
        <w:t xml:space="preserve"> Myers et al. 2016). Non-agricultural uses include the application of glyphosate to urban and industrial situations (i.e. home gardens and roadsides/golf courses) as well as aquatic weed control in public waterways</w:t>
      </w:r>
      <w:r w:rsidR="00634E99">
        <w:t>,</w:t>
      </w:r>
      <w:r w:rsidRPr="00D83CD0">
        <w:t xml:space="preserve"> most commonly through the use of commercial formulations (</w:t>
      </w:r>
      <w:r w:rsidR="00634E99" w:rsidRPr="00D83CD0">
        <w:t xml:space="preserve">CCME </w:t>
      </w:r>
      <w:r w:rsidR="004A50FB">
        <w:t>2012</w:t>
      </w:r>
      <w:r w:rsidR="00634E99">
        <w:t xml:space="preserve">, </w:t>
      </w:r>
      <w:r w:rsidRPr="00D83CD0">
        <w:t>ANZECC</w:t>
      </w:r>
      <w:r w:rsidR="007D6370">
        <w:t>/</w:t>
      </w:r>
      <w:r w:rsidRPr="00D83CD0">
        <w:t>ARMCANZ 2000;). Glyphosate is the most widely used herbicide in Australia and is prevalent in aquatic ecosystems</w:t>
      </w:r>
      <w:r w:rsidR="007D6370">
        <w:t>. There are</w:t>
      </w:r>
      <w:r w:rsidRPr="00D83CD0">
        <w:t xml:space="preserve"> concerns </w:t>
      </w:r>
      <w:r w:rsidR="007D6370">
        <w:t>about</w:t>
      </w:r>
      <w:r w:rsidR="007D6370" w:rsidRPr="00D83CD0">
        <w:t xml:space="preserve"> </w:t>
      </w:r>
      <w:r w:rsidRPr="00D83CD0">
        <w:t>the potential for some glyphosate formulations to exhibit higher toxicity in comparison to the parent compound (</w:t>
      </w:r>
      <w:r w:rsidR="007D6370" w:rsidRPr="00D83CD0">
        <w:t>ANZECC</w:t>
      </w:r>
      <w:r w:rsidR="007D6370">
        <w:t>/</w:t>
      </w:r>
      <w:r w:rsidR="007D6370" w:rsidRPr="00D83CD0">
        <w:t>ARMCANZ 2000</w:t>
      </w:r>
      <w:r w:rsidR="007D6370">
        <w:t xml:space="preserve">, </w:t>
      </w:r>
      <w:r w:rsidRPr="00D83CD0">
        <w:t>AATSE 2002).</w:t>
      </w:r>
    </w:p>
    <w:p w14:paraId="6B158866" w14:textId="725632EC" w:rsidR="00D83CD0" w:rsidRDefault="00BA02DD" w:rsidP="007336AC">
      <w:pPr>
        <w:rPr>
          <w:highlight w:val="yellow"/>
        </w:rPr>
      </w:pPr>
      <w:r w:rsidRPr="00BA02DD">
        <w:t>The previous Australian and New Zealand default guideline value</w:t>
      </w:r>
      <w:r w:rsidR="00B365A7">
        <w:t>s</w:t>
      </w:r>
      <w:r w:rsidRPr="00BA02DD">
        <w:t xml:space="preserve"> (DGV</w:t>
      </w:r>
      <w:r w:rsidR="00B365A7">
        <w:t>s</w:t>
      </w:r>
      <w:r w:rsidRPr="00BA02DD">
        <w:t xml:space="preserve">) for glyphosate in freshwater environments </w:t>
      </w:r>
      <w:r w:rsidR="00B365A7">
        <w:t>were</w:t>
      </w:r>
      <w:r w:rsidRPr="00BA02DD">
        <w:t xml:space="preserve"> based on acute toxicity data for 18 freshwater species consisting of fish, amphibians, crustaceans and other invertebrates (Warne 2001). More data on glyphosate </w:t>
      </w:r>
      <w:r w:rsidR="00B365A7">
        <w:t xml:space="preserve">chronic </w:t>
      </w:r>
      <w:r w:rsidRPr="00BA02DD">
        <w:t xml:space="preserve">toxicity to freshwater species are now available, which </w:t>
      </w:r>
      <w:r w:rsidR="00DC4993">
        <w:t xml:space="preserve">has </w:t>
      </w:r>
      <w:r w:rsidR="00B365A7">
        <w:t>enabled the derivation of improved DGVs compared to those in ANZECC/ARMCANZ (2000)</w:t>
      </w:r>
      <w:r w:rsidRPr="00BA02DD">
        <w:t>.</w:t>
      </w:r>
    </w:p>
    <w:p w14:paraId="341EACEA" w14:textId="4509F87B" w:rsidR="00D83CD0" w:rsidRDefault="00BA02DD" w:rsidP="007336AC">
      <w:r w:rsidRPr="00BA02DD">
        <w:t xml:space="preserve">The </w:t>
      </w:r>
      <w:r w:rsidR="00E044AB">
        <w:t>available</w:t>
      </w:r>
      <w:r w:rsidR="00212CDF">
        <w:t xml:space="preserve"> chronic toxicity </w:t>
      </w:r>
      <w:r w:rsidR="00E044AB">
        <w:t xml:space="preserve">data for glyphosate ranged from </w:t>
      </w:r>
      <w:r w:rsidR="00212CDF">
        <w:t>100 </w:t>
      </w:r>
      <w:r w:rsidRPr="00BA02DD">
        <w:t xml:space="preserve">µg/L </w:t>
      </w:r>
      <w:r w:rsidR="00E044AB">
        <w:t xml:space="preserve">for </w:t>
      </w:r>
      <w:r w:rsidR="00AA4799">
        <w:t xml:space="preserve">the green </w:t>
      </w:r>
      <w:r w:rsidRPr="00BA02DD">
        <w:t>alga</w:t>
      </w:r>
      <w:r w:rsidR="00AA4799">
        <w:t>e</w:t>
      </w:r>
      <w:r w:rsidR="00E044AB">
        <w:t xml:space="preserve"> </w:t>
      </w:r>
      <w:r w:rsidR="00AA4799" w:rsidRPr="00AA4799">
        <w:rPr>
          <w:i/>
          <w:iCs/>
        </w:rPr>
        <w:t>Chlorella vulgaris</w:t>
      </w:r>
      <w:r w:rsidR="00AA4799">
        <w:t xml:space="preserve"> (also called </w:t>
      </w:r>
      <w:r w:rsidR="00AA4799" w:rsidRPr="00AA4799">
        <w:rPr>
          <w:i/>
          <w:iCs/>
        </w:rPr>
        <w:t>Chlorella pyrenoidosa</w:t>
      </w:r>
      <w:r w:rsidR="00AA4799">
        <w:t xml:space="preserve">) </w:t>
      </w:r>
      <w:r w:rsidR="00E044AB">
        <w:t>(</w:t>
      </w:r>
      <w:r w:rsidRPr="00BA02DD">
        <w:t xml:space="preserve">72-hour </w:t>
      </w:r>
      <w:r w:rsidR="00AA4799">
        <w:t>growth inhibition L</w:t>
      </w:r>
      <w:r w:rsidR="00AA4799" w:rsidRPr="00BA02DD">
        <w:t>OEC</w:t>
      </w:r>
      <w:r w:rsidRPr="00BA02DD">
        <w:t>)</w:t>
      </w:r>
      <w:r w:rsidR="00AA4799">
        <w:t xml:space="preserve">, </w:t>
      </w:r>
      <w:r w:rsidR="00AA4799" w:rsidRPr="00A03C4A">
        <w:rPr>
          <w:i/>
        </w:rPr>
        <w:t>Scenedesmus acutus</w:t>
      </w:r>
      <w:r w:rsidR="00AA4799">
        <w:rPr>
          <w:i/>
        </w:rPr>
        <w:t xml:space="preserve"> </w:t>
      </w:r>
      <w:r w:rsidR="00AA4799" w:rsidRPr="00A03C4A">
        <w:t>(</w:t>
      </w:r>
      <w:r w:rsidR="00AA4799">
        <w:t xml:space="preserve">72-h growth inhibition LOEC) and </w:t>
      </w:r>
      <w:r w:rsidR="00AA4799" w:rsidRPr="00A03C4A">
        <w:rPr>
          <w:i/>
        </w:rPr>
        <w:t>Scenedesmus subspicatus</w:t>
      </w:r>
      <w:r w:rsidR="00AA4799">
        <w:t xml:space="preserve"> (72-h growth inhibition N</w:t>
      </w:r>
      <w:r w:rsidR="00AA4799" w:rsidRPr="00BA02DD">
        <w:t>OEC</w:t>
      </w:r>
      <w:r w:rsidR="00AA4799">
        <w:t>),</w:t>
      </w:r>
      <w:r w:rsidR="00AA4799">
        <w:rPr>
          <w:i/>
        </w:rPr>
        <w:t xml:space="preserve"> </w:t>
      </w:r>
      <w:r w:rsidR="00AA4799" w:rsidRPr="00E30C61">
        <w:t>and</w:t>
      </w:r>
      <w:r w:rsidR="00AA4799">
        <w:t xml:space="preserve"> </w:t>
      </w:r>
      <w:r w:rsidR="00AA4799" w:rsidRPr="00E30C61">
        <w:t>for the</w:t>
      </w:r>
      <w:r w:rsidR="00AA4799">
        <w:rPr>
          <w:i/>
        </w:rPr>
        <w:t xml:space="preserve"> </w:t>
      </w:r>
      <w:r w:rsidR="00AA4799" w:rsidRPr="00AA4799">
        <w:rPr>
          <w:iCs/>
        </w:rPr>
        <w:t xml:space="preserve">mollusc </w:t>
      </w:r>
      <w:r w:rsidR="00AA4799" w:rsidRPr="00E30C61">
        <w:rPr>
          <w:i/>
        </w:rPr>
        <w:t>Pseudosuccinea columella</w:t>
      </w:r>
      <w:r w:rsidR="00AA4799" w:rsidRPr="00E30C61">
        <w:t xml:space="preserve"> </w:t>
      </w:r>
      <w:r w:rsidR="00AA4799">
        <w:t>(12-d reproductive impairment</w:t>
      </w:r>
      <w:r w:rsidR="001A7081">
        <w:t xml:space="preserve"> IC7</w:t>
      </w:r>
      <w:r w:rsidR="00AA4799" w:rsidRPr="00BA02DD">
        <w:t>)</w:t>
      </w:r>
      <w:r w:rsidR="00AA4799">
        <w:t>,</w:t>
      </w:r>
      <w:r w:rsidR="00E044AB">
        <w:t xml:space="preserve"> to </w:t>
      </w:r>
      <w:r w:rsidR="005D2CEE" w:rsidRPr="00BA02DD">
        <w:t>1</w:t>
      </w:r>
      <w:r w:rsidR="005D2CEE">
        <w:t> </w:t>
      </w:r>
      <w:r w:rsidR="005D2CEE" w:rsidRPr="00BA02DD">
        <w:t>080</w:t>
      </w:r>
      <w:r w:rsidR="005D2CEE">
        <w:t> </w:t>
      </w:r>
      <w:r w:rsidR="005D2CEE" w:rsidRPr="00BA02DD">
        <w:t>000</w:t>
      </w:r>
      <w:r w:rsidR="005D2CEE">
        <w:t> </w:t>
      </w:r>
      <w:r w:rsidR="005D2CEE" w:rsidRPr="00BA02DD">
        <w:t>µ</w:t>
      </w:r>
      <w:r w:rsidR="00E044AB" w:rsidRPr="00BA02DD">
        <w:t>g/L</w:t>
      </w:r>
      <w:r w:rsidR="00E044AB">
        <w:t xml:space="preserve"> </w:t>
      </w:r>
      <w:r w:rsidR="00CE5D72">
        <w:t xml:space="preserve">for </w:t>
      </w:r>
      <w:r w:rsidR="00AA4799" w:rsidRPr="001E38B8">
        <w:rPr>
          <w:i/>
          <w:iCs/>
        </w:rPr>
        <w:t>C. vulgaris</w:t>
      </w:r>
      <w:r w:rsidR="00E044AB">
        <w:t xml:space="preserve"> (</w:t>
      </w:r>
      <w:r w:rsidR="00CE5D72" w:rsidRPr="00CE5D72">
        <w:t>96</w:t>
      </w:r>
      <w:r w:rsidR="00E044AB" w:rsidRPr="00CE5D72">
        <w:t>-</w:t>
      </w:r>
      <w:r w:rsidR="001A7081">
        <w:t>h L</w:t>
      </w:r>
      <w:r w:rsidR="00CE5D72">
        <w:t>C50</w:t>
      </w:r>
      <w:r w:rsidR="00E044AB" w:rsidRPr="00BA02DD">
        <w:t>)</w:t>
      </w:r>
      <w:r w:rsidR="00AA4799">
        <w:t>.</w:t>
      </w:r>
      <w:r w:rsidR="00E044AB">
        <w:t xml:space="preserve"> </w:t>
      </w:r>
      <w:r w:rsidR="00AA4799">
        <w:t>A</w:t>
      </w:r>
      <w:r w:rsidRPr="00BA02DD">
        <w:t>cute toxicity value</w:t>
      </w:r>
      <w:r w:rsidR="00AA4799">
        <w:t>s ranged from</w:t>
      </w:r>
      <w:r w:rsidRPr="00BA02DD">
        <w:t xml:space="preserve"> 500</w:t>
      </w:r>
      <w:r w:rsidR="00212CDF">
        <w:t> </w:t>
      </w:r>
      <w:r w:rsidRPr="00BA02DD">
        <w:t xml:space="preserve">µg/L </w:t>
      </w:r>
      <w:r w:rsidR="00AA4799">
        <w:t xml:space="preserve">for the </w:t>
      </w:r>
      <w:r w:rsidRPr="00BA02DD">
        <w:t xml:space="preserve">freshwater macrophyte, </w:t>
      </w:r>
      <w:r w:rsidR="00AA4799" w:rsidRPr="00AA4799">
        <w:rPr>
          <w:i/>
          <w:iCs/>
        </w:rPr>
        <w:t>Lemna gibba</w:t>
      </w:r>
      <w:r w:rsidR="00AA4799">
        <w:t xml:space="preserve"> (</w:t>
      </w:r>
      <w:r w:rsidRPr="00BA02DD">
        <w:t xml:space="preserve">2–5 d </w:t>
      </w:r>
      <w:r w:rsidR="00AA4799">
        <w:t xml:space="preserve">growth rate </w:t>
      </w:r>
      <w:r w:rsidRPr="00BA02DD">
        <w:t>NOEC)</w:t>
      </w:r>
      <w:r w:rsidR="00AA4799">
        <w:t xml:space="preserve"> to 830 800 </w:t>
      </w:r>
      <w:r w:rsidR="00AA4799">
        <w:rPr>
          <w:rFonts w:cstheme="minorHAnsi"/>
        </w:rPr>
        <w:t>µ</w:t>
      </w:r>
      <w:r w:rsidR="00AA4799">
        <w:t xml:space="preserve">g/L for the freshwater fish </w:t>
      </w:r>
      <w:r w:rsidR="00AA4799" w:rsidRPr="00A9775B">
        <w:rPr>
          <w:i/>
        </w:rPr>
        <w:t>Lepomis macrochirus</w:t>
      </w:r>
      <w:r w:rsidR="00AA4799" w:rsidRPr="00A9775B">
        <w:t xml:space="preserve"> </w:t>
      </w:r>
      <w:r w:rsidR="00AA4799">
        <w:t>(96-h LC50)</w:t>
      </w:r>
      <w:r w:rsidRPr="00BA02DD">
        <w:t>.</w:t>
      </w:r>
      <w:r w:rsidR="007B4CA4">
        <w:t xml:space="preserve"> An assessment of the modality of</w:t>
      </w:r>
      <w:r w:rsidR="00AC2AB7">
        <w:t xml:space="preserve"> the</w:t>
      </w:r>
      <w:r w:rsidR="007B4CA4" w:rsidRPr="00BA02DD">
        <w:t xml:space="preserve"> available freshwater glyphosate </w:t>
      </w:r>
      <w:r w:rsidR="007B4CA4">
        <w:t xml:space="preserve">chronic </w:t>
      </w:r>
      <w:r w:rsidR="007B4CA4" w:rsidRPr="00BA02DD">
        <w:t>toxicity data</w:t>
      </w:r>
      <w:r w:rsidR="00AC2AB7">
        <w:t>set</w:t>
      </w:r>
      <w:r w:rsidR="007B4CA4" w:rsidRPr="00BA02DD">
        <w:t xml:space="preserve"> indicated that the dataset was unimodal.</w:t>
      </w:r>
      <w:r w:rsidR="00AC2AB7">
        <w:t xml:space="preserve"> Hence, all acceptable chronic toxicity data were considered in the derivation of the DGVs.</w:t>
      </w:r>
    </w:p>
    <w:p w14:paraId="40213027" w14:textId="1FD6C9FB" w:rsidR="00BA02DD" w:rsidRDefault="00FB6D75" w:rsidP="007336AC">
      <w:r>
        <w:t>Very high</w:t>
      </w:r>
      <w:r w:rsidRPr="00BA02DD">
        <w:t xml:space="preserve"> </w:t>
      </w:r>
      <w:r w:rsidR="00BA02DD" w:rsidRPr="00BA02DD">
        <w:t xml:space="preserve">reliability DGVs for glyphosate in freshwater were derived based on chronic </w:t>
      </w:r>
      <w:r>
        <w:t>negligible</w:t>
      </w:r>
      <w:r w:rsidR="00DC4993">
        <w:t xml:space="preserve"> effect</w:t>
      </w:r>
      <w:r w:rsidR="00BA02DD" w:rsidRPr="00BA02DD">
        <w:t xml:space="preserve"> </w:t>
      </w:r>
      <w:r w:rsidR="003F07C7">
        <w:t xml:space="preserve">(e.g. NOEC, EC10) </w:t>
      </w:r>
      <w:r w:rsidR="00BA02DD" w:rsidRPr="00BA02DD">
        <w:t xml:space="preserve">data for </w:t>
      </w:r>
      <w:r w:rsidR="00AA4799" w:rsidRPr="00BA02DD">
        <w:t>1</w:t>
      </w:r>
      <w:r w:rsidR="00AA4799">
        <w:t>5</w:t>
      </w:r>
      <w:r w:rsidR="00AA4799" w:rsidRPr="00BA02DD">
        <w:t xml:space="preserve"> </w:t>
      </w:r>
      <w:r w:rsidR="00BA02DD" w:rsidRPr="00BA02DD">
        <w:t xml:space="preserve">freshwater species that belonged to six phyla and </w:t>
      </w:r>
      <w:r w:rsidR="00AA4799">
        <w:t>eight</w:t>
      </w:r>
      <w:r w:rsidR="00AA4799" w:rsidRPr="00BA02DD">
        <w:t xml:space="preserve"> </w:t>
      </w:r>
      <w:r w:rsidR="00BA02DD" w:rsidRPr="00BA02DD">
        <w:t xml:space="preserve">classes, with a </w:t>
      </w:r>
      <w:r w:rsidR="0068180E">
        <w:t>good</w:t>
      </w:r>
      <w:r w:rsidR="00B365A7">
        <w:t xml:space="preserve"> (visual)</w:t>
      </w:r>
      <w:r w:rsidR="00BA02DD" w:rsidRPr="00BA02DD">
        <w:t xml:space="preserve"> fit of the species sensitivity distribution (SSD) </w:t>
      </w:r>
      <w:r w:rsidR="00B365A7">
        <w:t>to</w:t>
      </w:r>
      <w:r w:rsidR="00B365A7" w:rsidRPr="00BA02DD">
        <w:t xml:space="preserve"> </w:t>
      </w:r>
      <w:r w:rsidR="00BA02DD" w:rsidRPr="00BA02DD">
        <w:t xml:space="preserve">the toxicity data. </w:t>
      </w:r>
      <w:r w:rsidR="00CC6732">
        <w:t>The</w:t>
      </w:r>
      <w:r w:rsidR="00BA02DD" w:rsidRPr="00BA02DD">
        <w:t xml:space="preserve"> DGVs are expressed in terms of the active ingredient (glyphosate) rather than commercial formulations</w:t>
      </w:r>
      <w:r w:rsidR="00AA4799">
        <w:t>, and do not relate to any of the breakdown products of glyphosate</w:t>
      </w:r>
      <w:r w:rsidR="00BA02DD" w:rsidRPr="00BA02DD">
        <w:t xml:space="preserve">. The available literature indicates that commercial formulations </w:t>
      </w:r>
      <w:r w:rsidR="00AA4799">
        <w:t xml:space="preserve">of glyphosate </w:t>
      </w:r>
      <w:r w:rsidR="00BA02DD" w:rsidRPr="00BA02DD">
        <w:t>are more toxic than the active ingredient alone</w:t>
      </w:r>
      <w:r w:rsidR="00C8259C">
        <w:t xml:space="preserve"> </w:t>
      </w:r>
      <w:r w:rsidR="00C8259C" w:rsidRPr="00D83CD0">
        <w:t>(ANZECC</w:t>
      </w:r>
      <w:r w:rsidR="00C8259C">
        <w:t>/</w:t>
      </w:r>
      <w:r w:rsidR="00C8259C" w:rsidRPr="00D83CD0">
        <w:t>ARMCANZ 2000</w:t>
      </w:r>
      <w:r w:rsidR="00C8259C">
        <w:t xml:space="preserve">, </w:t>
      </w:r>
      <w:r w:rsidR="00C8259C" w:rsidRPr="00D83CD0">
        <w:t>AATSE 2002)</w:t>
      </w:r>
      <w:r w:rsidR="00BA02DD" w:rsidRPr="00BA02DD">
        <w:t xml:space="preserve">. Therefore, the actual levels of protection provided in freshwater ecosystems for the DGVs may be lower than </w:t>
      </w:r>
      <w:r w:rsidR="00B365A7">
        <w:t xml:space="preserve">specified </w:t>
      </w:r>
      <w:r w:rsidR="00C922AA">
        <w:t>in this technical brief</w:t>
      </w:r>
      <w:r w:rsidR="00BA02DD" w:rsidRPr="00BA02DD">
        <w:t xml:space="preserve">. </w:t>
      </w:r>
      <w:r w:rsidR="00B365A7">
        <w:t xml:space="preserve">The DGVs for </w:t>
      </w:r>
      <w:r w:rsidR="00B365A7">
        <w:rPr>
          <w:bCs/>
        </w:rPr>
        <w:t>99, 95, 90 and 80% species protection are</w:t>
      </w:r>
      <w:r w:rsidR="00B365A7">
        <w:t xml:space="preserve"> </w:t>
      </w:r>
      <w:r w:rsidR="00C8259C">
        <w:t>1</w:t>
      </w:r>
      <w:r w:rsidR="00017C13">
        <w:t>8</w:t>
      </w:r>
      <w:r w:rsidR="00C8259C">
        <w:t>0 </w:t>
      </w:r>
      <w:r w:rsidR="00B365A7">
        <w:rPr>
          <w:rFonts w:cstheme="minorHAnsi"/>
        </w:rPr>
        <w:t>µ</w:t>
      </w:r>
      <w:r w:rsidR="00B365A7">
        <w:t xml:space="preserve">g/L, </w:t>
      </w:r>
      <w:r w:rsidR="00017C13">
        <w:t>32</w:t>
      </w:r>
      <w:r w:rsidR="00C8259C">
        <w:t>0 </w:t>
      </w:r>
      <w:r w:rsidR="00B365A7">
        <w:rPr>
          <w:rFonts w:cstheme="minorHAnsi"/>
        </w:rPr>
        <w:t>µ</w:t>
      </w:r>
      <w:r w:rsidR="00B365A7">
        <w:t xml:space="preserve">g/L, </w:t>
      </w:r>
      <w:r w:rsidR="00C8259C">
        <w:t>4</w:t>
      </w:r>
      <w:r w:rsidR="00017C13">
        <w:t>6</w:t>
      </w:r>
      <w:r w:rsidR="00C8259C">
        <w:t>0 </w:t>
      </w:r>
      <w:r w:rsidR="00B365A7">
        <w:rPr>
          <w:rFonts w:cstheme="minorHAnsi"/>
        </w:rPr>
        <w:t>µ</w:t>
      </w:r>
      <w:r w:rsidR="00B365A7">
        <w:t xml:space="preserve">g/L and </w:t>
      </w:r>
      <w:r w:rsidR="00017C13">
        <w:t>76</w:t>
      </w:r>
      <w:r w:rsidR="00C8259C">
        <w:t>0 </w:t>
      </w:r>
      <w:r w:rsidR="00B365A7">
        <w:rPr>
          <w:rFonts w:cstheme="minorHAnsi"/>
        </w:rPr>
        <w:t>µ</w:t>
      </w:r>
      <w:r w:rsidR="00B365A7">
        <w:t xml:space="preserve">g/L, respectively. </w:t>
      </w:r>
      <w:r w:rsidR="00B365A7" w:rsidRPr="001741CC">
        <w:lastRenderedPageBreak/>
        <w:t>The 95%</w:t>
      </w:r>
      <w:r w:rsidR="00B365A7" w:rsidRPr="001741CC">
        <w:rPr>
          <w:vertAlign w:val="superscript"/>
        </w:rPr>
        <w:t xml:space="preserve"> </w:t>
      </w:r>
      <w:r w:rsidR="00B365A7" w:rsidRPr="001741CC">
        <w:rPr>
          <w:bCs/>
        </w:rPr>
        <w:t xml:space="preserve">species protection level for </w:t>
      </w:r>
      <w:r w:rsidR="00C922AA">
        <w:rPr>
          <w:bCs/>
        </w:rPr>
        <w:t>glyphosate in freshwater (</w:t>
      </w:r>
      <w:r w:rsidR="00017C13">
        <w:rPr>
          <w:bCs/>
        </w:rPr>
        <w:t>320</w:t>
      </w:r>
      <w:r w:rsidR="00C8259C">
        <w:rPr>
          <w:bCs/>
        </w:rPr>
        <w:t> </w:t>
      </w:r>
      <w:r w:rsidR="00C922AA">
        <w:rPr>
          <w:rFonts w:cstheme="minorHAnsi"/>
        </w:rPr>
        <w:t>µ</w:t>
      </w:r>
      <w:r w:rsidR="00C922AA">
        <w:t>g/L)</w:t>
      </w:r>
      <w:r w:rsidR="00B365A7">
        <w:rPr>
          <w:bCs/>
        </w:rPr>
        <w:t xml:space="preserve"> </w:t>
      </w:r>
      <w:r w:rsidR="00B365A7" w:rsidRPr="001741CC">
        <w:rPr>
          <w:bCs/>
        </w:rPr>
        <w:t xml:space="preserve">is recommended for adoption in </w:t>
      </w:r>
      <w:r w:rsidR="00B365A7">
        <w:rPr>
          <w:bCs/>
        </w:rPr>
        <w:t xml:space="preserve">the </w:t>
      </w:r>
      <w:r w:rsidR="00B365A7" w:rsidRPr="001741CC">
        <w:rPr>
          <w:bCs/>
        </w:rPr>
        <w:t>assessment of slightly</w:t>
      </w:r>
      <w:r w:rsidR="00C922AA">
        <w:rPr>
          <w:bCs/>
        </w:rPr>
        <w:t>-</w:t>
      </w:r>
      <w:r w:rsidR="00B365A7" w:rsidRPr="001741CC">
        <w:rPr>
          <w:bCs/>
        </w:rPr>
        <w:t>to</w:t>
      </w:r>
      <w:r w:rsidR="00C922AA">
        <w:rPr>
          <w:bCs/>
        </w:rPr>
        <w:t>-</w:t>
      </w:r>
      <w:r w:rsidR="00B365A7" w:rsidRPr="001741CC">
        <w:rPr>
          <w:bCs/>
        </w:rPr>
        <w:t>moderately disturbed ecosystems.</w:t>
      </w:r>
    </w:p>
    <w:p w14:paraId="37DAA926" w14:textId="77777777" w:rsidR="007B07B8" w:rsidRDefault="007B07B8" w:rsidP="007336AC">
      <w:pPr>
        <w:rPr>
          <w:highlight w:val="yellow"/>
        </w:rPr>
      </w:pPr>
    </w:p>
    <w:p w14:paraId="28BAA1CC" w14:textId="77777777" w:rsidR="001C0D1C" w:rsidRDefault="001C0D1C">
      <w:pPr>
        <w:sectPr w:rsidR="001C0D1C">
          <w:headerReference w:type="default" r:id="rId20"/>
          <w:footerReference w:type="default" r:id="rId21"/>
          <w:headerReference w:type="first" r:id="rId22"/>
          <w:pgSz w:w="11906" w:h="16838"/>
          <w:pgMar w:top="1418" w:right="1418" w:bottom="1418" w:left="1418" w:header="567" w:footer="283" w:gutter="0"/>
          <w:pgNumType w:fmt="lowerRoman"/>
          <w:cols w:space="708"/>
          <w:titlePg/>
          <w:docGrid w:linePitch="360"/>
        </w:sectPr>
      </w:pPr>
    </w:p>
    <w:p w14:paraId="1ADDD7A4" w14:textId="711D0ACB" w:rsidR="001C0D1C" w:rsidRDefault="00BF0280">
      <w:pPr>
        <w:pStyle w:val="Heading2"/>
      </w:pPr>
      <w:bookmarkStart w:id="1" w:name="_Toc64624220"/>
      <w:r>
        <w:lastRenderedPageBreak/>
        <w:t>Introduction</w:t>
      </w:r>
      <w:bookmarkEnd w:id="1"/>
    </w:p>
    <w:p w14:paraId="2B952CE7" w14:textId="46891224" w:rsidR="00BA02DD" w:rsidRDefault="00BA02DD" w:rsidP="00BF0280">
      <w:pPr>
        <w:rPr>
          <w:bCs/>
          <w:highlight w:val="yellow"/>
        </w:rPr>
      </w:pPr>
      <w:r>
        <w:rPr>
          <w:bCs/>
        </w:rPr>
        <w:t>G</w:t>
      </w:r>
      <w:r w:rsidRPr="00BA02DD">
        <w:rPr>
          <w:bCs/>
        </w:rPr>
        <w:t xml:space="preserve">lyphosate is </w:t>
      </w:r>
      <w:proofErr w:type="gramStart"/>
      <w:r w:rsidRPr="00BA02DD">
        <w:rPr>
          <w:bCs/>
        </w:rPr>
        <w:t>a</w:t>
      </w:r>
      <w:proofErr w:type="gramEnd"/>
      <w:r w:rsidRPr="00BA02DD">
        <w:rPr>
          <w:bCs/>
        </w:rPr>
        <w:t xml:space="preserve"> herbicide (C</w:t>
      </w:r>
      <w:r w:rsidRPr="00851999">
        <w:rPr>
          <w:bCs/>
          <w:vertAlign w:val="subscript"/>
        </w:rPr>
        <w:t>3</w:t>
      </w:r>
      <w:r w:rsidRPr="00BA02DD">
        <w:rPr>
          <w:bCs/>
        </w:rPr>
        <w:t>H</w:t>
      </w:r>
      <w:r w:rsidRPr="00851999">
        <w:rPr>
          <w:bCs/>
          <w:vertAlign w:val="subscript"/>
        </w:rPr>
        <w:t>8</w:t>
      </w:r>
      <w:r w:rsidRPr="00BA02DD">
        <w:rPr>
          <w:bCs/>
        </w:rPr>
        <w:t>NO</w:t>
      </w:r>
      <w:r w:rsidRPr="00851999">
        <w:rPr>
          <w:bCs/>
          <w:vertAlign w:val="subscript"/>
        </w:rPr>
        <w:t>5</w:t>
      </w:r>
      <w:r w:rsidRPr="00BA02DD">
        <w:rPr>
          <w:bCs/>
        </w:rPr>
        <w:t xml:space="preserve">P and </w:t>
      </w:r>
      <w:r w:rsidR="005C3718">
        <w:rPr>
          <w:bCs/>
        </w:rPr>
        <w:fldChar w:fldCharType="begin"/>
      </w:r>
      <w:r w:rsidR="005C3718">
        <w:rPr>
          <w:bCs/>
        </w:rPr>
        <w:instrText xml:space="preserve"> REF _Ref16942129 \h </w:instrText>
      </w:r>
      <w:r w:rsidR="005C3718">
        <w:rPr>
          <w:bCs/>
        </w:rPr>
      </w:r>
      <w:r w:rsidR="005C3718">
        <w:rPr>
          <w:bCs/>
        </w:rPr>
        <w:fldChar w:fldCharType="separate"/>
      </w:r>
      <w:r w:rsidR="00D758D2">
        <w:t>Figure </w:t>
      </w:r>
      <w:r w:rsidR="00D758D2">
        <w:rPr>
          <w:noProof/>
        </w:rPr>
        <w:t>1</w:t>
      </w:r>
      <w:r w:rsidR="005C3718">
        <w:rPr>
          <w:bCs/>
        </w:rPr>
        <w:fldChar w:fldCharType="end"/>
      </w:r>
      <w:r w:rsidRPr="00BA02DD">
        <w:rPr>
          <w:bCs/>
        </w:rPr>
        <w:t xml:space="preserve">) </w:t>
      </w:r>
      <w:r w:rsidR="00EC13A7">
        <w:rPr>
          <w:bCs/>
        </w:rPr>
        <w:t>that,</w:t>
      </w:r>
      <w:r w:rsidR="00EC13A7" w:rsidRPr="00BA02DD">
        <w:rPr>
          <w:bCs/>
        </w:rPr>
        <w:t xml:space="preserve"> </w:t>
      </w:r>
      <w:r w:rsidRPr="00BA02DD">
        <w:rPr>
          <w:bCs/>
        </w:rPr>
        <w:t>as a free acid at room temperature</w:t>
      </w:r>
      <w:r w:rsidR="00EC13A7">
        <w:rPr>
          <w:bCs/>
        </w:rPr>
        <w:t>,</w:t>
      </w:r>
      <w:r w:rsidRPr="00BA02DD">
        <w:rPr>
          <w:bCs/>
        </w:rPr>
        <w:t xml:space="preserve"> is an odourless white crystal. It is the active ingredient of a variety of commercial herbicide formulations. Glyphosate often occurs in formulations with various surfactants and adjuvants (e.g. the surfactant polyethoxylated tallow amine, which is used in a number of commercial glyphosate-based products) to increase its efficacy. Glyphosate also has various salt forms</w:t>
      </w:r>
      <w:r w:rsidR="00EC13A7">
        <w:rPr>
          <w:bCs/>
        </w:rPr>
        <w:t>,</w:t>
      </w:r>
      <w:r w:rsidRPr="00BA02DD">
        <w:rPr>
          <w:bCs/>
        </w:rPr>
        <w:t xml:space="preserve"> including isopropylamine, trimesium, diphenylamine and mono-ammonium</w:t>
      </w:r>
      <w:r w:rsidR="00EC13A7">
        <w:rPr>
          <w:bCs/>
        </w:rPr>
        <w:t>,</w:t>
      </w:r>
      <w:r w:rsidRPr="00BA02DD">
        <w:rPr>
          <w:bCs/>
        </w:rPr>
        <w:t xml:space="preserve"> which are also regularly used in herbicide formulations, with the isopropylamine salt being the most commonly used form (ANZECC</w:t>
      </w:r>
      <w:r w:rsidR="00EC13A7">
        <w:rPr>
          <w:bCs/>
        </w:rPr>
        <w:t>/</w:t>
      </w:r>
      <w:r w:rsidRPr="00BA02DD">
        <w:rPr>
          <w:bCs/>
        </w:rPr>
        <w:t>ARMCANZ 2000).</w:t>
      </w:r>
      <w:r w:rsidR="00F351CE">
        <w:rPr>
          <w:bCs/>
        </w:rPr>
        <w:t xml:space="preserve"> </w:t>
      </w:r>
      <w:r w:rsidR="00F351CE" w:rsidRPr="00BA02DD">
        <w:rPr>
          <w:bCs/>
        </w:rPr>
        <w:t>Physico</w:t>
      </w:r>
      <w:r w:rsidR="00F351CE">
        <w:rPr>
          <w:bCs/>
        </w:rPr>
        <w:t>-</w:t>
      </w:r>
      <w:r w:rsidR="00F351CE" w:rsidRPr="00BA02DD">
        <w:rPr>
          <w:bCs/>
        </w:rPr>
        <w:t xml:space="preserve">chemical properties of glyphosate that may affect its environmental fate and toxicity are presented in </w:t>
      </w:r>
      <w:r w:rsidR="00F351CE">
        <w:rPr>
          <w:bCs/>
        </w:rPr>
        <w:fldChar w:fldCharType="begin"/>
      </w:r>
      <w:r w:rsidR="00F351CE">
        <w:rPr>
          <w:bCs/>
        </w:rPr>
        <w:instrText xml:space="preserve"> REF _Ref16942194 \h </w:instrText>
      </w:r>
      <w:r w:rsidR="00F351CE">
        <w:rPr>
          <w:bCs/>
        </w:rPr>
      </w:r>
      <w:r w:rsidR="00F351CE">
        <w:rPr>
          <w:bCs/>
        </w:rPr>
        <w:fldChar w:fldCharType="separate"/>
      </w:r>
      <w:r w:rsidR="00F351CE">
        <w:t>Table </w:t>
      </w:r>
      <w:r w:rsidR="00F351CE">
        <w:rPr>
          <w:noProof/>
        </w:rPr>
        <w:t>1</w:t>
      </w:r>
      <w:r w:rsidR="00F351CE">
        <w:rPr>
          <w:bCs/>
        </w:rPr>
        <w:fldChar w:fldCharType="end"/>
      </w:r>
      <w:r w:rsidR="00F351CE">
        <w:rPr>
          <w:bCs/>
        </w:rPr>
        <w:t>.</w:t>
      </w:r>
    </w:p>
    <w:p w14:paraId="14E85989" w14:textId="05E16D62" w:rsidR="00BA02DD" w:rsidRDefault="00BA02DD" w:rsidP="00BF0280">
      <w:pPr>
        <w:rPr>
          <w:bCs/>
          <w:highlight w:val="yellow"/>
        </w:rPr>
      </w:pPr>
      <w:r w:rsidRPr="003E4B07">
        <w:rPr>
          <w:noProof/>
          <w:lang w:eastAsia="en-AU"/>
        </w:rPr>
        <w:drawing>
          <wp:inline distT="0" distB="0" distL="0" distR="0" wp14:anchorId="04E95067" wp14:editId="44E0AC3D">
            <wp:extent cx="2837815" cy="819785"/>
            <wp:effectExtent l="0" t="0" r="635" b="0"/>
            <wp:docPr id="1" name="Picture 1" descr="Figure shows the structural formula of glyphosate (C3H8NO5P)." title="Structure of glyphos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t="20125" b="2659"/>
                    <a:stretch/>
                  </pic:blipFill>
                  <pic:spPr bwMode="auto">
                    <a:xfrm>
                      <a:off x="0" y="0"/>
                      <a:ext cx="2837815" cy="819785"/>
                    </a:xfrm>
                    <a:prstGeom prst="rect">
                      <a:avLst/>
                    </a:prstGeom>
                    <a:ln>
                      <a:noFill/>
                    </a:ln>
                    <a:extLst>
                      <a:ext uri="{53640926-AAD7-44D8-BBD7-CCE9431645EC}">
                        <a14:shadowObscured xmlns:a14="http://schemas.microsoft.com/office/drawing/2010/main"/>
                      </a:ext>
                    </a:extLst>
                  </pic:spPr>
                </pic:pic>
              </a:graphicData>
            </a:graphic>
          </wp:inline>
        </w:drawing>
      </w:r>
    </w:p>
    <w:p w14:paraId="30BF986A" w14:textId="36F05CB9" w:rsidR="00BA02DD" w:rsidRDefault="005C3718" w:rsidP="004D4854">
      <w:pPr>
        <w:pStyle w:val="Caption"/>
        <w:rPr>
          <w:highlight w:val="yellow"/>
        </w:rPr>
      </w:pPr>
      <w:bookmarkStart w:id="2" w:name="_Ref16942129"/>
      <w:bookmarkStart w:id="3" w:name="_Toc64624301"/>
      <w:r>
        <w:t>Figure </w:t>
      </w:r>
      <w:r w:rsidR="00736C4F">
        <w:fldChar w:fldCharType="begin"/>
      </w:r>
      <w:r w:rsidR="00736C4F">
        <w:instrText xml:space="preserve"> SEQ Figure \* ARABIC </w:instrText>
      </w:r>
      <w:r w:rsidR="00736C4F">
        <w:fldChar w:fldCharType="separate"/>
      </w:r>
      <w:r w:rsidR="00D758D2">
        <w:rPr>
          <w:noProof/>
        </w:rPr>
        <w:t>1</w:t>
      </w:r>
      <w:r w:rsidR="00736C4F">
        <w:rPr>
          <w:noProof/>
        </w:rPr>
        <w:fldChar w:fldCharType="end"/>
      </w:r>
      <w:bookmarkEnd w:id="2"/>
      <w:r>
        <w:t xml:space="preserve"> </w:t>
      </w:r>
      <w:r w:rsidR="00BA02DD">
        <w:t>Structure of glyphosate</w:t>
      </w:r>
      <w:bookmarkEnd w:id="3"/>
    </w:p>
    <w:p w14:paraId="4146E476" w14:textId="708CB5BB" w:rsidR="00BA02DD" w:rsidRDefault="00BA02DD" w:rsidP="00BF0280">
      <w:pPr>
        <w:rPr>
          <w:bCs/>
        </w:rPr>
      </w:pPr>
    </w:p>
    <w:p w14:paraId="2C0B568E" w14:textId="20017B3D" w:rsidR="00BA02DD" w:rsidRDefault="0074528C" w:rsidP="0074528C">
      <w:pPr>
        <w:pStyle w:val="Caption"/>
        <w:rPr>
          <w:highlight w:val="yellow"/>
        </w:rPr>
      </w:pPr>
      <w:bookmarkStart w:id="4" w:name="_Ref16942194"/>
      <w:bookmarkStart w:id="5" w:name="_Toc29547168"/>
      <w:bookmarkStart w:id="6" w:name="_Toc64624303"/>
      <w:r>
        <w:t>Table </w:t>
      </w:r>
      <w:r w:rsidR="00736C4F">
        <w:fldChar w:fldCharType="begin"/>
      </w:r>
      <w:r w:rsidR="00736C4F">
        <w:instrText xml:space="preserve"> SEQ Table \* ARABIC </w:instrText>
      </w:r>
      <w:r w:rsidR="00736C4F">
        <w:fldChar w:fldCharType="separate"/>
      </w:r>
      <w:r w:rsidR="00D758D2">
        <w:rPr>
          <w:noProof/>
        </w:rPr>
        <w:t>1</w:t>
      </w:r>
      <w:r w:rsidR="00736C4F">
        <w:rPr>
          <w:noProof/>
        </w:rPr>
        <w:fldChar w:fldCharType="end"/>
      </w:r>
      <w:bookmarkEnd w:id="4"/>
      <w:r>
        <w:t xml:space="preserve"> </w:t>
      </w:r>
      <w:r w:rsidR="00BA02DD" w:rsidRPr="00BA02DD">
        <w:t>Summary of selected physico</w:t>
      </w:r>
      <w:r w:rsidR="00EC13A7">
        <w:t>-</w:t>
      </w:r>
      <w:r w:rsidR="00BA02DD" w:rsidRPr="00BA02DD">
        <w:t>chemical properties o</w:t>
      </w:r>
      <w:r w:rsidR="00EC13A7">
        <w:t>f glyphosate</w:t>
      </w:r>
      <w:bookmarkEnd w:id="5"/>
      <w:bookmarkEnd w:id="6"/>
    </w:p>
    <w:tbl>
      <w:tblPr>
        <w:tblStyle w:val="TableGrid"/>
        <w:tblW w:w="0" w:type="auto"/>
        <w:tblLook w:val="04A0" w:firstRow="1" w:lastRow="0" w:firstColumn="1" w:lastColumn="0" w:noHBand="0" w:noVBand="1"/>
        <w:tblCaption w:val="Summary of selected physico-chemical properties of glyphosate"/>
        <w:tblDescription w:val="Table shows the physico-chemical properties (molecular weight, aqueous solubility, octanol-water partition coefficient, organic carbon water partition coefficient, bioconcentration factor, half-life in water, and half-life in soil) of glyphosate against their corresponding values."/>
      </w:tblPr>
      <w:tblGrid>
        <w:gridCol w:w="4540"/>
        <w:gridCol w:w="4530"/>
      </w:tblGrid>
      <w:tr w:rsidR="00BA02DD" w:rsidRPr="003E4B07" w14:paraId="102F0EDB" w14:textId="77777777" w:rsidTr="00D14557">
        <w:trPr>
          <w:cantSplit/>
          <w:tblHeader/>
        </w:trPr>
        <w:tc>
          <w:tcPr>
            <w:tcW w:w="4643" w:type="dxa"/>
            <w:tcBorders>
              <w:top w:val="single" w:sz="12" w:space="0" w:color="auto"/>
              <w:left w:val="nil"/>
              <w:bottom w:val="single" w:sz="12" w:space="0" w:color="auto"/>
              <w:right w:val="nil"/>
            </w:tcBorders>
            <w:shd w:val="clear" w:color="auto" w:fill="auto"/>
            <w:hideMark/>
          </w:tcPr>
          <w:p w14:paraId="16E069BE" w14:textId="6346BDA5" w:rsidR="00BA02DD" w:rsidRPr="003E4B07" w:rsidRDefault="00BA02DD" w:rsidP="004D4854">
            <w:pPr>
              <w:pStyle w:val="TableHeading"/>
            </w:pPr>
            <w:r w:rsidRPr="003E4B07">
              <w:t>Physico</w:t>
            </w:r>
            <w:r w:rsidR="00EC13A7">
              <w:t>-</w:t>
            </w:r>
            <w:r w:rsidRPr="003E4B07">
              <w:t>chemical property</w:t>
            </w:r>
          </w:p>
        </w:tc>
        <w:tc>
          <w:tcPr>
            <w:tcW w:w="4643" w:type="dxa"/>
            <w:tcBorders>
              <w:top w:val="single" w:sz="12" w:space="0" w:color="auto"/>
              <w:left w:val="nil"/>
              <w:bottom w:val="single" w:sz="12" w:space="0" w:color="auto"/>
              <w:right w:val="nil"/>
            </w:tcBorders>
            <w:shd w:val="clear" w:color="auto" w:fill="auto"/>
            <w:hideMark/>
          </w:tcPr>
          <w:p w14:paraId="3A455087" w14:textId="77777777" w:rsidR="00BA02DD" w:rsidRPr="003E4B07" w:rsidRDefault="00BA02DD" w:rsidP="004D4854">
            <w:pPr>
              <w:pStyle w:val="TableHeading"/>
            </w:pPr>
            <w:r w:rsidRPr="003E4B07">
              <w:t>Value</w:t>
            </w:r>
          </w:p>
        </w:tc>
      </w:tr>
      <w:tr w:rsidR="00BA02DD" w:rsidRPr="003E4B07" w14:paraId="308B687A" w14:textId="77777777" w:rsidTr="00D14557">
        <w:trPr>
          <w:cantSplit/>
        </w:trPr>
        <w:tc>
          <w:tcPr>
            <w:tcW w:w="4643" w:type="dxa"/>
            <w:tcBorders>
              <w:top w:val="single" w:sz="12" w:space="0" w:color="auto"/>
              <w:left w:val="nil"/>
              <w:bottom w:val="single" w:sz="4" w:space="0" w:color="auto"/>
              <w:right w:val="nil"/>
            </w:tcBorders>
            <w:shd w:val="clear" w:color="auto" w:fill="auto"/>
            <w:hideMark/>
          </w:tcPr>
          <w:p w14:paraId="7859A9CB" w14:textId="77777777" w:rsidR="00BA02DD" w:rsidRPr="003E4B07" w:rsidRDefault="00BA02DD" w:rsidP="00206DF6">
            <w:pPr>
              <w:pStyle w:val="TableText"/>
            </w:pPr>
            <w:r w:rsidRPr="003E4B07">
              <w:t>Molecular weight</w:t>
            </w:r>
          </w:p>
        </w:tc>
        <w:tc>
          <w:tcPr>
            <w:tcW w:w="4643" w:type="dxa"/>
            <w:tcBorders>
              <w:top w:val="single" w:sz="12" w:space="0" w:color="auto"/>
              <w:left w:val="nil"/>
              <w:bottom w:val="single" w:sz="4" w:space="0" w:color="auto"/>
              <w:right w:val="nil"/>
            </w:tcBorders>
            <w:shd w:val="clear" w:color="auto" w:fill="auto"/>
            <w:hideMark/>
          </w:tcPr>
          <w:p w14:paraId="22D3C077" w14:textId="1524CA03" w:rsidR="00BA02DD" w:rsidRPr="003E4B07" w:rsidRDefault="00BA02DD" w:rsidP="00EC13A7">
            <w:pPr>
              <w:pStyle w:val="TableText"/>
            </w:pPr>
            <w:r w:rsidRPr="003E4B07">
              <w:t>169.1</w:t>
            </w:r>
            <w:r w:rsidR="00EC13A7">
              <w:t> </w:t>
            </w:r>
            <w:r w:rsidRPr="003E4B07">
              <w:t>amu</w:t>
            </w:r>
            <w:r w:rsidR="00206DF6">
              <w:t xml:space="preserve"> </w:t>
            </w:r>
            <w:r w:rsidR="00206DF6" w:rsidRPr="00206DF6">
              <w:rPr>
                <w:rStyle w:val="Strong"/>
                <w:vertAlign w:val="superscript"/>
              </w:rPr>
              <w:t>a, b</w:t>
            </w:r>
          </w:p>
        </w:tc>
      </w:tr>
      <w:tr w:rsidR="00BA02DD" w:rsidRPr="003E4B07" w14:paraId="7946E52E" w14:textId="77777777" w:rsidTr="00D14557">
        <w:trPr>
          <w:cantSplit/>
        </w:trPr>
        <w:tc>
          <w:tcPr>
            <w:tcW w:w="4643" w:type="dxa"/>
            <w:tcBorders>
              <w:top w:val="single" w:sz="4" w:space="0" w:color="auto"/>
              <w:left w:val="nil"/>
              <w:bottom w:val="single" w:sz="4" w:space="0" w:color="auto"/>
              <w:right w:val="nil"/>
            </w:tcBorders>
            <w:shd w:val="clear" w:color="auto" w:fill="auto"/>
            <w:hideMark/>
          </w:tcPr>
          <w:p w14:paraId="6F33E297" w14:textId="77777777" w:rsidR="00BA02DD" w:rsidRPr="003E4B07" w:rsidRDefault="00BA02DD" w:rsidP="00206DF6">
            <w:pPr>
              <w:pStyle w:val="TableText"/>
            </w:pPr>
            <w:r w:rsidRPr="003E4B07">
              <w:t>Aqueous solubility</w:t>
            </w:r>
          </w:p>
        </w:tc>
        <w:tc>
          <w:tcPr>
            <w:tcW w:w="4643" w:type="dxa"/>
            <w:tcBorders>
              <w:top w:val="single" w:sz="4" w:space="0" w:color="auto"/>
              <w:left w:val="nil"/>
              <w:bottom w:val="single" w:sz="4" w:space="0" w:color="auto"/>
              <w:right w:val="nil"/>
            </w:tcBorders>
            <w:shd w:val="clear" w:color="auto" w:fill="auto"/>
            <w:hideMark/>
          </w:tcPr>
          <w:p w14:paraId="3488A5A1" w14:textId="5F85C6D3" w:rsidR="00BA02DD" w:rsidRPr="003E4B07" w:rsidRDefault="00BA02DD" w:rsidP="00EC13A7">
            <w:pPr>
              <w:pStyle w:val="TableText"/>
            </w:pPr>
            <w:r w:rsidRPr="003E4B07">
              <w:t>10</w:t>
            </w:r>
            <w:r w:rsidR="00EC13A7">
              <w:t> </w:t>
            </w:r>
            <w:r w:rsidRPr="003E4B07">
              <w:t>500</w:t>
            </w:r>
            <w:r w:rsidR="00EC13A7">
              <w:t> </w:t>
            </w:r>
            <w:r w:rsidRPr="003E4B07">
              <w:t xml:space="preserve">mg/L </w:t>
            </w:r>
            <w:r w:rsidR="00EC13A7">
              <w:t>at</w:t>
            </w:r>
            <w:r w:rsidRPr="003E4B07">
              <w:t xml:space="preserve"> pH</w:t>
            </w:r>
            <w:r w:rsidR="00EC13A7">
              <w:t> </w:t>
            </w:r>
            <w:r w:rsidRPr="003E4B07">
              <w:t>1.9 and temperature of 20</w:t>
            </w:r>
            <w:r>
              <w:t> </w:t>
            </w:r>
            <w:r w:rsidRPr="003E4B07">
              <w:rPr>
                <w:vertAlign w:val="superscript"/>
              </w:rPr>
              <w:t>o</w:t>
            </w:r>
            <w:r w:rsidRPr="003E4B07">
              <w:t>C</w:t>
            </w:r>
            <w:r w:rsidR="00206DF6">
              <w:t xml:space="preserve"> </w:t>
            </w:r>
            <w:r w:rsidR="00206DF6" w:rsidRPr="00206DF6">
              <w:rPr>
                <w:rStyle w:val="Strong"/>
                <w:vertAlign w:val="superscript"/>
              </w:rPr>
              <w:t>a</w:t>
            </w:r>
          </w:p>
        </w:tc>
      </w:tr>
      <w:tr w:rsidR="00BA02DD" w:rsidRPr="003E4B07" w14:paraId="7433C39C" w14:textId="77777777" w:rsidTr="00D14557">
        <w:trPr>
          <w:cantSplit/>
        </w:trPr>
        <w:tc>
          <w:tcPr>
            <w:tcW w:w="4643" w:type="dxa"/>
            <w:tcBorders>
              <w:top w:val="single" w:sz="4" w:space="0" w:color="auto"/>
              <w:left w:val="nil"/>
              <w:bottom w:val="single" w:sz="4" w:space="0" w:color="auto"/>
              <w:right w:val="nil"/>
            </w:tcBorders>
            <w:shd w:val="clear" w:color="auto" w:fill="auto"/>
            <w:hideMark/>
          </w:tcPr>
          <w:p w14:paraId="2FD311CB" w14:textId="7110EFC4" w:rsidR="00BA02DD" w:rsidRPr="003E4B07" w:rsidRDefault="00BA02DD" w:rsidP="00206DF6">
            <w:pPr>
              <w:pStyle w:val="TableText"/>
            </w:pPr>
            <w:r w:rsidRPr="003E4B07">
              <w:t>Logarithm of the octanol-water partition coefficient (log</w:t>
            </w:r>
            <w:r w:rsidR="00EC13A7">
              <w:t> </w:t>
            </w:r>
            <w:r w:rsidRPr="003E4B07">
              <w:t>K</w:t>
            </w:r>
            <w:r w:rsidRPr="003E4B07">
              <w:rPr>
                <w:vertAlign w:val="subscript"/>
              </w:rPr>
              <w:t>ow</w:t>
            </w:r>
            <w:r w:rsidRPr="003E4B07">
              <w:t>)</w:t>
            </w:r>
          </w:p>
        </w:tc>
        <w:tc>
          <w:tcPr>
            <w:tcW w:w="4643" w:type="dxa"/>
            <w:tcBorders>
              <w:top w:val="single" w:sz="4" w:space="0" w:color="auto"/>
              <w:left w:val="nil"/>
              <w:bottom w:val="single" w:sz="4" w:space="0" w:color="auto"/>
              <w:right w:val="nil"/>
            </w:tcBorders>
            <w:shd w:val="clear" w:color="auto" w:fill="auto"/>
            <w:hideMark/>
          </w:tcPr>
          <w:p w14:paraId="6AAF7B18" w14:textId="7DA302C3" w:rsidR="008B60FA" w:rsidRDefault="00BA02DD" w:rsidP="00EC13A7">
            <w:pPr>
              <w:pStyle w:val="TableText"/>
            </w:pPr>
            <w:r w:rsidRPr="003E4B07">
              <w:t>-3.2</w:t>
            </w:r>
            <w:r w:rsidR="00206DF6">
              <w:t xml:space="preserve"> </w:t>
            </w:r>
            <w:r w:rsidR="00206DF6" w:rsidRPr="00206DF6">
              <w:rPr>
                <w:rStyle w:val="Strong"/>
                <w:vertAlign w:val="superscript"/>
              </w:rPr>
              <w:t>a</w:t>
            </w:r>
          </w:p>
          <w:p w14:paraId="4F5E6ACB" w14:textId="691249B8" w:rsidR="00BA02DD" w:rsidRPr="003E4B07" w:rsidRDefault="00BA02DD" w:rsidP="00EC13A7">
            <w:pPr>
              <w:pStyle w:val="TableText"/>
            </w:pPr>
            <w:r w:rsidRPr="003E4B07">
              <w:t xml:space="preserve">-3.2 </w:t>
            </w:r>
            <w:r w:rsidR="00EC13A7">
              <w:t>at</w:t>
            </w:r>
            <w:r w:rsidRPr="003E4B07">
              <w:t xml:space="preserve"> pH</w:t>
            </w:r>
            <w:r w:rsidR="00EC13A7">
              <w:t> </w:t>
            </w:r>
            <w:r w:rsidRPr="003E4B07">
              <w:t>7 and temperature 20</w:t>
            </w:r>
            <w:r>
              <w:t> </w:t>
            </w:r>
            <w:r w:rsidRPr="003E4B07">
              <w:rPr>
                <w:vertAlign w:val="superscript"/>
              </w:rPr>
              <w:t>o</w:t>
            </w:r>
            <w:r w:rsidRPr="003E4B07">
              <w:t>C</w:t>
            </w:r>
            <w:r w:rsidR="00206DF6">
              <w:t xml:space="preserve"> </w:t>
            </w:r>
            <w:r w:rsidR="00206DF6" w:rsidRPr="00206DF6">
              <w:rPr>
                <w:rStyle w:val="Strong"/>
                <w:vertAlign w:val="superscript"/>
              </w:rPr>
              <w:t>c</w:t>
            </w:r>
          </w:p>
        </w:tc>
      </w:tr>
      <w:tr w:rsidR="00BA02DD" w:rsidRPr="003E4B07" w14:paraId="30A178F5" w14:textId="77777777" w:rsidTr="00D14557">
        <w:trPr>
          <w:cantSplit/>
        </w:trPr>
        <w:tc>
          <w:tcPr>
            <w:tcW w:w="4643" w:type="dxa"/>
            <w:tcBorders>
              <w:top w:val="single" w:sz="4" w:space="0" w:color="auto"/>
              <w:left w:val="nil"/>
              <w:bottom w:val="single" w:sz="4" w:space="0" w:color="auto"/>
              <w:right w:val="nil"/>
            </w:tcBorders>
            <w:shd w:val="clear" w:color="auto" w:fill="auto"/>
            <w:hideMark/>
          </w:tcPr>
          <w:p w14:paraId="00E43E06" w14:textId="583A757B" w:rsidR="00BA02DD" w:rsidRPr="003E4B07" w:rsidRDefault="00BA02DD" w:rsidP="00EC13A7">
            <w:pPr>
              <w:pStyle w:val="TableText"/>
            </w:pPr>
            <w:r w:rsidRPr="003E4B07">
              <w:t>Logarithm of the organic carbon water partition coefficient (log</w:t>
            </w:r>
            <w:r w:rsidR="00EC13A7">
              <w:t> </w:t>
            </w:r>
            <w:r w:rsidRPr="003E4B07">
              <w:t>K</w:t>
            </w:r>
            <w:r w:rsidRPr="003E4B07">
              <w:rPr>
                <w:vertAlign w:val="subscript"/>
              </w:rPr>
              <w:t>oc</w:t>
            </w:r>
            <w:r w:rsidRPr="003E4B07">
              <w:t>)</w:t>
            </w:r>
          </w:p>
        </w:tc>
        <w:tc>
          <w:tcPr>
            <w:tcW w:w="4643" w:type="dxa"/>
            <w:tcBorders>
              <w:top w:val="single" w:sz="4" w:space="0" w:color="auto"/>
              <w:left w:val="nil"/>
              <w:bottom w:val="single" w:sz="4" w:space="0" w:color="auto"/>
              <w:right w:val="nil"/>
            </w:tcBorders>
            <w:shd w:val="clear" w:color="auto" w:fill="auto"/>
            <w:hideMark/>
          </w:tcPr>
          <w:p w14:paraId="4F2C1384" w14:textId="0BBCDE50" w:rsidR="00BA02DD" w:rsidRPr="003E4B07" w:rsidRDefault="00BA02DD" w:rsidP="00206DF6">
            <w:pPr>
              <w:pStyle w:val="TableText"/>
              <w:rPr>
                <w:vertAlign w:val="superscript"/>
              </w:rPr>
            </w:pPr>
            <w:r w:rsidRPr="003E4B07">
              <w:t>4.45</w:t>
            </w:r>
            <w:r w:rsidR="00206DF6">
              <w:t xml:space="preserve"> </w:t>
            </w:r>
            <w:r w:rsidR="00206DF6" w:rsidRPr="00206DF6">
              <w:rPr>
                <w:rStyle w:val="Strong"/>
                <w:vertAlign w:val="superscript"/>
              </w:rPr>
              <w:t>b</w:t>
            </w:r>
          </w:p>
          <w:p w14:paraId="68F596A7" w14:textId="67A964C6" w:rsidR="00BA02DD" w:rsidRPr="003E4B07" w:rsidRDefault="00BA02DD" w:rsidP="00206DF6">
            <w:pPr>
              <w:pStyle w:val="TableText"/>
            </w:pPr>
            <w:r w:rsidRPr="003E4B07">
              <w:t>3.15</w:t>
            </w:r>
            <w:r w:rsidR="00206DF6">
              <w:t xml:space="preserve"> </w:t>
            </w:r>
            <w:r w:rsidR="00206DF6" w:rsidRPr="00206DF6">
              <w:rPr>
                <w:rStyle w:val="Strong"/>
                <w:vertAlign w:val="superscript"/>
              </w:rPr>
              <w:t>c</w:t>
            </w:r>
          </w:p>
        </w:tc>
      </w:tr>
      <w:tr w:rsidR="00BA02DD" w:rsidRPr="003E4B07" w14:paraId="648A3BB7" w14:textId="77777777" w:rsidTr="00D14557">
        <w:trPr>
          <w:cantSplit/>
        </w:trPr>
        <w:tc>
          <w:tcPr>
            <w:tcW w:w="4643" w:type="dxa"/>
            <w:tcBorders>
              <w:top w:val="single" w:sz="4" w:space="0" w:color="auto"/>
              <w:left w:val="nil"/>
              <w:bottom w:val="single" w:sz="4" w:space="0" w:color="auto"/>
              <w:right w:val="nil"/>
            </w:tcBorders>
            <w:shd w:val="clear" w:color="auto" w:fill="auto"/>
            <w:hideMark/>
          </w:tcPr>
          <w:p w14:paraId="3DAA253F" w14:textId="55B9CACC" w:rsidR="00BA02DD" w:rsidRPr="003E4B07" w:rsidRDefault="00BA02DD" w:rsidP="00206DF6">
            <w:pPr>
              <w:pStyle w:val="TableText"/>
            </w:pPr>
            <w:r w:rsidRPr="003E4B07">
              <w:t>Logarithm of the bioconcentration factor (log</w:t>
            </w:r>
            <w:r w:rsidR="00EC13A7">
              <w:t> </w:t>
            </w:r>
            <w:r w:rsidRPr="003E4B07">
              <w:t>BCF)</w:t>
            </w:r>
          </w:p>
        </w:tc>
        <w:tc>
          <w:tcPr>
            <w:tcW w:w="4643" w:type="dxa"/>
            <w:tcBorders>
              <w:top w:val="single" w:sz="4" w:space="0" w:color="auto"/>
              <w:left w:val="nil"/>
              <w:bottom w:val="single" w:sz="4" w:space="0" w:color="auto"/>
              <w:right w:val="nil"/>
            </w:tcBorders>
            <w:shd w:val="clear" w:color="auto" w:fill="auto"/>
            <w:hideMark/>
          </w:tcPr>
          <w:p w14:paraId="4363BE59" w14:textId="688BE53B" w:rsidR="00BA02DD" w:rsidRPr="003E4B07" w:rsidRDefault="00BA02DD" w:rsidP="00206DF6">
            <w:pPr>
              <w:pStyle w:val="TableText"/>
            </w:pPr>
            <w:r w:rsidRPr="003E4B07">
              <w:t>0.5</w:t>
            </w:r>
            <w:r w:rsidR="00206DF6">
              <w:t xml:space="preserve"> </w:t>
            </w:r>
            <w:r w:rsidR="00206DF6" w:rsidRPr="00206DF6">
              <w:rPr>
                <w:rStyle w:val="Strong"/>
                <w:vertAlign w:val="superscript"/>
              </w:rPr>
              <w:t>c</w:t>
            </w:r>
          </w:p>
        </w:tc>
      </w:tr>
      <w:tr w:rsidR="00BA02DD" w:rsidRPr="003E4B07" w14:paraId="7185D976" w14:textId="77777777" w:rsidTr="00D14557">
        <w:trPr>
          <w:cantSplit/>
        </w:trPr>
        <w:tc>
          <w:tcPr>
            <w:tcW w:w="4643" w:type="dxa"/>
            <w:tcBorders>
              <w:top w:val="single" w:sz="4" w:space="0" w:color="auto"/>
              <w:left w:val="nil"/>
              <w:bottom w:val="single" w:sz="4" w:space="0" w:color="auto"/>
              <w:right w:val="nil"/>
            </w:tcBorders>
            <w:shd w:val="clear" w:color="auto" w:fill="auto"/>
            <w:hideMark/>
          </w:tcPr>
          <w:p w14:paraId="2621BE17" w14:textId="77777777" w:rsidR="00BA02DD" w:rsidRPr="003E4B07" w:rsidRDefault="00BA02DD" w:rsidP="00206DF6">
            <w:pPr>
              <w:pStyle w:val="TableText"/>
            </w:pPr>
            <w:r w:rsidRPr="003E4B07">
              <w:t>Half-life (t</w:t>
            </w:r>
            <w:r w:rsidRPr="003E4B07">
              <w:rPr>
                <w:vertAlign w:val="subscript"/>
              </w:rPr>
              <w:t>1/2</w:t>
            </w:r>
            <w:r w:rsidRPr="003E4B07">
              <w:t>) in water</w:t>
            </w:r>
          </w:p>
        </w:tc>
        <w:tc>
          <w:tcPr>
            <w:tcW w:w="4643" w:type="dxa"/>
            <w:tcBorders>
              <w:top w:val="single" w:sz="4" w:space="0" w:color="auto"/>
              <w:left w:val="nil"/>
              <w:bottom w:val="single" w:sz="4" w:space="0" w:color="auto"/>
              <w:right w:val="nil"/>
            </w:tcBorders>
            <w:shd w:val="clear" w:color="auto" w:fill="auto"/>
            <w:hideMark/>
          </w:tcPr>
          <w:p w14:paraId="71ADFAC2" w14:textId="7ACD45C0" w:rsidR="008B60FA" w:rsidRDefault="00BA02DD" w:rsidP="00EC13A7">
            <w:pPr>
              <w:pStyle w:val="TableText"/>
            </w:pPr>
            <w:r w:rsidRPr="003E4B07">
              <w:t>9.9</w:t>
            </w:r>
            <w:r w:rsidR="00EC13A7">
              <w:t> </w:t>
            </w:r>
            <w:r w:rsidRPr="003E4B07">
              <w:t>days</w:t>
            </w:r>
            <w:r w:rsidR="00206DF6">
              <w:t xml:space="preserve"> </w:t>
            </w:r>
            <w:r w:rsidR="00206DF6" w:rsidRPr="00206DF6">
              <w:rPr>
                <w:rStyle w:val="Strong"/>
                <w:vertAlign w:val="superscript"/>
              </w:rPr>
              <w:t>c</w:t>
            </w:r>
          </w:p>
          <w:p w14:paraId="2FF9DB99" w14:textId="4DCCFB8B" w:rsidR="008B60FA" w:rsidRDefault="00BA02DD" w:rsidP="00EC13A7">
            <w:pPr>
              <w:pStyle w:val="TableText"/>
            </w:pPr>
            <w:r w:rsidRPr="003E4B07">
              <w:t xml:space="preserve">Hydrolysis: stable </w:t>
            </w:r>
            <w:r w:rsidR="00EC13A7">
              <w:t>at</w:t>
            </w:r>
            <w:r w:rsidRPr="003E4B07">
              <w:t xml:space="preserve"> pH</w:t>
            </w:r>
            <w:r w:rsidR="00EC13A7">
              <w:t> </w:t>
            </w:r>
            <w:r w:rsidRPr="003E4B07">
              <w:t>5–8 at temperature 25</w:t>
            </w:r>
            <w:r>
              <w:t> </w:t>
            </w:r>
            <w:r w:rsidRPr="003E4B07">
              <w:rPr>
                <w:vertAlign w:val="superscript"/>
              </w:rPr>
              <w:t>o</w:t>
            </w:r>
            <w:r w:rsidRPr="003E4B07">
              <w:t>C</w:t>
            </w:r>
            <w:r w:rsidR="00206DF6">
              <w:t xml:space="preserve"> </w:t>
            </w:r>
            <w:r w:rsidR="00206DF6" w:rsidRPr="00206DF6">
              <w:rPr>
                <w:rStyle w:val="Strong"/>
                <w:vertAlign w:val="superscript"/>
              </w:rPr>
              <w:t>c</w:t>
            </w:r>
          </w:p>
          <w:p w14:paraId="77862D54" w14:textId="1F6A585F" w:rsidR="00BA02DD" w:rsidRPr="003E4B07" w:rsidRDefault="00BA02DD" w:rsidP="00EC13A7">
            <w:pPr>
              <w:pStyle w:val="TableText"/>
            </w:pPr>
            <w:r w:rsidRPr="003E4B07">
              <w:t>33</w:t>
            </w:r>
            <w:r w:rsidR="00EC13A7">
              <w:t> </w:t>
            </w:r>
            <w:r w:rsidRPr="003E4B07">
              <w:t>days (pH</w:t>
            </w:r>
            <w:r w:rsidR="00EC13A7">
              <w:t> </w:t>
            </w:r>
            <w:r w:rsidRPr="003E4B07">
              <w:t>5), 77</w:t>
            </w:r>
            <w:r w:rsidR="00EC13A7">
              <w:t> </w:t>
            </w:r>
            <w:r w:rsidRPr="003E4B07">
              <w:t>days (pH</w:t>
            </w:r>
            <w:r w:rsidR="00EC13A7">
              <w:t> </w:t>
            </w:r>
            <w:r w:rsidRPr="003E4B07">
              <w:t>9)</w:t>
            </w:r>
            <w:r w:rsidR="00206DF6" w:rsidRPr="00206DF6">
              <w:rPr>
                <w:rStyle w:val="Strong"/>
              </w:rPr>
              <w:t xml:space="preserve"> </w:t>
            </w:r>
            <w:r w:rsidR="00206DF6" w:rsidRPr="00206DF6">
              <w:rPr>
                <w:rStyle w:val="Strong"/>
                <w:vertAlign w:val="superscript"/>
              </w:rPr>
              <w:t>c</w:t>
            </w:r>
          </w:p>
        </w:tc>
      </w:tr>
      <w:tr w:rsidR="00BA02DD" w:rsidRPr="003E4B07" w14:paraId="12347DD9" w14:textId="77777777" w:rsidTr="00D14557">
        <w:trPr>
          <w:cantSplit/>
        </w:trPr>
        <w:tc>
          <w:tcPr>
            <w:tcW w:w="4643" w:type="dxa"/>
            <w:tcBorders>
              <w:top w:val="single" w:sz="4" w:space="0" w:color="auto"/>
              <w:left w:val="nil"/>
              <w:bottom w:val="single" w:sz="12" w:space="0" w:color="auto"/>
              <w:right w:val="nil"/>
            </w:tcBorders>
            <w:shd w:val="clear" w:color="auto" w:fill="auto"/>
          </w:tcPr>
          <w:p w14:paraId="36F47DED" w14:textId="77777777" w:rsidR="00BA02DD" w:rsidRPr="003E4B07" w:rsidRDefault="00BA02DD" w:rsidP="00206DF6">
            <w:pPr>
              <w:pStyle w:val="TableText"/>
            </w:pPr>
            <w:r w:rsidRPr="003E4B07">
              <w:t>Half-life (t</w:t>
            </w:r>
            <w:r w:rsidRPr="003E4B07">
              <w:rPr>
                <w:vertAlign w:val="subscript"/>
              </w:rPr>
              <w:t>1/2</w:t>
            </w:r>
            <w:r w:rsidRPr="003E4B07">
              <w:t>) in soil</w:t>
            </w:r>
          </w:p>
        </w:tc>
        <w:tc>
          <w:tcPr>
            <w:tcW w:w="4643" w:type="dxa"/>
            <w:tcBorders>
              <w:top w:val="single" w:sz="4" w:space="0" w:color="auto"/>
              <w:left w:val="nil"/>
              <w:bottom w:val="single" w:sz="12" w:space="0" w:color="auto"/>
              <w:right w:val="nil"/>
            </w:tcBorders>
            <w:shd w:val="clear" w:color="auto" w:fill="auto"/>
          </w:tcPr>
          <w:p w14:paraId="5C8FC2E4" w14:textId="312B341E" w:rsidR="00BA02DD" w:rsidRPr="003E4B07" w:rsidRDefault="00BA02DD" w:rsidP="00206DF6">
            <w:pPr>
              <w:pStyle w:val="TableText"/>
            </w:pPr>
            <w:r w:rsidRPr="003E4B07">
              <w:t>74.5</w:t>
            </w:r>
            <w:r w:rsidR="00EC13A7">
              <w:t> </w:t>
            </w:r>
            <w:r w:rsidRPr="003E4B07">
              <w:t>days</w:t>
            </w:r>
            <w:r w:rsidR="00206DF6">
              <w:t xml:space="preserve"> </w:t>
            </w:r>
            <w:r w:rsidR="00206DF6" w:rsidRPr="00206DF6">
              <w:rPr>
                <w:rStyle w:val="Strong"/>
                <w:vertAlign w:val="superscript"/>
              </w:rPr>
              <w:t>c</w:t>
            </w:r>
          </w:p>
        </w:tc>
      </w:tr>
    </w:tbl>
    <w:p w14:paraId="5D635A25" w14:textId="617B2ECD" w:rsidR="00206DF6" w:rsidRDefault="00206DF6" w:rsidP="00206DF6">
      <w:pPr>
        <w:pStyle w:val="FigureTableNoteSource"/>
      </w:pPr>
      <w:r w:rsidRPr="00206DF6">
        <w:rPr>
          <w:rStyle w:val="Strong"/>
        </w:rPr>
        <w:t>a</w:t>
      </w:r>
      <w:r w:rsidR="00BA02DD" w:rsidRPr="00BA02DD">
        <w:t xml:space="preserve"> BCP</w:t>
      </w:r>
      <w:r>
        <w:t>C (2012).</w:t>
      </w:r>
    </w:p>
    <w:p w14:paraId="3D57675C" w14:textId="26617874" w:rsidR="00206DF6" w:rsidRDefault="00206DF6" w:rsidP="00206DF6">
      <w:pPr>
        <w:pStyle w:val="FigureTableNoteSource"/>
      </w:pPr>
      <w:r w:rsidRPr="00206DF6">
        <w:rPr>
          <w:rStyle w:val="Strong"/>
        </w:rPr>
        <w:t>b</w:t>
      </w:r>
      <w:r w:rsidR="00BA02DD" w:rsidRPr="00BA02DD">
        <w:t xml:space="preserve"> CCME (</w:t>
      </w:r>
      <w:r w:rsidR="004A50FB">
        <w:t>2012</w:t>
      </w:r>
      <w:r w:rsidR="00BA02DD" w:rsidRPr="00BA02DD">
        <w:t>).</w:t>
      </w:r>
    </w:p>
    <w:p w14:paraId="2DC66596" w14:textId="4BDAE4D4" w:rsidR="00BA02DD" w:rsidRDefault="00206DF6" w:rsidP="00206DF6">
      <w:pPr>
        <w:pStyle w:val="FigureTableNoteSource"/>
        <w:rPr>
          <w:highlight w:val="yellow"/>
        </w:rPr>
      </w:pPr>
      <w:r w:rsidRPr="00206DF6">
        <w:rPr>
          <w:rStyle w:val="Strong"/>
        </w:rPr>
        <w:t>c</w:t>
      </w:r>
      <w:r w:rsidR="00BA02DD" w:rsidRPr="00BA02DD">
        <w:t xml:space="preserve"> University of Hertfordshire </w:t>
      </w:r>
      <w:r w:rsidR="00EC13A7">
        <w:t>(</w:t>
      </w:r>
      <w:r w:rsidR="00BA02DD" w:rsidRPr="00BA02DD">
        <w:t>2013).</w:t>
      </w:r>
    </w:p>
    <w:p w14:paraId="02CC9938" w14:textId="236BFD22" w:rsidR="00BA02DD" w:rsidRDefault="00BA02DD" w:rsidP="00BF0280">
      <w:pPr>
        <w:rPr>
          <w:bCs/>
          <w:highlight w:val="yellow"/>
        </w:rPr>
      </w:pPr>
      <w:r w:rsidRPr="00BA02DD">
        <w:rPr>
          <w:bCs/>
        </w:rPr>
        <w:t xml:space="preserve">Glyphosate belongs to the organophosphorus group of herbicides, which also includes bensulide, fosamine and glufosinate. </w:t>
      </w:r>
      <w:r w:rsidR="009237F2">
        <w:rPr>
          <w:bCs/>
        </w:rPr>
        <w:t>In Australia and New Zealand, g</w:t>
      </w:r>
      <w:r w:rsidR="009237F2" w:rsidRPr="00BA02DD">
        <w:rPr>
          <w:bCs/>
        </w:rPr>
        <w:t xml:space="preserve">lyphosate </w:t>
      </w:r>
      <w:r w:rsidRPr="00BA02DD">
        <w:rPr>
          <w:bCs/>
        </w:rPr>
        <w:t xml:space="preserve">is extensively used </w:t>
      </w:r>
      <w:r w:rsidR="007949D6">
        <w:rPr>
          <w:bCs/>
        </w:rPr>
        <w:t xml:space="preserve">either </w:t>
      </w:r>
      <w:r w:rsidR="009237F2">
        <w:rPr>
          <w:bCs/>
        </w:rPr>
        <w:t xml:space="preserve">on its own or in combination with various other herbicides for control of annual and perennial grasses and broadleaf weeds </w:t>
      </w:r>
      <w:r w:rsidRPr="00BA02DD">
        <w:rPr>
          <w:bCs/>
        </w:rPr>
        <w:t>in agriculture</w:t>
      </w:r>
      <w:r w:rsidR="004A1D51">
        <w:rPr>
          <w:bCs/>
        </w:rPr>
        <w:t xml:space="preserve"> (e.g. barley</w:t>
      </w:r>
      <w:r w:rsidR="009B390A">
        <w:rPr>
          <w:bCs/>
        </w:rPr>
        <w:t>, beans, citrus fruit, pastures, peas, stone fruit, vineyards)</w:t>
      </w:r>
      <w:r w:rsidRPr="00BA02DD">
        <w:rPr>
          <w:bCs/>
        </w:rPr>
        <w:t>, forestry, industrial</w:t>
      </w:r>
      <w:r w:rsidR="009B390A">
        <w:rPr>
          <w:bCs/>
        </w:rPr>
        <w:t>,</w:t>
      </w:r>
      <w:r w:rsidRPr="00BA02DD">
        <w:rPr>
          <w:bCs/>
        </w:rPr>
        <w:t xml:space="preserve"> urban </w:t>
      </w:r>
      <w:r w:rsidR="009B390A">
        <w:rPr>
          <w:bCs/>
        </w:rPr>
        <w:t xml:space="preserve">and other </w:t>
      </w:r>
      <w:r w:rsidRPr="00BA02DD">
        <w:rPr>
          <w:bCs/>
        </w:rPr>
        <w:t>situations</w:t>
      </w:r>
      <w:r w:rsidR="009B390A">
        <w:rPr>
          <w:bCs/>
        </w:rPr>
        <w:t xml:space="preserve"> (e.g. national parks, bushland reserves, waterways, drains, roadsides)</w:t>
      </w:r>
      <w:r w:rsidR="007949D6">
        <w:rPr>
          <w:bCs/>
        </w:rPr>
        <w:t xml:space="preserve"> </w:t>
      </w:r>
      <w:r w:rsidR="009B390A">
        <w:rPr>
          <w:bCs/>
        </w:rPr>
        <w:t>(ACVM 2020, APVMA 2020)</w:t>
      </w:r>
      <w:r w:rsidRPr="00BA02DD">
        <w:rPr>
          <w:bCs/>
        </w:rPr>
        <w:t xml:space="preserve">. It is a broad spectrum (non-selective) systemic herbicide with high activity on virtually all plants. In Australia, glyphosate </w:t>
      </w:r>
      <w:r w:rsidR="004A50FB">
        <w:rPr>
          <w:bCs/>
        </w:rPr>
        <w:t>has historically been</w:t>
      </w:r>
      <w:r w:rsidR="004A50FB" w:rsidRPr="00BA02DD">
        <w:rPr>
          <w:bCs/>
        </w:rPr>
        <w:t xml:space="preserve"> </w:t>
      </w:r>
      <w:r w:rsidRPr="00BA02DD">
        <w:rPr>
          <w:bCs/>
        </w:rPr>
        <w:t xml:space="preserve">the </w:t>
      </w:r>
      <w:r w:rsidRPr="00BA02DD">
        <w:rPr>
          <w:bCs/>
        </w:rPr>
        <w:lastRenderedPageBreak/>
        <w:t xml:space="preserve">most </w:t>
      </w:r>
      <w:r w:rsidR="008F2851">
        <w:rPr>
          <w:bCs/>
        </w:rPr>
        <w:t>widely</w:t>
      </w:r>
      <w:r w:rsidR="008F2851" w:rsidRPr="00BA02DD">
        <w:rPr>
          <w:bCs/>
        </w:rPr>
        <w:t xml:space="preserve"> </w:t>
      </w:r>
      <w:r w:rsidRPr="00BA02DD">
        <w:rPr>
          <w:bCs/>
        </w:rPr>
        <w:t>used herbicide, closely followed by simazine and atrazine (AATSE 2002). It is also widely used internationally.</w:t>
      </w:r>
    </w:p>
    <w:p w14:paraId="2F3405C8" w14:textId="6124BF31" w:rsidR="00BA02DD" w:rsidRDefault="00BA02DD" w:rsidP="00BF0280">
      <w:pPr>
        <w:rPr>
          <w:bCs/>
          <w:highlight w:val="yellow"/>
        </w:rPr>
      </w:pPr>
      <w:r w:rsidRPr="00BA02DD">
        <w:rPr>
          <w:bCs/>
        </w:rPr>
        <w:t xml:space="preserve">Glyphosate and glyphosate salts in commercial formulations are often used in conjunction with various surfactants to increase efficacy. Several different kinds of surfactants are used depending on the intended use of the product. Where a product is registered for use near waterways, relatively benign surfactants are used in the formulation. However, for those products that include label restrictions with respect to usage near waterways, the surfactants employed (i.e. polyethoxylated tallow amine (POEA)) may be largely responsible for the aquatic toxicity among non-target organisms (Mann </w:t>
      </w:r>
      <w:r w:rsidR="004E0475">
        <w:rPr>
          <w:bCs/>
        </w:rPr>
        <w:t>&amp;</w:t>
      </w:r>
      <w:r w:rsidR="004E0475" w:rsidRPr="00BA02DD">
        <w:rPr>
          <w:bCs/>
        </w:rPr>
        <w:t xml:space="preserve"> </w:t>
      </w:r>
      <w:r w:rsidRPr="00BA02DD">
        <w:rPr>
          <w:bCs/>
        </w:rPr>
        <w:t xml:space="preserve">Bidwell 1999). Some commercial formulations have been reported to be </w:t>
      </w:r>
      <w:r w:rsidR="00F351CE">
        <w:rPr>
          <w:bCs/>
        </w:rPr>
        <w:t>three</w:t>
      </w:r>
      <w:r w:rsidR="00F351CE" w:rsidRPr="00BA02DD">
        <w:rPr>
          <w:bCs/>
        </w:rPr>
        <w:t xml:space="preserve"> </w:t>
      </w:r>
      <w:r w:rsidRPr="00BA02DD">
        <w:rPr>
          <w:bCs/>
        </w:rPr>
        <w:t>to 42 times more toxic than the active ingredient</w:t>
      </w:r>
      <w:r w:rsidR="00E217AA">
        <w:rPr>
          <w:bCs/>
        </w:rPr>
        <w:t>—</w:t>
      </w:r>
      <w:r w:rsidRPr="00BA02DD">
        <w:rPr>
          <w:bCs/>
        </w:rPr>
        <w:t xml:space="preserve">glyphosate (Folmar et al. 1979). Therefore, </w:t>
      </w:r>
      <w:r w:rsidR="000E6443">
        <w:rPr>
          <w:bCs/>
        </w:rPr>
        <w:t>use</w:t>
      </w:r>
      <w:r w:rsidRPr="00BA02DD">
        <w:rPr>
          <w:bCs/>
        </w:rPr>
        <w:t xml:space="preserve"> of less toxic formulations </w:t>
      </w:r>
      <w:r w:rsidR="000E6443" w:rsidRPr="00BA02DD">
        <w:rPr>
          <w:bCs/>
        </w:rPr>
        <w:t xml:space="preserve">(e.g. Roundup Biactive®) </w:t>
      </w:r>
      <w:r w:rsidR="000E6443">
        <w:rPr>
          <w:bCs/>
        </w:rPr>
        <w:t>has been</w:t>
      </w:r>
      <w:r w:rsidR="000E6443" w:rsidRPr="00BA02DD">
        <w:rPr>
          <w:bCs/>
        </w:rPr>
        <w:t xml:space="preserve"> </w:t>
      </w:r>
      <w:r w:rsidRPr="00BA02DD">
        <w:rPr>
          <w:bCs/>
        </w:rPr>
        <w:t>encouraged for use near waterways (AATSE 2002). The extent to which commercial formulations differ in their toxicity to the active ingredient will vary depending on the other chemicals added to the formulations. If there are concerns that the glyphosate</w:t>
      </w:r>
      <w:r w:rsidR="004E0475">
        <w:rPr>
          <w:bCs/>
        </w:rPr>
        <w:t xml:space="preserve"> default guideline value</w:t>
      </w:r>
      <w:r w:rsidR="000E6443">
        <w:rPr>
          <w:bCs/>
        </w:rPr>
        <w:t>s</w:t>
      </w:r>
      <w:r w:rsidRPr="00BA02DD">
        <w:rPr>
          <w:bCs/>
        </w:rPr>
        <w:t xml:space="preserve"> </w:t>
      </w:r>
      <w:r w:rsidR="004E0475">
        <w:rPr>
          <w:bCs/>
        </w:rPr>
        <w:t>(</w:t>
      </w:r>
      <w:r w:rsidRPr="00BA02DD">
        <w:rPr>
          <w:bCs/>
        </w:rPr>
        <w:t>DGV</w:t>
      </w:r>
      <w:r w:rsidR="000E6443">
        <w:rPr>
          <w:bCs/>
        </w:rPr>
        <w:t>s</w:t>
      </w:r>
      <w:r w:rsidR="004E0475">
        <w:rPr>
          <w:bCs/>
        </w:rPr>
        <w:t>)</w:t>
      </w:r>
      <w:r w:rsidRPr="00BA02DD">
        <w:rPr>
          <w:bCs/>
        </w:rPr>
        <w:t xml:space="preserve"> may be under-</w:t>
      </w:r>
      <w:r w:rsidR="00A165BA">
        <w:rPr>
          <w:bCs/>
        </w:rPr>
        <w:t>protective</w:t>
      </w:r>
      <w:r w:rsidRPr="00BA02DD">
        <w:rPr>
          <w:bCs/>
        </w:rPr>
        <w:t xml:space="preserve"> or over-protective due to differences in overall formulation toxicity, a formulation modified DGV could be derived using the methods in Warne et al. (2018).</w:t>
      </w:r>
    </w:p>
    <w:p w14:paraId="79CE9EC6" w14:textId="6EE0F85A" w:rsidR="00BA02DD" w:rsidRDefault="00BA02DD" w:rsidP="00BF0280">
      <w:pPr>
        <w:rPr>
          <w:bCs/>
        </w:rPr>
      </w:pPr>
      <w:r w:rsidRPr="00BA02DD">
        <w:rPr>
          <w:bCs/>
        </w:rPr>
        <w:t>Glyphosate binds strongly to soil particles (</w:t>
      </w:r>
      <w:r w:rsidR="0074528C">
        <w:rPr>
          <w:bCs/>
        </w:rPr>
        <w:fldChar w:fldCharType="begin"/>
      </w:r>
      <w:r w:rsidR="0074528C">
        <w:rPr>
          <w:bCs/>
        </w:rPr>
        <w:instrText xml:space="preserve"> REF _Ref16942194 \h </w:instrText>
      </w:r>
      <w:r w:rsidR="0074528C">
        <w:rPr>
          <w:bCs/>
        </w:rPr>
      </w:r>
      <w:r w:rsidR="0074528C">
        <w:rPr>
          <w:bCs/>
        </w:rPr>
        <w:fldChar w:fldCharType="separate"/>
      </w:r>
      <w:r w:rsidR="00D758D2">
        <w:t>Table </w:t>
      </w:r>
      <w:r w:rsidR="00D758D2">
        <w:rPr>
          <w:noProof/>
        </w:rPr>
        <w:t>1</w:t>
      </w:r>
      <w:r w:rsidR="0074528C">
        <w:rPr>
          <w:bCs/>
        </w:rPr>
        <w:fldChar w:fldCharType="end"/>
      </w:r>
      <w:r w:rsidRPr="00BA02DD">
        <w:rPr>
          <w:bCs/>
        </w:rPr>
        <w:t>) and often remains in the top layer of soil; therefore, it does not have a high capacity to leach to groundwater. It is susceptible to off-site transport bound to soil particles (Schuette 1998). It is a post-emergence knockdown herbicide as it does not retain its biological effectiveness in soil after application (Fran</w:t>
      </w:r>
      <w:r w:rsidR="008B60FA">
        <w:rPr>
          <w:bCs/>
        </w:rPr>
        <w:t>z et al. 1997 cited in Schuette </w:t>
      </w:r>
      <w:r w:rsidRPr="00BA02DD">
        <w:rPr>
          <w:bCs/>
        </w:rPr>
        <w:t>1998). Glyphosate is readily metabolised by soil micro</w:t>
      </w:r>
      <w:r w:rsidR="00867CA0">
        <w:rPr>
          <w:bCs/>
        </w:rPr>
        <w:t>-</w:t>
      </w:r>
      <w:r w:rsidRPr="00BA02DD">
        <w:rPr>
          <w:bCs/>
        </w:rPr>
        <w:t>organisms (AATSE 2002) that biodegrade the carbon from glyphosate to aminomethylphosphonic acid (AMPA) and glyoxylate and, ultimately, to carbon dioxide (Schuette 1998).</w:t>
      </w:r>
    </w:p>
    <w:p w14:paraId="47A48AA2" w14:textId="35349D33" w:rsidR="00252691" w:rsidRDefault="00252691" w:rsidP="00BF0280">
      <w:pPr>
        <w:rPr>
          <w:bCs/>
          <w:highlight w:val="yellow"/>
        </w:rPr>
      </w:pPr>
      <w:r>
        <w:t xml:space="preserve">The previous Australian and New Zealand DGV for glyphosate in freshwater environments was a moderate reliability value (using the ANZECC/ARMCANZ 2000 reliability scheme) as it was based on acute toxicity data for 18 phototrophic and heterotrophic species (Warne 2001). Under the new method for deriving DGVs (Warne et al. 2018), the ANZECC/ARMCANZ </w:t>
      </w:r>
      <w:r w:rsidR="002B4F7A">
        <w:t>(</w:t>
      </w:r>
      <w:r>
        <w:t>2000</w:t>
      </w:r>
      <w:r w:rsidR="002B4F7A">
        <w:t>)</w:t>
      </w:r>
      <w:r>
        <w:t xml:space="preserve"> DGV would be classified as having low reliability. </w:t>
      </w:r>
      <w:r w:rsidRPr="00BA02DD">
        <w:t xml:space="preserve">More data on glyphosate </w:t>
      </w:r>
      <w:r>
        <w:t xml:space="preserve">chronic </w:t>
      </w:r>
      <w:r w:rsidRPr="00BA02DD">
        <w:t xml:space="preserve">toxicity to freshwater species are now available, which </w:t>
      </w:r>
      <w:r>
        <w:t xml:space="preserve">has enabled the derivation of improved DGVs compared to </w:t>
      </w:r>
      <w:r w:rsidR="0035719B">
        <w:t>the</w:t>
      </w:r>
      <w:r>
        <w:t xml:space="preserve"> ANZECC/ARMCANZ (2000)</w:t>
      </w:r>
      <w:r w:rsidR="0035719B">
        <w:t xml:space="preserve"> DGVs</w:t>
      </w:r>
      <w:r w:rsidRPr="00BA02DD">
        <w:t>.</w:t>
      </w:r>
      <w:r w:rsidR="001A70D0">
        <w:t xml:space="preserve"> </w:t>
      </w:r>
      <w:r w:rsidR="001A70D0" w:rsidRPr="00F27C85">
        <w:rPr>
          <w:bCs/>
        </w:rPr>
        <w:t xml:space="preserve">This </w:t>
      </w:r>
      <w:r w:rsidR="001A70D0">
        <w:rPr>
          <w:bCs/>
        </w:rPr>
        <w:t>technical brief</w:t>
      </w:r>
      <w:r w:rsidR="001A70D0" w:rsidRPr="00F27C85">
        <w:rPr>
          <w:bCs/>
        </w:rPr>
        <w:t xml:space="preserve"> provides revised </w:t>
      </w:r>
      <w:r w:rsidR="001A70D0">
        <w:rPr>
          <w:bCs/>
        </w:rPr>
        <w:t>D</w:t>
      </w:r>
      <w:r w:rsidR="001A70D0" w:rsidRPr="00F27C85">
        <w:rPr>
          <w:bCs/>
        </w:rPr>
        <w:t xml:space="preserve">GVs for </w:t>
      </w:r>
      <w:r w:rsidR="001A70D0">
        <w:rPr>
          <w:bCs/>
        </w:rPr>
        <w:t>glyphosate in fresh</w:t>
      </w:r>
      <w:r w:rsidR="001A70D0" w:rsidRPr="00F27C85">
        <w:rPr>
          <w:bCs/>
        </w:rPr>
        <w:t>water</w:t>
      </w:r>
      <w:r w:rsidR="001A70D0">
        <w:rPr>
          <w:bCs/>
        </w:rPr>
        <w:t xml:space="preserve"> that</w:t>
      </w:r>
      <w:r w:rsidR="001A70D0" w:rsidRPr="00F27C85">
        <w:rPr>
          <w:bCs/>
        </w:rPr>
        <w:t xml:space="preserve"> supersede the ANZECC/ARMCANZ (2000)</w:t>
      </w:r>
      <w:r w:rsidR="001A70D0">
        <w:rPr>
          <w:bCs/>
        </w:rPr>
        <w:t xml:space="preserve"> DGVs.</w:t>
      </w:r>
    </w:p>
    <w:p w14:paraId="768658E0" w14:textId="1B0C7A38" w:rsidR="00BF0280" w:rsidRDefault="00BF0280" w:rsidP="00BF0280">
      <w:pPr>
        <w:pStyle w:val="Heading2"/>
      </w:pPr>
      <w:bookmarkStart w:id="7" w:name="_Toc64624221"/>
      <w:r>
        <w:t>Aquatic toxicology</w:t>
      </w:r>
      <w:bookmarkEnd w:id="7"/>
    </w:p>
    <w:p w14:paraId="26B1C8C9" w14:textId="521F13B6" w:rsidR="008C1B84" w:rsidRDefault="008C1B84" w:rsidP="008C1B84">
      <w:pPr>
        <w:pStyle w:val="Heading3"/>
      </w:pPr>
      <w:bookmarkStart w:id="8" w:name="_Ref64011752"/>
      <w:bookmarkStart w:id="9" w:name="_Toc64624222"/>
      <w:r>
        <w:t>Mechanism</w:t>
      </w:r>
      <w:r w:rsidR="001511B7">
        <w:t>s</w:t>
      </w:r>
      <w:r>
        <w:t xml:space="preserve"> of toxicity</w:t>
      </w:r>
      <w:bookmarkEnd w:id="8"/>
      <w:bookmarkEnd w:id="9"/>
    </w:p>
    <w:p w14:paraId="0E51755D" w14:textId="77777777" w:rsidR="008C1B84" w:rsidRDefault="008C1B84" w:rsidP="008C1B84">
      <w:pPr>
        <w:rPr>
          <w:bCs/>
        </w:rPr>
      </w:pPr>
      <w:r w:rsidRPr="00BA02DD">
        <w:rPr>
          <w:bCs/>
        </w:rPr>
        <w:t>Glyphosate is absorbed through plant foliage and stems rather than roots and is translocated in the phloem to growing points within the organism (AATSE 2002</w:t>
      </w:r>
      <w:r>
        <w:rPr>
          <w:bCs/>
        </w:rPr>
        <w:t>,</w:t>
      </w:r>
      <w:r w:rsidRPr="00BA02DD">
        <w:rPr>
          <w:bCs/>
        </w:rPr>
        <w:t xml:space="preserve"> APVMA 2014). Glyphosate acts by binding to and inhibiting the enzyme 5-enolpyruvylshikimate 3-phosphate (EPSP) synthase, which is responsible for catalysing chemical reactions within plants and algae. The binding of glyphosate to EPSP blocks the shikimate pathway and ultimately results in plant death from a lack of aromatic amino acids</w:t>
      </w:r>
      <w:r>
        <w:rPr>
          <w:bCs/>
        </w:rPr>
        <w:t>,</w:t>
      </w:r>
      <w:r w:rsidRPr="00BA02DD">
        <w:rPr>
          <w:bCs/>
        </w:rPr>
        <w:t xml:space="preserve"> such as tryptophan, phenylalanine and tyrosine (Schönbrunn et al. 2001</w:t>
      </w:r>
      <w:r>
        <w:rPr>
          <w:bCs/>
        </w:rPr>
        <w:t>,</w:t>
      </w:r>
      <w:r w:rsidRPr="00BA02DD">
        <w:rPr>
          <w:bCs/>
        </w:rPr>
        <w:t xml:space="preserve"> APVMA 2014</w:t>
      </w:r>
      <w:r>
        <w:rPr>
          <w:bCs/>
        </w:rPr>
        <w:t>,</w:t>
      </w:r>
      <w:r w:rsidRPr="00BA02DD">
        <w:rPr>
          <w:bCs/>
        </w:rPr>
        <w:t xml:space="preserve"> </w:t>
      </w:r>
      <w:r w:rsidRPr="00BA02DD">
        <w:rPr>
          <w:bCs/>
        </w:rPr>
        <w:lastRenderedPageBreak/>
        <w:t xml:space="preserve">Myers et al. 2016) as well as lignins, alkaloids, flavonoids, benzoic acids and plant hormones (Plant and Soil Sciences eLibrary 2015). </w:t>
      </w:r>
    </w:p>
    <w:p w14:paraId="27294DF8" w14:textId="209409F6" w:rsidR="008C1B84" w:rsidRPr="008C1B84" w:rsidRDefault="008C1B84" w:rsidP="008C1B84">
      <w:pPr>
        <w:pStyle w:val="Heading3"/>
      </w:pPr>
      <w:bookmarkStart w:id="10" w:name="_Toc64624223"/>
      <w:r>
        <w:t>Toxicity</w:t>
      </w:r>
      <w:bookmarkEnd w:id="10"/>
    </w:p>
    <w:p w14:paraId="3E30C0D5" w14:textId="3A2F6A7B" w:rsidR="00A66FDC" w:rsidRDefault="00A66FDC" w:rsidP="00A66FDC">
      <w:r>
        <w:rPr>
          <w:rFonts w:cstheme="minorHAnsi"/>
          <w:color w:val="000000"/>
        </w:rPr>
        <w:t xml:space="preserve">There is a significant body of literature on the toxicity of glyphosate to freshwater species. A literature search identified acceptable quality </w:t>
      </w:r>
      <w:r w:rsidRPr="00174C5B">
        <w:rPr>
          <w:color w:val="000000"/>
        </w:rPr>
        <w:t xml:space="preserve">toxicity data for </w:t>
      </w:r>
      <w:r>
        <w:rPr>
          <w:rFonts w:cstheme="minorHAnsi"/>
          <w:color w:val="000000"/>
        </w:rPr>
        <w:t>36</w:t>
      </w:r>
      <w:r w:rsidRPr="00174C5B">
        <w:rPr>
          <w:color w:val="000000"/>
        </w:rPr>
        <w:t xml:space="preserve"> freshwater species </w:t>
      </w:r>
      <w:r>
        <w:rPr>
          <w:rFonts w:cstheme="minorHAnsi"/>
          <w:color w:val="000000"/>
        </w:rPr>
        <w:t>comprising 19</w:t>
      </w:r>
      <w:r w:rsidRPr="00227DCA">
        <w:rPr>
          <w:rFonts w:cstheme="minorHAnsi"/>
          <w:color w:val="000000"/>
        </w:rPr>
        <w:t xml:space="preserve"> phototrophic species and </w:t>
      </w:r>
      <w:r>
        <w:rPr>
          <w:rFonts w:cstheme="minorHAnsi"/>
          <w:color w:val="000000"/>
        </w:rPr>
        <w:t xml:space="preserve">17 </w:t>
      </w:r>
      <w:r w:rsidRPr="00227DCA">
        <w:rPr>
          <w:rFonts w:cstheme="minorHAnsi"/>
          <w:color w:val="000000"/>
        </w:rPr>
        <w:t>heterotrophic species</w:t>
      </w:r>
      <w:r>
        <w:rPr>
          <w:color w:val="000000"/>
        </w:rPr>
        <w:t xml:space="preserve"> (see Section 4.1 for details and associated links to supporting information). </w:t>
      </w:r>
      <w:r>
        <w:t xml:space="preserve">As glyphosate has a specific mode of action that targets plants and algae, it would be expected that phototrophic species would be more sensitive than heterotrophic species. An assessment of the relative sensitivity of freshwater </w:t>
      </w:r>
      <w:r w:rsidRPr="00227DCA">
        <w:rPr>
          <w:rFonts w:cstheme="minorHAnsi"/>
          <w:color w:val="000000"/>
        </w:rPr>
        <w:t>phototrophic and heterotrophic species</w:t>
      </w:r>
      <w:r>
        <w:rPr>
          <w:rFonts w:cstheme="minorHAnsi"/>
          <w:color w:val="000000"/>
        </w:rPr>
        <w:t xml:space="preserve"> indicated that, although there is a general trend for phototrophic species to be more sensitive, there is a large overlap in sensitivities between the two groups (</w:t>
      </w:r>
      <w:r w:rsidRPr="001D26ED">
        <w:t>A</w:t>
      </w:r>
      <w:r>
        <w:t>ppendix</w:t>
      </w:r>
      <w:r w:rsidRPr="001D26ED">
        <w:t xml:space="preserve"> B</w:t>
      </w:r>
      <w:r>
        <w:rPr>
          <w:rFonts w:cstheme="minorHAnsi"/>
          <w:color w:val="000000"/>
        </w:rPr>
        <w:t xml:space="preserve">). A summary of </w:t>
      </w:r>
      <w:r w:rsidR="00887E54">
        <w:rPr>
          <w:rFonts w:cstheme="minorHAnsi"/>
          <w:color w:val="000000"/>
        </w:rPr>
        <w:t xml:space="preserve">the </w:t>
      </w:r>
      <w:r>
        <w:rPr>
          <w:rFonts w:cstheme="minorHAnsi"/>
          <w:color w:val="000000"/>
        </w:rPr>
        <w:t xml:space="preserve">toxicity of glyphosate to </w:t>
      </w:r>
      <w:r w:rsidR="00F3209D">
        <w:rPr>
          <w:rFonts w:cstheme="minorHAnsi"/>
          <w:color w:val="000000"/>
        </w:rPr>
        <w:t xml:space="preserve">freshwater </w:t>
      </w:r>
      <w:r w:rsidRPr="00227DCA">
        <w:rPr>
          <w:rFonts w:cstheme="minorHAnsi"/>
          <w:color w:val="000000"/>
        </w:rPr>
        <w:t xml:space="preserve">phototrophic species </w:t>
      </w:r>
      <w:r w:rsidR="00F3209D">
        <w:rPr>
          <w:rFonts w:cstheme="minorHAnsi"/>
          <w:color w:val="000000"/>
        </w:rPr>
        <w:t xml:space="preserve">and </w:t>
      </w:r>
      <w:r w:rsidRPr="00227DCA">
        <w:rPr>
          <w:rFonts w:cstheme="minorHAnsi"/>
          <w:color w:val="000000"/>
        </w:rPr>
        <w:t>heterotrophic species</w:t>
      </w:r>
      <w:r>
        <w:rPr>
          <w:rFonts w:cstheme="minorHAnsi"/>
          <w:color w:val="000000"/>
        </w:rPr>
        <w:t xml:space="preserve"> is provided below.</w:t>
      </w:r>
    </w:p>
    <w:p w14:paraId="6F628956" w14:textId="77EEAAF9" w:rsidR="00A66FDC" w:rsidRDefault="00A66FDC" w:rsidP="00A66FDC">
      <w:r>
        <w:t>There did not appear to be any difference in the sensitivity of the four types of freshwater phototrophic organisms. Toxicity values for green algae ranged from 100 </w:t>
      </w:r>
      <w:r w:rsidRPr="00BA02DD">
        <w:t>µg/L</w:t>
      </w:r>
      <w:r>
        <w:t xml:space="preserve"> for the green </w:t>
      </w:r>
      <w:r w:rsidRPr="00BA02DD">
        <w:t>alga</w:t>
      </w:r>
      <w:r>
        <w:t xml:space="preserve">e </w:t>
      </w:r>
      <w:r w:rsidRPr="00AA4799">
        <w:rPr>
          <w:i/>
          <w:iCs/>
        </w:rPr>
        <w:t>Chlorella vulgaris</w:t>
      </w:r>
      <w:r>
        <w:t xml:space="preserve"> (also called </w:t>
      </w:r>
      <w:r w:rsidRPr="00AA4799">
        <w:rPr>
          <w:i/>
          <w:iCs/>
        </w:rPr>
        <w:t>Chlorella pyrenoidosa</w:t>
      </w:r>
      <w:r>
        <w:t>) (</w:t>
      </w:r>
      <w:r w:rsidRPr="00BA02DD">
        <w:t xml:space="preserve">72-h </w:t>
      </w:r>
      <w:r>
        <w:t>L</w:t>
      </w:r>
      <w:r w:rsidRPr="00BA02DD">
        <w:t>OEC</w:t>
      </w:r>
      <w:r>
        <w:t>, growth inhibition</w:t>
      </w:r>
      <w:r w:rsidRPr="00BA02DD">
        <w:t>)</w:t>
      </w:r>
      <w:r>
        <w:t xml:space="preserve">, </w:t>
      </w:r>
      <w:r w:rsidRPr="00A03C4A">
        <w:rPr>
          <w:i/>
        </w:rPr>
        <w:t>Scenedesmus acutus</w:t>
      </w:r>
      <w:r>
        <w:rPr>
          <w:i/>
        </w:rPr>
        <w:t xml:space="preserve"> </w:t>
      </w:r>
      <w:r w:rsidRPr="00A03C4A">
        <w:t>(</w:t>
      </w:r>
      <w:r>
        <w:t xml:space="preserve">72-h LOEC, growth inhibition) and </w:t>
      </w:r>
      <w:r w:rsidRPr="00A03C4A">
        <w:rPr>
          <w:i/>
        </w:rPr>
        <w:t>Scenedesmus subspicatus</w:t>
      </w:r>
      <w:r>
        <w:t xml:space="preserve"> (72-h N</w:t>
      </w:r>
      <w:r w:rsidRPr="00BA02DD">
        <w:t>OEC</w:t>
      </w:r>
      <w:r>
        <w:t>, growth inhibition) (Vendrell et al. 2009),</w:t>
      </w:r>
      <w:r>
        <w:rPr>
          <w:i/>
        </w:rPr>
        <w:t xml:space="preserve"> </w:t>
      </w:r>
      <w:r>
        <w:t xml:space="preserve">to approximately </w:t>
      </w:r>
      <w:r w:rsidRPr="00BA02DD">
        <w:t>1</w:t>
      </w:r>
      <w:r>
        <w:t> </w:t>
      </w:r>
      <w:r w:rsidRPr="00BA02DD">
        <w:t>080</w:t>
      </w:r>
      <w:r>
        <w:t> </w:t>
      </w:r>
      <w:r w:rsidRPr="00BA02DD">
        <w:t>000</w:t>
      </w:r>
      <w:r>
        <w:t> </w:t>
      </w:r>
      <w:r w:rsidRPr="00BA02DD">
        <w:t>µg/L</w:t>
      </w:r>
      <w:r>
        <w:t xml:space="preserve"> for </w:t>
      </w:r>
      <w:r w:rsidRPr="00E56763">
        <w:rPr>
          <w:i/>
          <w:iCs/>
        </w:rPr>
        <w:t>C.</w:t>
      </w:r>
      <w:r>
        <w:t xml:space="preserve"> </w:t>
      </w:r>
      <w:r w:rsidRPr="00AA4799">
        <w:rPr>
          <w:i/>
          <w:iCs/>
        </w:rPr>
        <w:t>pyrenoidosa</w:t>
      </w:r>
      <w:r>
        <w:t xml:space="preserve"> (</w:t>
      </w:r>
      <w:r w:rsidRPr="00CE5D72">
        <w:t xml:space="preserve">96-hour </w:t>
      </w:r>
      <w:r>
        <w:t>LC50</w:t>
      </w:r>
      <w:r w:rsidRPr="00BA02DD">
        <w:t>)</w:t>
      </w:r>
      <w:r>
        <w:t xml:space="preserve"> (Anton et al. 1993). Toxicity values for blue-green algae ranged from 2 900 </w:t>
      </w:r>
      <w:r>
        <w:rPr>
          <w:rFonts w:cstheme="minorHAnsi"/>
        </w:rPr>
        <w:t>µ</w:t>
      </w:r>
      <w:r>
        <w:t xml:space="preserve">g/L (21-d EC50, population growth) for </w:t>
      </w:r>
      <w:r w:rsidRPr="00C64881">
        <w:rPr>
          <w:i/>
          <w:iCs/>
        </w:rPr>
        <w:t>Anabaena catenula</w:t>
      </w:r>
      <w:r>
        <w:t xml:space="preserve"> to 598 400 </w:t>
      </w:r>
      <w:r>
        <w:rPr>
          <w:rFonts w:cstheme="minorHAnsi"/>
        </w:rPr>
        <w:t>µ</w:t>
      </w:r>
      <w:r>
        <w:t xml:space="preserve">g/L (21-d EC50, population growth) for </w:t>
      </w:r>
      <w:r w:rsidRPr="00C64881">
        <w:rPr>
          <w:i/>
          <w:iCs/>
        </w:rPr>
        <w:t>Nostoc punctiforme</w:t>
      </w:r>
      <w:r>
        <w:t xml:space="preserve"> (Lipok et al. 2010). Toxicity values for macrophytes ranged from 500 </w:t>
      </w:r>
      <w:r>
        <w:rPr>
          <w:rFonts w:cstheme="minorHAnsi"/>
        </w:rPr>
        <w:t>µ</w:t>
      </w:r>
      <w:r>
        <w:t xml:space="preserve">g/L (2–5-d NOEC, frond number) for </w:t>
      </w:r>
      <w:r w:rsidRPr="00C64881">
        <w:rPr>
          <w:i/>
          <w:iCs/>
        </w:rPr>
        <w:t>Lemna gibba</w:t>
      </w:r>
      <w:r>
        <w:t xml:space="preserve"> (Sobrero et al. 2007) to 46 900 </w:t>
      </w:r>
      <w:r>
        <w:rPr>
          <w:rFonts w:cstheme="minorHAnsi"/>
        </w:rPr>
        <w:t>µ</w:t>
      </w:r>
      <w:r>
        <w:t xml:space="preserve">g/L (7-d EC50, growth rate) for </w:t>
      </w:r>
      <w:r w:rsidRPr="000B5C5B">
        <w:rPr>
          <w:i/>
          <w:iCs/>
        </w:rPr>
        <w:t>Lemna minor</w:t>
      </w:r>
      <w:r>
        <w:t xml:space="preserve"> (Cedergreen and Streibig 2005). Toxicity values for a diatom </w:t>
      </w:r>
      <w:r w:rsidRPr="00984453">
        <w:rPr>
          <w:i/>
          <w:iCs/>
        </w:rPr>
        <w:t>Navicula pelliculosa</w:t>
      </w:r>
      <w:r>
        <w:t xml:space="preserve"> ranged from 1 800 </w:t>
      </w:r>
      <w:r>
        <w:rPr>
          <w:rFonts w:cstheme="minorHAnsi"/>
        </w:rPr>
        <w:t>µ</w:t>
      </w:r>
      <w:r>
        <w:t>g/L (5-d NOEL, growth rate) to 38 600 </w:t>
      </w:r>
      <w:r>
        <w:rPr>
          <w:rFonts w:cstheme="minorHAnsi"/>
        </w:rPr>
        <w:t>µ</w:t>
      </w:r>
      <w:r>
        <w:t xml:space="preserve">g/L (4-d EC50, growth rate) for </w:t>
      </w:r>
      <w:r w:rsidRPr="00984453">
        <w:rPr>
          <w:i/>
          <w:iCs/>
        </w:rPr>
        <w:t>Navicula pelliculosa</w:t>
      </w:r>
      <w:r>
        <w:t xml:space="preserve"> (USEPA 2015b).</w:t>
      </w:r>
    </w:p>
    <w:p w14:paraId="323B9FE7" w14:textId="26CB5F62" w:rsidR="00A66FDC" w:rsidRDefault="00A66FDC" w:rsidP="00A66FDC">
      <w:r>
        <w:t>Toxicity values for heterotrophic species ranged from 100 to 830 800 </w:t>
      </w:r>
      <w:r>
        <w:rPr>
          <w:rFonts w:cstheme="minorHAnsi"/>
        </w:rPr>
        <w:t>µ</w:t>
      </w:r>
      <w:r>
        <w:t>g/L. Fish toxicity values ranged from 10 000 </w:t>
      </w:r>
      <w:r>
        <w:rPr>
          <w:rFonts w:cstheme="minorHAnsi"/>
        </w:rPr>
        <w:t xml:space="preserve">µg/L (10–21-d LOEC, reproduction/mortality) for </w:t>
      </w:r>
      <w:r w:rsidRPr="005168B8">
        <w:rPr>
          <w:rFonts w:cstheme="minorHAnsi"/>
          <w:i/>
          <w:iCs/>
        </w:rPr>
        <w:t>Danio rerio</w:t>
      </w:r>
      <w:r>
        <w:rPr>
          <w:rFonts w:cstheme="minorHAnsi"/>
        </w:rPr>
        <w:t xml:space="preserve"> </w:t>
      </w:r>
      <w:r>
        <w:t xml:space="preserve">(Uren Webster et al. 2014) </w:t>
      </w:r>
      <w:r>
        <w:rPr>
          <w:rFonts w:cstheme="minorHAnsi"/>
        </w:rPr>
        <w:t xml:space="preserve">to </w:t>
      </w:r>
      <w:r>
        <w:t>830 800 </w:t>
      </w:r>
      <w:r>
        <w:rPr>
          <w:rFonts w:cstheme="minorHAnsi"/>
        </w:rPr>
        <w:t>µ</w:t>
      </w:r>
      <w:r>
        <w:t xml:space="preserve">g/L (96-h LC50, mortality) for </w:t>
      </w:r>
      <w:r w:rsidRPr="00825705">
        <w:rPr>
          <w:i/>
          <w:iCs/>
        </w:rPr>
        <w:t>Lepomis macrochirus</w:t>
      </w:r>
      <w:r>
        <w:t xml:space="preserve"> (USEPA 2015b). Toxicity values for crustaceans ranged from </w:t>
      </w:r>
      <w:r w:rsidR="00017C13">
        <w:t>4</w:t>
      </w:r>
      <w:r>
        <w:t>50 </w:t>
      </w:r>
      <w:r>
        <w:rPr>
          <w:rFonts w:cstheme="minorHAnsi"/>
        </w:rPr>
        <w:t>µ</w:t>
      </w:r>
      <w:r>
        <w:t>g/L (</w:t>
      </w:r>
      <w:r w:rsidR="00017C13">
        <w:t xml:space="preserve">36-d NOEC, growth, and </w:t>
      </w:r>
      <w:r>
        <w:t xml:space="preserve">55-d NOEC, reproduction) </w:t>
      </w:r>
      <w:r w:rsidRPr="00C54162">
        <w:t>(</w:t>
      </w:r>
      <w:r>
        <w:t>Cuhra et al. 2013) to 780 000 </w:t>
      </w:r>
      <w:r>
        <w:rPr>
          <w:rFonts w:cstheme="minorHAnsi"/>
        </w:rPr>
        <w:t>µ</w:t>
      </w:r>
      <w:r>
        <w:t xml:space="preserve">g/L (48-h EC50, immobilisation) (USEPA 2015b), with both values being for </w:t>
      </w:r>
      <w:r w:rsidRPr="00C54162">
        <w:rPr>
          <w:i/>
          <w:iCs/>
        </w:rPr>
        <w:t>Daphnia magna</w:t>
      </w:r>
      <w:r>
        <w:t>. Toxicity values for molluscs ranged from 100 </w:t>
      </w:r>
      <w:r>
        <w:rPr>
          <w:rFonts w:cstheme="minorHAnsi"/>
        </w:rPr>
        <w:t>µ</w:t>
      </w:r>
      <w:r>
        <w:t xml:space="preserve">g/L (12-d IC7, reproduction) for </w:t>
      </w:r>
      <w:r w:rsidRPr="008912E5">
        <w:rPr>
          <w:i/>
          <w:iCs/>
        </w:rPr>
        <w:t>Pseudosuccinea columella</w:t>
      </w:r>
      <w:r>
        <w:t xml:space="preserve"> (Tate et al. 1997) to 25 000 </w:t>
      </w:r>
      <w:r>
        <w:rPr>
          <w:rFonts w:cstheme="minorHAnsi"/>
        </w:rPr>
        <w:t>µ</w:t>
      </w:r>
      <w:r>
        <w:t xml:space="preserve">g/L (21-d LOEC, growth) for </w:t>
      </w:r>
      <w:r w:rsidRPr="008912E5">
        <w:rPr>
          <w:i/>
          <w:iCs/>
        </w:rPr>
        <w:t>Lampsilis siliquoidea</w:t>
      </w:r>
      <w:r>
        <w:t xml:space="preserve"> (Bringolf et al. 2007). Other toxicity values for heterotrophic species include a 48-h LC50 of 13 000 </w:t>
      </w:r>
      <w:r>
        <w:rPr>
          <w:rFonts w:cstheme="minorHAnsi"/>
        </w:rPr>
        <w:t>µ</w:t>
      </w:r>
      <w:r>
        <w:t xml:space="preserve">g/L for the insect </w:t>
      </w:r>
      <w:r w:rsidRPr="00C54162">
        <w:rPr>
          <w:i/>
          <w:iCs/>
        </w:rPr>
        <w:t>Chironomus plumosus</w:t>
      </w:r>
      <w:r>
        <w:t xml:space="preserve"> (USEPA 2015b), and a 96-h LC5 and LC50 of 15 700 </w:t>
      </w:r>
      <w:r>
        <w:rPr>
          <w:rFonts w:cstheme="minorHAnsi"/>
        </w:rPr>
        <w:t>µ</w:t>
      </w:r>
      <w:r>
        <w:t>g/L and 18 200 </w:t>
      </w:r>
      <w:r>
        <w:rPr>
          <w:rFonts w:cstheme="minorHAnsi"/>
        </w:rPr>
        <w:t>µ</w:t>
      </w:r>
      <w:r>
        <w:t xml:space="preserve">g/L, respectively, </w:t>
      </w:r>
      <w:r w:rsidRPr="00A03043">
        <w:t>for</w:t>
      </w:r>
      <w:r>
        <w:t xml:space="preserve"> the cnidarian</w:t>
      </w:r>
      <w:r w:rsidRPr="008912E5">
        <w:rPr>
          <w:i/>
          <w:iCs/>
        </w:rPr>
        <w:t xml:space="preserve"> Hydra attenuata</w:t>
      </w:r>
      <w:r>
        <w:t xml:space="preserve"> (Demetrio et al. 2012). The data suggest there might be some differences in the sensitivity of the various types of heterotrophs, but the dataset is too small to make a definitive conclusion about this.</w:t>
      </w:r>
    </w:p>
    <w:p w14:paraId="22D8B396" w14:textId="0157188C" w:rsidR="00A47617" w:rsidRPr="00AE7845" w:rsidRDefault="00A47617" w:rsidP="00A47617">
      <w:pPr>
        <w:pStyle w:val="Heading2"/>
      </w:pPr>
      <w:bookmarkStart w:id="11" w:name="_Toc64624224"/>
      <w:bookmarkStart w:id="12" w:name="_Toc64624225"/>
      <w:bookmarkStart w:id="13" w:name="_Toc64624226"/>
      <w:bookmarkStart w:id="14" w:name="_Toc64624227"/>
      <w:bookmarkStart w:id="15" w:name="_Toc64624228"/>
      <w:bookmarkStart w:id="16" w:name="_Toc64624229"/>
      <w:bookmarkStart w:id="17" w:name="_Toc64624230"/>
      <w:bookmarkStart w:id="18" w:name="_Toc64624231"/>
      <w:bookmarkStart w:id="19" w:name="_Toc64624232"/>
      <w:bookmarkStart w:id="20" w:name="_Toc64624233"/>
      <w:bookmarkStart w:id="21" w:name="_Toc64624234"/>
      <w:bookmarkStart w:id="22" w:name="_Toc64624235"/>
      <w:bookmarkStart w:id="23" w:name="_Toc64624236"/>
      <w:bookmarkStart w:id="24" w:name="_Toc64624237"/>
      <w:bookmarkStart w:id="25" w:name="_Toc64624238"/>
      <w:bookmarkStart w:id="26" w:name="_Toc64624239"/>
      <w:bookmarkStart w:id="27" w:name="_Toc64624240"/>
      <w:bookmarkStart w:id="28" w:name="_Toc64624241"/>
      <w:bookmarkStart w:id="29" w:name="_Toc64624242"/>
      <w:bookmarkStart w:id="30" w:name="_Toc64624243"/>
      <w:bookmarkStart w:id="31" w:name="_Toc64624244"/>
      <w:bookmarkStart w:id="32" w:name="_Toc64624245"/>
      <w:bookmarkStart w:id="33" w:name="_Toc64624246"/>
      <w:bookmarkStart w:id="34" w:name="_Toc64624247"/>
      <w:bookmarkStart w:id="35" w:name="_Toc64624248"/>
      <w:bookmarkStart w:id="36" w:name="_Toc64624249"/>
      <w:bookmarkStart w:id="37" w:name="_Toc64624250"/>
      <w:bookmarkStart w:id="38" w:name="_Toc64624251"/>
      <w:bookmarkStart w:id="39" w:name="_Toc64624252"/>
      <w:bookmarkStart w:id="40" w:name="_Toc64624253"/>
      <w:bookmarkStart w:id="41" w:name="_Toc64624254"/>
      <w:bookmarkStart w:id="42" w:name="_Toc64624255"/>
      <w:bookmarkStart w:id="43" w:name="_Toc64624256"/>
      <w:bookmarkStart w:id="44" w:name="_Toc64624257"/>
      <w:bookmarkStart w:id="45" w:name="_Toc64624258"/>
      <w:bookmarkStart w:id="46" w:name="_Toc64624259"/>
      <w:bookmarkStart w:id="47" w:name="_Toc64624260"/>
      <w:bookmarkStart w:id="48" w:name="_Toc64624261"/>
      <w:bookmarkStart w:id="49" w:name="_Toc64624262"/>
      <w:bookmarkStart w:id="50" w:name="_Toc64624263"/>
      <w:bookmarkStart w:id="51" w:name="_Toc64624264"/>
      <w:bookmarkStart w:id="52" w:name="_Toc64624265"/>
      <w:bookmarkStart w:id="53" w:name="_Toc64624266"/>
      <w:bookmarkStart w:id="54" w:name="_Toc64624267"/>
      <w:bookmarkStart w:id="55" w:name="_Toc64624268"/>
      <w:bookmarkStart w:id="56" w:name="_Toc64624269"/>
      <w:bookmarkStart w:id="57" w:name="_Toc64624270"/>
      <w:bookmarkStart w:id="58" w:name="_Toc64624271"/>
      <w:bookmarkStart w:id="59" w:name="_Toc64624272"/>
      <w:bookmarkStart w:id="60" w:name="_Toc64624273"/>
      <w:bookmarkStart w:id="61" w:name="_Toc64624274"/>
      <w:bookmarkStart w:id="62" w:name="_Toc64624275"/>
      <w:bookmarkStart w:id="63" w:name="_Toc64624276"/>
      <w:bookmarkStart w:id="64" w:name="_Toc64624277"/>
      <w:bookmarkStart w:id="65" w:name="_Toc64624278"/>
      <w:bookmarkStart w:id="66" w:name="_Toc64624279"/>
      <w:bookmarkStart w:id="67" w:name="_Toc64624280"/>
      <w:bookmarkStart w:id="68" w:name="_Toc64624281"/>
      <w:bookmarkStart w:id="69" w:name="_Toc64624282"/>
      <w:bookmarkStart w:id="70" w:name="_Toc64624283"/>
      <w:bookmarkStart w:id="71" w:name="_Toc64624284"/>
      <w:bookmarkStart w:id="72" w:name="_Toc64624285"/>
      <w:bookmarkStart w:id="73" w:name="_Toc64624286"/>
      <w:bookmarkStart w:id="74" w:name="_Toc64624287"/>
      <w:bookmarkStart w:id="75" w:name="_Toc64624288"/>
      <w:bookmarkStart w:id="76" w:name="_Toc64624289"/>
      <w:bookmarkStart w:id="77" w:name="_Toc64624290"/>
      <w:bookmarkStart w:id="78" w:name="_Toc6462429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Factors affecting toxicity</w:t>
      </w:r>
      <w:bookmarkEnd w:id="78"/>
    </w:p>
    <w:p w14:paraId="253D091D" w14:textId="4D0C76C3" w:rsidR="002E17A0" w:rsidRDefault="002E17A0" w:rsidP="002E17A0">
      <w:r>
        <w:t>Factors such as temperature, pH (in formulations such as Roundup® only) and increased water hardness have been reported as modifying the toxicity of glyphosate (ANZECC</w:t>
      </w:r>
      <w:r w:rsidR="002C1159">
        <w:t>/</w:t>
      </w:r>
      <w:r>
        <w:t xml:space="preserve">ARMCANZ 2000). </w:t>
      </w:r>
      <w:r>
        <w:lastRenderedPageBreak/>
        <w:t>However, no relationships have been developed to permit the calculation of temperature</w:t>
      </w:r>
      <w:r w:rsidR="00475DC4">
        <w:t>–</w:t>
      </w:r>
      <w:r>
        <w:t>, pH</w:t>
      </w:r>
      <w:r w:rsidR="00475DC4">
        <w:t>–</w:t>
      </w:r>
      <w:r>
        <w:t xml:space="preserve"> or water hardness</w:t>
      </w:r>
      <w:r w:rsidR="00475DC4">
        <w:t>–</w:t>
      </w:r>
      <w:r>
        <w:t>specific DGVs.</w:t>
      </w:r>
    </w:p>
    <w:p w14:paraId="69623F6D" w14:textId="7211F205" w:rsidR="002E17A0" w:rsidRDefault="00D51FBA" w:rsidP="002E17A0">
      <w:r>
        <w:t>V</w:t>
      </w:r>
      <w:r w:rsidR="002E17A0">
        <w:t xml:space="preserve">arious surfactants and adjuvants used in combination with glyphosate in commercial formulations are known to significantly increase the toxicity of the herbicide to target and non-target organisms (Folmar et al. 1979). Removal of glyphosate from the water column occurs mainly by binding to sediment and suspended solids, as well as via microbial degradation. The rate of biodegradation in water bodies appears to be positively related to the concentration of suspended </w:t>
      </w:r>
      <w:r>
        <w:t xml:space="preserve">solids </w:t>
      </w:r>
      <w:r w:rsidR="008B60FA">
        <w:t>(Feng et al. </w:t>
      </w:r>
      <w:r w:rsidR="002E17A0">
        <w:t>1990</w:t>
      </w:r>
      <w:r w:rsidR="00393CAF">
        <w:t>,</w:t>
      </w:r>
      <w:r w:rsidR="002E17A0">
        <w:t xml:space="preserve"> Newton et al. 1994). Thus, as with many organic chemicals, it might be expected that dissolved and particulate organic matter and suspended solids would affect the bioavailability and toxicity of glyphosate.</w:t>
      </w:r>
    </w:p>
    <w:p w14:paraId="496E4DB8" w14:textId="51F6D880" w:rsidR="00BF0280" w:rsidRDefault="00A47617" w:rsidP="00A47617">
      <w:pPr>
        <w:pStyle w:val="Heading2"/>
      </w:pPr>
      <w:bookmarkStart w:id="79" w:name="_Toc64624292"/>
      <w:r>
        <w:t>Default guideline value derivation</w:t>
      </w:r>
      <w:bookmarkEnd w:id="79"/>
    </w:p>
    <w:p w14:paraId="59D60AE6" w14:textId="27798020" w:rsidR="00A47617" w:rsidRPr="003B13DB" w:rsidRDefault="00736C4F" w:rsidP="00A47617">
      <w:sdt>
        <w:sdtPr>
          <w:rPr>
            <w:bCs/>
          </w:rPr>
          <w:alias w:val="Compulsary - text and location locked to 4."/>
          <w:tag w:val="Compulsary - text and location locked"/>
          <w:id w:val="1416975399"/>
          <w:placeholder>
            <w:docPart w:val="8D2D6BF2B9CE4B688713F9FEE2EDF6BC"/>
          </w:placeholder>
          <w:text/>
        </w:sdtPr>
        <w:sdtEndPr/>
        <w:sdtContent>
          <w:r w:rsidR="0004548C" w:rsidRPr="0064344A">
            <w:rPr>
              <w:bCs/>
            </w:rPr>
            <w:t>The DGVs were derived in accordance with the method described in Warne et al. (2018) and using Burrlioz 2.0 software. Although some decisions on data selection/manipulation may reflect the Warne et al. (2015) method rather than the Warne et al. (2018) method, these were found to have no material effect on the final DGVs.</w:t>
          </w:r>
        </w:sdtContent>
      </w:sdt>
    </w:p>
    <w:p w14:paraId="59A27BA5" w14:textId="0ECAAAD1" w:rsidR="00BF0280" w:rsidRPr="00D14557" w:rsidRDefault="001303C0" w:rsidP="001303C0">
      <w:pPr>
        <w:pStyle w:val="Heading3"/>
      </w:pPr>
      <w:bookmarkStart w:id="80" w:name="_Toc64624293"/>
      <w:r w:rsidRPr="00D14557">
        <w:t>Toxicity data used in derivation</w:t>
      </w:r>
      <w:bookmarkEnd w:id="80"/>
    </w:p>
    <w:p w14:paraId="61A4450E" w14:textId="3AF87F65" w:rsidR="003B13DB" w:rsidRDefault="000D487B" w:rsidP="003B13DB">
      <w:pPr>
        <w:spacing w:before="240"/>
      </w:pPr>
      <w:r w:rsidDel="0004548C">
        <w:t xml:space="preserve">As with all the other pesticides that have DGVs, the DGVs for glyphosate </w:t>
      </w:r>
      <w:r w:rsidR="00865B82">
        <w:t xml:space="preserve">were based on data </w:t>
      </w:r>
      <w:r w:rsidR="00865B82" w:rsidRPr="00865B82">
        <w:t>from experiments using technical or higher grades of glyphosate or with a minimum purity of 80% active ingredient</w:t>
      </w:r>
      <w:r w:rsidR="001A7081">
        <w:t xml:space="preserve"> (Warne et al. 2018)</w:t>
      </w:r>
      <w:r w:rsidDel="0004548C">
        <w:t>.</w:t>
      </w:r>
      <w:r w:rsidR="00740F6B">
        <w:t xml:space="preserve"> Consequently, s</w:t>
      </w:r>
      <w:r w:rsidR="00740F6B" w:rsidDel="0004548C">
        <w:t xml:space="preserve">ome of the data that were used to generate the ANZECC/ARMCANZ </w:t>
      </w:r>
      <w:r w:rsidR="00740F6B">
        <w:t>(</w:t>
      </w:r>
      <w:r w:rsidR="00740F6B" w:rsidDel="0004548C">
        <w:t>2000</w:t>
      </w:r>
      <w:r w:rsidR="00740F6B">
        <w:t>)</w:t>
      </w:r>
      <w:r w:rsidR="00740F6B" w:rsidDel="0004548C">
        <w:t xml:space="preserve"> DGV</w:t>
      </w:r>
      <w:r w:rsidR="00740F6B">
        <w:t>s</w:t>
      </w:r>
      <w:r w:rsidR="00740F6B" w:rsidDel="0004548C">
        <w:t xml:space="preserve"> for glyphosate were omitted from the current derivation process as the toxicity tests used commercial formulations.</w:t>
      </w:r>
    </w:p>
    <w:p w14:paraId="293D5F04" w14:textId="631703F9" w:rsidR="003B13DB" w:rsidRPr="000D487B" w:rsidRDefault="003B13DB" w:rsidP="003B13DB">
      <w:pPr>
        <w:spacing w:before="240"/>
      </w:pPr>
      <w:r>
        <w:t xml:space="preserve">To obtain toxicity data for glyphosate to freshwater organisms, an extensive search of the scientific literature was conducted. In addition, the </w:t>
      </w:r>
      <w:r w:rsidR="00293856" w:rsidRPr="00293856">
        <w:t>ECOTOXicology Database System</w:t>
      </w:r>
      <w:r w:rsidR="00293856" w:rsidRPr="00293856" w:rsidDel="00293856">
        <w:t xml:space="preserve"> </w:t>
      </w:r>
      <w:r>
        <w:t>(USEPA 2015a</w:t>
      </w:r>
      <w:r w:rsidR="00E86FE1">
        <w:t xml:space="preserve">), </w:t>
      </w:r>
      <w:r>
        <w:t xml:space="preserve">Office of Pesticide Program </w:t>
      </w:r>
      <w:r w:rsidR="00E86FE1">
        <w:t xml:space="preserve">database </w:t>
      </w:r>
      <w:r>
        <w:t>(USEPA 2015b), the Australasian Ecotoxicology Database (Warne et al. 1998) and</w:t>
      </w:r>
      <w:r w:rsidR="00E86FE1">
        <w:t xml:space="preserve"> the</w:t>
      </w:r>
      <w:r>
        <w:t xml:space="preserve"> ANZECC</w:t>
      </w:r>
      <w:r w:rsidR="00293856">
        <w:t>/</w:t>
      </w:r>
      <w:r>
        <w:t xml:space="preserve">ARMCANZ (2000) toxicant databases (Sunderam et al. 2000) were searched. There are now considerably more glyphosate </w:t>
      </w:r>
      <w:r w:rsidR="004B3017">
        <w:t xml:space="preserve">chronic </w:t>
      </w:r>
      <w:r>
        <w:t>toxicity data available</w:t>
      </w:r>
      <w:r w:rsidR="00865B82">
        <w:t xml:space="preserve">, including for </w:t>
      </w:r>
      <w:r w:rsidR="00865B82" w:rsidRPr="00865B82">
        <w:t>phototrophic species (species that photosynthesise, e.g. plants and algae)</w:t>
      </w:r>
      <w:r w:rsidR="00865B82">
        <w:t>,</w:t>
      </w:r>
      <w:r>
        <w:t xml:space="preserve"> </w:t>
      </w:r>
      <w:r w:rsidR="004B3017">
        <w:t xml:space="preserve">to </w:t>
      </w:r>
      <w:r>
        <w:t>enable the calculation of DGVs in freshwater</w:t>
      </w:r>
      <w:r w:rsidR="004B3017">
        <w:t xml:space="preserve"> based on chronic toxicity</w:t>
      </w:r>
      <w:r w:rsidR="000E6443">
        <w:t xml:space="preserve"> alone</w:t>
      </w:r>
      <w:r w:rsidR="00433B44">
        <w:t>.</w:t>
      </w:r>
      <w:r w:rsidR="00865B82">
        <w:t xml:space="preserve"> </w:t>
      </w:r>
    </w:p>
    <w:p w14:paraId="02D46CDA" w14:textId="5E6B2075" w:rsidR="003B13DB" w:rsidRDefault="003B13DB" w:rsidP="003B13DB">
      <w:pPr>
        <w:spacing w:before="240"/>
      </w:pPr>
      <w:r>
        <w:t xml:space="preserve">In total, there were freshwater toxicity data for </w:t>
      </w:r>
      <w:r w:rsidR="00D315A3">
        <w:t xml:space="preserve">36 </w:t>
      </w:r>
      <w:r>
        <w:t xml:space="preserve">species (eight different phyla and </w:t>
      </w:r>
      <w:r w:rsidR="00D315A3">
        <w:t xml:space="preserve">13 </w:t>
      </w:r>
      <w:r>
        <w:t xml:space="preserve">classes) that passed the quality assessment </w:t>
      </w:r>
      <w:r w:rsidR="005A45DB">
        <w:t xml:space="preserve">and screening </w:t>
      </w:r>
      <w:r>
        <w:t xml:space="preserve">processes. The represented phyla were Arthropoda, Bacillariophyta, Chlorophyta, Chordata, Cnidaria, Cyanobacteria, Mollusca and Tracheophyta. The </w:t>
      </w:r>
      <w:r w:rsidR="00D315A3">
        <w:t>13 </w:t>
      </w:r>
      <w:r>
        <w:t xml:space="preserve">classes were Actinopterygii (which accounts for approximately 99% of fish), Bacillariophyceae (diatoms; a major grouping of algae), Bivalvia (a grouping of molluscs), Branchiopoda (a grouping of crustaceans), Chlorophyceae (a major grouping of freshwater green algae), Cyanophyceae (a class of cyanobacteria), Gastropoda (another grouping of molluscs), Hydrozoa (a diverse group of cnidarians), Insecta (invertebrates), Liliopsida (monocots), </w:t>
      </w:r>
      <w:r w:rsidR="00D315A3">
        <w:t xml:space="preserve">Magnoliopsida (dicots), </w:t>
      </w:r>
      <w:r>
        <w:t>Malacostraca (a large grouping of crustaceans) and Trebouxiophyceae (another grouping of green algae).</w:t>
      </w:r>
      <w:r w:rsidR="005A45DB">
        <w:t xml:space="preserve"> </w:t>
      </w:r>
      <w:r w:rsidR="00673190">
        <w:rPr>
          <w:bCs/>
        </w:rPr>
        <w:t xml:space="preserve">Chronic toxicity data were </w:t>
      </w:r>
      <w:r w:rsidR="00673190">
        <w:rPr>
          <w:bCs/>
        </w:rPr>
        <w:lastRenderedPageBreak/>
        <w:t xml:space="preserve">available for </w:t>
      </w:r>
      <w:r w:rsidR="00D315A3">
        <w:rPr>
          <w:bCs/>
        </w:rPr>
        <w:t xml:space="preserve">26 </w:t>
      </w:r>
      <w:r w:rsidR="00673190">
        <w:rPr>
          <w:bCs/>
        </w:rPr>
        <w:t xml:space="preserve">of the </w:t>
      </w:r>
      <w:r w:rsidR="00D315A3">
        <w:rPr>
          <w:bCs/>
        </w:rPr>
        <w:t xml:space="preserve">36 </w:t>
      </w:r>
      <w:r w:rsidR="00673190">
        <w:rPr>
          <w:bCs/>
        </w:rPr>
        <w:t xml:space="preserve">species, comprising </w:t>
      </w:r>
      <w:r w:rsidR="00D315A3">
        <w:rPr>
          <w:bCs/>
        </w:rPr>
        <w:t xml:space="preserve">19 </w:t>
      </w:r>
      <w:r w:rsidR="00673190">
        <w:rPr>
          <w:bCs/>
        </w:rPr>
        <w:t xml:space="preserve">phototrophs and </w:t>
      </w:r>
      <w:r w:rsidR="00D315A3">
        <w:rPr>
          <w:bCs/>
        </w:rPr>
        <w:t xml:space="preserve">seven </w:t>
      </w:r>
      <w:r w:rsidR="00673190">
        <w:rPr>
          <w:bCs/>
        </w:rPr>
        <w:t xml:space="preserve">heterotrophs, while acute toxicity data were available for </w:t>
      </w:r>
      <w:r w:rsidR="000C165F">
        <w:rPr>
          <w:bCs/>
        </w:rPr>
        <w:t>15</w:t>
      </w:r>
      <w:r w:rsidR="00673190">
        <w:rPr>
          <w:bCs/>
        </w:rPr>
        <w:t xml:space="preserve"> species, </w:t>
      </w:r>
      <w:r w:rsidR="001F5B51">
        <w:rPr>
          <w:bCs/>
        </w:rPr>
        <w:t xml:space="preserve">comprising one phototroph and 14 </w:t>
      </w:r>
      <w:r w:rsidR="00673190">
        <w:rPr>
          <w:bCs/>
        </w:rPr>
        <w:t>heterotrophs.</w:t>
      </w:r>
    </w:p>
    <w:p w14:paraId="3272EF2D" w14:textId="0BA1024F" w:rsidR="003B13DB" w:rsidRDefault="003B13DB" w:rsidP="003B13DB">
      <w:pPr>
        <w:spacing w:before="240"/>
        <w:rPr>
          <w:highlight w:val="yellow"/>
        </w:rPr>
      </w:pPr>
      <w:r>
        <w:t>Based on the current understanding of the mode of action of glyphosate</w:t>
      </w:r>
      <w:r w:rsidR="00EE6E95">
        <w:t xml:space="preserve"> (see Section </w:t>
      </w:r>
      <w:r w:rsidR="00EE6E95">
        <w:fldChar w:fldCharType="begin"/>
      </w:r>
      <w:r w:rsidR="00EE6E95">
        <w:instrText xml:space="preserve"> REF _Ref64011752 \r \h </w:instrText>
      </w:r>
      <w:r w:rsidR="00EE6E95">
        <w:fldChar w:fldCharType="separate"/>
      </w:r>
      <w:r w:rsidR="00EE6E95">
        <w:t>2.1</w:t>
      </w:r>
      <w:r w:rsidR="00EE6E95">
        <w:fldChar w:fldCharType="end"/>
      </w:r>
      <w:r w:rsidR="00EE6E95">
        <w:t>)</w:t>
      </w:r>
      <w:r>
        <w:t xml:space="preserve">, it </w:t>
      </w:r>
      <w:r w:rsidR="00B71394">
        <w:t>is</w:t>
      </w:r>
      <w:r>
        <w:t xml:space="preserve"> expected that phototrophic species would be more sensitive than non-phototrophic species, as the EPSP enzyme is normally </w:t>
      </w:r>
      <w:r w:rsidR="00EE6E95">
        <w:t xml:space="preserve">found </w:t>
      </w:r>
      <w:r>
        <w:t xml:space="preserve">within chloroplasts of plants and algae. </w:t>
      </w:r>
      <w:r w:rsidR="00EE6E95">
        <w:t xml:space="preserve">However, a </w:t>
      </w:r>
      <w:r w:rsidR="0097352C">
        <w:t xml:space="preserve">modality assessment of the </w:t>
      </w:r>
      <w:r w:rsidR="00EE6E95">
        <w:t xml:space="preserve">glyphosate </w:t>
      </w:r>
      <w:r w:rsidR="0097352C">
        <w:t>toxicity data, undertaken according to the approach described by Warne et al. (201</w:t>
      </w:r>
      <w:r w:rsidR="008C07D3">
        <w:t>8</w:t>
      </w:r>
      <w:r w:rsidR="0097352C">
        <w:t>), concluded that the data</w:t>
      </w:r>
      <w:r w:rsidR="008C07D3">
        <w:t>set</w:t>
      </w:r>
      <w:r w:rsidR="0097352C">
        <w:t xml:space="preserve"> was unimodal, with no </w:t>
      </w:r>
      <w:r w:rsidR="00EE6E95">
        <w:t xml:space="preserve">apparent </w:t>
      </w:r>
      <w:r w:rsidR="0097352C">
        <w:t>difference between the sensitivity of phototrophic and non-phototrophic species</w:t>
      </w:r>
      <w:r>
        <w:t xml:space="preserve"> </w:t>
      </w:r>
      <w:r w:rsidR="0097352C">
        <w:t xml:space="preserve">(see </w:t>
      </w:r>
      <w:r w:rsidR="00E62E4C">
        <w:fldChar w:fldCharType="begin"/>
      </w:r>
      <w:r w:rsidR="00E62E4C">
        <w:instrText xml:space="preserve"> REF _Ref16942957 \h </w:instrText>
      </w:r>
      <w:r w:rsidR="00E62E4C">
        <w:fldChar w:fldCharType="separate"/>
      </w:r>
      <w:r w:rsidR="00D758D2" w:rsidRPr="00850457">
        <w:t>Appendix</w:t>
      </w:r>
      <w:r w:rsidR="00D758D2">
        <w:t> B</w:t>
      </w:r>
      <w:r w:rsidR="00E62E4C">
        <w:fldChar w:fldCharType="end"/>
      </w:r>
      <w:r w:rsidR="0097352C">
        <w:t xml:space="preserve"> for details</w:t>
      </w:r>
      <w:r>
        <w:t>). Therefore,</w:t>
      </w:r>
      <w:r w:rsidR="008B60FA">
        <w:t xml:space="preserve"> as recommended by Warne et al. </w:t>
      </w:r>
      <w:r>
        <w:t>(2018), the data for both phototrophs and heterotrophs were combined to calculate the DGVs for glyphosate in freshwater.</w:t>
      </w:r>
    </w:p>
    <w:p w14:paraId="22171916" w14:textId="20D6989F" w:rsidR="00017C13" w:rsidRDefault="0044686B" w:rsidP="001303C0">
      <w:pPr>
        <w:spacing w:before="240"/>
      </w:pPr>
      <w:r>
        <w:t xml:space="preserve">Of the </w:t>
      </w:r>
      <w:r w:rsidR="00EE6E95">
        <w:t xml:space="preserve">26 </w:t>
      </w:r>
      <w:r>
        <w:t>species for which there were acceptable chronic toxicity data, t</w:t>
      </w:r>
      <w:r w:rsidRPr="003B13DB" w:rsidDel="00B71394">
        <w:t xml:space="preserve">here </w:t>
      </w:r>
      <w:r w:rsidR="003B13DB" w:rsidRPr="003B13DB" w:rsidDel="00B71394">
        <w:t xml:space="preserve">were </w:t>
      </w:r>
      <w:r w:rsidR="00EE6E95">
        <w:t>negligible effect (e.g. NOEC,</w:t>
      </w:r>
      <w:r w:rsidR="003B13DB" w:rsidRPr="003B13DB" w:rsidDel="00B71394">
        <w:t>EC10</w:t>
      </w:r>
      <w:r w:rsidR="00EE6E95">
        <w:t>)</w:t>
      </w:r>
      <w:r w:rsidR="003B13DB" w:rsidRPr="003B13DB" w:rsidDel="00B71394">
        <w:t xml:space="preserve"> data available for </w:t>
      </w:r>
      <w:r w:rsidR="00EE6E95" w:rsidRPr="003B13DB" w:rsidDel="00B71394">
        <w:t>1</w:t>
      </w:r>
      <w:r w:rsidR="00EE6E95">
        <w:t>5</w:t>
      </w:r>
      <w:r w:rsidR="00EE6E95" w:rsidRPr="003B13DB" w:rsidDel="00B71394">
        <w:t xml:space="preserve"> </w:t>
      </w:r>
      <w:r w:rsidR="003B13DB" w:rsidRPr="003B13DB" w:rsidDel="00B71394">
        <w:t>species (that belonged to six phyla and nine classes)</w:t>
      </w:r>
      <w:r w:rsidR="00A4796F">
        <w:t>,</w:t>
      </w:r>
      <w:r w:rsidR="00320D5F">
        <w:t xml:space="preserve"> </w:t>
      </w:r>
      <w:r w:rsidR="00A4796F">
        <w:t>which</w:t>
      </w:r>
      <w:r w:rsidR="003B13DB" w:rsidRPr="003B13DB" w:rsidDel="00B71394">
        <w:t xml:space="preserve"> met the minimum data requirements (i.e. at least five species belonging to at least four phyla) to use a </w:t>
      </w:r>
      <w:r w:rsidR="00320D5F" w:rsidRPr="00320D5F">
        <w:t>species sensitivity distribution (SSD)</w:t>
      </w:r>
      <w:r w:rsidR="003B13DB" w:rsidRPr="003B13DB" w:rsidDel="00B71394">
        <w:t xml:space="preserve"> to derive DGVs (Warne et al. 2018). </w:t>
      </w:r>
      <w:r w:rsidR="00017C13">
        <w:t xml:space="preserve">For two species, </w:t>
      </w:r>
      <w:r w:rsidR="00017C13" w:rsidRPr="003015BE">
        <w:rPr>
          <w:i/>
        </w:rPr>
        <w:t>Ceriodaphnia dubia</w:t>
      </w:r>
      <w:r w:rsidR="00017C13">
        <w:t xml:space="preserve"> and </w:t>
      </w:r>
      <w:r w:rsidR="00017C13" w:rsidRPr="003015BE">
        <w:rPr>
          <w:i/>
        </w:rPr>
        <w:t xml:space="preserve">Hyalella </w:t>
      </w:r>
      <w:r w:rsidR="003B1345">
        <w:rPr>
          <w:i/>
        </w:rPr>
        <w:t>a</w:t>
      </w:r>
      <w:r w:rsidR="00017C13">
        <w:rPr>
          <w:i/>
        </w:rPr>
        <w:t>zteca</w:t>
      </w:r>
      <w:r w:rsidR="00017C13">
        <w:rPr>
          <w:iCs/>
        </w:rPr>
        <w:t xml:space="preserve">, </w:t>
      </w:r>
      <w:r w:rsidR="003B1345">
        <w:rPr>
          <w:iCs/>
        </w:rPr>
        <w:t>p</w:t>
      </w:r>
      <w:r w:rsidR="00017C13">
        <w:rPr>
          <w:iCs/>
        </w:rPr>
        <w:t xml:space="preserve">H values of </w:t>
      </w:r>
      <w:r w:rsidR="003B1345">
        <w:t xml:space="preserve">&lt;5 were reported for glyphosate test </w:t>
      </w:r>
      <w:r w:rsidR="00017C13">
        <w:t xml:space="preserve">concentrations of </w:t>
      </w:r>
      <w:r w:rsidR="003B1345">
        <w:t>≥</w:t>
      </w:r>
      <w:r w:rsidR="00017C13">
        <w:t xml:space="preserve">250 mg/L (SEC 2007). </w:t>
      </w:r>
      <w:r w:rsidR="003B1345">
        <w:t>Although t</w:t>
      </w:r>
      <w:r w:rsidR="00017C13">
        <w:t>he toxicity of glyphosate is known to be affected by pH</w:t>
      </w:r>
      <w:r w:rsidR="003B1345">
        <w:t>, the</w:t>
      </w:r>
      <w:r w:rsidR="00017C13">
        <w:t xml:space="preserve"> </w:t>
      </w:r>
      <w:r w:rsidR="003B1345" w:rsidRPr="003015BE">
        <w:rPr>
          <w:i/>
        </w:rPr>
        <w:t>C</w:t>
      </w:r>
      <w:r w:rsidR="003B1345">
        <w:rPr>
          <w:i/>
        </w:rPr>
        <w:t>.</w:t>
      </w:r>
      <w:r w:rsidR="003B1345" w:rsidRPr="003015BE">
        <w:rPr>
          <w:i/>
        </w:rPr>
        <w:t xml:space="preserve"> dubia</w:t>
      </w:r>
      <w:r w:rsidR="003B1345">
        <w:t xml:space="preserve"> and </w:t>
      </w:r>
      <w:r w:rsidR="003B1345" w:rsidRPr="003015BE">
        <w:rPr>
          <w:i/>
        </w:rPr>
        <w:t>H</w:t>
      </w:r>
      <w:r w:rsidR="003B1345">
        <w:rPr>
          <w:i/>
        </w:rPr>
        <w:t>.</w:t>
      </w:r>
      <w:r w:rsidR="003B1345" w:rsidRPr="003015BE">
        <w:rPr>
          <w:i/>
        </w:rPr>
        <w:t xml:space="preserve"> </w:t>
      </w:r>
      <w:r w:rsidR="003B1345">
        <w:rPr>
          <w:i/>
        </w:rPr>
        <w:t>azteca</w:t>
      </w:r>
      <w:r w:rsidR="00017C13">
        <w:t xml:space="preserve"> data were </w:t>
      </w:r>
      <w:r w:rsidR="003B1345">
        <w:t>included in the final dataset</w:t>
      </w:r>
      <w:r w:rsidR="00017C13">
        <w:t xml:space="preserve"> as the toxicity values (65 and 19 mg/L, respectively) were markedly lower than 250 mg/L</w:t>
      </w:r>
      <w:r w:rsidR="003B1345">
        <w:t>,</w:t>
      </w:r>
      <w:r w:rsidR="00017C13">
        <w:t xml:space="preserve"> and it was assumed that the pH was within the acceptable range of 6 to 9 (Warne et al. 2018). </w:t>
      </w:r>
      <w:r w:rsidR="003B1345">
        <w:t>Moreover, the inclusion of these data is consistent with their inclusion in the Canadian water quality guideline for</w:t>
      </w:r>
      <w:r w:rsidR="00017C13">
        <w:t xml:space="preserve"> </w:t>
      </w:r>
      <w:r w:rsidR="003B1345">
        <w:t>glyphosate</w:t>
      </w:r>
      <w:r w:rsidR="00017C13">
        <w:t xml:space="preserve"> (CCME 2102).</w:t>
      </w:r>
    </w:p>
    <w:p w14:paraId="146F8185" w14:textId="0CEA9375" w:rsidR="003B13DB" w:rsidRDefault="005A45DB" w:rsidP="001303C0">
      <w:pPr>
        <w:spacing w:before="240"/>
      </w:pPr>
      <w:r w:rsidRPr="003B13DB" w:rsidDel="00B71394">
        <w:t xml:space="preserve">A summary of the toxicity data (one value per species) used to calculate the DGVs for glyphosate in freshwater is provided </w:t>
      </w:r>
      <w:r w:rsidR="00FF6F81">
        <w:t xml:space="preserve">in </w:t>
      </w:r>
      <w:r w:rsidR="00D758D2">
        <w:fldChar w:fldCharType="begin"/>
      </w:r>
      <w:r w:rsidR="00D758D2">
        <w:instrText xml:space="preserve"> REF _Ref26612619 \h </w:instrText>
      </w:r>
      <w:r w:rsidR="00D758D2">
        <w:fldChar w:fldCharType="separate"/>
      </w:r>
      <w:r w:rsidR="00D758D2">
        <w:t>Table </w:t>
      </w:r>
      <w:r w:rsidR="00D758D2">
        <w:rPr>
          <w:noProof/>
        </w:rPr>
        <w:t>2</w:t>
      </w:r>
      <w:r w:rsidR="00D758D2">
        <w:fldChar w:fldCharType="end"/>
      </w:r>
      <w:r w:rsidRPr="003B13DB" w:rsidDel="00B71394">
        <w:t>.</w:t>
      </w:r>
      <w:r>
        <w:t xml:space="preserve"> </w:t>
      </w:r>
      <w:r w:rsidRPr="003A0E6B">
        <w:t xml:space="preserve">Further details on the data that passed the quality </w:t>
      </w:r>
      <w:r w:rsidR="0097352C">
        <w:t>assessment and screening process</w:t>
      </w:r>
      <w:r>
        <w:t xml:space="preserve"> and were</w:t>
      </w:r>
      <w:r w:rsidRPr="003A0E6B">
        <w:t xml:space="preserve"> used to derive</w:t>
      </w:r>
      <w:r>
        <w:t xml:space="preserve"> </w:t>
      </w:r>
      <w:r w:rsidRPr="003A0E6B">
        <w:t>the DGVs</w:t>
      </w:r>
      <w:r>
        <w:t xml:space="preserve"> </w:t>
      </w:r>
      <w:r w:rsidRPr="003A0E6B">
        <w:t>are presented in</w:t>
      </w:r>
      <w:r w:rsidR="00215E01">
        <w:t xml:space="preserve"> </w:t>
      </w:r>
      <w:r w:rsidR="00D758D2">
        <w:fldChar w:fldCharType="begin"/>
      </w:r>
      <w:r w:rsidR="00D758D2">
        <w:instrText xml:space="preserve"> REF _Ref16942625 \h </w:instrText>
      </w:r>
      <w:r w:rsidR="00D758D2">
        <w:fldChar w:fldCharType="separate"/>
      </w:r>
      <w:r w:rsidR="00D758D2">
        <w:t>Appendix A</w:t>
      </w:r>
      <w:r w:rsidR="00D758D2">
        <w:fldChar w:fldCharType="end"/>
      </w:r>
      <w:r w:rsidRPr="003A0E6B">
        <w:t>.</w:t>
      </w:r>
      <w:r w:rsidR="005920FB">
        <w:t xml:space="preserve"> Details of the </w:t>
      </w:r>
      <w:hyperlink r:id="rId24" w:history="1">
        <w:r w:rsidR="005920FB" w:rsidRPr="00BB6B99">
          <w:rPr>
            <w:rStyle w:val="Hyperlink"/>
          </w:rPr>
          <w:t>data quality assessment</w:t>
        </w:r>
      </w:hyperlink>
      <w:r w:rsidR="005920FB">
        <w:t xml:space="preserve"> and the </w:t>
      </w:r>
      <w:hyperlink r:id="rId25" w:history="1">
        <w:r w:rsidR="005920FB" w:rsidRPr="00BB6B99">
          <w:rPr>
            <w:rStyle w:val="Hyperlink"/>
          </w:rPr>
          <w:t>data that passed the quality assessment</w:t>
        </w:r>
      </w:hyperlink>
      <w:r w:rsidR="005920FB">
        <w:t xml:space="preserve"> are provided as supporting information.</w:t>
      </w:r>
    </w:p>
    <w:p w14:paraId="3E0F452B" w14:textId="044DBF7D" w:rsidR="00F1205B" w:rsidRDefault="00F1205B" w:rsidP="00F1205B">
      <w:pPr>
        <w:rPr>
          <w:highlight w:val="yellow"/>
        </w:rPr>
      </w:pPr>
      <w:r>
        <w:t xml:space="preserve">To identify species that were regionally relevant to Australia and New Zealand ecosystems, a search of AlgaeBase (Guiry &amp; Guiry 2017), Atlas of Living Australia (ALA 2017), Catalogue of Life (Roskov et al. 2017), Integrated Taxonomic Information System (ITIS 2017) and the World Register of Marine Species (WoRMS 2017) was conducted. The dataset used in the DGV derivation process for glyphosate in freshwater includes toxicity data for </w:t>
      </w:r>
      <w:r w:rsidR="00F570FF">
        <w:t xml:space="preserve">six </w:t>
      </w:r>
      <w:r>
        <w:t>freshwater species that either originated from or are distributed within Australia and/or New Zealand. There was one published study (Bidwell &amp; Gorrie 1995) that determined the toxicity of glyphosate to two Australasian frog species. As these toxicity tests were undertaken using high concentrations of glyphosate acid with low pH (&lt;3.0), it is more likely that mortality amongst the tadpoles was a result of low pH levels of the higher exposure concentrations rather than the glyphosate acid exposure. Tadpoles have reportedly been unaffected by high concentrations (NOEC of &gt;340 mg/L) of other forms of glyphosate, such as glyphosate IPA (Mann &amp; Bidwell 1999), and it is well documented that amphibian larvae are intolerant to acid environments (Freda 1986). Therefore, the amphibian toxicity data reported by Bidwell and Gorrie (1995) were not included in the derivation of the DGVs for glyphosate.</w:t>
      </w:r>
    </w:p>
    <w:p w14:paraId="3327138C" w14:textId="18AA7FCD" w:rsidR="00D52C10" w:rsidRDefault="00D758D2" w:rsidP="00D52C10">
      <w:pPr>
        <w:pStyle w:val="Caption"/>
        <w:rPr>
          <w:highlight w:val="yellow"/>
        </w:rPr>
      </w:pPr>
      <w:bookmarkStart w:id="81" w:name="_Ref26612619"/>
      <w:bookmarkStart w:id="82" w:name="_Toc29547169"/>
      <w:bookmarkStart w:id="83" w:name="_Toc64624304"/>
      <w:r>
        <w:lastRenderedPageBreak/>
        <w:t>Table </w:t>
      </w:r>
      <w:r w:rsidR="00736C4F">
        <w:fldChar w:fldCharType="begin"/>
      </w:r>
      <w:r w:rsidR="00736C4F">
        <w:instrText xml:space="preserve"> SEQ Table \* ARABIC </w:instrText>
      </w:r>
      <w:r w:rsidR="00736C4F">
        <w:fldChar w:fldCharType="separate"/>
      </w:r>
      <w:r>
        <w:rPr>
          <w:noProof/>
        </w:rPr>
        <w:t>2</w:t>
      </w:r>
      <w:r w:rsidR="00736C4F">
        <w:rPr>
          <w:noProof/>
        </w:rPr>
        <w:fldChar w:fldCharType="end"/>
      </w:r>
      <w:bookmarkEnd w:id="81"/>
      <w:r w:rsidR="00D52C10" w:rsidRPr="003B13DB">
        <w:t xml:space="preserve"> </w:t>
      </w:r>
      <w:r w:rsidR="00D52C10" w:rsidRPr="00C618FE">
        <w:t xml:space="preserve">Summary of single </w:t>
      </w:r>
      <w:r w:rsidR="00FC5AC2">
        <w:t xml:space="preserve">chronic </w:t>
      </w:r>
      <w:r w:rsidR="00D52C10" w:rsidRPr="00C618FE">
        <w:t xml:space="preserve">toxicity values, all species used to derive default guideline values for </w:t>
      </w:r>
      <w:r w:rsidR="00D52C10" w:rsidRPr="003B13DB">
        <w:t xml:space="preserve">glyphosate </w:t>
      </w:r>
      <w:r w:rsidR="00D52C10" w:rsidRPr="00C618FE">
        <w:t>in freshwater</w:t>
      </w:r>
      <w:bookmarkEnd w:id="82"/>
      <w:bookmarkEnd w:id="83"/>
      <w:r w:rsidR="00D52C10" w:rsidRPr="003B13DB">
        <w:t xml:space="preserve"> </w:t>
      </w:r>
    </w:p>
    <w:tbl>
      <w:tblPr>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of single toxicity values, all species used to derive default guideline values for glyphosate in freshwater"/>
        <w:tblDescription w:val="Table provides a list of the species used to derive the glyphosate default guideline value, with additional details such as taxonomic group (phylum), life stage, duration of test, toxicity measure, test endpoint and final toxicity value (microgram per litre)."/>
      </w:tblPr>
      <w:tblGrid>
        <w:gridCol w:w="1608"/>
        <w:gridCol w:w="1508"/>
        <w:gridCol w:w="1135"/>
        <w:gridCol w:w="994"/>
        <w:gridCol w:w="1092"/>
        <w:gridCol w:w="1600"/>
        <w:gridCol w:w="1133"/>
      </w:tblGrid>
      <w:tr w:rsidR="00D52C10" w:rsidRPr="003E4B07" w14:paraId="217F6504" w14:textId="77777777" w:rsidTr="00B13F85">
        <w:trPr>
          <w:cantSplit/>
          <w:tblHeader/>
          <w:jc w:val="center"/>
        </w:trPr>
        <w:tc>
          <w:tcPr>
            <w:tcW w:w="1608" w:type="dxa"/>
            <w:tcBorders>
              <w:top w:val="single" w:sz="12" w:space="0" w:color="auto"/>
              <w:bottom w:val="single" w:sz="12" w:space="0" w:color="auto"/>
            </w:tcBorders>
            <w:shd w:val="clear" w:color="auto" w:fill="auto"/>
            <w:vAlign w:val="center"/>
          </w:tcPr>
          <w:p w14:paraId="7D25C0A4" w14:textId="77777777" w:rsidR="00D52C10" w:rsidRPr="003E4B07" w:rsidRDefault="00D52C10" w:rsidP="00223956">
            <w:pPr>
              <w:pStyle w:val="TableHeading"/>
            </w:pPr>
            <w:r w:rsidRPr="003E4B07">
              <w:t>Taxonomic group</w:t>
            </w:r>
            <w:r>
              <w:t xml:space="preserve"> (Phylum)</w:t>
            </w:r>
          </w:p>
        </w:tc>
        <w:tc>
          <w:tcPr>
            <w:tcW w:w="1508" w:type="dxa"/>
            <w:tcBorders>
              <w:top w:val="single" w:sz="12" w:space="0" w:color="auto"/>
              <w:bottom w:val="single" w:sz="12" w:space="0" w:color="auto"/>
            </w:tcBorders>
            <w:shd w:val="clear" w:color="auto" w:fill="auto"/>
            <w:vAlign w:val="center"/>
          </w:tcPr>
          <w:p w14:paraId="2C5C4B2A" w14:textId="77777777" w:rsidR="00D52C10" w:rsidRPr="003E4B07" w:rsidRDefault="00D52C10" w:rsidP="00223956">
            <w:pPr>
              <w:pStyle w:val="TableHeading"/>
            </w:pPr>
            <w:r w:rsidRPr="003E4B07">
              <w:t>Species</w:t>
            </w:r>
          </w:p>
        </w:tc>
        <w:tc>
          <w:tcPr>
            <w:tcW w:w="1135" w:type="dxa"/>
            <w:tcBorders>
              <w:top w:val="single" w:sz="12" w:space="0" w:color="auto"/>
              <w:bottom w:val="single" w:sz="12" w:space="0" w:color="auto"/>
            </w:tcBorders>
            <w:shd w:val="clear" w:color="auto" w:fill="auto"/>
            <w:vAlign w:val="center"/>
          </w:tcPr>
          <w:p w14:paraId="6BBC6033" w14:textId="77777777" w:rsidR="00D52C10" w:rsidRPr="003E4B07" w:rsidRDefault="00D52C10" w:rsidP="00223956">
            <w:pPr>
              <w:pStyle w:val="TableHeading"/>
            </w:pPr>
            <w:r w:rsidRPr="003E4B07">
              <w:t>Life stage</w:t>
            </w:r>
          </w:p>
        </w:tc>
        <w:tc>
          <w:tcPr>
            <w:tcW w:w="994" w:type="dxa"/>
            <w:tcBorders>
              <w:top w:val="single" w:sz="12" w:space="0" w:color="auto"/>
              <w:bottom w:val="single" w:sz="12" w:space="0" w:color="auto"/>
            </w:tcBorders>
            <w:shd w:val="clear" w:color="auto" w:fill="auto"/>
            <w:vAlign w:val="center"/>
          </w:tcPr>
          <w:p w14:paraId="34C36B7B" w14:textId="499D14E4" w:rsidR="00D52C10" w:rsidRPr="003E4B07" w:rsidRDefault="00D52C10" w:rsidP="00223956">
            <w:pPr>
              <w:pStyle w:val="TableHeading"/>
            </w:pPr>
            <w:r w:rsidRPr="003E4B07">
              <w:t>Duration (d)</w:t>
            </w:r>
          </w:p>
        </w:tc>
        <w:tc>
          <w:tcPr>
            <w:tcW w:w="1092" w:type="dxa"/>
            <w:tcBorders>
              <w:top w:val="single" w:sz="12" w:space="0" w:color="auto"/>
              <w:bottom w:val="single" w:sz="12" w:space="0" w:color="auto"/>
            </w:tcBorders>
            <w:shd w:val="clear" w:color="auto" w:fill="auto"/>
            <w:vAlign w:val="center"/>
          </w:tcPr>
          <w:p w14:paraId="47FF1730" w14:textId="24CC26BA" w:rsidR="00D52C10" w:rsidRPr="003E4B07" w:rsidRDefault="00D52C10" w:rsidP="00223956">
            <w:pPr>
              <w:pStyle w:val="TableHeading"/>
            </w:pPr>
            <w:r w:rsidRPr="003E4B07">
              <w:t xml:space="preserve">Toxicity </w:t>
            </w:r>
            <w:r>
              <w:t xml:space="preserve">measure </w:t>
            </w:r>
            <w:r w:rsidRPr="00C618FE">
              <w:rPr>
                <w:rStyle w:val="Strong"/>
                <w:vertAlign w:val="superscript"/>
              </w:rPr>
              <w:t>a</w:t>
            </w:r>
          </w:p>
        </w:tc>
        <w:tc>
          <w:tcPr>
            <w:tcW w:w="1600" w:type="dxa"/>
            <w:tcBorders>
              <w:top w:val="single" w:sz="12" w:space="0" w:color="auto"/>
              <w:bottom w:val="single" w:sz="12" w:space="0" w:color="auto"/>
            </w:tcBorders>
            <w:shd w:val="clear" w:color="auto" w:fill="auto"/>
            <w:vAlign w:val="center"/>
          </w:tcPr>
          <w:p w14:paraId="20296D8C" w14:textId="31BF4E68" w:rsidR="00D52C10" w:rsidRPr="003E4B07" w:rsidRDefault="00D52C10" w:rsidP="00223956">
            <w:pPr>
              <w:pStyle w:val="TableHeading"/>
            </w:pPr>
            <w:r>
              <w:t xml:space="preserve">Test </w:t>
            </w:r>
            <w:r w:rsidRPr="003E4B07">
              <w:t>endpoint</w:t>
            </w:r>
          </w:p>
        </w:tc>
        <w:tc>
          <w:tcPr>
            <w:tcW w:w="1133" w:type="dxa"/>
            <w:tcBorders>
              <w:top w:val="single" w:sz="12" w:space="0" w:color="auto"/>
              <w:bottom w:val="single" w:sz="12" w:space="0" w:color="auto"/>
            </w:tcBorders>
            <w:shd w:val="clear" w:color="auto" w:fill="auto"/>
            <w:vAlign w:val="center"/>
          </w:tcPr>
          <w:p w14:paraId="705C56EB" w14:textId="132FACBF" w:rsidR="00D52C10" w:rsidRPr="003E4B07" w:rsidRDefault="00D52C10" w:rsidP="00223956">
            <w:pPr>
              <w:pStyle w:val="TableHeading"/>
            </w:pPr>
            <w:r>
              <w:t>Final t</w:t>
            </w:r>
            <w:r w:rsidRPr="003E4B07">
              <w:t>oxicity value (µg/L)</w:t>
            </w:r>
          </w:p>
        </w:tc>
      </w:tr>
      <w:tr w:rsidR="00D52C10" w:rsidRPr="003E4B07" w14:paraId="2F505CA1" w14:textId="77777777" w:rsidTr="00B13F85">
        <w:trPr>
          <w:cantSplit/>
          <w:jc w:val="center"/>
        </w:trPr>
        <w:tc>
          <w:tcPr>
            <w:tcW w:w="1608" w:type="dxa"/>
            <w:tcBorders>
              <w:top w:val="single" w:sz="12" w:space="0" w:color="auto"/>
            </w:tcBorders>
            <w:shd w:val="clear" w:color="auto" w:fill="auto"/>
            <w:vAlign w:val="center"/>
          </w:tcPr>
          <w:p w14:paraId="2F5316A8" w14:textId="1C6CF940" w:rsidR="00D52C10" w:rsidRPr="003E4B07" w:rsidRDefault="00D52C10" w:rsidP="00D52C10">
            <w:pPr>
              <w:pStyle w:val="TableText"/>
            </w:pPr>
            <w:r>
              <w:t>Blue–green alga (</w:t>
            </w:r>
            <w:r w:rsidRPr="003E4B07">
              <w:t>Cyanobacteria</w:t>
            </w:r>
            <w:r>
              <w:t>)</w:t>
            </w:r>
          </w:p>
        </w:tc>
        <w:tc>
          <w:tcPr>
            <w:tcW w:w="1508" w:type="dxa"/>
            <w:tcBorders>
              <w:top w:val="single" w:sz="12" w:space="0" w:color="auto"/>
            </w:tcBorders>
            <w:shd w:val="clear" w:color="auto" w:fill="auto"/>
            <w:vAlign w:val="center"/>
          </w:tcPr>
          <w:p w14:paraId="2198FA75" w14:textId="1BA2CC04" w:rsidR="00D52C10" w:rsidRPr="00D14557" w:rsidRDefault="00D52C10" w:rsidP="00223956">
            <w:pPr>
              <w:pStyle w:val="TableText"/>
              <w:rPr>
                <w:rStyle w:val="Emphasis"/>
              </w:rPr>
            </w:pPr>
            <w:r w:rsidRPr="00D14557">
              <w:rPr>
                <w:rStyle w:val="Emphasis"/>
              </w:rPr>
              <w:t>Anabaena flosaquae</w:t>
            </w:r>
          </w:p>
        </w:tc>
        <w:tc>
          <w:tcPr>
            <w:tcW w:w="1135" w:type="dxa"/>
            <w:tcBorders>
              <w:top w:val="single" w:sz="12" w:space="0" w:color="auto"/>
            </w:tcBorders>
            <w:shd w:val="clear" w:color="auto" w:fill="auto"/>
            <w:vAlign w:val="center"/>
          </w:tcPr>
          <w:p w14:paraId="04CD22AA" w14:textId="77777777" w:rsidR="00D52C10" w:rsidRPr="003E4B07" w:rsidRDefault="00D52C10" w:rsidP="00223956">
            <w:pPr>
              <w:pStyle w:val="TableText"/>
            </w:pPr>
            <w:r>
              <w:t xml:space="preserve">Not </w:t>
            </w:r>
            <w:r w:rsidRPr="003E4B07">
              <w:t>stated</w:t>
            </w:r>
          </w:p>
        </w:tc>
        <w:tc>
          <w:tcPr>
            <w:tcW w:w="994" w:type="dxa"/>
            <w:tcBorders>
              <w:top w:val="single" w:sz="12" w:space="0" w:color="auto"/>
            </w:tcBorders>
            <w:shd w:val="clear" w:color="auto" w:fill="auto"/>
            <w:vAlign w:val="center"/>
          </w:tcPr>
          <w:p w14:paraId="4CB78429" w14:textId="77777777" w:rsidR="00D52C10" w:rsidRPr="003E4B07" w:rsidRDefault="00D52C10" w:rsidP="00223956">
            <w:pPr>
              <w:pStyle w:val="TableText"/>
            </w:pPr>
            <w:r w:rsidRPr="003E4B07">
              <w:t>5</w:t>
            </w:r>
          </w:p>
        </w:tc>
        <w:tc>
          <w:tcPr>
            <w:tcW w:w="1092" w:type="dxa"/>
            <w:tcBorders>
              <w:top w:val="single" w:sz="12" w:space="0" w:color="auto"/>
            </w:tcBorders>
            <w:shd w:val="clear" w:color="auto" w:fill="auto"/>
            <w:vAlign w:val="center"/>
          </w:tcPr>
          <w:p w14:paraId="3755FFC6" w14:textId="4814BA7D" w:rsidR="00D52C10" w:rsidRPr="003E4B07" w:rsidRDefault="00D52C10" w:rsidP="00223956">
            <w:pPr>
              <w:pStyle w:val="TableText"/>
            </w:pPr>
            <w:r w:rsidRPr="003E4B07">
              <w:t>NOEL</w:t>
            </w:r>
          </w:p>
        </w:tc>
        <w:tc>
          <w:tcPr>
            <w:tcW w:w="1600" w:type="dxa"/>
            <w:tcBorders>
              <w:top w:val="single" w:sz="12" w:space="0" w:color="auto"/>
            </w:tcBorders>
            <w:shd w:val="clear" w:color="auto" w:fill="auto"/>
            <w:vAlign w:val="center"/>
          </w:tcPr>
          <w:p w14:paraId="79421176" w14:textId="4F797F08" w:rsidR="00D52C10" w:rsidRPr="003E4B07" w:rsidRDefault="00D52C10" w:rsidP="00223956">
            <w:pPr>
              <w:pStyle w:val="TableText"/>
            </w:pPr>
            <w:r w:rsidRPr="003E4B07">
              <w:t xml:space="preserve">Biomass yield, </w:t>
            </w:r>
            <w:r>
              <w:t>g</w:t>
            </w:r>
            <w:r w:rsidRPr="003E4B07">
              <w:t>rowth rate, AUC</w:t>
            </w:r>
            <w:r>
              <w:t xml:space="preserve"> </w:t>
            </w:r>
            <w:r w:rsidRPr="00C618FE">
              <w:rPr>
                <w:rStyle w:val="Strong"/>
                <w:vertAlign w:val="superscript"/>
              </w:rPr>
              <w:t>b</w:t>
            </w:r>
          </w:p>
        </w:tc>
        <w:tc>
          <w:tcPr>
            <w:tcW w:w="1133" w:type="dxa"/>
            <w:tcBorders>
              <w:top w:val="single" w:sz="12" w:space="0" w:color="auto"/>
            </w:tcBorders>
            <w:shd w:val="clear" w:color="auto" w:fill="auto"/>
            <w:vAlign w:val="center"/>
          </w:tcPr>
          <w:p w14:paraId="76A4E775" w14:textId="77777777" w:rsidR="00D52C10" w:rsidRPr="003E4B07" w:rsidRDefault="00D52C10" w:rsidP="00223956">
            <w:pPr>
              <w:pStyle w:val="TableText"/>
            </w:pPr>
            <w:r w:rsidRPr="003E4B07">
              <w:t>12</w:t>
            </w:r>
            <w:r>
              <w:t> </w:t>
            </w:r>
            <w:r w:rsidRPr="003E4B07">
              <w:t>000</w:t>
            </w:r>
          </w:p>
        </w:tc>
      </w:tr>
      <w:tr w:rsidR="00C83262" w:rsidRPr="003E4B07" w14:paraId="527BF2EE" w14:textId="77777777" w:rsidTr="00B13F85">
        <w:trPr>
          <w:cantSplit/>
          <w:jc w:val="center"/>
        </w:trPr>
        <w:tc>
          <w:tcPr>
            <w:tcW w:w="1608" w:type="dxa"/>
            <w:shd w:val="clear" w:color="auto" w:fill="auto"/>
            <w:vAlign w:val="center"/>
          </w:tcPr>
          <w:p w14:paraId="28507CE9" w14:textId="7054A89A" w:rsidR="00C83262" w:rsidRDefault="00C83262" w:rsidP="00223956">
            <w:pPr>
              <w:pStyle w:val="TableText"/>
            </w:pPr>
            <w:r>
              <w:t>Crustacean (A</w:t>
            </w:r>
            <w:r w:rsidR="00CB7A16">
              <w:t>rthr</w:t>
            </w:r>
            <w:r>
              <w:t>opoda)</w:t>
            </w:r>
          </w:p>
        </w:tc>
        <w:tc>
          <w:tcPr>
            <w:tcW w:w="1508" w:type="dxa"/>
            <w:shd w:val="clear" w:color="auto" w:fill="auto"/>
            <w:vAlign w:val="center"/>
          </w:tcPr>
          <w:p w14:paraId="32D4B882" w14:textId="71998B53" w:rsidR="00C83262" w:rsidRPr="00D14557" w:rsidRDefault="00C83262" w:rsidP="00223956">
            <w:pPr>
              <w:pStyle w:val="TableText"/>
              <w:rPr>
                <w:rStyle w:val="Emphasis"/>
              </w:rPr>
            </w:pPr>
            <w:r>
              <w:rPr>
                <w:rStyle w:val="Emphasis"/>
              </w:rPr>
              <w:t xml:space="preserve">Ceriodaphnia dubia </w:t>
            </w:r>
            <w:r w:rsidR="00C0428F">
              <w:rPr>
                <w:rStyle w:val="Emphasis"/>
                <w:b/>
                <w:bCs/>
                <w:i w:val="0"/>
                <w:iCs w:val="0"/>
                <w:vertAlign w:val="superscript"/>
              </w:rPr>
              <w:t>c</w:t>
            </w:r>
          </w:p>
        </w:tc>
        <w:tc>
          <w:tcPr>
            <w:tcW w:w="1135" w:type="dxa"/>
            <w:shd w:val="clear" w:color="auto" w:fill="auto"/>
            <w:vAlign w:val="center"/>
          </w:tcPr>
          <w:p w14:paraId="25B7201B" w14:textId="1B3F71B1" w:rsidR="00C83262" w:rsidRPr="003E4B07" w:rsidRDefault="00FC5AC2" w:rsidP="00223956">
            <w:pPr>
              <w:pStyle w:val="TableText"/>
            </w:pPr>
            <w:r>
              <w:t>&lt;24-hour old</w:t>
            </w:r>
          </w:p>
        </w:tc>
        <w:tc>
          <w:tcPr>
            <w:tcW w:w="994" w:type="dxa"/>
            <w:shd w:val="clear" w:color="auto" w:fill="auto"/>
            <w:vAlign w:val="center"/>
          </w:tcPr>
          <w:p w14:paraId="7D576D38" w14:textId="6BF94400" w:rsidR="00C83262" w:rsidRPr="003E4B07" w:rsidRDefault="00FC5AC2" w:rsidP="00223956">
            <w:pPr>
              <w:pStyle w:val="TableText"/>
            </w:pPr>
            <w:r>
              <w:t>7</w:t>
            </w:r>
          </w:p>
        </w:tc>
        <w:tc>
          <w:tcPr>
            <w:tcW w:w="1092" w:type="dxa"/>
            <w:shd w:val="clear" w:color="auto" w:fill="auto"/>
            <w:vAlign w:val="center"/>
          </w:tcPr>
          <w:p w14:paraId="1E05ED24" w14:textId="5E433B07" w:rsidR="00C83262" w:rsidRPr="003E4B07" w:rsidRDefault="00FC5AC2" w:rsidP="00223956">
            <w:pPr>
              <w:pStyle w:val="TableText"/>
            </w:pPr>
            <w:r>
              <w:t>NOEC</w:t>
            </w:r>
          </w:p>
        </w:tc>
        <w:tc>
          <w:tcPr>
            <w:tcW w:w="1600" w:type="dxa"/>
            <w:shd w:val="clear" w:color="auto" w:fill="auto"/>
            <w:vAlign w:val="center"/>
          </w:tcPr>
          <w:p w14:paraId="646731DA" w14:textId="247C650E" w:rsidR="00C83262" w:rsidRDefault="00FC5AC2" w:rsidP="00223956">
            <w:pPr>
              <w:pStyle w:val="TableText"/>
            </w:pPr>
            <w:r>
              <w:t>Survival</w:t>
            </w:r>
          </w:p>
        </w:tc>
        <w:tc>
          <w:tcPr>
            <w:tcW w:w="1133" w:type="dxa"/>
            <w:shd w:val="clear" w:color="auto" w:fill="auto"/>
            <w:vAlign w:val="center"/>
          </w:tcPr>
          <w:p w14:paraId="65F065BD" w14:textId="0D2D08DA" w:rsidR="00C83262" w:rsidRPr="003E4B07" w:rsidRDefault="00FC5AC2" w:rsidP="00223956">
            <w:pPr>
              <w:pStyle w:val="TableText"/>
            </w:pPr>
            <w:r>
              <w:t>65 000</w:t>
            </w:r>
          </w:p>
        </w:tc>
      </w:tr>
      <w:tr w:rsidR="00D52C10" w:rsidRPr="003E4B07" w14:paraId="1FC2DE57" w14:textId="77777777" w:rsidTr="00B13F85">
        <w:trPr>
          <w:cantSplit/>
          <w:jc w:val="center"/>
        </w:trPr>
        <w:tc>
          <w:tcPr>
            <w:tcW w:w="1608" w:type="dxa"/>
            <w:shd w:val="clear" w:color="auto" w:fill="auto"/>
            <w:vAlign w:val="center"/>
          </w:tcPr>
          <w:p w14:paraId="38FE6055" w14:textId="77777777" w:rsidR="00D52C10" w:rsidRPr="003E4B07" w:rsidRDefault="00D52C10" w:rsidP="00223956">
            <w:pPr>
              <w:pStyle w:val="TableText"/>
            </w:pPr>
            <w:r>
              <w:t>Crustacean (</w:t>
            </w:r>
            <w:r w:rsidRPr="003E4B07">
              <w:t>Arthropoda</w:t>
            </w:r>
            <w:r>
              <w:t>)</w:t>
            </w:r>
          </w:p>
        </w:tc>
        <w:tc>
          <w:tcPr>
            <w:tcW w:w="1508" w:type="dxa"/>
            <w:shd w:val="clear" w:color="auto" w:fill="auto"/>
            <w:vAlign w:val="center"/>
          </w:tcPr>
          <w:p w14:paraId="11C28089" w14:textId="4E145C20" w:rsidR="00D52C10" w:rsidRPr="00D14557" w:rsidRDefault="00D52C10" w:rsidP="00223956">
            <w:pPr>
              <w:pStyle w:val="TableText"/>
            </w:pPr>
            <w:r w:rsidRPr="00D14557">
              <w:rPr>
                <w:rStyle w:val="Emphasis"/>
              </w:rPr>
              <w:t>Cherax quadricarinatus</w:t>
            </w:r>
            <w:r>
              <w:rPr>
                <w:rStyle w:val="Emphasis"/>
              </w:rPr>
              <w:t xml:space="preserve"> </w:t>
            </w:r>
            <w:r>
              <w:rPr>
                <w:rStyle w:val="Strong"/>
                <w:vertAlign w:val="superscript"/>
              </w:rPr>
              <w:t>c</w:t>
            </w:r>
          </w:p>
        </w:tc>
        <w:tc>
          <w:tcPr>
            <w:tcW w:w="1135" w:type="dxa"/>
            <w:shd w:val="clear" w:color="auto" w:fill="auto"/>
            <w:vAlign w:val="center"/>
          </w:tcPr>
          <w:p w14:paraId="6DC9D192" w14:textId="7E1F0D44" w:rsidR="00D52C10" w:rsidRPr="003E4B07" w:rsidRDefault="00D52C10" w:rsidP="00223956">
            <w:pPr>
              <w:pStyle w:val="TableText"/>
            </w:pPr>
            <w:r w:rsidRPr="003E4B07">
              <w:t>Advanced juvenile</w:t>
            </w:r>
          </w:p>
        </w:tc>
        <w:tc>
          <w:tcPr>
            <w:tcW w:w="994" w:type="dxa"/>
            <w:shd w:val="clear" w:color="auto" w:fill="auto"/>
            <w:vAlign w:val="center"/>
          </w:tcPr>
          <w:p w14:paraId="7279CB04" w14:textId="77777777" w:rsidR="00D52C10" w:rsidRPr="003E4B07" w:rsidRDefault="00D52C10" w:rsidP="00223956">
            <w:pPr>
              <w:pStyle w:val="TableText"/>
            </w:pPr>
            <w:r w:rsidRPr="003E4B07">
              <w:t>50</w:t>
            </w:r>
          </w:p>
        </w:tc>
        <w:tc>
          <w:tcPr>
            <w:tcW w:w="1092" w:type="dxa"/>
            <w:shd w:val="clear" w:color="auto" w:fill="auto"/>
            <w:vAlign w:val="center"/>
          </w:tcPr>
          <w:p w14:paraId="456E57C2" w14:textId="543C71C7" w:rsidR="00D52C10" w:rsidRPr="003E4B07" w:rsidRDefault="00D52C10" w:rsidP="00223956">
            <w:pPr>
              <w:pStyle w:val="TableText"/>
            </w:pPr>
            <w:r w:rsidRPr="003E4B07">
              <w:t>NOEC</w:t>
            </w:r>
          </w:p>
        </w:tc>
        <w:tc>
          <w:tcPr>
            <w:tcW w:w="1600" w:type="dxa"/>
            <w:shd w:val="clear" w:color="auto" w:fill="auto"/>
            <w:vAlign w:val="center"/>
          </w:tcPr>
          <w:p w14:paraId="35297855" w14:textId="030B3DFC" w:rsidR="00D52C10" w:rsidRPr="003E4B07" w:rsidRDefault="00D52C10" w:rsidP="00223956">
            <w:pPr>
              <w:pStyle w:val="TableText"/>
            </w:pPr>
            <w:r>
              <w:t>Growth</w:t>
            </w:r>
          </w:p>
        </w:tc>
        <w:tc>
          <w:tcPr>
            <w:tcW w:w="1133" w:type="dxa"/>
            <w:shd w:val="clear" w:color="auto" w:fill="auto"/>
            <w:vAlign w:val="center"/>
          </w:tcPr>
          <w:p w14:paraId="12FA19F7" w14:textId="77777777" w:rsidR="00D52C10" w:rsidRPr="003E4B07" w:rsidRDefault="00D52C10" w:rsidP="00223956">
            <w:pPr>
              <w:pStyle w:val="TableText"/>
            </w:pPr>
            <w:r w:rsidRPr="003E4B07">
              <w:t>22</w:t>
            </w:r>
            <w:r>
              <w:t> </w:t>
            </w:r>
            <w:r w:rsidRPr="003E4B07">
              <w:t>500</w:t>
            </w:r>
          </w:p>
        </w:tc>
      </w:tr>
      <w:tr w:rsidR="00D52C10" w:rsidRPr="003E4B07" w14:paraId="351824D5" w14:textId="77777777" w:rsidTr="00B13F85">
        <w:trPr>
          <w:cantSplit/>
          <w:jc w:val="center"/>
        </w:trPr>
        <w:tc>
          <w:tcPr>
            <w:tcW w:w="1608" w:type="dxa"/>
            <w:shd w:val="clear" w:color="auto" w:fill="auto"/>
            <w:vAlign w:val="center"/>
          </w:tcPr>
          <w:p w14:paraId="11D87FA2" w14:textId="77777777" w:rsidR="00D52C10" w:rsidRPr="003E4B07" w:rsidRDefault="00D52C10" w:rsidP="00223956">
            <w:pPr>
              <w:pStyle w:val="TableText"/>
            </w:pPr>
            <w:r>
              <w:t>Green alga (</w:t>
            </w:r>
            <w:r w:rsidRPr="003E4B07">
              <w:t>Chlorophyta</w:t>
            </w:r>
            <w:r>
              <w:t>)</w:t>
            </w:r>
          </w:p>
        </w:tc>
        <w:tc>
          <w:tcPr>
            <w:tcW w:w="1508" w:type="dxa"/>
            <w:shd w:val="clear" w:color="auto" w:fill="auto"/>
            <w:vAlign w:val="center"/>
          </w:tcPr>
          <w:p w14:paraId="39A51D07" w14:textId="77777777" w:rsidR="00D52C10" w:rsidRPr="00D14557" w:rsidRDefault="00D52C10" w:rsidP="00223956">
            <w:pPr>
              <w:pStyle w:val="TableText"/>
              <w:rPr>
                <w:rStyle w:val="Emphasis"/>
              </w:rPr>
            </w:pPr>
            <w:r w:rsidRPr="00D14557">
              <w:rPr>
                <w:rStyle w:val="Emphasis"/>
              </w:rPr>
              <w:t>Chlorella saccharophila</w:t>
            </w:r>
          </w:p>
        </w:tc>
        <w:tc>
          <w:tcPr>
            <w:tcW w:w="1135" w:type="dxa"/>
            <w:shd w:val="clear" w:color="auto" w:fill="auto"/>
            <w:vAlign w:val="center"/>
          </w:tcPr>
          <w:p w14:paraId="0E5771B5" w14:textId="77777777" w:rsidR="00D52C10" w:rsidRPr="003E4B07" w:rsidRDefault="00D52C10" w:rsidP="00223956">
            <w:pPr>
              <w:pStyle w:val="TableText"/>
            </w:pPr>
            <w:r w:rsidRPr="003E4B07">
              <w:t>Exponential growth phase</w:t>
            </w:r>
          </w:p>
        </w:tc>
        <w:tc>
          <w:tcPr>
            <w:tcW w:w="994" w:type="dxa"/>
            <w:shd w:val="clear" w:color="auto" w:fill="auto"/>
            <w:vAlign w:val="center"/>
          </w:tcPr>
          <w:p w14:paraId="4BB1F044" w14:textId="77777777" w:rsidR="00D52C10" w:rsidRPr="003E4B07" w:rsidRDefault="00D52C10" w:rsidP="00223956">
            <w:pPr>
              <w:pStyle w:val="TableText"/>
            </w:pPr>
            <w:r w:rsidRPr="003E4B07">
              <w:t>3</w:t>
            </w:r>
          </w:p>
        </w:tc>
        <w:tc>
          <w:tcPr>
            <w:tcW w:w="1092" w:type="dxa"/>
            <w:shd w:val="clear" w:color="auto" w:fill="auto"/>
            <w:vAlign w:val="center"/>
          </w:tcPr>
          <w:p w14:paraId="045B2D6F" w14:textId="2DE5D143" w:rsidR="00D52C10" w:rsidRPr="003E4B07" w:rsidRDefault="00D52C10" w:rsidP="008B60FA">
            <w:pPr>
              <w:pStyle w:val="TableText"/>
            </w:pPr>
            <w:r w:rsidRPr="003E4B07">
              <w:t>NOEC/EC10</w:t>
            </w:r>
          </w:p>
        </w:tc>
        <w:tc>
          <w:tcPr>
            <w:tcW w:w="1600" w:type="dxa"/>
            <w:shd w:val="clear" w:color="auto" w:fill="auto"/>
            <w:vAlign w:val="center"/>
          </w:tcPr>
          <w:p w14:paraId="38EAAECD" w14:textId="77777777" w:rsidR="00D52C10" w:rsidRPr="003E4B07" w:rsidRDefault="00D52C10" w:rsidP="00223956">
            <w:pPr>
              <w:pStyle w:val="TableText"/>
            </w:pPr>
            <w:r>
              <w:t>Cell density</w:t>
            </w:r>
          </w:p>
        </w:tc>
        <w:tc>
          <w:tcPr>
            <w:tcW w:w="1133" w:type="dxa"/>
            <w:shd w:val="clear" w:color="auto" w:fill="auto"/>
            <w:vAlign w:val="center"/>
          </w:tcPr>
          <w:p w14:paraId="1E40C026" w14:textId="77777777" w:rsidR="00D52C10" w:rsidRPr="003E4B07" w:rsidRDefault="00D52C10" w:rsidP="00223956">
            <w:pPr>
              <w:pStyle w:val="TableText"/>
            </w:pPr>
            <w:r>
              <w:t>1 </w:t>
            </w:r>
            <w:r w:rsidRPr="003E4B07">
              <w:t>08</w:t>
            </w:r>
            <w:r>
              <w:t xml:space="preserve">2 </w:t>
            </w:r>
            <w:r w:rsidRPr="00D52C10">
              <w:rPr>
                <w:rStyle w:val="Strong"/>
                <w:vertAlign w:val="superscript"/>
              </w:rPr>
              <w:t>d</w:t>
            </w:r>
          </w:p>
        </w:tc>
      </w:tr>
      <w:tr w:rsidR="00D52C10" w:rsidRPr="003E4B07" w14:paraId="1C90AE32" w14:textId="77777777" w:rsidTr="00B13F85">
        <w:trPr>
          <w:cantSplit/>
          <w:jc w:val="center"/>
        </w:trPr>
        <w:tc>
          <w:tcPr>
            <w:tcW w:w="1608" w:type="dxa"/>
            <w:shd w:val="clear" w:color="auto" w:fill="auto"/>
            <w:vAlign w:val="center"/>
          </w:tcPr>
          <w:p w14:paraId="7A49CD9A" w14:textId="77777777" w:rsidR="00D52C10" w:rsidRPr="003E4B07" w:rsidRDefault="00D52C10" w:rsidP="00223956">
            <w:pPr>
              <w:pStyle w:val="TableText"/>
            </w:pPr>
            <w:r>
              <w:t>Crustacean (</w:t>
            </w:r>
            <w:r w:rsidRPr="003E4B07">
              <w:t>Arthropoda</w:t>
            </w:r>
            <w:r>
              <w:t>)</w:t>
            </w:r>
          </w:p>
        </w:tc>
        <w:tc>
          <w:tcPr>
            <w:tcW w:w="1508" w:type="dxa"/>
            <w:shd w:val="clear" w:color="auto" w:fill="auto"/>
            <w:vAlign w:val="center"/>
          </w:tcPr>
          <w:p w14:paraId="7C617F0F" w14:textId="77777777" w:rsidR="00D52C10" w:rsidRPr="00D14557" w:rsidRDefault="00D52C10" w:rsidP="00223956">
            <w:pPr>
              <w:pStyle w:val="TableText"/>
              <w:rPr>
                <w:rStyle w:val="Emphasis"/>
              </w:rPr>
            </w:pPr>
            <w:r w:rsidRPr="00D14557">
              <w:rPr>
                <w:rStyle w:val="Emphasis"/>
              </w:rPr>
              <w:t>Daphnia magna</w:t>
            </w:r>
          </w:p>
        </w:tc>
        <w:tc>
          <w:tcPr>
            <w:tcW w:w="1135" w:type="dxa"/>
            <w:shd w:val="clear" w:color="auto" w:fill="auto"/>
            <w:vAlign w:val="center"/>
          </w:tcPr>
          <w:p w14:paraId="435454DD" w14:textId="2EA0A412" w:rsidR="00D52C10" w:rsidRPr="003E4B07" w:rsidRDefault="00D52C10" w:rsidP="00223956">
            <w:pPr>
              <w:pStyle w:val="TableText"/>
            </w:pPr>
            <w:r>
              <w:t>Neonate</w:t>
            </w:r>
          </w:p>
        </w:tc>
        <w:tc>
          <w:tcPr>
            <w:tcW w:w="994" w:type="dxa"/>
            <w:shd w:val="clear" w:color="auto" w:fill="auto"/>
            <w:vAlign w:val="center"/>
          </w:tcPr>
          <w:p w14:paraId="15488A37" w14:textId="77777777" w:rsidR="00D52C10" w:rsidRPr="003E4B07" w:rsidRDefault="00D52C10" w:rsidP="00223956">
            <w:pPr>
              <w:pStyle w:val="TableText"/>
            </w:pPr>
            <w:r w:rsidRPr="003E4B07">
              <w:t>21</w:t>
            </w:r>
          </w:p>
        </w:tc>
        <w:tc>
          <w:tcPr>
            <w:tcW w:w="1092" w:type="dxa"/>
            <w:shd w:val="clear" w:color="auto" w:fill="auto"/>
            <w:vAlign w:val="center"/>
          </w:tcPr>
          <w:p w14:paraId="1AEB10FC" w14:textId="6499B561" w:rsidR="00D52C10" w:rsidRPr="003E4B07" w:rsidRDefault="00D52C10" w:rsidP="00223956">
            <w:pPr>
              <w:pStyle w:val="TableText"/>
            </w:pPr>
            <w:r w:rsidRPr="003E4B07">
              <w:t>NOEC</w:t>
            </w:r>
          </w:p>
        </w:tc>
        <w:tc>
          <w:tcPr>
            <w:tcW w:w="1600" w:type="dxa"/>
            <w:shd w:val="clear" w:color="auto" w:fill="auto"/>
            <w:vAlign w:val="center"/>
          </w:tcPr>
          <w:p w14:paraId="46F76572" w14:textId="4ADE730A" w:rsidR="00D52C10" w:rsidRPr="003E4B07" w:rsidRDefault="00D52C10" w:rsidP="00223956">
            <w:pPr>
              <w:pStyle w:val="TableText"/>
            </w:pPr>
            <w:r>
              <w:t>Reproduction</w:t>
            </w:r>
          </w:p>
        </w:tc>
        <w:tc>
          <w:tcPr>
            <w:tcW w:w="1133" w:type="dxa"/>
            <w:shd w:val="clear" w:color="auto" w:fill="auto"/>
            <w:vAlign w:val="center"/>
          </w:tcPr>
          <w:p w14:paraId="1BFB8E59" w14:textId="5EDBAD7E" w:rsidR="00D52C10" w:rsidRPr="003E4B07" w:rsidRDefault="00D52C10" w:rsidP="00223956">
            <w:pPr>
              <w:pStyle w:val="TableText"/>
            </w:pPr>
            <w:r>
              <w:t>450</w:t>
            </w:r>
          </w:p>
        </w:tc>
      </w:tr>
      <w:tr w:rsidR="00CB7A16" w:rsidRPr="003E4B07" w14:paraId="51AC4DAB" w14:textId="77777777" w:rsidTr="00B13F85">
        <w:trPr>
          <w:cantSplit/>
          <w:jc w:val="center"/>
        </w:trPr>
        <w:tc>
          <w:tcPr>
            <w:tcW w:w="1608" w:type="dxa"/>
            <w:shd w:val="clear" w:color="auto" w:fill="auto"/>
            <w:vAlign w:val="center"/>
          </w:tcPr>
          <w:p w14:paraId="7AD31BD8" w14:textId="7F429894" w:rsidR="00CB7A16" w:rsidRDefault="00CB7A16" w:rsidP="00223956">
            <w:pPr>
              <w:pStyle w:val="TableText"/>
            </w:pPr>
            <w:r>
              <w:t>Amphipod (Arthropoda)</w:t>
            </w:r>
          </w:p>
        </w:tc>
        <w:tc>
          <w:tcPr>
            <w:tcW w:w="1508" w:type="dxa"/>
            <w:shd w:val="clear" w:color="auto" w:fill="auto"/>
            <w:vAlign w:val="center"/>
          </w:tcPr>
          <w:p w14:paraId="0FE014CC" w14:textId="44675A45" w:rsidR="00CB7A16" w:rsidRPr="00D14557" w:rsidRDefault="00CB7A16" w:rsidP="00223956">
            <w:pPr>
              <w:pStyle w:val="TableText"/>
              <w:rPr>
                <w:rStyle w:val="Emphasis"/>
              </w:rPr>
            </w:pPr>
            <w:r>
              <w:rPr>
                <w:rStyle w:val="Emphasis"/>
              </w:rPr>
              <w:t>Hyalella azteca</w:t>
            </w:r>
          </w:p>
        </w:tc>
        <w:tc>
          <w:tcPr>
            <w:tcW w:w="1135" w:type="dxa"/>
            <w:shd w:val="clear" w:color="auto" w:fill="auto"/>
            <w:vAlign w:val="center"/>
          </w:tcPr>
          <w:p w14:paraId="228A9C2B" w14:textId="4A31761F" w:rsidR="00CB7A16" w:rsidRPr="003E4B07" w:rsidRDefault="00CB7A16" w:rsidP="00223956">
            <w:pPr>
              <w:pStyle w:val="TableText"/>
            </w:pPr>
            <w:r>
              <w:t>Juvenile</w:t>
            </w:r>
          </w:p>
        </w:tc>
        <w:tc>
          <w:tcPr>
            <w:tcW w:w="994" w:type="dxa"/>
            <w:shd w:val="clear" w:color="auto" w:fill="auto"/>
            <w:vAlign w:val="center"/>
          </w:tcPr>
          <w:p w14:paraId="3A95F118" w14:textId="5A786640" w:rsidR="00CB7A16" w:rsidRPr="003E4B07" w:rsidRDefault="00CB7A16" w:rsidP="00223956">
            <w:pPr>
              <w:pStyle w:val="TableText"/>
            </w:pPr>
            <w:r>
              <w:t>14</w:t>
            </w:r>
          </w:p>
        </w:tc>
        <w:tc>
          <w:tcPr>
            <w:tcW w:w="1092" w:type="dxa"/>
            <w:shd w:val="clear" w:color="auto" w:fill="auto"/>
            <w:vAlign w:val="center"/>
          </w:tcPr>
          <w:p w14:paraId="254EE689" w14:textId="77D0335C" w:rsidR="00CB7A16" w:rsidRPr="003E4B07" w:rsidRDefault="00CB7A16" w:rsidP="00223956">
            <w:pPr>
              <w:pStyle w:val="TableText"/>
            </w:pPr>
            <w:r w:rsidRPr="003E4B07">
              <w:t>NOEC</w:t>
            </w:r>
            <w:r w:rsidR="004F0374">
              <w:t xml:space="preserve">, </w:t>
            </w:r>
            <w:r w:rsidRPr="003E4B07">
              <w:t>EC10</w:t>
            </w:r>
          </w:p>
        </w:tc>
        <w:tc>
          <w:tcPr>
            <w:tcW w:w="1600" w:type="dxa"/>
            <w:shd w:val="clear" w:color="auto" w:fill="auto"/>
            <w:vAlign w:val="center"/>
          </w:tcPr>
          <w:p w14:paraId="5EEECDD0" w14:textId="034E4FA4" w:rsidR="00CB7A16" w:rsidRDefault="00CB7A16" w:rsidP="00223956">
            <w:pPr>
              <w:pStyle w:val="TableText"/>
            </w:pPr>
            <w:r>
              <w:t>Survival</w:t>
            </w:r>
          </w:p>
        </w:tc>
        <w:tc>
          <w:tcPr>
            <w:tcW w:w="1133" w:type="dxa"/>
            <w:shd w:val="clear" w:color="auto" w:fill="auto"/>
            <w:vAlign w:val="center"/>
          </w:tcPr>
          <w:p w14:paraId="0A5A9FAC" w14:textId="33958608" w:rsidR="00CB7A16" w:rsidRPr="003E4B07" w:rsidRDefault="00CB7A16" w:rsidP="00223956">
            <w:pPr>
              <w:pStyle w:val="TableText"/>
            </w:pPr>
            <w:r>
              <w:t>19 145</w:t>
            </w:r>
            <w:r w:rsidR="00664659">
              <w:t xml:space="preserve"> </w:t>
            </w:r>
            <w:r w:rsidR="00664659" w:rsidRPr="00664659">
              <w:rPr>
                <w:b/>
                <w:bCs/>
                <w:vertAlign w:val="superscript"/>
              </w:rPr>
              <w:t>d</w:t>
            </w:r>
          </w:p>
        </w:tc>
      </w:tr>
      <w:tr w:rsidR="00D52C10" w:rsidRPr="003E4B07" w14:paraId="19DF89B3" w14:textId="77777777" w:rsidTr="00B13F85">
        <w:trPr>
          <w:cantSplit/>
          <w:jc w:val="center"/>
        </w:trPr>
        <w:tc>
          <w:tcPr>
            <w:tcW w:w="1608" w:type="dxa"/>
            <w:shd w:val="clear" w:color="auto" w:fill="auto"/>
            <w:vAlign w:val="center"/>
          </w:tcPr>
          <w:p w14:paraId="7577810A" w14:textId="2C9BA6BF" w:rsidR="00D52C10" w:rsidRPr="006D5B80" w:rsidRDefault="00D52C10" w:rsidP="00223956">
            <w:pPr>
              <w:pStyle w:val="TableText"/>
            </w:pPr>
            <w:r>
              <w:t>Bivalve (</w:t>
            </w:r>
            <w:r w:rsidRPr="003E4B07">
              <w:t>Mollusca</w:t>
            </w:r>
            <w:r>
              <w:t>)</w:t>
            </w:r>
          </w:p>
        </w:tc>
        <w:tc>
          <w:tcPr>
            <w:tcW w:w="1508" w:type="dxa"/>
            <w:shd w:val="clear" w:color="auto" w:fill="auto"/>
            <w:vAlign w:val="center"/>
          </w:tcPr>
          <w:p w14:paraId="049E446A" w14:textId="77777777" w:rsidR="00D52C10" w:rsidRPr="00D14557" w:rsidRDefault="00D52C10" w:rsidP="00223956">
            <w:pPr>
              <w:pStyle w:val="TableText"/>
              <w:rPr>
                <w:rStyle w:val="Emphasis"/>
              </w:rPr>
            </w:pPr>
            <w:r w:rsidRPr="00D14557">
              <w:rPr>
                <w:rStyle w:val="Emphasis"/>
              </w:rPr>
              <w:t>Lampsilis siliquoidea</w:t>
            </w:r>
          </w:p>
        </w:tc>
        <w:tc>
          <w:tcPr>
            <w:tcW w:w="1135" w:type="dxa"/>
            <w:shd w:val="clear" w:color="auto" w:fill="auto"/>
            <w:vAlign w:val="center"/>
          </w:tcPr>
          <w:p w14:paraId="46B339A6" w14:textId="6A58BD68" w:rsidR="00D52C10" w:rsidRPr="003E4B07" w:rsidRDefault="00D52C10" w:rsidP="00223956">
            <w:pPr>
              <w:pStyle w:val="TableText"/>
            </w:pPr>
            <w:r w:rsidRPr="003E4B07">
              <w:t>Juvenile</w:t>
            </w:r>
          </w:p>
        </w:tc>
        <w:tc>
          <w:tcPr>
            <w:tcW w:w="994" w:type="dxa"/>
            <w:shd w:val="clear" w:color="auto" w:fill="auto"/>
            <w:vAlign w:val="center"/>
          </w:tcPr>
          <w:p w14:paraId="64B77669" w14:textId="77777777" w:rsidR="00D52C10" w:rsidRPr="003E4B07" w:rsidRDefault="00D52C10" w:rsidP="00223956">
            <w:pPr>
              <w:pStyle w:val="TableText"/>
            </w:pPr>
            <w:r w:rsidRPr="003E4B07">
              <w:t>21</w:t>
            </w:r>
          </w:p>
        </w:tc>
        <w:tc>
          <w:tcPr>
            <w:tcW w:w="1092" w:type="dxa"/>
            <w:shd w:val="clear" w:color="auto" w:fill="auto"/>
            <w:vAlign w:val="center"/>
          </w:tcPr>
          <w:p w14:paraId="6D468391" w14:textId="094F4A8F" w:rsidR="00D52C10" w:rsidRPr="003E4B07" w:rsidRDefault="00D52C10" w:rsidP="00223956">
            <w:pPr>
              <w:pStyle w:val="TableText"/>
            </w:pPr>
            <w:r w:rsidRPr="003E4B07">
              <w:t>NOEC</w:t>
            </w:r>
          </w:p>
        </w:tc>
        <w:tc>
          <w:tcPr>
            <w:tcW w:w="1600" w:type="dxa"/>
            <w:shd w:val="clear" w:color="auto" w:fill="auto"/>
            <w:vAlign w:val="center"/>
          </w:tcPr>
          <w:p w14:paraId="45324152" w14:textId="77777777" w:rsidR="00D52C10" w:rsidRPr="003E4B07" w:rsidRDefault="00D52C10" w:rsidP="00223956">
            <w:pPr>
              <w:pStyle w:val="TableText"/>
            </w:pPr>
            <w:r>
              <w:t>Shell length</w:t>
            </w:r>
          </w:p>
        </w:tc>
        <w:tc>
          <w:tcPr>
            <w:tcW w:w="1133" w:type="dxa"/>
            <w:shd w:val="clear" w:color="auto" w:fill="auto"/>
            <w:vAlign w:val="center"/>
          </w:tcPr>
          <w:p w14:paraId="3400B2FE" w14:textId="77777777" w:rsidR="00D52C10" w:rsidRPr="003E4B07" w:rsidRDefault="00D52C10" w:rsidP="00223956">
            <w:pPr>
              <w:pStyle w:val="TableText"/>
            </w:pPr>
            <w:r w:rsidRPr="003E4B07">
              <w:t>12</w:t>
            </w:r>
            <w:r>
              <w:t> </w:t>
            </w:r>
            <w:r w:rsidRPr="003E4B07">
              <w:t>500</w:t>
            </w:r>
          </w:p>
        </w:tc>
      </w:tr>
      <w:tr w:rsidR="00D52C10" w:rsidRPr="003E4B07" w14:paraId="1F439CC4" w14:textId="77777777" w:rsidTr="00B13F85">
        <w:trPr>
          <w:cantSplit/>
          <w:jc w:val="center"/>
        </w:trPr>
        <w:tc>
          <w:tcPr>
            <w:tcW w:w="1608" w:type="dxa"/>
            <w:shd w:val="clear" w:color="auto" w:fill="auto"/>
            <w:vAlign w:val="center"/>
          </w:tcPr>
          <w:p w14:paraId="2FB2602F" w14:textId="77777777" w:rsidR="00D52C10" w:rsidRPr="003E4B07" w:rsidRDefault="00D52C10" w:rsidP="00223956">
            <w:pPr>
              <w:pStyle w:val="TableText"/>
            </w:pPr>
            <w:r w:rsidRPr="003E4B07">
              <w:t>Macrophyte</w:t>
            </w:r>
            <w:r>
              <w:t xml:space="preserve"> (</w:t>
            </w:r>
            <w:r w:rsidRPr="003E4B07">
              <w:t>Tracheophyta</w:t>
            </w:r>
            <w:r>
              <w:t>)</w:t>
            </w:r>
          </w:p>
        </w:tc>
        <w:tc>
          <w:tcPr>
            <w:tcW w:w="1508" w:type="dxa"/>
            <w:shd w:val="clear" w:color="auto" w:fill="auto"/>
            <w:vAlign w:val="center"/>
          </w:tcPr>
          <w:p w14:paraId="6920C1D7" w14:textId="77777777" w:rsidR="00D52C10" w:rsidRPr="00D14557" w:rsidRDefault="00D52C10" w:rsidP="00223956">
            <w:pPr>
              <w:pStyle w:val="TableText"/>
              <w:rPr>
                <w:rStyle w:val="Emphasis"/>
              </w:rPr>
            </w:pPr>
            <w:r w:rsidRPr="00D14557">
              <w:rPr>
                <w:rStyle w:val="Emphasis"/>
              </w:rPr>
              <w:t>Lemna gibba</w:t>
            </w:r>
          </w:p>
        </w:tc>
        <w:tc>
          <w:tcPr>
            <w:tcW w:w="1135" w:type="dxa"/>
            <w:shd w:val="clear" w:color="auto" w:fill="auto"/>
            <w:vAlign w:val="center"/>
          </w:tcPr>
          <w:p w14:paraId="28B93BFC" w14:textId="77777777" w:rsidR="00D52C10" w:rsidRPr="003E4B07" w:rsidRDefault="00D52C10" w:rsidP="00223956">
            <w:pPr>
              <w:pStyle w:val="TableText"/>
            </w:pPr>
            <w:r>
              <w:t xml:space="preserve">Not </w:t>
            </w:r>
            <w:r w:rsidRPr="003E4B07">
              <w:t>stated</w:t>
            </w:r>
          </w:p>
        </w:tc>
        <w:tc>
          <w:tcPr>
            <w:tcW w:w="994" w:type="dxa"/>
            <w:shd w:val="clear" w:color="auto" w:fill="auto"/>
            <w:vAlign w:val="center"/>
          </w:tcPr>
          <w:p w14:paraId="653EF515" w14:textId="35B7CF57" w:rsidR="00D52C10" w:rsidRPr="003E4B07" w:rsidRDefault="00A94F1C" w:rsidP="00223956">
            <w:pPr>
              <w:pStyle w:val="TableText"/>
            </w:pPr>
            <w:r>
              <w:t>14</w:t>
            </w:r>
          </w:p>
        </w:tc>
        <w:tc>
          <w:tcPr>
            <w:tcW w:w="1092" w:type="dxa"/>
            <w:shd w:val="clear" w:color="auto" w:fill="auto"/>
            <w:vAlign w:val="center"/>
          </w:tcPr>
          <w:p w14:paraId="3B4D0BDC" w14:textId="41EC066C" w:rsidR="00D52C10" w:rsidRPr="003E4B07" w:rsidRDefault="00D52C10" w:rsidP="00223956">
            <w:pPr>
              <w:pStyle w:val="TableText"/>
            </w:pPr>
            <w:r w:rsidRPr="003E4B07">
              <w:t>NOEL</w:t>
            </w:r>
          </w:p>
        </w:tc>
        <w:tc>
          <w:tcPr>
            <w:tcW w:w="1600" w:type="dxa"/>
            <w:shd w:val="clear" w:color="auto" w:fill="auto"/>
            <w:vAlign w:val="center"/>
          </w:tcPr>
          <w:p w14:paraId="15CCB99C" w14:textId="679A0788" w:rsidR="00D52C10" w:rsidRPr="003E4B07" w:rsidRDefault="00D52C10" w:rsidP="00223956">
            <w:pPr>
              <w:pStyle w:val="TableText"/>
            </w:pPr>
            <w:r>
              <w:t xml:space="preserve">Frond number, </w:t>
            </w:r>
            <w:r w:rsidR="00311E06">
              <w:t>growth rate, mortality</w:t>
            </w:r>
          </w:p>
        </w:tc>
        <w:tc>
          <w:tcPr>
            <w:tcW w:w="1133" w:type="dxa"/>
            <w:shd w:val="clear" w:color="auto" w:fill="auto"/>
            <w:vAlign w:val="center"/>
          </w:tcPr>
          <w:p w14:paraId="69F96279" w14:textId="77777777" w:rsidR="00D52C10" w:rsidRPr="003E4B07" w:rsidRDefault="00D52C10" w:rsidP="00223956">
            <w:pPr>
              <w:pStyle w:val="TableText"/>
            </w:pPr>
            <w:r w:rsidRPr="003E4B07">
              <w:t>1</w:t>
            </w:r>
            <w:r>
              <w:t> 400</w:t>
            </w:r>
          </w:p>
        </w:tc>
      </w:tr>
      <w:tr w:rsidR="00D52C10" w:rsidRPr="003E4B07" w14:paraId="2DE1FED0" w14:textId="77777777" w:rsidTr="00B13F85">
        <w:trPr>
          <w:cantSplit/>
          <w:jc w:val="center"/>
        </w:trPr>
        <w:tc>
          <w:tcPr>
            <w:tcW w:w="1608" w:type="dxa"/>
            <w:shd w:val="clear" w:color="auto" w:fill="auto"/>
            <w:vAlign w:val="center"/>
          </w:tcPr>
          <w:p w14:paraId="7FE1D8C0" w14:textId="77777777" w:rsidR="00D52C10" w:rsidRPr="003E4B07" w:rsidRDefault="00D52C10" w:rsidP="00223956">
            <w:pPr>
              <w:pStyle w:val="TableText"/>
            </w:pPr>
            <w:r w:rsidRPr="003E4B07">
              <w:t>Macrophyte</w:t>
            </w:r>
            <w:r>
              <w:t xml:space="preserve"> (</w:t>
            </w:r>
            <w:r w:rsidRPr="003E4B07">
              <w:t>Tracheophyta</w:t>
            </w:r>
            <w:r>
              <w:t>)</w:t>
            </w:r>
          </w:p>
        </w:tc>
        <w:tc>
          <w:tcPr>
            <w:tcW w:w="1508" w:type="dxa"/>
            <w:shd w:val="clear" w:color="auto" w:fill="auto"/>
            <w:vAlign w:val="center"/>
          </w:tcPr>
          <w:p w14:paraId="16453DE1" w14:textId="077FF46F" w:rsidR="00D52C10" w:rsidRPr="00D14557" w:rsidRDefault="00D52C10" w:rsidP="00223956">
            <w:pPr>
              <w:pStyle w:val="TableText"/>
            </w:pPr>
            <w:r w:rsidRPr="00D14557">
              <w:rPr>
                <w:rStyle w:val="Emphasis"/>
              </w:rPr>
              <w:t>Lemna minor</w:t>
            </w:r>
            <w:r>
              <w:rPr>
                <w:rStyle w:val="Emphasis"/>
              </w:rPr>
              <w:t xml:space="preserve"> </w:t>
            </w:r>
            <w:r>
              <w:rPr>
                <w:rStyle w:val="Strong"/>
                <w:vertAlign w:val="superscript"/>
              </w:rPr>
              <w:t>c</w:t>
            </w:r>
          </w:p>
        </w:tc>
        <w:tc>
          <w:tcPr>
            <w:tcW w:w="1135" w:type="dxa"/>
            <w:shd w:val="clear" w:color="auto" w:fill="auto"/>
            <w:vAlign w:val="center"/>
          </w:tcPr>
          <w:p w14:paraId="7963AB70" w14:textId="77777777" w:rsidR="00D52C10" w:rsidRPr="003E4B07" w:rsidRDefault="00D52C10" w:rsidP="00223956">
            <w:pPr>
              <w:pStyle w:val="TableText"/>
            </w:pPr>
            <w:r>
              <w:t xml:space="preserve">Not </w:t>
            </w:r>
            <w:r w:rsidRPr="003E4B07">
              <w:t>stated</w:t>
            </w:r>
          </w:p>
        </w:tc>
        <w:tc>
          <w:tcPr>
            <w:tcW w:w="994" w:type="dxa"/>
            <w:shd w:val="clear" w:color="auto" w:fill="auto"/>
            <w:vAlign w:val="center"/>
          </w:tcPr>
          <w:p w14:paraId="7FB4EB8F" w14:textId="77777777" w:rsidR="00D52C10" w:rsidRPr="003E4B07" w:rsidRDefault="00D52C10" w:rsidP="00223956">
            <w:pPr>
              <w:pStyle w:val="TableText"/>
            </w:pPr>
            <w:r w:rsidRPr="003E4B07">
              <w:t>7</w:t>
            </w:r>
          </w:p>
        </w:tc>
        <w:tc>
          <w:tcPr>
            <w:tcW w:w="1092" w:type="dxa"/>
            <w:shd w:val="clear" w:color="auto" w:fill="auto"/>
            <w:vAlign w:val="center"/>
          </w:tcPr>
          <w:p w14:paraId="5ABDC129" w14:textId="16BF3919" w:rsidR="00D52C10" w:rsidRPr="003E4B07" w:rsidRDefault="00D52C10" w:rsidP="00223956">
            <w:pPr>
              <w:pStyle w:val="TableText"/>
            </w:pPr>
            <w:r w:rsidRPr="003E4B07">
              <w:t>EC10</w:t>
            </w:r>
          </w:p>
        </w:tc>
        <w:tc>
          <w:tcPr>
            <w:tcW w:w="1600" w:type="dxa"/>
            <w:shd w:val="clear" w:color="auto" w:fill="auto"/>
            <w:vAlign w:val="center"/>
          </w:tcPr>
          <w:p w14:paraId="3CA8379B" w14:textId="69673EAE" w:rsidR="00D52C10" w:rsidRPr="003E4B07" w:rsidRDefault="00D52C10" w:rsidP="00223956">
            <w:pPr>
              <w:pStyle w:val="TableText"/>
            </w:pPr>
            <w:r w:rsidRPr="00DD47F9">
              <w:t>Chlorophyll</w:t>
            </w:r>
            <w:r>
              <w:t>-</w:t>
            </w:r>
            <w:r w:rsidRPr="00DD47F9">
              <w:t>a content</w:t>
            </w:r>
          </w:p>
        </w:tc>
        <w:tc>
          <w:tcPr>
            <w:tcW w:w="1133" w:type="dxa"/>
            <w:shd w:val="clear" w:color="auto" w:fill="auto"/>
            <w:vAlign w:val="center"/>
          </w:tcPr>
          <w:p w14:paraId="1C6A1CDD" w14:textId="77777777" w:rsidR="00D52C10" w:rsidRPr="003E4B07" w:rsidRDefault="00D52C10" w:rsidP="00223956">
            <w:pPr>
              <w:pStyle w:val="TableText"/>
            </w:pPr>
            <w:r w:rsidRPr="003E4B07">
              <w:t>3</w:t>
            </w:r>
            <w:r>
              <w:t> </w:t>
            </w:r>
            <w:r w:rsidRPr="003E4B07">
              <w:t>780</w:t>
            </w:r>
          </w:p>
        </w:tc>
      </w:tr>
      <w:tr w:rsidR="00D52C10" w:rsidRPr="003E4B07" w14:paraId="2227753C" w14:textId="77777777" w:rsidTr="00B13F85">
        <w:trPr>
          <w:cantSplit/>
          <w:jc w:val="center"/>
        </w:trPr>
        <w:tc>
          <w:tcPr>
            <w:tcW w:w="1608" w:type="dxa"/>
            <w:shd w:val="clear" w:color="auto" w:fill="auto"/>
            <w:vAlign w:val="center"/>
          </w:tcPr>
          <w:p w14:paraId="51F931B3" w14:textId="77777777" w:rsidR="00D52C10" w:rsidRPr="003E4B07" w:rsidRDefault="00D52C10" w:rsidP="00223956">
            <w:pPr>
              <w:pStyle w:val="TableText"/>
            </w:pPr>
            <w:r>
              <w:t>Diatom (</w:t>
            </w:r>
            <w:r w:rsidRPr="003E4B07">
              <w:t>Bacillariophyta</w:t>
            </w:r>
            <w:r>
              <w:t>)</w:t>
            </w:r>
          </w:p>
        </w:tc>
        <w:tc>
          <w:tcPr>
            <w:tcW w:w="1508" w:type="dxa"/>
            <w:shd w:val="clear" w:color="auto" w:fill="auto"/>
            <w:vAlign w:val="center"/>
          </w:tcPr>
          <w:p w14:paraId="5FF48C72" w14:textId="36E95530" w:rsidR="00D52C10" w:rsidRPr="00D14557" w:rsidRDefault="00D52C10" w:rsidP="00223956">
            <w:pPr>
              <w:pStyle w:val="TableText"/>
            </w:pPr>
            <w:r w:rsidRPr="00D14557">
              <w:rPr>
                <w:rStyle w:val="Emphasis"/>
              </w:rPr>
              <w:t>Navicula pelliculosa</w:t>
            </w:r>
            <w:r>
              <w:rPr>
                <w:rStyle w:val="Emphasis"/>
              </w:rPr>
              <w:t xml:space="preserve"> </w:t>
            </w:r>
            <w:r>
              <w:rPr>
                <w:rStyle w:val="Strong"/>
                <w:vertAlign w:val="superscript"/>
              </w:rPr>
              <w:t>c</w:t>
            </w:r>
          </w:p>
        </w:tc>
        <w:tc>
          <w:tcPr>
            <w:tcW w:w="1135" w:type="dxa"/>
            <w:shd w:val="clear" w:color="auto" w:fill="auto"/>
            <w:vAlign w:val="center"/>
          </w:tcPr>
          <w:p w14:paraId="43BCEB3F" w14:textId="77777777" w:rsidR="00D52C10" w:rsidRPr="003E4B07" w:rsidRDefault="00D52C10" w:rsidP="00223956">
            <w:pPr>
              <w:pStyle w:val="TableText"/>
            </w:pPr>
            <w:r>
              <w:t xml:space="preserve">Not </w:t>
            </w:r>
            <w:r w:rsidRPr="003E4B07">
              <w:t>stated</w:t>
            </w:r>
          </w:p>
        </w:tc>
        <w:tc>
          <w:tcPr>
            <w:tcW w:w="994" w:type="dxa"/>
            <w:shd w:val="clear" w:color="auto" w:fill="auto"/>
            <w:vAlign w:val="center"/>
          </w:tcPr>
          <w:p w14:paraId="4199B710" w14:textId="1B1FDED3" w:rsidR="00D52C10" w:rsidRPr="003E4B07" w:rsidRDefault="00A94F1C" w:rsidP="00223956">
            <w:pPr>
              <w:pStyle w:val="TableText"/>
            </w:pPr>
            <w:r>
              <w:t>5</w:t>
            </w:r>
          </w:p>
        </w:tc>
        <w:tc>
          <w:tcPr>
            <w:tcW w:w="1092" w:type="dxa"/>
            <w:shd w:val="clear" w:color="auto" w:fill="auto"/>
            <w:vAlign w:val="center"/>
          </w:tcPr>
          <w:p w14:paraId="4110BF39" w14:textId="40FE4215" w:rsidR="00D52C10" w:rsidRPr="003E4B07" w:rsidRDefault="00D52C10" w:rsidP="00223956">
            <w:pPr>
              <w:pStyle w:val="TableText"/>
            </w:pPr>
            <w:r w:rsidRPr="003E4B07">
              <w:t>NOEL</w:t>
            </w:r>
          </w:p>
        </w:tc>
        <w:tc>
          <w:tcPr>
            <w:tcW w:w="1600" w:type="dxa"/>
            <w:shd w:val="clear" w:color="auto" w:fill="auto"/>
            <w:vAlign w:val="center"/>
          </w:tcPr>
          <w:p w14:paraId="3A84C274" w14:textId="38DC9BBD" w:rsidR="00D52C10" w:rsidRPr="003E4B07" w:rsidRDefault="00D52C10" w:rsidP="00223956">
            <w:pPr>
              <w:pStyle w:val="TableText"/>
            </w:pPr>
            <w:r w:rsidRPr="003E4B07">
              <w:t xml:space="preserve">Biomass yield, </w:t>
            </w:r>
            <w:r>
              <w:t>g</w:t>
            </w:r>
            <w:r w:rsidRPr="003E4B07">
              <w:t>rowth rate, AUC</w:t>
            </w:r>
            <w:r>
              <w:t xml:space="preserve"> </w:t>
            </w:r>
            <w:r w:rsidRPr="00C618FE">
              <w:rPr>
                <w:rStyle w:val="Strong"/>
                <w:vertAlign w:val="superscript"/>
              </w:rPr>
              <w:t>b</w:t>
            </w:r>
          </w:p>
        </w:tc>
        <w:tc>
          <w:tcPr>
            <w:tcW w:w="1133" w:type="dxa"/>
            <w:shd w:val="clear" w:color="auto" w:fill="auto"/>
            <w:vAlign w:val="center"/>
          </w:tcPr>
          <w:p w14:paraId="1224A054" w14:textId="77777777" w:rsidR="00D52C10" w:rsidRPr="003E4B07" w:rsidRDefault="00D52C10" w:rsidP="00223956">
            <w:pPr>
              <w:pStyle w:val="TableText"/>
            </w:pPr>
            <w:r w:rsidRPr="003E4B07">
              <w:t>1</w:t>
            </w:r>
            <w:r>
              <w:t> </w:t>
            </w:r>
            <w:r w:rsidRPr="003E4B07">
              <w:t>800</w:t>
            </w:r>
          </w:p>
        </w:tc>
      </w:tr>
      <w:tr w:rsidR="00D52C10" w:rsidRPr="003E4B07" w14:paraId="0F4BB30C" w14:textId="77777777" w:rsidTr="00B13F85">
        <w:trPr>
          <w:cantSplit/>
          <w:jc w:val="center"/>
        </w:trPr>
        <w:tc>
          <w:tcPr>
            <w:tcW w:w="1608" w:type="dxa"/>
            <w:shd w:val="clear" w:color="auto" w:fill="auto"/>
            <w:vAlign w:val="center"/>
          </w:tcPr>
          <w:p w14:paraId="5EC9338B" w14:textId="7A206688" w:rsidR="00D52C10" w:rsidRPr="003E4B07" w:rsidRDefault="00D52C10" w:rsidP="00223956">
            <w:pPr>
              <w:pStyle w:val="TableText"/>
            </w:pPr>
            <w:r>
              <w:t>Gastropod (</w:t>
            </w:r>
            <w:r w:rsidRPr="003E4B07">
              <w:t>Mollusca</w:t>
            </w:r>
            <w:r>
              <w:t>)</w:t>
            </w:r>
          </w:p>
        </w:tc>
        <w:tc>
          <w:tcPr>
            <w:tcW w:w="1508" w:type="dxa"/>
            <w:shd w:val="clear" w:color="auto" w:fill="auto"/>
            <w:vAlign w:val="center"/>
          </w:tcPr>
          <w:p w14:paraId="67CB56E7" w14:textId="77777777" w:rsidR="00D52C10" w:rsidRPr="00D14557" w:rsidRDefault="00D52C10" w:rsidP="00223956">
            <w:pPr>
              <w:pStyle w:val="TableText"/>
              <w:rPr>
                <w:rStyle w:val="Emphasis"/>
              </w:rPr>
            </w:pPr>
            <w:r w:rsidRPr="00D14557">
              <w:rPr>
                <w:rStyle w:val="Emphasis"/>
              </w:rPr>
              <w:t>Pseudosuccinea columella</w:t>
            </w:r>
          </w:p>
        </w:tc>
        <w:tc>
          <w:tcPr>
            <w:tcW w:w="1135" w:type="dxa"/>
            <w:shd w:val="clear" w:color="auto" w:fill="auto"/>
            <w:vAlign w:val="center"/>
          </w:tcPr>
          <w:p w14:paraId="7ED1BBF9" w14:textId="77777777" w:rsidR="00D52C10" w:rsidRPr="003E4B07" w:rsidRDefault="00D52C10" w:rsidP="00223956">
            <w:pPr>
              <w:pStyle w:val="TableText"/>
            </w:pPr>
            <w:r w:rsidRPr="003E4B07">
              <w:t>Embryo</w:t>
            </w:r>
          </w:p>
        </w:tc>
        <w:tc>
          <w:tcPr>
            <w:tcW w:w="994" w:type="dxa"/>
            <w:shd w:val="clear" w:color="auto" w:fill="auto"/>
            <w:vAlign w:val="center"/>
          </w:tcPr>
          <w:p w14:paraId="4F253A6A" w14:textId="77777777" w:rsidR="00D52C10" w:rsidRPr="003E4B07" w:rsidRDefault="00D52C10" w:rsidP="00223956">
            <w:pPr>
              <w:pStyle w:val="TableText"/>
            </w:pPr>
            <w:r w:rsidRPr="003E4B07">
              <w:t>12</w:t>
            </w:r>
          </w:p>
        </w:tc>
        <w:tc>
          <w:tcPr>
            <w:tcW w:w="1092" w:type="dxa"/>
            <w:shd w:val="clear" w:color="auto" w:fill="auto"/>
            <w:vAlign w:val="center"/>
          </w:tcPr>
          <w:p w14:paraId="623ED131" w14:textId="7539FCD6" w:rsidR="00D52C10" w:rsidRPr="003E4B07" w:rsidRDefault="00D52C10" w:rsidP="00223956">
            <w:pPr>
              <w:pStyle w:val="TableText"/>
            </w:pPr>
            <w:r w:rsidRPr="003E4B07">
              <w:t>NOEC</w:t>
            </w:r>
            <w:r w:rsidR="004F0374">
              <w:t xml:space="preserve">, </w:t>
            </w:r>
            <w:r w:rsidR="001C5AFD">
              <w:t>IC7</w:t>
            </w:r>
          </w:p>
        </w:tc>
        <w:tc>
          <w:tcPr>
            <w:tcW w:w="1600" w:type="dxa"/>
            <w:shd w:val="clear" w:color="auto" w:fill="auto"/>
            <w:vAlign w:val="center"/>
          </w:tcPr>
          <w:p w14:paraId="1EEC3918" w14:textId="77777777" w:rsidR="00D52C10" w:rsidRPr="003E4B07" w:rsidRDefault="00D52C10" w:rsidP="00223956">
            <w:pPr>
              <w:pStyle w:val="TableText"/>
            </w:pPr>
            <w:r>
              <w:t>Hatching success</w:t>
            </w:r>
          </w:p>
        </w:tc>
        <w:tc>
          <w:tcPr>
            <w:tcW w:w="1133" w:type="dxa"/>
            <w:shd w:val="clear" w:color="auto" w:fill="auto"/>
            <w:vAlign w:val="center"/>
          </w:tcPr>
          <w:p w14:paraId="6756FD99" w14:textId="77777777" w:rsidR="00D52C10" w:rsidRPr="003E4B07" w:rsidRDefault="00D52C10" w:rsidP="00223956">
            <w:pPr>
              <w:pStyle w:val="TableText"/>
            </w:pPr>
            <w:r w:rsidRPr="003E4B07">
              <w:t>316</w:t>
            </w:r>
            <w:r>
              <w:t xml:space="preserve"> </w:t>
            </w:r>
            <w:r w:rsidRPr="00D52C10">
              <w:rPr>
                <w:rStyle w:val="Strong"/>
                <w:vertAlign w:val="superscript"/>
              </w:rPr>
              <w:t>d</w:t>
            </w:r>
          </w:p>
        </w:tc>
      </w:tr>
      <w:tr w:rsidR="00B13F85" w:rsidRPr="003E4B07" w14:paraId="472B111B" w14:textId="77777777" w:rsidTr="00B13F85">
        <w:trPr>
          <w:cantSplit/>
          <w:jc w:val="center"/>
        </w:trPr>
        <w:tc>
          <w:tcPr>
            <w:tcW w:w="1608" w:type="dxa"/>
            <w:tcBorders>
              <w:bottom w:val="single" w:sz="4" w:space="0" w:color="auto"/>
            </w:tcBorders>
            <w:shd w:val="clear" w:color="auto" w:fill="auto"/>
            <w:vAlign w:val="center"/>
          </w:tcPr>
          <w:p w14:paraId="293B6BBA" w14:textId="736716D0" w:rsidR="00B13F85" w:rsidRDefault="00B13F85" w:rsidP="00B13F85">
            <w:pPr>
              <w:pStyle w:val="TableText"/>
            </w:pPr>
            <w:r>
              <w:t>Green alga (</w:t>
            </w:r>
            <w:r w:rsidRPr="003E4B07">
              <w:t>Chlorophyta</w:t>
            </w:r>
            <w:r>
              <w:t>)</w:t>
            </w:r>
          </w:p>
        </w:tc>
        <w:tc>
          <w:tcPr>
            <w:tcW w:w="1508" w:type="dxa"/>
            <w:tcBorders>
              <w:bottom w:val="single" w:sz="4" w:space="0" w:color="auto"/>
            </w:tcBorders>
            <w:shd w:val="clear" w:color="auto" w:fill="auto"/>
            <w:vAlign w:val="center"/>
          </w:tcPr>
          <w:p w14:paraId="67A08454" w14:textId="711435C1" w:rsidR="00B13F85" w:rsidRPr="00D14557" w:rsidRDefault="00B13F85" w:rsidP="00B13F85">
            <w:pPr>
              <w:pStyle w:val="TableText"/>
              <w:rPr>
                <w:rStyle w:val="Emphasis"/>
              </w:rPr>
            </w:pPr>
            <w:r>
              <w:rPr>
                <w:rStyle w:val="Emphasis"/>
              </w:rPr>
              <w:t xml:space="preserve">Scenedesmus acutus </w:t>
            </w:r>
            <w:r w:rsidR="00C0428F">
              <w:rPr>
                <w:rStyle w:val="Emphasis"/>
                <w:b/>
                <w:bCs/>
                <w:i w:val="0"/>
                <w:iCs w:val="0"/>
                <w:vertAlign w:val="superscript"/>
              </w:rPr>
              <w:t>c</w:t>
            </w:r>
          </w:p>
        </w:tc>
        <w:tc>
          <w:tcPr>
            <w:tcW w:w="1135" w:type="dxa"/>
            <w:tcBorders>
              <w:bottom w:val="single" w:sz="4" w:space="0" w:color="auto"/>
            </w:tcBorders>
            <w:shd w:val="clear" w:color="auto" w:fill="auto"/>
            <w:vAlign w:val="center"/>
          </w:tcPr>
          <w:p w14:paraId="1401687B" w14:textId="76A1A4C8" w:rsidR="00B13F85" w:rsidRPr="003E4B07" w:rsidRDefault="00B13F85" w:rsidP="00B13F85">
            <w:pPr>
              <w:pStyle w:val="TableText"/>
            </w:pPr>
            <w:r>
              <w:t>Not stated</w:t>
            </w:r>
          </w:p>
        </w:tc>
        <w:tc>
          <w:tcPr>
            <w:tcW w:w="994" w:type="dxa"/>
            <w:tcBorders>
              <w:bottom w:val="single" w:sz="4" w:space="0" w:color="auto"/>
            </w:tcBorders>
            <w:shd w:val="clear" w:color="auto" w:fill="auto"/>
            <w:vAlign w:val="center"/>
          </w:tcPr>
          <w:p w14:paraId="1511E19F" w14:textId="323B7914" w:rsidR="00B13F85" w:rsidRPr="003E4B07" w:rsidRDefault="00B13F85" w:rsidP="00B13F85">
            <w:pPr>
              <w:pStyle w:val="TableText"/>
            </w:pPr>
            <w:r>
              <w:t>4</w:t>
            </w:r>
          </w:p>
        </w:tc>
        <w:tc>
          <w:tcPr>
            <w:tcW w:w="1092" w:type="dxa"/>
            <w:tcBorders>
              <w:bottom w:val="single" w:sz="4" w:space="0" w:color="auto"/>
            </w:tcBorders>
            <w:shd w:val="clear" w:color="auto" w:fill="auto"/>
            <w:vAlign w:val="center"/>
          </w:tcPr>
          <w:p w14:paraId="6A09474F" w14:textId="4CA59C72" w:rsidR="00B13F85" w:rsidRPr="003E4B07" w:rsidRDefault="00B13F85" w:rsidP="00B13F85">
            <w:pPr>
              <w:pStyle w:val="TableText"/>
            </w:pPr>
            <w:r>
              <w:t>NOEC</w:t>
            </w:r>
          </w:p>
        </w:tc>
        <w:tc>
          <w:tcPr>
            <w:tcW w:w="1600" w:type="dxa"/>
            <w:tcBorders>
              <w:bottom w:val="single" w:sz="4" w:space="0" w:color="auto"/>
            </w:tcBorders>
            <w:shd w:val="clear" w:color="auto" w:fill="auto"/>
            <w:vAlign w:val="center"/>
          </w:tcPr>
          <w:p w14:paraId="01018489" w14:textId="4DD2BFC4" w:rsidR="00B13F85" w:rsidRDefault="00B13F85" w:rsidP="00B13F85">
            <w:pPr>
              <w:pStyle w:val="TableText"/>
            </w:pPr>
            <w:r>
              <w:t>Chlorophyl a content</w:t>
            </w:r>
          </w:p>
        </w:tc>
        <w:tc>
          <w:tcPr>
            <w:tcW w:w="1133" w:type="dxa"/>
            <w:tcBorders>
              <w:bottom w:val="single" w:sz="4" w:space="0" w:color="auto"/>
            </w:tcBorders>
            <w:shd w:val="clear" w:color="auto" w:fill="auto"/>
            <w:vAlign w:val="center"/>
          </w:tcPr>
          <w:p w14:paraId="32461F49" w14:textId="7E8BC89F" w:rsidR="00B13F85" w:rsidRPr="003E4B07" w:rsidRDefault="00B13F85" w:rsidP="00B13F85">
            <w:pPr>
              <w:pStyle w:val="TableText"/>
            </w:pPr>
            <w:r>
              <w:t>2 0</w:t>
            </w:r>
            <w:r w:rsidRPr="003E4B07">
              <w:t>00</w:t>
            </w:r>
          </w:p>
        </w:tc>
      </w:tr>
      <w:tr w:rsidR="00BA7CDD" w:rsidRPr="003E4B07" w14:paraId="31FCBFF1" w14:textId="77777777" w:rsidTr="00B13F85">
        <w:trPr>
          <w:cantSplit/>
          <w:jc w:val="center"/>
        </w:trPr>
        <w:tc>
          <w:tcPr>
            <w:tcW w:w="1608" w:type="dxa"/>
            <w:tcBorders>
              <w:bottom w:val="single" w:sz="4" w:space="0" w:color="auto"/>
            </w:tcBorders>
            <w:shd w:val="clear" w:color="auto" w:fill="auto"/>
            <w:vAlign w:val="center"/>
          </w:tcPr>
          <w:p w14:paraId="694F664B" w14:textId="108780FB" w:rsidR="00BA7CDD" w:rsidRDefault="00BA7CDD" w:rsidP="00B13F85">
            <w:pPr>
              <w:pStyle w:val="TableText"/>
            </w:pPr>
            <w:r>
              <w:t>Green alga (</w:t>
            </w:r>
            <w:r w:rsidRPr="003E4B07">
              <w:t>Chlorophyta</w:t>
            </w:r>
            <w:r>
              <w:t>)</w:t>
            </w:r>
          </w:p>
        </w:tc>
        <w:tc>
          <w:tcPr>
            <w:tcW w:w="1508" w:type="dxa"/>
            <w:tcBorders>
              <w:bottom w:val="single" w:sz="4" w:space="0" w:color="auto"/>
            </w:tcBorders>
            <w:shd w:val="clear" w:color="auto" w:fill="auto"/>
            <w:vAlign w:val="center"/>
          </w:tcPr>
          <w:p w14:paraId="261433EC" w14:textId="24B40F91" w:rsidR="00BA7CDD" w:rsidRPr="00D14557" w:rsidRDefault="00BA7CDD" w:rsidP="00B13F85">
            <w:pPr>
              <w:pStyle w:val="TableText"/>
              <w:rPr>
                <w:rStyle w:val="Emphasis"/>
              </w:rPr>
            </w:pPr>
            <w:r>
              <w:rPr>
                <w:rStyle w:val="Emphasis"/>
              </w:rPr>
              <w:t>Scenedesmus quadricauda</w:t>
            </w:r>
          </w:p>
        </w:tc>
        <w:tc>
          <w:tcPr>
            <w:tcW w:w="1135" w:type="dxa"/>
            <w:tcBorders>
              <w:bottom w:val="single" w:sz="4" w:space="0" w:color="auto"/>
            </w:tcBorders>
            <w:shd w:val="clear" w:color="auto" w:fill="auto"/>
            <w:vAlign w:val="center"/>
          </w:tcPr>
          <w:p w14:paraId="7018B50E" w14:textId="56702607" w:rsidR="00BA7CDD" w:rsidRPr="003E4B07" w:rsidRDefault="00BA7CDD" w:rsidP="00B13F85">
            <w:pPr>
              <w:pStyle w:val="TableText"/>
            </w:pPr>
            <w:r>
              <w:t>Not stated</w:t>
            </w:r>
          </w:p>
        </w:tc>
        <w:tc>
          <w:tcPr>
            <w:tcW w:w="994" w:type="dxa"/>
            <w:tcBorders>
              <w:bottom w:val="single" w:sz="4" w:space="0" w:color="auto"/>
            </w:tcBorders>
            <w:shd w:val="clear" w:color="auto" w:fill="auto"/>
            <w:vAlign w:val="center"/>
          </w:tcPr>
          <w:p w14:paraId="7EE6CF7F" w14:textId="276FB1C3" w:rsidR="00BA7CDD" w:rsidRPr="003E4B07" w:rsidRDefault="00BA7CDD" w:rsidP="00B13F85">
            <w:pPr>
              <w:pStyle w:val="TableText"/>
            </w:pPr>
            <w:r>
              <w:t>4</w:t>
            </w:r>
          </w:p>
        </w:tc>
        <w:tc>
          <w:tcPr>
            <w:tcW w:w="1092" w:type="dxa"/>
            <w:tcBorders>
              <w:bottom w:val="single" w:sz="4" w:space="0" w:color="auto"/>
            </w:tcBorders>
            <w:shd w:val="clear" w:color="auto" w:fill="auto"/>
            <w:vAlign w:val="center"/>
          </w:tcPr>
          <w:p w14:paraId="77B32D40" w14:textId="086FA140" w:rsidR="00BA7CDD" w:rsidRPr="003E4B07" w:rsidRDefault="00BA7CDD" w:rsidP="00B13F85">
            <w:pPr>
              <w:pStyle w:val="TableText"/>
            </w:pPr>
            <w:r>
              <w:t>NOEC</w:t>
            </w:r>
          </w:p>
        </w:tc>
        <w:tc>
          <w:tcPr>
            <w:tcW w:w="1600" w:type="dxa"/>
            <w:tcBorders>
              <w:bottom w:val="single" w:sz="4" w:space="0" w:color="auto"/>
            </w:tcBorders>
            <w:shd w:val="clear" w:color="auto" w:fill="auto"/>
            <w:vAlign w:val="center"/>
          </w:tcPr>
          <w:p w14:paraId="2FDBE2AB" w14:textId="35493E04" w:rsidR="00BA7CDD" w:rsidRDefault="00BA7CDD" w:rsidP="00B13F85">
            <w:pPr>
              <w:pStyle w:val="TableText"/>
            </w:pPr>
            <w:r>
              <w:t>Chlorophyl a content</w:t>
            </w:r>
          </w:p>
        </w:tc>
        <w:tc>
          <w:tcPr>
            <w:tcW w:w="1133" w:type="dxa"/>
            <w:tcBorders>
              <w:bottom w:val="single" w:sz="4" w:space="0" w:color="auto"/>
            </w:tcBorders>
            <w:shd w:val="clear" w:color="auto" w:fill="auto"/>
            <w:vAlign w:val="center"/>
          </w:tcPr>
          <w:p w14:paraId="21937BAF" w14:textId="3333D086" w:rsidR="00BA7CDD" w:rsidRPr="003E4B07" w:rsidRDefault="00BA7CDD" w:rsidP="00B13F85">
            <w:pPr>
              <w:pStyle w:val="TableText"/>
            </w:pPr>
            <w:r>
              <w:t>770</w:t>
            </w:r>
          </w:p>
        </w:tc>
      </w:tr>
      <w:tr w:rsidR="00B13F85" w:rsidRPr="003E4B07" w14:paraId="27BF4346" w14:textId="77777777" w:rsidTr="00B13F85">
        <w:trPr>
          <w:cantSplit/>
          <w:jc w:val="center"/>
        </w:trPr>
        <w:tc>
          <w:tcPr>
            <w:tcW w:w="1608" w:type="dxa"/>
            <w:tcBorders>
              <w:bottom w:val="single" w:sz="4" w:space="0" w:color="auto"/>
            </w:tcBorders>
            <w:shd w:val="clear" w:color="auto" w:fill="auto"/>
            <w:vAlign w:val="center"/>
          </w:tcPr>
          <w:p w14:paraId="66208C61" w14:textId="77777777" w:rsidR="00B13F85" w:rsidRPr="003E4B07" w:rsidRDefault="00B13F85" w:rsidP="00B13F85">
            <w:pPr>
              <w:pStyle w:val="TableText"/>
            </w:pPr>
            <w:r>
              <w:t>Green alga (</w:t>
            </w:r>
            <w:r w:rsidRPr="003E4B07">
              <w:t>Chlorophyta</w:t>
            </w:r>
            <w:r>
              <w:t>)</w:t>
            </w:r>
          </w:p>
        </w:tc>
        <w:tc>
          <w:tcPr>
            <w:tcW w:w="1508" w:type="dxa"/>
            <w:tcBorders>
              <w:bottom w:val="single" w:sz="4" w:space="0" w:color="auto"/>
            </w:tcBorders>
            <w:shd w:val="clear" w:color="auto" w:fill="auto"/>
            <w:vAlign w:val="center"/>
          </w:tcPr>
          <w:p w14:paraId="09B647D9" w14:textId="5B7C7229" w:rsidR="00B13F85" w:rsidRPr="00D14557" w:rsidRDefault="00B13F85" w:rsidP="00B13F85">
            <w:pPr>
              <w:pStyle w:val="TableText"/>
            </w:pPr>
            <w:r w:rsidRPr="00D14557">
              <w:rPr>
                <w:rStyle w:val="Emphasis"/>
              </w:rPr>
              <w:t>Scenedesmus subspicatus</w:t>
            </w:r>
            <w:r>
              <w:rPr>
                <w:rStyle w:val="Emphasis"/>
              </w:rPr>
              <w:t xml:space="preserve"> </w:t>
            </w:r>
            <w:r w:rsidRPr="00C618FE">
              <w:rPr>
                <w:rStyle w:val="Strong"/>
                <w:vertAlign w:val="superscript"/>
              </w:rPr>
              <w:t xml:space="preserve">c, </w:t>
            </w:r>
            <w:r w:rsidR="00431D90">
              <w:rPr>
                <w:rStyle w:val="Strong"/>
                <w:vertAlign w:val="superscript"/>
              </w:rPr>
              <w:t>f</w:t>
            </w:r>
          </w:p>
        </w:tc>
        <w:tc>
          <w:tcPr>
            <w:tcW w:w="1135" w:type="dxa"/>
            <w:tcBorders>
              <w:bottom w:val="single" w:sz="4" w:space="0" w:color="auto"/>
            </w:tcBorders>
            <w:shd w:val="clear" w:color="auto" w:fill="auto"/>
            <w:vAlign w:val="center"/>
          </w:tcPr>
          <w:p w14:paraId="30EF04CF" w14:textId="77777777" w:rsidR="00B13F85" w:rsidRPr="003E4B07" w:rsidRDefault="00B13F85" w:rsidP="00B13F85">
            <w:pPr>
              <w:pStyle w:val="TableText"/>
            </w:pPr>
            <w:r w:rsidRPr="003E4B07">
              <w:t>Exponential growth phase</w:t>
            </w:r>
          </w:p>
        </w:tc>
        <w:tc>
          <w:tcPr>
            <w:tcW w:w="994" w:type="dxa"/>
            <w:tcBorders>
              <w:bottom w:val="single" w:sz="4" w:space="0" w:color="auto"/>
            </w:tcBorders>
            <w:shd w:val="clear" w:color="auto" w:fill="auto"/>
            <w:vAlign w:val="center"/>
          </w:tcPr>
          <w:p w14:paraId="5C983CC8" w14:textId="77777777" w:rsidR="00B13F85" w:rsidRPr="003E4B07" w:rsidRDefault="00B13F85" w:rsidP="00B13F85">
            <w:pPr>
              <w:pStyle w:val="TableText"/>
            </w:pPr>
            <w:r w:rsidRPr="003E4B07">
              <w:t>3</w:t>
            </w:r>
          </w:p>
        </w:tc>
        <w:tc>
          <w:tcPr>
            <w:tcW w:w="1092" w:type="dxa"/>
            <w:tcBorders>
              <w:bottom w:val="single" w:sz="4" w:space="0" w:color="auto"/>
            </w:tcBorders>
            <w:shd w:val="clear" w:color="auto" w:fill="auto"/>
            <w:vAlign w:val="center"/>
          </w:tcPr>
          <w:p w14:paraId="5760BEB7" w14:textId="3D89D3F1" w:rsidR="00B13F85" w:rsidRPr="003E4B07" w:rsidRDefault="00B13F85" w:rsidP="00B13F85">
            <w:pPr>
              <w:pStyle w:val="TableText"/>
            </w:pPr>
            <w:r w:rsidRPr="003E4B07">
              <w:t>NOEC</w:t>
            </w:r>
            <w:r w:rsidR="004F0374">
              <w:t xml:space="preserve">, </w:t>
            </w:r>
            <w:r w:rsidRPr="003E4B07">
              <w:t>EC10</w:t>
            </w:r>
          </w:p>
        </w:tc>
        <w:tc>
          <w:tcPr>
            <w:tcW w:w="1600" w:type="dxa"/>
            <w:tcBorders>
              <w:bottom w:val="single" w:sz="4" w:space="0" w:color="auto"/>
            </w:tcBorders>
            <w:shd w:val="clear" w:color="auto" w:fill="auto"/>
            <w:vAlign w:val="center"/>
          </w:tcPr>
          <w:p w14:paraId="35814833" w14:textId="77777777" w:rsidR="00B13F85" w:rsidRPr="003E4B07" w:rsidRDefault="00B13F85" w:rsidP="00B13F85">
            <w:pPr>
              <w:pStyle w:val="TableText"/>
            </w:pPr>
            <w:r>
              <w:t>Cell density</w:t>
            </w:r>
          </w:p>
        </w:tc>
        <w:tc>
          <w:tcPr>
            <w:tcW w:w="1133" w:type="dxa"/>
            <w:tcBorders>
              <w:bottom w:val="single" w:sz="4" w:space="0" w:color="auto"/>
            </w:tcBorders>
            <w:shd w:val="clear" w:color="auto" w:fill="auto"/>
            <w:vAlign w:val="center"/>
          </w:tcPr>
          <w:p w14:paraId="3BBB9E93" w14:textId="77777777" w:rsidR="00B13F85" w:rsidRPr="003E4B07" w:rsidRDefault="00B13F85" w:rsidP="00B13F85">
            <w:pPr>
              <w:pStyle w:val="TableText"/>
            </w:pPr>
            <w:r w:rsidRPr="003E4B07">
              <w:t>400</w:t>
            </w:r>
            <w:r>
              <w:t xml:space="preserve"> </w:t>
            </w:r>
            <w:r w:rsidRPr="00D52C10">
              <w:rPr>
                <w:rStyle w:val="Strong"/>
                <w:vertAlign w:val="superscript"/>
              </w:rPr>
              <w:t>d</w:t>
            </w:r>
          </w:p>
        </w:tc>
      </w:tr>
      <w:tr w:rsidR="00B13F85" w:rsidRPr="003E4B07" w14:paraId="0E7D1B59" w14:textId="77777777" w:rsidTr="00B13F85">
        <w:trPr>
          <w:cantSplit/>
          <w:jc w:val="center"/>
        </w:trPr>
        <w:tc>
          <w:tcPr>
            <w:tcW w:w="1608" w:type="dxa"/>
            <w:tcBorders>
              <w:bottom w:val="single" w:sz="12" w:space="0" w:color="auto"/>
            </w:tcBorders>
            <w:shd w:val="clear" w:color="auto" w:fill="auto"/>
            <w:vAlign w:val="center"/>
          </w:tcPr>
          <w:p w14:paraId="6F848E0C" w14:textId="77777777" w:rsidR="00B13F85" w:rsidRPr="003E4B07" w:rsidRDefault="00B13F85" w:rsidP="00B13F85">
            <w:pPr>
              <w:pStyle w:val="TableText"/>
            </w:pPr>
            <w:r>
              <w:t>Green alga (</w:t>
            </w:r>
            <w:r w:rsidRPr="003E4B07">
              <w:t>Chlorophyta</w:t>
            </w:r>
            <w:r>
              <w:t>)</w:t>
            </w:r>
          </w:p>
        </w:tc>
        <w:tc>
          <w:tcPr>
            <w:tcW w:w="1508" w:type="dxa"/>
            <w:tcBorders>
              <w:bottom w:val="single" w:sz="12" w:space="0" w:color="auto"/>
            </w:tcBorders>
            <w:shd w:val="clear" w:color="auto" w:fill="auto"/>
            <w:vAlign w:val="center"/>
          </w:tcPr>
          <w:p w14:paraId="4B4A5659" w14:textId="0851C710" w:rsidR="00B13F85" w:rsidRPr="00D14557" w:rsidRDefault="00B13F85" w:rsidP="00B13F85">
            <w:pPr>
              <w:pStyle w:val="TableText"/>
            </w:pPr>
            <w:r w:rsidRPr="00D14557">
              <w:rPr>
                <w:rStyle w:val="Emphasis"/>
              </w:rPr>
              <w:t>Selenastrum capricornutum</w:t>
            </w:r>
            <w:r>
              <w:rPr>
                <w:rStyle w:val="Emphasis"/>
              </w:rPr>
              <w:t xml:space="preserve"> </w:t>
            </w:r>
            <w:r w:rsidR="00431D90">
              <w:rPr>
                <w:rStyle w:val="Strong"/>
                <w:vertAlign w:val="superscript"/>
              </w:rPr>
              <w:t>g</w:t>
            </w:r>
          </w:p>
        </w:tc>
        <w:tc>
          <w:tcPr>
            <w:tcW w:w="1135" w:type="dxa"/>
            <w:tcBorders>
              <w:bottom w:val="single" w:sz="12" w:space="0" w:color="auto"/>
            </w:tcBorders>
            <w:shd w:val="clear" w:color="auto" w:fill="auto"/>
            <w:vAlign w:val="center"/>
          </w:tcPr>
          <w:p w14:paraId="7DDF7510" w14:textId="77777777" w:rsidR="00B13F85" w:rsidRPr="003E4B07" w:rsidRDefault="00B13F85" w:rsidP="00B13F85">
            <w:pPr>
              <w:pStyle w:val="TableText"/>
            </w:pPr>
            <w:r>
              <w:t xml:space="preserve">Not </w:t>
            </w:r>
            <w:r w:rsidRPr="003E4B07">
              <w:t>stated</w:t>
            </w:r>
          </w:p>
        </w:tc>
        <w:tc>
          <w:tcPr>
            <w:tcW w:w="994" w:type="dxa"/>
            <w:tcBorders>
              <w:bottom w:val="single" w:sz="12" w:space="0" w:color="auto"/>
            </w:tcBorders>
            <w:shd w:val="clear" w:color="auto" w:fill="auto"/>
            <w:vAlign w:val="center"/>
          </w:tcPr>
          <w:p w14:paraId="009AD3C3" w14:textId="444E705A" w:rsidR="00B13F85" w:rsidRPr="003E4B07" w:rsidRDefault="00A94F1C" w:rsidP="00B13F85">
            <w:pPr>
              <w:pStyle w:val="TableText"/>
            </w:pPr>
            <w:r>
              <w:t>5</w:t>
            </w:r>
          </w:p>
        </w:tc>
        <w:tc>
          <w:tcPr>
            <w:tcW w:w="1092" w:type="dxa"/>
            <w:tcBorders>
              <w:bottom w:val="single" w:sz="12" w:space="0" w:color="auto"/>
            </w:tcBorders>
            <w:shd w:val="clear" w:color="auto" w:fill="auto"/>
            <w:vAlign w:val="center"/>
          </w:tcPr>
          <w:p w14:paraId="4EBA975C" w14:textId="6B948729" w:rsidR="00B13F85" w:rsidRPr="003E4B07" w:rsidRDefault="00B13F85" w:rsidP="00B13F85">
            <w:pPr>
              <w:pStyle w:val="TableText"/>
            </w:pPr>
            <w:r w:rsidRPr="003E4B07">
              <w:t>NOEL</w:t>
            </w:r>
          </w:p>
        </w:tc>
        <w:tc>
          <w:tcPr>
            <w:tcW w:w="1600" w:type="dxa"/>
            <w:tcBorders>
              <w:bottom w:val="single" w:sz="12" w:space="0" w:color="auto"/>
            </w:tcBorders>
            <w:shd w:val="clear" w:color="auto" w:fill="auto"/>
            <w:vAlign w:val="center"/>
          </w:tcPr>
          <w:p w14:paraId="674D951D" w14:textId="480A64D2" w:rsidR="00B13F85" w:rsidRPr="003E4B07" w:rsidRDefault="00B13F85" w:rsidP="00B13F85">
            <w:pPr>
              <w:pStyle w:val="TableText"/>
            </w:pPr>
            <w:r w:rsidRPr="00DD47F9">
              <w:t>Chlorophyll</w:t>
            </w:r>
            <w:r>
              <w:t>-</w:t>
            </w:r>
            <w:r w:rsidRPr="00DD47F9">
              <w:t>a content</w:t>
            </w:r>
          </w:p>
        </w:tc>
        <w:tc>
          <w:tcPr>
            <w:tcW w:w="1133" w:type="dxa"/>
            <w:tcBorders>
              <w:bottom w:val="single" w:sz="12" w:space="0" w:color="auto"/>
            </w:tcBorders>
            <w:shd w:val="clear" w:color="auto" w:fill="auto"/>
            <w:vAlign w:val="center"/>
          </w:tcPr>
          <w:p w14:paraId="265E6609" w14:textId="103907BD" w:rsidR="00B13F85" w:rsidRPr="003E4B07" w:rsidRDefault="00B13F85" w:rsidP="00B13F85">
            <w:pPr>
              <w:pStyle w:val="TableText"/>
            </w:pPr>
            <w:r>
              <w:t>1</w:t>
            </w:r>
            <w:r w:rsidR="00A94F1C">
              <w:t>0</w:t>
            </w:r>
            <w:r>
              <w:t> </w:t>
            </w:r>
            <w:r w:rsidR="00A94F1C">
              <w:t>0</w:t>
            </w:r>
            <w:r w:rsidRPr="003E4B07">
              <w:t>00</w:t>
            </w:r>
          </w:p>
        </w:tc>
      </w:tr>
    </w:tbl>
    <w:p w14:paraId="708EE205" w14:textId="1E0B71B1" w:rsidR="00D52C10" w:rsidRDefault="00D52C10" w:rsidP="00D52C10">
      <w:pPr>
        <w:pStyle w:val="FigureTableNoteSource"/>
      </w:pPr>
      <w:r w:rsidRPr="00DD6DAE">
        <w:rPr>
          <w:rStyle w:val="Strong"/>
        </w:rPr>
        <w:t>a</w:t>
      </w:r>
      <w:r w:rsidRPr="003B13DB">
        <w:t xml:space="preserve"> </w:t>
      </w:r>
      <w:r w:rsidR="00BA7CDD" w:rsidRPr="00612757">
        <w:t>The measure of toxicity being estimated/determined:</w:t>
      </w:r>
      <w:r w:rsidR="00BA7CDD">
        <w:t xml:space="preserve"> EC10: 10% effect concentration; </w:t>
      </w:r>
      <w:r w:rsidR="001C5AFD">
        <w:t xml:space="preserve">IC7: 7% inhibition concentration; </w:t>
      </w:r>
      <w:r w:rsidR="00BA7CDD">
        <w:t>NOE</w:t>
      </w:r>
      <w:r w:rsidR="00431D90">
        <w:t>C</w:t>
      </w:r>
      <w:r w:rsidR="00BA7CDD">
        <w:t>: No observed effect concentration; NOEL: No observed effect level.</w:t>
      </w:r>
    </w:p>
    <w:p w14:paraId="3481DEF7" w14:textId="6437A9F9" w:rsidR="00D52C10" w:rsidRDefault="00D52C10" w:rsidP="00D52C10">
      <w:pPr>
        <w:pStyle w:val="FigureTableNoteSource"/>
      </w:pPr>
      <w:r w:rsidRPr="00DD6DAE">
        <w:rPr>
          <w:rStyle w:val="Strong"/>
        </w:rPr>
        <w:t>b</w:t>
      </w:r>
      <w:r w:rsidRPr="003B13DB">
        <w:t xml:space="preserve"> AUC</w:t>
      </w:r>
      <w:r>
        <w:t xml:space="preserve"> = area under the growth curve.</w:t>
      </w:r>
    </w:p>
    <w:p w14:paraId="75537B06" w14:textId="77777777" w:rsidR="00D52C10" w:rsidRDefault="00D52C10" w:rsidP="00D52C10">
      <w:pPr>
        <w:pStyle w:val="FigureTableNoteSource"/>
        <w:rPr>
          <w:highlight w:val="yellow"/>
        </w:rPr>
      </w:pPr>
      <w:r>
        <w:rPr>
          <w:rStyle w:val="Strong"/>
        </w:rPr>
        <w:t>c</w:t>
      </w:r>
      <w:r>
        <w:t xml:space="preserve"> </w:t>
      </w:r>
      <w:r w:rsidRPr="003B13DB">
        <w:t>Species that originated from/are distributed in Australia and/or New Zealand.</w:t>
      </w:r>
    </w:p>
    <w:p w14:paraId="1EA39875" w14:textId="6422B1FF" w:rsidR="00D52C10" w:rsidRPr="00D82213" w:rsidRDefault="00D52C10" w:rsidP="00D52C10">
      <w:pPr>
        <w:pStyle w:val="FigureTableNoteSource"/>
        <w:rPr>
          <w:rStyle w:val="Strong"/>
          <w:b w:val="0"/>
          <w:bCs w:val="0"/>
        </w:rPr>
      </w:pPr>
      <w:r>
        <w:rPr>
          <w:rStyle w:val="Strong"/>
        </w:rPr>
        <w:t xml:space="preserve">d </w:t>
      </w:r>
      <w:r>
        <w:rPr>
          <w:rStyle w:val="Strong"/>
          <w:b w:val="0"/>
          <w:bCs w:val="0"/>
        </w:rPr>
        <w:t xml:space="preserve">Based on a geometric mean (see </w:t>
      </w:r>
      <w:r w:rsidR="00D758D2">
        <w:rPr>
          <w:rStyle w:val="Strong"/>
          <w:b w:val="0"/>
          <w:bCs w:val="0"/>
        </w:rPr>
        <w:fldChar w:fldCharType="begin"/>
      </w:r>
      <w:r w:rsidR="00D758D2">
        <w:rPr>
          <w:rStyle w:val="Strong"/>
          <w:b w:val="0"/>
          <w:bCs w:val="0"/>
        </w:rPr>
        <w:instrText xml:space="preserve"> REF _Ref16942625 \h </w:instrText>
      </w:r>
      <w:r w:rsidR="00D758D2">
        <w:rPr>
          <w:rStyle w:val="Strong"/>
          <w:b w:val="0"/>
          <w:bCs w:val="0"/>
        </w:rPr>
      </w:r>
      <w:r w:rsidR="00D758D2">
        <w:rPr>
          <w:rStyle w:val="Strong"/>
          <w:b w:val="0"/>
          <w:bCs w:val="0"/>
        </w:rPr>
        <w:fldChar w:fldCharType="separate"/>
      </w:r>
      <w:r w:rsidR="00D758D2">
        <w:t>Appendix A</w:t>
      </w:r>
      <w:r w:rsidR="00D758D2">
        <w:rPr>
          <w:rStyle w:val="Strong"/>
          <w:b w:val="0"/>
          <w:bCs w:val="0"/>
        </w:rPr>
        <w:fldChar w:fldCharType="end"/>
      </w:r>
      <w:r>
        <w:rPr>
          <w:rStyle w:val="Strong"/>
          <w:b w:val="0"/>
          <w:bCs w:val="0"/>
        </w:rPr>
        <w:t>).</w:t>
      </w:r>
    </w:p>
    <w:p w14:paraId="3F415FA4" w14:textId="6BC98BA3" w:rsidR="00431D90" w:rsidRPr="00D82213" w:rsidRDefault="00431D90" w:rsidP="00431D90">
      <w:pPr>
        <w:pStyle w:val="FigureTableNoteSource"/>
        <w:rPr>
          <w:rStyle w:val="Strong"/>
          <w:b w:val="0"/>
          <w:bCs w:val="0"/>
        </w:rPr>
      </w:pPr>
      <w:r>
        <w:rPr>
          <w:rStyle w:val="Strong"/>
        </w:rPr>
        <w:t xml:space="preserve">e </w:t>
      </w:r>
      <w:r w:rsidRPr="003B13DB">
        <w:t xml:space="preserve">This species has also been </w:t>
      </w:r>
      <w:r>
        <w:t xml:space="preserve">called </w:t>
      </w:r>
      <w:r w:rsidRPr="00431D90">
        <w:rPr>
          <w:i/>
          <w:iCs/>
        </w:rPr>
        <w:t>Scenedesmus obliquus</w:t>
      </w:r>
      <w:r>
        <w:rPr>
          <w:rStyle w:val="Strong"/>
          <w:b w:val="0"/>
          <w:bCs w:val="0"/>
        </w:rPr>
        <w:t>.</w:t>
      </w:r>
    </w:p>
    <w:p w14:paraId="051C7CFA" w14:textId="28341952" w:rsidR="00D52C10" w:rsidRDefault="00431D90" w:rsidP="00D52C10">
      <w:pPr>
        <w:pStyle w:val="FigureTableNoteSource"/>
      </w:pPr>
      <w:r>
        <w:rPr>
          <w:rStyle w:val="Strong"/>
        </w:rPr>
        <w:t>f</w:t>
      </w:r>
      <w:r w:rsidRPr="003B13DB">
        <w:t xml:space="preserve"> </w:t>
      </w:r>
      <w:r w:rsidR="00D52C10" w:rsidRPr="003B13DB">
        <w:t xml:space="preserve">This species has also been </w:t>
      </w:r>
      <w:r w:rsidR="00D52C10">
        <w:t xml:space="preserve">called </w:t>
      </w:r>
      <w:r w:rsidR="00D52C10" w:rsidRPr="00C726E4">
        <w:rPr>
          <w:rStyle w:val="Emphasis"/>
        </w:rPr>
        <w:t>Desmodesmus subspicatus</w:t>
      </w:r>
      <w:r w:rsidR="00D52C10">
        <w:t>.</w:t>
      </w:r>
    </w:p>
    <w:p w14:paraId="30F32656" w14:textId="5C794E4C" w:rsidR="00D52C10" w:rsidRDefault="00431D90" w:rsidP="00D52C10">
      <w:pPr>
        <w:pStyle w:val="FigureTableNoteSource"/>
      </w:pPr>
      <w:r>
        <w:rPr>
          <w:rStyle w:val="Strong"/>
        </w:rPr>
        <w:t>g</w:t>
      </w:r>
      <w:r w:rsidRPr="003B13DB">
        <w:t xml:space="preserve"> </w:t>
      </w:r>
      <w:r w:rsidR="00D52C10" w:rsidRPr="003B13DB">
        <w:t xml:space="preserve">This species has also been called </w:t>
      </w:r>
      <w:r w:rsidR="00D52C10" w:rsidRPr="00C726E4">
        <w:rPr>
          <w:rStyle w:val="Emphasis"/>
        </w:rPr>
        <w:t>Raphidocelis subcapitata</w:t>
      </w:r>
      <w:r w:rsidR="00D52C10" w:rsidRPr="003B13DB">
        <w:t xml:space="preserve"> and </w:t>
      </w:r>
      <w:r w:rsidR="00D52C10" w:rsidRPr="00C726E4">
        <w:rPr>
          <w:rStyle w:val="Emphasis"/>
        </w:rPr>
        <w:t>Pseudokirchneriella subcapitata</w:t>
      </w:r>
      <w:r w:rsidR="00D52C10">
        <w:t>.</w:t>
      </w:r>
    </w:p>
    <w:p w14:paraId="3DB2825C" w14:textId="0F8EC8FD" w:rsidR="001303C0" w:rsidRPr="003B13DB" w:rsidRDefault="001303C0" w:rsidP="001303C0">
      <w:pPr>
        <w:pStyle w:val="Heading3"/>
      </w:pPr>
      <w:bookmarkStart w:id="84" w:name="_Toc64624294"/>
      <w:r w:rsidRPr="003B13DB">
        <w:lastRenderedPageBreak/>
        <w:t>Species sensitivity distribution</w:t>
      </w:r>
      <w:bookmarkEnd w:id="84"/>
    </w:p>
    <w:p w14:paraId="320F7199" w14:textId="6A46D7FF" w:rsidR="003B13DB" w:rsidRDefault="003B13DB" w:rsidP="001303C0">
      <w:pPr>
        <w:spacing w:after="120"/>
      </w:pPr>
      <w:r>
        <w:t xml:space="preserve">The </w:t>
      </w:r>
      <w:r w:rsidRPr="003B13DB">
        <w:t>SSD</w:t>
      </w:r>
      <w:r w:rsidR="00FE25F0">
        <w:t xml:space="preserve"> </w:t>
      </w:r>
      <w:r w:rsidRPr="003B13DB">
        <w:t xml:space="preserve">of the </w:t>
      </w:r>
      <w:r w:rsidR="00F570FF" w:rsidRPr="003B13DB">
        <w:t>1</w:t>
      </w:r>
      <w:r w:rsidR="00F570FF">
        <w:t>5</w:t>
      </w:r>
      <w:r w:rsidR="00F570FF" w:rsidRPr="003B13DB">
        <w:t xml:space="preserve"> </w:t>
      </w:r>
      <w:r w:rsidRPr="003B13DB">
        <w:t xml:space="preserve">freshwater </w:t>
      </w:r>
      <w:r w:rsidR="00FE25F0">
        <w:t xml:space="preserve">glyphosate chronic toxicity </w:t>
      </w:r>
      <w:r w:rsidR="00F570FF">
        <w:t xml:space="preserve">values </w:t>
      </w:r>
      <w:r w:rsidR="00FE25F0">
        <w:t xml:space="preserve">reported in </w:t>
      </w:r>
      <w:r w:rsidR="00D758D2">
        <w:fldChar w:fldCharType="begin"/>
      </w:r>
      <w:r w:rsidR="00D758D2">
        <w:instrText xml:space="preserve"> REF _Ref26612619 \h </w:instrText>
      </w:r>
      <w:r w:rsidR="00D758D2">
        <w:fldChar w:fldCharType="separate"/>
      </w:r>
      <w:r w:rsidR="00D758D2">
        <w:t>Table </w:t>
      </w:r>
      <w:r w:rsidR="00D758D2">
        <w:rPr>
          <w:noProof/>
        </w:rPr>
        <w:t>2</w:t>
      </w:r>
      <w:r w:rsidR="00D758D2">
        <w:fldChar w:fldCharType="end"/>
      </w:r>
      <w:r w:rsidR="00D758D2">
        <w:t xml:space="preserve"> </w:t>
      </w:r>
      <w:r w:rsidRPr="003B13DB">
        <w:t xml:space="preserve">is presented in </w:t>
      </w:r>
      <w:r w:rsidR="00E62E4C">
        <w:fldChar w:fldCharType="begin"/>
      </w:r>
      <w:r w:rsidR="00E62E4C">
        <w:instrText xml:space="preserve"> REF _Ref16943040 \h </w:instrText>
      </w:r>
      <w:r w:rsidR="00E62E4C">
        <w:fldChar w:fldCharType="separate"/>
      </w:r>
      <w:r w:rsidR="00D758D2">
        <w:t>Figure </w:t>
      </w:r>
      <w:r w:rsidR="00D758D2">
        <w:rPr>
          <w:noProof/>
        </w:rPr>
        <w:t>2</w:t>
      </w:r>
      <w:r w:rsidR="00E62E4C">
        <w:fldChar w:fldCharType="end"/>
      </w:r>
      <w:r w:rsidRPr="003B13DB">
        <w:t>.</w:t>
      </w:r>
      <w:r w:rsidR="00C726E4">
        <w:t xml:space="preserve"> </w:t>
      </w:r>
      <w:r w:rsidR="00C726E4" w:rsidRPr="00C726E4">
        <w:t>The SSD was plotted using the Burrlioz 2.0 software.</w:t>
      </w:r>
      <w:r w:rsidR="00FE25F0">
        <w:t xml:space="preserve"> </w:t>
      </w:r>
      <w:r w:rsidR="00FE25F0">
        <w:rPr>
          <w:bCs/>
        </w:rPr>
        <w:t xml:space="preserve">The model was judged to provide a </w:t>
      </w:r>
      <w:r w:rsidR="00083846">
        <w:rPr>
          <w:bCs/>
        </w:rPr>
        <w:t xml:space="preserve">good </w:t>
      </w:r>
      <w:r w:rsidR="00FE25F0">
        <w:rPr>
          <w:bCs/>
        </w:rPr>
        <w:t xml:space="preserve">fit to the data </w:t>
      </w:r>
      <w:r w:rsidR="00215E01">
        <w:rPr>
          <w:bCs/>
        </w:rPr>
        <w:t>(</w:t>
      </w:r>
      <w:r w:rsidR="00D758D2">
        <w:rPr>
          <w:bCs/>
        </w:rPr>
        <w:fldChar w:fldCharType="begin"/>
      </w:r>
      <w:r w:rsidR="00D758D2">
        <w:rPr>
          <w:bCs/>
        </w:rPr>
        <w:instrText xml:space="preserve"> REF _Ref16943040 \h </w:instrText>
      </w:r>
      <w:r w:rsidR="00D758D2">
        <w:rPr>
          <w:bCs/>
        </w:rPr>
      </w:r>
      <w:r w:rsidR="00D758D2">
        <w:rPr>
          <w:bCs/>
        </w:rPr>
        <w:fldChar w:fldCharType="separate"/>
      </w:r>
      <w:r w:rsidR="00D758D2">
        <w:t>Figure </w:t>
      </w:r>
      <w:r w:rsidR="00D758D2">
        <w:rPr>
          <w:noProof/>
        </w:rPr>
        <w:t>2</w:t>
      </w:r>
      <w:r w:rsidR="00D758D2">
        <w:rPr>
          <w:bCs/>
        </w:rPr>
        <w:fldChar w:fldCharType="end"/>
      </w:r>
      <w:r w:rsidR="00FE25F0">
        <w:rPr>
          <w:bCs/>
        </w:rPr>
        <w:t>).</w:t>
      </w:r>
    </w:p>
    <w:p w14:paraId="1585CA62" w14:textId="3AD9391D" w:rsidR="003B13DB" w:rsidRDefault="00050B74" w:rsidP="001303C0">
      <w:pPr>
        <w:spacing w:after="120"/>
        <w:rPr>
          <w:highlight w:val="yellow"/>
        </w:rPr>
      </w:pPr>
      <w:r>
        <w:rPr>
          <w:noProof/>
          <w:lang w:eastAsia="en-AU"/>
        </w:rPr>
        <w:drawing>
          <wp:inline distT="0" distB="0" distL="0" distR="0" wp14:anchorId="59311025" wp14:editId="797A739A">
            <wp:extent cx="4320000" cy="43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4320000" cy="4320000"/>
                    </a:xfrm>
                    <a:prstGeom prst="rect">
                      <a:avLst/>
                    </a:prstGeom>
                  </pic:spPr>
                </pic:pic>
              </a:graphicData>
            </a:graphic>
          </wp:inline>
        </w:drawing>
      </w:r>
    </w:p>
    <w:p w14:paraId="117F8E40" w14:textId="0C51D023" w:rsidR="003B13DB" w:rsidRDefault="00E62E4C" w:rsidP="00C618FE">
      <w:pPr>
        <w:pStyle w:val="Caption"/>
        <w:rPr>
          <w:highlight w:val="yellow"/>
        </w:rPr>
      </w:pPr>
      <w:bookmarkStart w:id="85" w:name="_Ref16943040"/>
      <w:bookmarkStart w:id="86" w:name="_Toc64624302"/>
      <w:r>
        <w:t>Figure </w:t>
      </w:r>
      <w:r w:rsidR="00736C4F">
        <w:fldChar w:fldCharType="begin"/>
      </w:r>
      <w:r w:rsidR="00736C4F">
        <w:instrText xml:space="preserve"> SEQ Figure \* ARABIC </w:instrText>
      </w:r>
      <w:r w:rsidR="00736C4F">
        <w:fldChar w:fldCharType="separate"/>
      </w:r>
      <w:r w:rsidR="00D758D2">
        <w:rPr>
          <w:noProof/>
        </w:rPr>
        <w:t>2</w:t>
      </w:r>
      <w:r w:rsidR="00736C4F">
        <w:rPr>
          <w:noProof/>
        </w:rPr>
        <w:fldChar w:fldCharType="end"/>
      </w:r>
      <w:bookmarkEnd w:id="85"/>
      <w:r>
        <w:t xml:space="preserve"> </w:t>
      </w:r>
      <w:r w:rsidR="00DD6DAE" w:rsidRPr="00DD6DAE">
        <w:t xml:space="preserve">Species sensitivity distribution, </w:t>
      </w:r>
      <w:r w:rsidR="00DD6DAE" w:rsidRPr="003B13DB">
        <w:t xml:space="preserve">glyphosate </w:t>
      </w:r>
      <w:r w:rsidR="00DD6DAE" w:rsidRPr="00DD6DAE">
        <w:t>in freshwater</w:t>
      </w:r>
      <w:bookmarkEnd w:id="86"/>
    </w:p>
    <w:p w14:paraId="70630233" w14:textId="21753939" w:rsidR="001303C0" w:rsidRPr="007B07B8" w:rsidRDefault="001303C0" w:rsidP="001303C0">
      <w:pPr>
        <w:pStyle w:val="Heading3"/>
      </w:pPr>
      <w:bookmarkStart w:id="87" w:name="_Toc64624295"/>
      <w:r w:rsidRPr="007B07B8">
        <w:t>Default guideline values</w:t>
      </w:r>
      <w:bookmarkEnd w:id="87"/>
    </w:p>
    <w:p w14:paraId="16C91943" w14:textId="0A9B39DD" w:rsidR="00DB0CDB" w:rsidRPr="00DB0CDB" w:rsidRDefault="00DB0CDB" w:rsidP="00DB0CDB">
      <w:r w:rsidRPr="00DB0CDB">
        <w:t>It is important that the DGVs (</w:t>
      </w:r>
      <w:r w:rsidR="00D758D2">
        <w:fldChar w:fldCharType="begin"/>
      </w:r>
      <w:r w:rsidR="00D758D2">
        <w:instrText xml:space="preserve"> REF _Ref16942756 \h </w:instrText>
      </w:r>
      <w:r w:rsidR="00D758D2">
        <w:fldChar w:fldCharType="separate"/>
      </w:r>
      <w:r w:rsidR="00D758D2">
        <w:t>Table </w:t>
      </w:r>
      <w:r w:rsidR="00D758D2">
        <w:rPr>
          <w:noProof/>
        </w:rPr>
        <w:t>3</w:t>
      </w:r>
      <w:r w:rsidR="00D758D2">
        <w:fldChar w:fldCharType="end"/>
      </w:r>
      <w:r w:rsidRPr="00DB0CDB">
        <w:t xml:space="preserve">) and associated information in this technical brief are used in accordance with the detailed guidance provided in the Australian and New Zealand Guidelines for Fresh and Marine Water Quality </w:t>
      </w:r>
      <w:hyperlink r:id="rId27" w:history="1">
        <w:r w:rsidR="00590027" w:rsidRPr="00590027">
          <w:rPr>
            <w:rStyle w:val="Hyperlink"/>
          </w:rPr>
          <w:t>website</w:t>
        </w:r>
      </w:hyperlink>
      <w:r w:rsidR="00A77C61" w:rsidRPr="00D758D2">
        <w:t xml:space="preserve"> (ANZG 2018)</w:t>
      </w:r>
      <w:r w:rsidRPr="00D758D2">
        <w:t>.</w:t>
      </w:r>
      <w:r w:rsidRPr="00DB0CDB">
        <w:t xml:space="preserve"> </w:t>
      </w:r>
    </w:p>
    <w:p w14:paraId="5A6C7461" w14:textId="13464D62" w:rsidR="00BE3953" w:rsidRDefault="00DB0CDB" w:rsidP="00BE3953">
      <w:r>
        <w:t>The DGVs for 99%, 95%, 90% and 80% species protection are shown in</w:t>
      </w:r>
      <w:r w:rsidR="00215E01">
        <w:t xml:space="preserve"> </w:t>
      </w:r>
      <w:r w:rsidR="00D758D2">
        <w:fldChar w:fldCharType="begin"/>
      </w:r>
      <w:r w:rsidR="00D758D2">
        <w:instrText xml:space="preserve"> REF _Ref16942756 \h </w:instrText>
      </w:r>
      <w:r w:rsidR="00D758D2">
        <w:fldChar w:fldCharType="separate"/>
      </w:r>
      <w:r w:rsidR="00D758D2">
        <w:t>Table </w:t>
      </w:r>
      <w:r w:rsidR="00D758D2">
        <w:rPr>
          <w:noProof/>
        </w:rPr>
        <w:t>3</w:t>
      </w:r>
      <w:r w:rsidR="00D758D2">
        <w:fldChar w:fldCharType="end"/>
      </w:r>
      <w:r>
        <w:t>.</w:t>
      </w:r>
      <w:r w:rsidR="000D487B">
        <w:t xml:space="preserve"> </w:t>
      </w:r>
      <w:r w:rsidR="00810B3D">
        <w:t>The</w:t>
      </w:r>
      <w:r w:rsidR="00810B3D" w:rsidRPr="00BA02DD">
        <w:t xml:space="preserve"> DGVs are expressed in terms of the active ingredient (glyphosate) rather than commercial formulations</w:t>
      </w:r>
      <w:r w:rsidR="00810B3D">
        <w:t>, and do not relate to any of the breakdown products of glyphosate</w:t>
      </w:r>
      <w:r w:rsidR="00810B3D" w:rsidRPr="00BA02DD">
        <w:t xml:space="preserve">. </w:t>
      </w:r>
      <w:r w:rsidR="00FE25F0">
        <w:rPr>
          <w:bCs/>
        </w:rPr>
        <w:t xml:space="preserve">The 95% species protection DGV of </w:t>
      </w:r>
      <w:r w:rsidR="00232C90">
        <w:rPr>
          <w:bCs/>
        </w:rPr>
        <w:t>32</w:t>
      </w:r>
      <w:r w:rsidR="00FF12ED">
        <w:rPr>
          <w:bCs/>
        </w:rPr>
        <w:t xml:space="preserve">0 </w:t>
      </w:r>
      <w:r w:rsidR="00FE25F0">
        <w:rPr>
          <w:rFonts w:cstheme="minorHAnsi"/>
          <w:bCs/>
        </w:rPr>
        <w:t>µ</w:t>
      </w:r>
      <w:r w:rsidR="00FE25F0">
        <w:rPr>
          <w:bCs/>
        </w:rPr>
        <w:t xml:space="preserve">g/L </w:t>
      </w:r>
      <w:r w:rsidR="00FB68F3">
        <w:rPr>
          <w:bCs/>
        </w:rPr>
        <w:t>glyphosate</w:t>
      </w:r>
      <w:r w:rsidR="00FE25F0">
        <w:rPr>
          <w:bCs/>
        </w:rPr>
        <w:t xml:space="preserve"> is recommended for application for slightly</w:t>
      </w:r>
      <w:r w:rsidR="00215E01">
        <w:rPr>
          <w:bCs/>
        </w:rPr>
        <w:t>-</w:t>
      </w:r>
      <w:r w:rsidR="00FE25F0">
        <w:rPr>
          <w:bCs/>
        </w:rPr>
        <w:t>to</w:t>
      </w:r>
      <w:r w:rsidR="00215E01">
        <w:rPr>
          <w:bCs/>
        </w:rPr>
        <w:t>-</w:t>
      </w:r>
      <w:r w:rsidR="00FE25F0">
        <w:rPr>
          <w:bCs/>
        </w:rPr>
        <w:t>moderate</w:t>
      </w:r>
      <w:r w:rsidR="00FB68F3">
        <w:rPr>
          <w:bCs/>
        </w:rPr>
        <w:t>ly</w:t>
      </w:r>
      <w:r w:rsidR="00FE25F0">
        <w:rPr>
          <w:bCs/>
        </w:rPr>
        <w:t xml:space="preserve"> disturbed ecosystems.</w:t>
      </w:r>
      <w:r w:rsidR="00BE3953">
        <w:rPr>
          <w:bCs/>
        </w:rPr>
        <w:t xml:space="preserve"> However, </w:t>
      </w:r>
      <w:r w:rsidR="00BE3953">
        <w:t>as t</w:t>
      </w:r>
      <w:r w:rsidR="00BE3953" w:rsidRPr="00BA02DD">
        <w:t xml:space="preserve">he available literature indicates that commercial formulations </w:t>
      </w:r>
      <w:r w:rsidR="00FB68F3">
        <w:t xml:space="preserve">containing glyphosate </w:t>
      </w:r>
      <w:r w:rsidR="00BE3953">
        <w:t>can be</w:t>
      </w:r>
      <w:r w:rsidR="00BE3953" w:rsidRPr="00BA02DD">
        <w:t xml:space="preserve"> more toxic than </w:t>
      </w:r>
      <w:r w:rsidR="00FB68F3">
        <w:t>glyphosate</w:t>
      </w:r>
      <w:r w:rsidR="00BE3953" w:rsidRPr="00BA02DD">
        <w:t xml:space="preserve"> alone, the actual levels of protection provided </w:t>
      </w:r>
      <w:r w:rsidR="00FB68F3">
        <w:t>by the DGVs for</w:t>
      </w:r>
      <w:r w:rsidR="00BE3953" w:rsidRPr="00BA02DD">
        <w:t xml:space="preserve"> freshwater ecosystems may be lower than </w:t>
      </w:r>
      <w:r w:rsidR="00BE3953">
        <w:t xml:space="preserve">specified in </w:t>
      </w:r>
      <w:r w:rsidR="00D758D2">
        <w:fldChar w:fldCharType="begin"/>
      </w:r>
      <w:r w:rsidR="00D758D2">
        <w:instrText xml:space="preserve"> REF _Ref16942756 \h </w:instrText>
      </w:r>
      <w:r w:rsidR="00D758D2">
        <w:fldChar w:fldCharType="separate"/>
      </w:r>
      <w:r w:rsidR="00D758D2">
        <w:t>Table </w:t>
      </w:r>
      <w:r w:rsidR="00D758D2">
        <w:rPr>
          <w:noProof/>
        </w:rPr>
        <w:t>3</w:t>
      </w:r>
      <w:r w:rsidR="00D758D2">
        <w:fldChar w:fldCharType="end"/>
      </w:r>
      <w:r w:rsidR="00BE3953">
        <w:t>.</w:t>
      </w:r>
      <w:r w:rsidR="00F01120">
        <w:t xml:space="preserve"> </w:t>
      </w:r>
      <w:r w:rsidR="001468FA">
        <w:rPr>
          <w:rFonts w:cs="Arial"/>
        </w:rPr>
        <w:t>ANZG </w:t>
      </w:r>
      <w:r w:rsidR="00F01120">
        <w:rPr>
          <w:rFonts w:cs="Arial"/>
        </w:rPr>
        <w:t>(2018</w:t>
      </w:r>
      <w:r w:rsidR="00590027">
        <w:rPr>
          <w:rFonts w:cs="Arial"/>
        </w:rPr>
        <w:t xml:space="preserve">; see </w:t>
      </w:r>
      <w:hyperlink r:id="rId28" w:anchor="formulations" w:history="1">
        <w:r w:rsidR="00590027" w:rsidRPr="005A59A7">
          <w:rPr>
            <w:rStyle w:val="Hyperlink"/>
            <w:rFonts w:cs="Arial"/>
          </w:rPr>
          <w:t>Accounting for local conditions</w:t>
        </w:r>
      </w:hyperlink>
      <w:r w:rsidR="00F01120">
        <w:rPr>
          <w:rFonts w:cs="Arial"/>
        </w:rPr>
        <w:t xml:space="preserve">) provides guidance on what to do </w:t>
      </w:r>
      <w:r w:rsidR="00550629">
        <w:rPr>
          <w:rFonts w:cs="Arial"/>
        </w:rPr>
        <w:t>if the DGVs are</w:t>
      </w:r>
      <w:r w:rsidR="00E86FE1">
        <w:rPr>
          <w:rFonts w:cs="Arial"/>
        </w:rPr>
        <w:t xml:space="preserve"> under-protective due to formulation-related </w:t>
      </w:r>
      <w:r w:rsidR="00596BCB">
        <w:rPr>
          <w:rFonts w:cs="Arial"/>
        </w:rPr>
        <w:t>factors</w:t>
      </w:r>
      <w:r w:rsidR="00F01120">
        <w:rPr>
          <w:rFonts w:cs="Arial"/>
        </w:rPr>
        <w:t>.</w:t>
      </w:r>
    </w:p>
    <w:p w14:paraId="3F28C885" w14:textId="5650546B" w:rsidR="00A27AE9" w:rsidRDefault="000D487B" w:rsidP="001303C0">
      <w:r>
        <w:lastRenderedPageBreak/>
        <w:t>The DGVs are considerably lower than the ANZECC/ARMCANZ</w:t>
      </w:r>
      <w:r w:rsidR="00920EC9">
        <w:t xml:space="preserve"> </w:t>
      </w:r>
      <w:r>
        <w:t xml:space="preserve">(2000) DGVs and the most recent international guideline value (at the 95% species protection level) for glyphosate (CCME 2012). The ANZECC/ARMCANZ (2000) </w:t>
      </w:r>
      <w:r w:rsidR="005B2B81">
        <w:t>DGV</w:t>
      </w:r>
      <w:r>
        <w:t xml:space="preserve"> for glyphosate of 1 220 µg/L </w:t>
      </w:r>
      <w:r w:rsidR="008E2263">
        <w:t xml:space="preserve">for </w:t>
      </w:r>
      <w:r>
        <w:t>95</w:t>
      </w:r>
      <w:r w:rsidR="008E2263">
        <w:t>% species protection</w:t>
      </w:r>
      <w:r>
        <w:t xml:space="preserve"> was derived using acute toxicity data ranging from 100 µg/L to 641 000 µg/L, with a safety factor of 10 applied to convert it to a chronic guideline value. Thus, the ANZECC/ARMCANZ (2000) value had a high degree of uncertainty in its ability to protect against chronic effects. In Canada, the guideline value of 800 µg/L </w:t>
      </w:r>
      <w:r w:rsidR="008E2263">
        <w:t>for 95% species protection</w:t>
      </w:r>
      <w:r>
        <w:t xml:space="preserve"> was derived using chronic toxicity data ranging from 1 090 µg/L to 150 000 µg/L (CCME 2012). Notably, the chronic toxicity dataset used to derive the current DGV</w:t>
      </w:r>
      <w:r w:rsidR="005B2B81">
        <w:t>s</w:t>
      </w:r>
      <w:r>
        <w:t xml:space="preserve"> contained </w:t>
      </w:r>
      <w:r w:rsidR="00FF12ED">
        <w:t xml:space="preserve">five </w:t>
      </w:r>
      <w:r>
        <w:t xml:space="preserve">values that were lower than the lowest value in the Canadian dataset, three of which were published after the </w:t>
      </w:r>
      <w:r w:rsidR="00B028CD">
        <w:t xml:space="preserve">Canadian </w:t>
      </w:r>
      <w:r>
        <w:t xml:space="preserve">derivation was </w:t>
      </w:r>
      <w:r w:rsidR="00B028CD">
        <w:t>undertaken</w:t>
      </w:r>
      <w:r>
        <w:t xml:space="preserve">. </w:t>
      </w:r>
      <w:r w:rsidR="00B028CD">
        <w:t>Thus, g</w:t>
      </w:r>
      <w:r>
        <w:t>iven the current DGV</w:t>
      </w:r>
      <w:r w:rsidR="00B028CD">
        <w:t>s</w:t>
      </w:r>
      <w:r>
        <w:t xml:space="preserve"> </w:t>
      </w:r>
      <w:r w:rsidR="00B028CD">
        <w:t>are</w:t>
      </w:r>
      <w:r>
        <w:t xml:space="preserve"> based on the most up-to-date international chronic toxicity dataset, </w:t>
      </w:r>
      <w:r w:rsidR="00B028CD">
        <w:t>they</w:t>
      </w:r>
      <w:r>
        <w:t xml:space="preserve"> represent the most reliable of currently available guideline values</w:t>
      </w:r>
      <w:r w:rsidR="003B3BF7">
        <w:t xml:space="preserve"> for glyphosate in freshwater</w:t>
      </w:r>
      <w:r>
        <w:t>.</w:t>
      </w:r>
    </w:p>
    <w:p w14:paraId="179374D1" w14:textId="51EFCB6C" w:rsidR="000D487B" w:rsidRDefault="000D487B" w:rsidP="000D487B">
      <w:r>
        <w:t>Measured log BCF values for glyphosate are low (</w:t>
      </w:r>
      <w:r w:rsidR="00D758D2">
        <w:fldChar w:fldCharType="begin"/>
      </w:r>
      <w:r w:rsidR="00D758D2">
        <w:instrText xml:space="preserve"> REF _Ref16942194 \h </w:instrText>
      </w:r>
      <w:r w:rsidR="00D758D2">
        <w:fldChar w:fldCharType="separate"/>
      </w:r>
      <w:r w:rsidR="00D758D2">
        <w:t>Table </w:t>
      </w:r>
      <w:r w:rsidR="00D758D2">
        <w:rPr>
          <w:noProof/>
        </w:rPr>
        <w:t>1</w:t>
      </w:r>
      <w:r w:rsidR="00D758D2">
        <w:fldChar w:fldCharType="end"/>
      </w:r>
      <w:r>
        <w:t>) and are below the threshold at which secondary poisoning must be considered (</w:t>
      </w:r>
      <w:proofErr w:type="gramStart"/>
      <w:r>
        <w:t>i.e.</w:t>
      </w:r>
      <w:proofErr w:type="gramEnd"/>
      <w:r>
        <w:t xml:space="preserve"> threshold log BCF = 4 (Warne et al. 2018)). Therefore, the DGVs for glyphosate do not need to account for secondary poisoning.</w:t>
      </w:r>
    </w:p>
    <w:p w14:paraId="669E7CC5" w14:textId="3120FC50" w:rsidR="00A27AE9" w:rsidRDefault="00D758D2" w:rsidP="00DD6DAE">
      <w:pPr>
        <w:pStyle w:val="Caption"/>
      </w:pPr>
      <w:bookmarkStart w:id="88" w:name="_Ref16942756"/>
      <w:bookmarkStart w:id="89" w:name="_Toc29547170"/>
      <w:bookmarkStart w:id="90" w:name="_Toc64624305"/>
      <w:r>
        <w:t>Table </w:t>
      </w:r>
      <w:r w:rsidR="00736C4F">
        <w:fldChar w:fldCharType="begin"/>
      </w:r>
      <w:r w:rsidR="00736C4F">
        <w:instrText xml:space="preserve"> SEQ Table \* ARABIC </w:instrText>
      </w:r>
      <w:r w:rsidR="00736C4F">
        <w:fldChar w:fldCharType="separate"/>
      </w:r>
      <w:r>
        <w:rPr>
          <w:noProof/>
        </w:rPr>
        <w:t>3</w:t>
      </w:r>
      <w:r w:rsidR="00736C4F">
        <w:rPr>
          <w:noProof/>
        </w:rPr>
        <w:fldChar w:fldCharType="end"/>
      </w:r>
      <w:bookmarkEnd w:id="88"/>
      <w:r w:rsidR="00A27AE9" w:rsidRPr="003B13DB">
        <w:t xml:space="preserve"> </w:t>
      </w:r>
      <w:r w:rsidR="00DD6DAE" w:rsidRPr="00DD6DAE">
        <w:t xml:space="preserve">Toxicant default guideline values, </w:t>
      </w:r>
      <w:r w:rsidR="00DD6DAE" w:rsidRPr="003B13DB">
        <w:t xml:space="preserve">glyphosate </w:t>
      </w:r>
      <w:r w:rsidR="00DD6DAE" w:rsidRPr="00DD6DAE">
        <w:t xml:space="preserve">in freshwater, </w:t>
      </w:r>
      <w:r w:rsidR="006F5FB5">
        <w:t xml:space="preserve">very </w:t>
      </w:r>
      <w:r w:rsidR="00083846">
        <w:t>high</w:t>
      </w:r>
      <w:r w:rsidR="00083846" w:rsidRPr="00DD6DAE">
        <w:t xml:space="preserve"> </w:t>
      </w:r>
      <w:r w:rsidR="00DD6DAE" w:rsidRPr="00DD6DAE">
        <w:t>reliability</w:t>
      </w:r>
      <w:bookmarkEnd w:id="89"/>
      <w:bookmarkEnd w:id="9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glyphosate in freshwater, high reliability"/>
        <w:tblDescription w:val="Table shows the guideline values for a range of protection levels for glyphosate in freshwater. The four levels of species protection are 99, 95, 90 and 80%. The corresponding default guideline values are 180, 300, 400 and 610 (microgram per litre), respectively."/>
      </w:tblPr>
      <w:tblGrid>
        <w:gridCol w:w="4535"/>
        <w:gridCol w:w="4535"/>
      </w:tblGrid>
      <w:tr w:rsidR="00DD6DAE" w:rsidRPr="00295D89" w14:paraId="22D25881" w14:textId="77777777" w:rsidTr="00833392">
        <w:trPr>
          <w:tblHeader/>
        </w:trPr>
        <w:tc>
          <w:tcPr>
            <w:tcW w:w="2500" w:type="pct"/>
            <w:tcBorders>
              <w:top w:val="single" w:sz="12" w:space="0" w:color="auto"/>
              <w:bottom w:val="single" w:sz="12" w:space="0" w:color="auto"/>
            </w:tcBorders>
          </w:tcPr>
          <w:p w14:paraId="5FA4EAEE" w14:textId="77777777" w:rsidR="00DD6DAE" w:rsidRPr="00295D89" w:rsidRDefault="00DD6DAE" w:rsidP="00DB0CDB">
            <w:pPr>
              <w:pStyle w:val="TableHeading"/>
            </w:pPr>
            <w:r>
              <w:t>Level of</w:t>
            </w:r>
            <w:r w:rsidRPr="00295D89">
              <w:t xml:space="preserve"> species protection (%)</w:t>
            </w:r>
          </w:p>
        </w:tc>
        <w:tc>
          <w:tcPr>
            <w:tcW w:w="2500" w:type="pct"/>
            <w:tcBorders>
              <w:top w:val="single" w:sz="12" w:space="0" w:color="auto"/>
              <w:bottom w:val="single" w:sz="12" w:space="0" w:color="auto"/>
            </w:tcBorders>
          </w:tcPr>
          <w:p w14:paraId="54D5A2C6" w14:textId="506FD402" w:rsidR="00DD6DAE" w:rsidRPr="00295D89" w:rsidRDefault="00DD6DAE" w:rsidP="00DB0CDB">
            <w:pPr>
              <w:pStyle w:val="TableHeading"/>
            </w:pPr>
            <w:r w:rsidRPr="00295D89">
              <w:t>D</w:t>
            </w:r>
            <w:r>
              <w:t xml:space="preserve">GV for </w:t>
            </w:r>
            <w:r w:rsidRPr="007B07B8">
              <w:t xml:space="preserve">glyphosate </w:t>
            </w:r>
            <w:r>
              <w:t>in freshwater</w:t>
            </w:r>
            <w:r w:rsidRPr="00295D89">
              <w:t xml:space="preserve"> (</w:t>
            </w:r>
            <w:r w:rsidRPr="008160BF">
              <w:rPr>
                <w:rFonts w:ascii="Symbol" w:hAnsi="Symbol"/>
                <w:b w:val="0"/>
              </w:rPr>
              <w:t></w:t>
            </w:r>
            <w:r w:rsidRPr="00295D89">
              <w:t>g/L)</w:t>
            </w:r>
            <w:r>
              <w:t xml:space="preserve"> </w:t>
            </w:r>
            <w:r w:rsidRPr="00DD6DAE">
              <w:rPr>
                <w:rStyle w:val="Strong"/>
                <w:vertAlign w:val="superscript"/>
              </w:rPr>
              <w:t>a</w:t>
            </w:r>
          </w:p>
        </w:tc>
      </w:tr>
      <w:tr w:rsidR="00DD6DAE" w:rsidRPr="00295D89" w14:paraId="4A8F9EC7" w14:textId="77777777" w:rsidTr="00833392">
        <w:trPr>
          <w:trHeight w:val="284"/>
        </w:trPr>
        <w:tc>
          <w:tcPr>
            <w:tcW w:w="2500" w:type="pct"/>
            <w:tcBorders>
              <w:top w:val="single" w:sz="12" w:space="0" w:color="auto"/>
              <w:bottom w:val="single" w:sz="4" w:space="0" w:color="auto"/>
            </w:tcBorders>
          </w:tcPr>
          <w:p w14:paraId="7A9A06C8" w14:textId="77777777" w:rsidR="00DD6DAE" w:rsidRPr="00295D89" w:rsidRDefault="00DD6DAE" w:rsidP="00DB0CDB">
            <w:pPr>
              <w:pStyle w:val="TableText"/>
            </w:pPr>
            <w:r w:rsidRPr="00295D89">
              <w:t>99</w:t>
            </w:r>
          </w:p>
        </w:tc>
        <w:tc>
          <w:tcPr>
            <w:tcW w:w="2500" w:type="pct"/>
            <w:tcBorders>
              <w:top w:val="single" w:sz="12" w:space="0" w:color="auto"/>
              <w:bottom w:val="single" w:sz="4" w:space="0" w:color="auto"/>
            </w:tcBorders>
          </w:tcPr>
          <w:p w14:paraId="02031029" w14:textId="7DFA5DC4" w:rsidR="00DD6DAE" w:rsidRPr="00295D89" w:rsidRDefault="00FF12ED" w:rsidP="00DB0CDB">
            <w:pPr>
              <w:pStyle w:val="TableText"/>
            </w:pPr>
            <w:r>
              <w:t>1</w:t>
            </w:r>
            <w:r w:rsidR="007A2453">
              <w:t>8</w:t>
            </w:r>
            <w:r>
              <w:t>0</w:t>
            </w:r>
          </w:p>
        </w:tc>
      </w:tr>
      <w:tr w:rsidR="00DD6DAE" w:rsidRPr="00295D89" w14:paraId="1E1D1BCE" w14:textId="77777777" w:rsidTr="00833392">
        <w:trPr>
          <w:trHeight w:val="284"/>
        </w:trPr>
        <w:tc>
          <w:tcPr>
            <w:tcW w:w="2500" w:type="pct"/>
            <w:tcBorders>
              <w:top w:val="single" w:sz="4" w:space="0" w:color="auto"/>
              <w:bottom w:val="single" w:sz="4" w:space="0" w:color="auto"/>
            </w:tcBorders>
          </w:tcPr>
          <w:p w14:paraId="02CB26BE" w14:textId="77777777" w:rsidR="00DD6DAE" w:rsidRPr="00295D89" w:rsidRDefault="00DD6DAE" w:rsidP="00DB0CDB">
            <w:pPr>
              <w:pStyle w:val="TableText"/>
            </w:pPr>
            <w:r w:rsidRPr="00295D89">
              <w:t>95</w:t>
            </w:r>
          </w:p>
        </w:tc>
        <w:tc>
          <w:tcPr>
            <w:tcW w:w="2500" w:type="pct"/>
            <w:tcBorders>
              <w:top w:val="single" w:sz="4" w:space="0" w:color="auto"/>
              <w:bottom w:val="single" w:sz="4" w:space="0" w:color="auto"/>
            </w:tcBorders>
          </w:tcPr>
          <w:p w14:paraId="469A0776" w14:textId="08EC34FF" w:rsidR="00DD6DAE" w:rsidRPr="00295D89" w:rsidRDefault="007A2453" w:rsidP="00DB0CDB">
            <w:pPr>
              <w:pStyle w:val="TableText"/>
            </w:pPr>
            <w:r>
              <w:t>32</w:t>
            </w:r>
            <w:r w:rsidR="00FF12ED">
              <w:t>0</w:t>
            </w:r>
          </w:p>
        </w:tc>
      </w:tr>
      <w:tr w:rsidR="00DD6DAE" w:rsidRPr="00295D89" w14:paraId="00F5D879" w14:textId="77777777" w:rsidTr="00833392">
        <w:trPr>
          <w:trHeight w:val="284"/>
        </w:trPr>
        <w:tc>
          <w:tcPr>
            <w:tcW w:w="2500" w:type="pct"/>
            <w:tcBorders>
              <w:top w:val="single" w:sz="4" w:space="0" w:color="auto"/>
              <w:bottom w:val="single" w:sz="4" w:space="0" w:color="auto"/>
            </w:tcBorders>
          </w:tcPr>
          <w:p w14:paraId="5DC06176" w14:textId="77777777" w:rsidR="00DD6DAE" w:rsidRPr="00295D89" w:rsidRDefault="00DD6DAE" w:rsidP="00DB0CDB">
            <w:pPr>
              <w:pStyle w:val="TableText"/>
            </w:pPr>
            <w:r w:rsidRPr="00295D89">
              <w:t>90</w:t>
            </w:r>
          </w:p>
        </w:tc>
        <w:tc>
          <w:tcPr>
            <w:tcW w:w="2500" w:type="pct"/>
            <w:tcBorders>
              <w:top w:val="single" w:sz="4" w:space="0" w:color="auto"/>
              <w:bottom w:val="single" w:sz="4" w:space="0" w:color="auto"/>
            </w:tcBorders>
          </w:tcPr>
          <w:p w14:paraId="3867CB7A" w14:textId="68B9D9CD" w:rsidR="00DD6DAE" w:rsidRPr="00295D89" w:rsidRDefault="00FF12ED" w:rsidP="00DB0CDB">
            <w:pPr>
              <w:pStyle w:val="TableText"/>
            </w:pPr>
            <w:r>
              <w:t>4</w:t>
            </w:r>
            <w:r w:rsidR="007A2453">
              <w:t>6</w:t>
            </w:r>
            <w:r>
              <w:t>0</w:t>
            </w:r>
          </w:p>
        </w:tc>
      </w:tr>
      <w:tr w:rsidR="00DD6DAE" w:rsidRPr="00295D89" w14:paraId="75195D57" w14:textId="77777777" w:rsidTr="00833392">
        <w:trPr>
          <w:trHeight w:val="284"/>
        </w:trPr>
        <w:tc>
          <w:tcPr>
            <w:tcW w:w="2500" w:type="pct"/>
            <w:tcBorders>
              <w:top w:val="single" w:sz="4" w:space="0" w:color="auto"/>
              <w:bottom w:val="single" w:sz="12" w:space="0" w:color="auto"/>
            </w:tcBorders>
          </w:tcPr>
          <w:p w14:paraId="727E4291" w14:textId="77777777" w:rsidR="00DD6DAE" w:rsidRPr="00295D89" w:rsidRDefault="00DD6DAE" w:rsidP="00DB0CDB">
            <w:pPr>
              <w:pStyle w:val="TableText"/>
            </w:pPr>
            <w:r w:rsidRPr="00295D89">
              <w:t>80</w:t>
            </w:r>
          </w:p>
        </w:tc>
        <w:tc>
          <w:tcPr>
            <w:tcW w:w="2500" w:type="pct"/>
            <w:tcBorders>
              <w:top w:val="single" w:sz="4" w:space="0" w:color="auto"/>
              <w:bottom w:val="single" w:sz="12" w:space="0" w:color="auto"/>
            </w:tcBorders>
          </w:tcPr>
          <w:p w14:paraId="70CC9FBF" w14:textId="3CE56C08" w:rsidR="00DD6DAE" w:rsidRPr="00295D89" w:rsidRDefault="007A2453" w:rsidP="00DB0CDB">
            <w:pPr>
              <w:pStyle w:val="TableText"/>
            </w:pPr>
            <w:r>
              <w:t>76</w:t>
            </w:r>
            <w:r w:rsidR="00FF12ED">
              <w:t>0</w:t>
            </w:r>
          </w:p>
        </w:tc>
      </w:tr>
    </w:tbl>
    <w:p w14:paraId="119D6E80" w14:textId="299507D8" w:rsidR="00DD6DAE" w:rsidRPr="00DD6DAE" w:rsidRDefault="00DD6DAE" w:rsidP="00DD6DAE">
      <w:pPr>
        <w:pStyle w:val="FigureTableNoteSource"/>
      </w:pPr>
      <w:r w:rsidRPr="00DD6DAE">
        <w:rPr>
          <w:rStyle w:val="Strong"/>
        </w:rPr>
        <w:t>a</w:t>
      </w:r>
      <w:r w:rsidRPr="00DD6DAE">
        <w:t xml:space="preserve"> The DGVs were derived </w:t>
      </w:r>
      <w:r>
        <w:t>using the Burrlioz 2.0 software</w:t>
      </w:r>
      <w:r w:rsidRPr="00DD6DAE">
        <w:t>. They have been roun</w:t>
      </w:r>
      <w:r>
        <w:t>ded to two significant figures.</w:t>
      </w:r>
    </w:p>
    <w:p w14:paraId="19D62889" w14:textId="4ED1C3FE" w:rsidR="001303C0" w:rsidRPr="007B07B8" w:rsidRDefault="001303C0" w:rsidP="001303C0">
      <w:pPr>
        <w:pStyle w:val="Heading3"/>
      </w:pPr>
      <w:bookmarkStart w:id="91" w:name="_Toc19106836"/>
      <w:bookmarkStart w:id="92" w:name="_Toc64624296"/>
      <w:bookmarkEnd w:id="91"/>
      <w:r w:rsidRPr="007B07B8">
        <w:t>Reliability classification</w:t>
      </w:r>
      <w:bookmarkEnd w:id="92"/>
      <w:r w:rsidRPr="007B07B8">
        <w:t xml:space="preserve"> </w:t>
      </w:r>
    </w:p>
    <w:p w14:paraId="5F4B44B7" w14:textId="208DB7C4" w:rsidR="001303C0" w:rsidRPr="007B07B8" w:rsidRDefault="001303C0" w:rsidP="001303C0">
      <w:pPr>
        <w:rPr>
          <w:lang w:eastAsia="ja-JP"/>
        </w:rPr>
      </w:pPr>
      <w:r w:rsidRPr="007B07B8">
        <w:rPr>
          <w:lang w:eastAsia="ja-JP"/>
        </w:rPr>
        <w:t xml:space="preserve">The </w:t>
      </w:r>
      <w:r w:rsidR="00DD6DAE">
        <w:rPr>
          <w:lang w:eastAsia="ja-JP"/>
        </w:rPr>
        <w:t xml:space="preserve">glyphosate </w:t>
      </w:r>
      <w:r w:rsidRPr="007B07B8">
        <w:rPr>
          <w:lang w:eastAsia="ja-JP"/>
        </w:rPr>
        <w:t xml:space="preserve">freshwater DGVs have a </w:t>
      </w:r>
      <w:r w:rsidR="00AD66F8">
        <w:rPr>
          <w:lang w:eastAsia="ja-JP"/>
        </w:rPr>
        <w:t xml:space="preserve">very </w:t>
      </w:r>
      <w:r w:rsidR="00083846">
        <w:rPr>
          <w:lang w:eastAsia="ja-JP"/>
        </w:rPr>
        <w:t>high</w:t>
      </w:r>
      <w:r w:rsidR="00083846" w:rsidRPr="007B07B8">
        <w:rPr>
          <w:lang w:eastAsia="ja-JP"/>
        </w:rPr>
        <w:t xml:space="preserve"> </w:t>
      </w:r>
      <w:r w:rsidRPr="007B07B8">
        <w:rPr>
          <w:lang w:eastAsia="ja-JP"/>
        </w:rPr>
        <w:t>reliability classification (Warne et al. 2018) based on the outcomes for the following three criteria:</w:t>
      </w:r>
    </w:p>
    <w:p w14:paraId="6597F8E5" w14:textId="4B3CC9CC" w:rsidR="001303C0" w:rsidRPr="007B07B8" w:rsidRDefault="001303C0" w:rsidP="001303C0">
      <w:pPr>
        <w:pStyle w:val="ListBullet"/>
        <w:rPr>
          <w:lang w:eastAsia="ja-JP"/>
        </w:rPr>
      </w:pPr>
      <w:r w:rsidRPr="007B07B8">
        <w:rPr>
          <w:lang w:eastAsia="ja-JP"/>
        </w:rPr>
        <w:t>Sample size—</w:t>
      </w:r>
      <w:r w:rsidR="00FF12ED" w:rsidRPr="007B07B8">
        <w:rPr>
          <w:lang w:eastAsia="ja-JP"/>
        </w:rPr>
        <w:t>1</w:t>
      </w:r>
      <w:r w:rsidR="00FF12ED">
        <w:rPr>
          <w:lang w:eastAsia="ja-JP"/>
        </w:rPr>
        <w:t>5</w:t>
      </w:r>
      <w:r w:rsidR="00FF12ED" w:rsidRPr="007B07B8">
        <w:rPr>
          <w:lang w:eastAsia="ja-JP"/>
        </w:rPr>
        <w:t xml:space="preserve"> </w:t>
      </w:r>
      <w:r w:rsidRPr="007B07B8">
        <w:rPr>
          <w:lang w:eastAsia="ja-JP"/>
        </w:rPr>
        <w:t>(</w:t>
      </w:r>
      <w:r w:rsidR="00FF12ED">
        <w:rPr>
          <w:lang w:eastAsia="ja-JP"/>
        </w:rPr>
        <w:t>preferred</w:t>
      </w:r>
      <w:r w:rsidRPr="007B07B8">
        <w:rPr>
          <w:lang w:eastAsia="ja-JP"/>
        </w:rPr>
        <w:t>)</w:t>
      </w:r>
    </w:p>
    <w:p w14:paraId="12344FEC" w14:textId="1724A29D" w:rsidR="001303C0" w:rsidRPr="007B07B8" w:rsidRDefault="001303C0" w:rsidP="00DD6DAE">
      <w:pPr>
        <w:pStyle w:val="ListBullet"/>
        <w:rPr>
          <w:lang w:eastAsia="ja-JP"/>
        </w:rPr>
      </w:pPr>
      <w:r w:rsidRPr="007B07B8">
        <w:rPr>
          <w:lang w:eastAsia="ja-JP"/>
        </w:rPr>
        <w:t>Type of toxicity data—chronic</w:t>
      </w:r>
      <w:r w:rsidR="00DD6DAE" w:rsidRPr="00DD6DAE">
        <w:rPr>
          <w:lang w:eastAsia="ja-JP"/>
        </w:rPr>
        <w:t xml:space="preserve"> NOEC/NOEL/EC10 values</w:t>
      </w:r>
    </w:p>
    <w:p w14:paraId="7BEAC555" w14:textId="3D7FC51F" w:rsidR="001303C0" w:rsidRPr="007B07B8" w:rsidRDefault="001303C0" w:rsidP="001303C0">
      <w:pPr>
        <w:pStyle w:val="ListBullet"/>
        <w:rPr>
          <w:lang w:eastAsia="ja-JP"/>
        </w:rPr>
      </w:pPr>
      <w:r w:rsidRPr="007B07B8">
        <w:rPr>
          <w:lang w:eastAsia="ja-JP"/>
        </w:rPr>
        <w:t>SSD model fit—</w:t>
      </w:r>
      <w:r w:rsidR="00083846">
        <w:rPr>
          <w:lang w:eastAsia="ja-JP"/>
        </w:rPr>
        <w:t>good</w:t>
      </w:r>
      <w:r w:rsidR="00083846" w:rsidRPr="007B07B8">
        <w:rPr>
          <w:lang w:eastAsia="ja-JP"/>
        </w:rPr>
        <w:t xml:space="preserve"> </w:t>
      </w:r>
      <w:r w:rsidRPr="007B07B8">
        <w:rPr>
          <w:lang w:eastAsia="ja-JP"/>
        </w:rPr>
        <w:t>(Inverse Weibull model).</w:t>
      </w:r>
    </w:p>
    <w:p w14:paraId="7317CAA9" w14:textId="72C6ADF4" w:rsidR="00677567" w:rsidRDefault="00677567">
      <w:pPr>
        <w:spacing w:after="0" w:line="240" w:lineRule="auto"/>
      </w:pPr>
      <w:r>
        <w:br w:type="page"/>
      </w:r>
    </w:p>
    <w:p w14:paraId="2A75AA25" w14:textId="668C3C2B" w:rsidR="000756BD" w:rsidRDefault="001303C0" w:rsidP="001303C0">
      <w:pPr>
        <w:pStyle w:val="Heading2"/>
        <w:numPr>
          <w:ilvl w:val="0"/>
          <w:numId w:val="0"/>
        </w:numPr>
      </w:pPr>
      <w:bookmarkStart w:id="93" w:name="_Toc64624297"/>
      <w:r>
        <w:lastRenderedPageBreak/>
        <w:t>Glossary</w:t>
      </w:r>
      <w:bookmarkEnd w:id="93"/>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1303C0" w:rsidRPr="00D9719B" w14:paraId="7B4234B7" w14:textId="77777777" w:rsidTr="007336AC">
        <w:trPr>
          <w:cantSplit/>
          <w:tblHeader/>
        </w:trPr>
        <w:tc>
          <w:tcPr>
            <w:tcW w:w="1509" w:type="pct"/>
            <w:tcBorders>
              <w:top w:val="single" w:sz="12" w:space="0" w:color="auto"/>
              <w:bottom w:val="single" w:sz="12" w:space="0" w:color="auto"/>
            </w:tcBorders>
          </w:tcPr>
          <w:p w14:paraId="538DCD28" w14:textId="77777777" w:rsidR="001303C0" w:rsidRPr="00D9719B" w:rsidRDefault="001303C0" w:rsidP="007336AC">
            <w:pPr>
              <w:pStyle w:val="TableHeading"/>
              <w:rPr>
                <w:lang w:eastAsia="ja-JP"/>
              </w:rPr>
            </w:pPr>
            <w:r w:rsidRPr="00D9719B">
              <w:rPr>
                <w:lang w:eastAsia="ja-JP"/>
              </w:rPr>
              <w:t>Term</w:t>
            </w:r>
          </w:p>
        </w:tc>
        <w:tc>
          <w:tcPr>
            <w:tcW w:w="3491" w:type="pct"/>
            <w:tcBorders>
              <w:top w:val="single" w:sz="12" w:space="0" w:color="auto"/>
              <w:bottom w:val="single" w:sz="12" w:space="0" w:color="auto"/>
            </w:tcBorders>
          </w:tcPr>
          <w:p w14:paraId="0204551F" w14:textId="77777777" w:rsidR="001303C0" w:rsidRPr="00D9719B" w:rsidRDefault="001303C0" w:rsidP="007336AC">
            <w:pPr>
              <w:pStyle w:val="TableHeading"/>
              <w:rPr>
                <w:lang w:eastAsia="ja-JP"/>
              </w:rPr>
            </w:pPr>
            <w:r w:rsidRPr="00D9719B">
              <w:rPr>
                <w:lang w:eastAsia="ja-JP"/>
              </w:rPr>
              <w:t>Definition</w:t>
            </w:r>
          </w:p>
        </w:tc>
      </w:tr>
      <w:tr w:rsidR="001303C0" w:rsidRPr="000A4069" w14:paraId="14D47F02" w14:textId="77777777" w:rsidTr="007336AC">
        <w:tc>
          <w:tcPr>
            <w:tcW w:w="1509" w:type="pct"/>
            <w:tcBorders>
              <w:top w:val="single" w:sz="12" w:space="0" w:color="auto"/>
              <w:bottom w:val="single" w:sz="4" w:space="0" w:color="auto"/>
            </w:tcBorders>
          </w:tcPr>
          <w:p w14:paraId="35ED4200" w14:textId="77777777" w:rsidR="001303C0" w:rsidRPr="00877A36" w:rsidRDefault="001303C0" w:rsidP="007336AC">
            <w:pPr>
              <w:pStyle w:val="TableText"/>
              <w:rPr>
                <w:lang w:eastAsia="ja-JP"/>
              </w:rPr>
            </w:pPr>
            <w:r w:rsidRPr="00877A36">
              <w:rPr>
                <w:lang w:eastAsia="ja-JP"/>
              </w:rPr>
              <w:t>acute toxicity</w:t>
            </w:r>
          </w:p>
        </w:tc>
        <w:tc>
          <w:tcPr>
            <w:tcW w:w="3491" w:type="pct"/>
            <w:tcBorders>
              <w:top w:val="single" w:sz="12" w:space="0" w:color="auto"/>
              <w:bottom w:val="single" w:sz="4" w:space="0" w:color="auto"/>
            </w:tcBorders>
          </w:tcPr>
          <w:p w14:paraId="6A09CB98" w14:textId="008DEF5A" w:rsidR="001303C0" w:rsidRPr="00877A36" w:rsidRDefault="00EF0BE4" w:rsidP="00EF0BE4">
            <w:pPr>
              <w:pStyle w:val="TableText"/>
              <w:rPr>
                <w:lang w:eastAsia="ja-JP"/>
              </w:rPr>
            </w:pPr>
            <w:r>
              <w:rPr>
                <w:lang w:eastAsia="ja-JP"/>
              </w:rPr>
              <w:t>A</w:t>
            </w:r>
            <w:r w:rsidRPr="00EF0BE4">
              <w:rPr>
                <w:lang w:eastAsia="ja-JP"/>
              </w:rPr>
              <w:t xml:space="preserve"> lethal or adverse sub-lethal effect that occurs as the result of a short exposure period to a chemical relative to the organism’s life span.</w:t>
            </w:r>
          </w:p>
        </w:tc>
      </w:tr>
      <w:tr w:rsidR="001303C0" w:rsidRPr="000A4069" w14:paraId="2EE19981" w14:textId="77777777" w:rsidTr="007336AC">
        <w:tc>
          <w:tcPr>
            <w:tcW w:w="1509" w:type="pct"/>
            <w:tcBorders>
              <w:top w:val="single" w:sz="4" w:space="0" w:color="auto"/>
              <w:bottom w:val="single" w:sz="4" w:space="0" w:color="auto"/>
            </w:tcBorders>
          </w:tcPr>
          <w:p w14:paraId="37383757" w14:textId="77777777" w:rsidR="001303C0" w:rsidRPr="00877A36" w:rsidRDefault="001303C0" w:rsidP="007336AC">
            <w:pPr>
              <w:pStyle w:val="TableText"/>
              <w:rPr>
                <w:lang w:eastAsia="ja-JP"/>
              </w:rPr>
            </w:pPr>
            <w:r w:rsidRPr="00877A36">
              <w:rPr>
                <w:lang w:eastAsia="ja-JP"/>
              </w:rPr>
              <w:t>ANZECC</w:t>
            </w:r>
          </w:p>
        </w:tc>
        <w:tc>
          <w:tcPr>
            <w:tcW w:w="3491" w:type="pct"/>
            <w:tcBorders>
              <w:top w:val="single" w:sz="4" w:space="0" w:color="auto"/>
              <w:bottom w:val="single" w:sz="4" w:space="0" w:color="auto"/>
            </w:tcBorders>
          </w:tcPr>
          <w:p w14:paraId="02AFD741" w14:textId="77777777" w:rsidR="001303C0" w:rsidRPr="00877A36" w:rsidRDefault="001303C0" w:rsidP="007336AC">
            <w:pPr>
              <w:pStyle w:val="TableText"/>
              <w:rPr>
                <w:lang w:eastAsia="ja-JP"/>
              </w:rPr>
            </w:pPr>
            <w:r w:rsidRPr="00877A36">
              <w:rPr>
                <w:lang w:eastAsia="ja-JP"/>
              </w:rPr>
              <w:t>Australian and New Zealand Environment and Conservation Council</w:t>
            </w:r>
          </w:p>
        </w:tc>
      </w:tr>
      <w:tr w:rsidR="001303C0" w:rsidRPr="000A4069" w14:paraId="52CA7CA4" w14:textId="77777777" w:rsidTr="007336AC">
        <w:tc>
          <w:tcPr>
            <w:tcW w:w="1509" w:type="pct"/>
            <w:tcBorders>
              <w:top w:val="single" w:sz="4" w:space="0" w:color="auto"/>
              <w:bottom w:val="single" w:sz="4" w:space="0" w:color="auto"/>
            </w:tcBorders>
          </w:tcPr>
          <w:p w14:paraId="1FCAA8E2" w14:textId="77777777" w:rsidR="001303C0" w:rsidRPr="00877A36" w:rsidRDefault="001303C0" w:rsidP="007336AC">
            <w:pPr>
              <w:pStyle w:val="TableText"/>
              <w:rPr>
                <w:lang w:eastAsia="ja-JP"/>
              </w:rPr>
            </w:pPr>
            <w:r w:rsidRPr="00877A36">
              <w:rPr>
                <w:lang w:eastAsia="ja-JP"/>
              </w:rPr>
              <w:t>ARMCANZ</w:t>
            </w:r>
          </w:p>
        </w:tc>
        <w:tc>
          <w:tcPr>
            <w:tcW w:w="3491" w:type="pct"/>
            <w:tcBorders>
              <w:top w:val="single" w:sz="4" w:space="0" w:color="auto"/>
              <w:bottom w:val="single" w:sz="4" w:space="0" w:color="auto"/>
            </w:tcBorders>
          </w:tcPr>
          <w:p w14:paraId="3CBDA75D" w14:textId="77777777" w:rsidR="001303C0" w:rsidRPr="00877A36" w:rsidRDefault="001303C0" w:rsidP="007336AC">
            <w:pPr>
              <w:pStyle w:val="TableText"/>
              <w:rPr>
                <w:lang w:eastAsia="ja-JP"/>
              </w:rPr>
            </w:pPr>
            <w:r w:rsidRPr="00877A36">
              <w:rPr>
                <w:lang w:eastAsia="ja-JP"/>
              </w:rPr>
              <w:t>Agricultural and Resource Management Council of Australia and New Zealand</w:t>
            </w:r>
          </w:p>
        </w:tc>
      </w:tr>
      <w:tr w:rsidR="00705DA7" w:rsidRPr="000A4069" w14:paraId="052A2F6A" w14:textId="77777777" w:rsidTr="007336AC">
        <w:tc>
          <w:tcPr>
            <w:tcW w:w="1509" w:type="pct"/>
            <w:tcBorders>
              <w:top w:val="single" w:sz="4" w:space="0" w:color="auto"/>
              <w:bottom w:val="single" w:sz="4" w:space="0" w:color="auto"/>
            </w:tcBorders>
          </w:tcPr>
          <w:p w14:paraId="4DD5ED0D" w14:textId="1486A254" w:rsidR="00705DA7" w:rsidRPr="00877A36" w:rsidRDefault="00705DA7" w:rsidP="007336AC">
            <w:pPr>
              <w:pStyle w:val="TableText"/>
              <w:rPr>
                <w:lang w:eastAsia="ja-JP"/>
              </w:rPr>
            </w:pPr>
            <w:r>
              <w:rPr>
                <w:lang w:eastAsia="ja-JP"/>
              </w:rPr>
              <w:t>bimodal</w:t>
            </w:r>
          </w:p>
        </w:tc>
        <w:tc>
          <w:tcPr>
            <w:tcW w:w="3491" w:type="pct"/>
            <w:tcBorders>
              <w:top w:val="single" w:sz="4" w:space="0" w:color="auto"/>
              <w:bottom w:val="single" w:sz="4" w:space="0" w:color="auto"/>
            </w:tcBorders>
          </w:tcPr>
          <w:p w14:paraId="22F3FC7E" w14:textId="6335D966" w:rsidR="00705DA7" w:rsidRPr="00877A36" w:rsidRDefault="00705DA7" w:rsidP="00EF0BE4">
            <w:pPr>
              <w:pStyle w:val="TableText"/>
              <w:rPr>
                <w:lang w:eastAsia="ja-JP"/>
              </w:rPr>
            </w:pPr>
            <w:r w:rsidRPr="00705DA7">
              <w:rPr>
                <w:lang w:eastAsia="ja-JP"/>
              </w:rPr>
              <w:t>When the distribution of the sensitivity of species to a toxicant has two modes. This typically occurs with chemicals with specific modes of action. For example, herbicides are designed to affect plants at low concentrations but most animals are only affected at high concentrations.</w:t>
            </w:r>
          </w:p>
        </w:tc>
      </w:tr>
      <w:tr w:rsidR="00877A36" w:rsidRPr="000A4069" w14:paraId="6C5FC233" w14:textId="77777777" w:rsidTr="007336AC">
        <w:tc>
          <w:tcPr>
            <w:tcW w:w="1509" w:type="pct"/>
            <w:tcBorders>
              <w:top w:val="single" w:sz="4" w:space="0" w:color="auto"/>
              <w:bottom w:val="single" w:sz="4" w:space="0" w:color="auto"/>
            </w:tcBorders>
          </w:tcPr>
          <w:p w14:paraId="27B660B9" w14:textId="24C0B511" w:rsidR="00877A36" w:rsidRPr="00877A36" w:rsidRDefault="00877A36" w:rsidP="007336AC">
            <w:pPr>
              <w:pStyle w:val="TableText"/>
              <w:rPr>
                <w:lang w:eastAsia="ja-JP"/>
              </w:rPr>
            </w:pPr>
            <w:r w:rsidRPr="00877A36">
              <w:rPr>
                <w:lang w:eastAsia="ja-JP"/>
              </w:rPr>
              <w:t>CAS no.</w:t>
            </w:r>
            <w:r w:rsidR="00EF0BE4">
              <w:rPr>
                <w:lang w:eastAsia="ja-JP"/>
              </w:rPr>
              <w:t xml:space="preserve"> (</w:t>
            </w:r>
            <w:r w:rsidR="00EF0BE4" w:rsidRPr="00877A36">
              <w:rPr>
                <w:lang w:eastAsia="ja-JP"/>
              </w:rPr>
              <w:t>Chemical Abstracts Service number</w:t>
            </w:r>
            <w:r w:rsidR="00EF0BE4">
              <w:rPr>
                <w:lang w:eastAsia="ja-JP"/>
              </w:rPr>
              <w:t>)</w:t>
            </w:r>
          </w:p>
        </w:tc>
        <w:tc>
          <w:tcPr>
            <w:tcW w:w="3491" w:type="pct"/>
            <w:tcBorders>
              <w:top w:val="single" w:sz="4" w:space="0" w:color="auto"/>
              <w:bottom w:val="single" w:sz="4" w:space="0" w:color="auto"/>
            </w:tcBorders>
          </w:tcPr>
          <w:p w14:paraId="1AA94F9C" w14:textId="5E1F3D3D" w:rsidR="00877A36" w:rsidRPr="00877A36" w:rsidRDefault="00877A36" w:rsidP="00EF0BE4">
            <w:pPr>
              <w:pStyle w:val="TableText"/>
              <w:rPr>
                <w:lang w:eastAsia="ja-JP"/>
              </w:rPr>
            </w:pPr>
            <w:r w:rsidRPr="00877A36">
              <w:rPr>
                <w:lang w:eastAsia="ja-JP"/>
              </w:rPr>
              <w:t>Each chemical has a unique identifying number that is allocated to it by the American Chemical Society.</w:t>
            </w:r>
          </w:p>
        </w:tc>
      </w:tr>
      <w:tr w:rsidR="001303C0" w:rsidRPr="00877A36" w14:paraId="2004086C" w14:textId="77777777" w:rsidTr="007336AC">
        <w:tc>
          <w:tcPr>
            <w:tcW w:w="1509" w:type="pct"/>
            <w:tcBorders>
              <w:top w:val="single" w:sz="4" w:space="0" w:color="auto"/>
              <w:bottom w:val="single" w:sz="4" w:space="0" w:color="auto"/>
            </w:tcBorders>
          </w:tcPr>
          <w:p w14:paraId="3D1C81F6" w14:textId="77777777" w:rsidR="001303C0" w:rsidRPr="00877A36" w:rsidRDefault="001303C0" w:rsidP="007336AC">
            <w:pPr>
              <w:pStyle w:val="TableText"/>
              <w:rPr>
                <w:lang w:eastAsia="ja-JP"/>
              </w:rPr>
            </w:pPr>
            <w:r w:rsidRPr="00877A36">
              <w:rPr>
                <w:lang w:eastAsia="ja-JP"/>
              </w:rPr>
              <w:t>chronic toxicity</w:t>
            </w:r>
          </w:p>
        </w:tc>
        <w:tc>
          <w:tcPr>
            <w:tcW w:w="3491" w:type="pct"/>
            <w:tcBorders>
              <w:top w:val="single" w:sz="4" w:space="0" w:color="auto"/>
              <w:bottom w:val="single" w:sz="4" w:space="0" w:color="auto"/>
            </w:tcBorders>
          </w:tcPr>
          <w:p w14:paraId="09B280CE" w14:textId="2F763ADD" w:rsidR="001303C0" w:rsidRPr="00877A36" w:rsidRDefault="00EF0BE4" w:rsidP="007336AC">
            <w:pPr>
              <w:pStyle w:val="TableText"/>
              <w:rPr>
                <w:lang w:eastAsia="ja-JP"/>
              </w:rPr>
            </w:pPr>
            <w:r>
              <w:rPr>
                <w:lang w:eastAsia="ja-JP"/>
              </w:rPr>
              <w:t>A</w:t>
            </w:r>
            <w:r w:rsidRPr="00EF0BE4">
              <w:rPr>
                <w:lang w:eastAsia="ja-JP"/>
              </w:rPr>
              <w:t xml:space="preserve"> lethal or sublethal adverse effect that occurs after exposure to a chemical for a period of time that is a substantial portion of the organism’s life span or an adverse effect on a sensitive early life stage.</w:t>
            </w:r>
          </w:p>
        </w:tc>
      </w:tr>
      <w:tr w:rsidR="001303C0" w:rsidRPr="00877A36" w14:paraId="4926BC66" w14:textId="77777777" w:rsidTr="007336AC">
        <w:tc>
          <w:tcPr>
            <w:tcW w:w="1509" w:type="pct"/>
            <w:tcBorders>
              <w:top w:val="single" w:sz="4" w:space="0" w:color="auto"/>
              <w:bottom w:val="single" w:sz="4" w:space="0" w:color="auto"/>
            </w:tcBorders>
          </w:tcPr>
          <w:p w14:paraId="55C3E9CE" w14:textId="77777777" w:rsidR="001303C0" w:rsidRPr="00877A36" w:rsidRDefault="001303C0" w:rsidP="007336AC">
            <w:pPr>
              <w:pStyle w:val="TableText"/>
              <w:rPr>
                <w:lang w:eastAsia="ja-JP"/>
              </w:rPr>
            </w:pPr>
            <w:r w:rsidRPr="00877A36">
              <w:rPr>
                <w:lang w:eastAsia="ja-JP"/>
              </w:rPr>
              <w:t>default guideline value (DGV)</w:t>
            </w:r>
          </w:p>
        </w:tc>
        <w:tc>
          <w:tcPr>
            <w:tcW w:w="3491" w:type="pct"/>
            <w:tcBorders>
              <w:top w:val="single" w:sz="4" w:space="0" w:color="auto"/>
              <w:bottom w:val="single" w:sz="4" w:space="0" w:color="auto"/>
            </w:tcBorders>
          </w:tcPr>
          <w:p w14:paraId="57ED641E" w14:textId="65BCF657" w:rsidR="001303C0" w:rsidRPr="00877A36" w:rsidRDefault="001303C0" w:rsidP="007336AC">
            <w:pPr>
              <w:pStyle w:val="TableText"/>
              <w:rPr>
                <w:lang w:eastAsia="ja-JP"/>
              </w:rPr>
            </w:pPr>
            <w:r w:rsidRPr="00877A36">
              <w:rPr>
                <w:lang w:eastAsia="ja-JP"/>
              </w:rPr>
              <w:t xml:space="preserve">A guideline value recommended for generic application in the absence of a more specific guideline value (e.g. </w:t>
            </w:r>
            <w:r w:rsidR="00EF0BE4">
              <w:rPr>
                <w:lang w:eastAsia="ja-JP"/>
              </w:rPr>
              <w:t xml:space="preserve">a </w:t>
            </w:r>
            <w:r w:rsidRPr="00877A36">
              <w:rPr>
                <w:lang w:eastAsia="ja-JP"/>
              </w:rPr>
              <w:t>site-specific</w:t>
            </w:r>
            <w:r w:rsidR="00EF0BE4">
              <w:rPr>
                <w:lang w:eastAsia="ja-JP"/>
              </w:rPr>
              <w:t xml:space="preserve"> guideline value</w:t>
            </w:r>
            <w:r w:rsidRPr="00877A36">
              <w:rPr>
                <w:lang w:eastAsia="ja-JP"/>
              </w:rPr>
              <w:t xml:space="preserve">) in the </w:t>
            </w:r>
            <w:r w:rsidRPr="00877A36">
              <w:rPr>
                <w:i/>
                <w:lang w:eastAsia="ja-JP"/>
              </w:rPr>
              <w:t>Australian and New Zealand Guidelines for Fresh and Marine Water Quality</w:t>
            </w:r>
            <w:r w:rsidRPr="00877A36">
              <w:rPr>
                <w:lang w:eastAsia="ja-JP"/>
              </w:rPr>
              <w:t>.</w:t>
            </w:r>
            <w:r w:rsidR="00EF0BE4">
              <w:rPr>
                <w:lang w:eastAsia="ja-JP"/>
              </w:rPr>
              <w:t xml:space="preserve"> </w:t>
            </w:r>
            <w:r w:rsidR="00EF0BE4" w:rsidRPr="00EF0BE4">
              <w:rPr>
                <w:lang w:eastAsia="ja-JP"/>
              </w:rPr>
              <w:t>Formerly known as ‘trigger values’.</w:t>
            </w:r>
          </w:p>
        </w:tc>
      </w:tr>
      <w:tr w:rsidR="00877A36" w:rsidRPr="00877A36" w14:paraId="58FEAF8A" w14:textId="77777777" w:rsidTr="007336AC">
        <w:tc>
          <w:tcPr>
            <w:tcW w:w="1509" w:type="pct"/>
            <w:tcBorders>
              <w:top w:val="single" w:sz="4" w:space="0" w:color="auto"/>
              <w:bottom w:val="single" w:sz="4" w:space="0" w:color="auto"/>
            </w:tcBorders>
          </w:tcPr>
          <w:p w14:paraId="1DB02319" w14:textId="52FAB8FE" w:rsidR="00877A36" w:rsidRPr="00877A36" w:rsidRDefault="00877A36" w:rsidP="007336AC">
            <w:pPr>
              <w:pStyle w:val="TableText"/>
              <w:rPr>
                <w:lang w:eastAsia="ja-JP"/>
              </w:rPr>
            </w:pPr>
            <w:r w:rsidRPr="00877A36">
              <w:rPr>
                <w:lang w:eastAsia="ja-JP"/>
              </w:rPr>
              <w:t>ECx</w:t>
            </w:r>
          </w:p>
        </w:tc>
        <w:tc>
          <w:tcPr>
            <w:tcW w:w="3491" w:type="pct"/>
            <w:tcBorders>
              <w:top w:val="single" w:sz="4" w:space="0" w:color="auto"/>
              <w:bottom w:val="single" w:sz="4" w:space="0" w:color="auto"/>
            </w:tcBorders>
          </w:tcPr>
          <w:p w14:paraId="093F35C6" w14:textId="3CFDECDD" w:rsidR="00877A36" w:rsidRPr="00877A36" w:rsidRDefault="00EF0BE4" w:rsidP="007336AC">
            <w:pPr>
              <w:pStyle w:val="TableText"/>
              <w:rPr>
                <w:lang w:eastAsia="ja-JP"/>
              </w:rPr>
            </w:pPr>
            <w:r>
              <w:rPr>
                <w:lang w:eastAsia="ja-JP"/>
              </w:rPr>
              <w:t>T</w:t>
            </w:r>
            <w:r w:rsidRPr="00EF0BE4">
              <w:rPr>
                <w:lang w:eastAsia="ja-JP"/>
              </w:rPr>
              <w:t>he concentration of a substance in water or sediment that is estimated to produce an x% change in the response being measured or a certain effect in x% of the test organisms, under specified conditions.</w:t>
            </w:r>
          </w:p>
        </w:tc>
      </w:tr>
      <w:tr w:rsidR="001303C0" w:rsidRPr="000A4069" w14:paraId="67F6BDD1" w14:textId="77777777" w:rsidTr="007336AC">
        <w:tc>
          <w:tcPr>
            <w:tcW w:w="1509" w:type="pct"/>
            <w:tcBorders>
              <w:top w:val="single" w:sz="4" w:space="0" w:color="auto"/>
              <w:bottom w:val="single" w:sz="4" w:space="0" w:color="auto"/>
            </w:tcBorders>
          </w:tcPr>
          <w:p w14:paraId="6E16654D" w14:textId="77777777" w:rsidR="001303C0" w:rsidRPr="000A4069" w:rsidRDefault="001303C0" w:rsidP="007336AC">
            <w:pPr>
              <w:pStyle w:val="TableText"/>
              <w:rPr>
                <w:highlight w:val="yellow"/>
                <w:lang w:eastAsia="ja-JP"/>
              </w:rPr>
            </w:pPr>
            <w:r w:rsidRPr="00877A36">
              <w:rPr>
                <w:lang w:eastAsia="ja-JP"/>
              </w:rPr>
              <w:t>EC50 (median effective concentration)</w:t>
            </w:r>
          </w:p>
        </w:tc>
        <w:tc>
          <w:tcPr>
            <w:tcW w:w="3491" w:type="pct"/>
            <w:tcBorders>
              <w:top w:val="single" w:sz="4" w:space="0" w:color="auto"/>
              <w:bottom w:val="single" w:sz="4" w:space="0" w:color="auto"/>
            </w:tcBorders>
          </w:tcPr>
          <w:p w14:paraId="6C39296A" w14:textId="3CDE5969" w:rsidR="001303C0" w:rsidRPr="000A4069" w:rsidRDefault="00EF0BE4" w:rsidP="00877A36">
            <w:pPr>
              <w:pStyle w:val="TableText"/>
              <w:rPr>
                <w:highlight w:val="yellow"/>
                <w:lang w:eastAsia="ja-JP"/>
              </w:rPr>
            </w:pPr>
            <w:r>
              <w:rPr>
                <w:lang w:eastAsia="ja-JP"/>
              </w:rPr>
              <w:t>T</w:t>
            </w:r>
            <w:r w:rsidRPr="00EF0BE4">
              <w:rPr>
                <w:lang w:eastAsia="ja-JP"/>
              </w:rPr>
              <w:t>he concentration of a substance in water or sediment that is estimated to produce a 50% change in the response being measured or a certain effect in 50% of the test organisms relative to the control response, under specified conditions.</w:t>
            </w:r>
          </w:p>
        </w:tc>
      </w:tr>
      <w:tr w:rsidR="001303C0" w:rsidRPr="000A4069" w14:paraId="07F4616F" w14:textId="77777777" w:rsidTr="007336AC">
        <w:tc>
          <w:tcPr>
            <w:tcW w:w="1509" w:type="pct"/>
            <w:tcBorders>
              <w:top w:val="single" w:sz="4" w:space="0" w:color="auto"/>
              <w:bottom w:val="single" w:sz="4" w:space="0" w:color="auto"/>
            </w:tcBorders>
          </w:tcPr>
          <w:p w14:paraId="7FDCF3EE" w14:textId="77777777" w:rsidR="001303C0" w:rsidRPr="00EF0BE4" w:rsidRDefault="001303C0" w:rsidP="007336AC">
            <w:pPr>
              <w:pStyle w:val="TableText"/>
              <w:rPr>
                <w:lang w:eastAsia="ja-JP"/>
              </w:rPr>
            </w:pPr>
            <w:r w:rsidRPr="00EF0BE4">
              <w:rPr>
                <w:lang w:eastAsia="ja-JP"/>
              </w:rPr>
              <w:t>endpoint</w:t>
            </w:r>
          </w:p>
        </w:tc>
        <w:tc>
          <w:tcPr>
            <w:tcW w:w="3491" w:type="pct"/>
            <w:tcBorders>
              <w:top w:val="single" w:sz="4" w:space="0" w:color="auto"/>
              <w:bottom w:val="single" w:sz="4" w:space="0" w:color="auto"/>
            </w:tcBorders>
          </w:tcPr>
          <w:p w14:paraId="5A86FF13" w14:textId="08BFBC78" w:rsidR="00877A36" w:rsidRPr="00EF0BE4" w:rsidRDefault="00EF0BE4" w:rsidP="007336AC">
            <w:pPr>
              <w:pStyle w:val="TableText"/>
              <w:rPr>
                <w:lang w:eastAsia="ja-JP"/>
              </w:rPr>
            </w:pPr>
            <w:r>
              <w:t>T</w:t>
            </w:r>
            <w:r w:rsidRPr="00EF0BE4">
              <w:t>he specific response of an organism that is measured in a toxicity test (e.g. mortality, growth, a particular biomarker).</w:t>
            </w:r>
          </w:p>
        </w:tc>
      </w:tr>
      <w:tr w:rsidR="001303C0" w:rsidRPr="000A4069" w14:paraId="770A37F1" w14:textId="77777777" w:rsidTr="007336AC">
        <w:tc>
          <w:tcPr>
            <w:tcW w:w="1509" w:type="pct"/>
            <w:tcBorders>
              <w:top w:val="single" w:sz="4" w:space="0" w:color="auto"/>
              <w:bottom w:val="single" w:sz="4" w:space="0" w:color="auto"/>
            </w:tcBorders>
          </w:tcPr>
          <w:p w14:paraId="454A9785" w14:textId="3EADF839" w:rsidR="001303C0" w:rsidRPr="00047B2E" w:rsidRDefault="001303C0" w:rsidP="00EF0BE4">
            <w:pPr>
              <w:pStyle w:val="TableText"/>
              <w:rPr>
                <w:lang w:eastAsia="ja-JP"/>
              </w:rPr>
            </w:pPr>
            <w:r w:rsidRPr="00047B2E">
              <w:rPr>
                <w:lang w:eastAsia="ja-JP"/>
              </w:rPr>
              <w:t>guideline value</w:t>
            </w:r>
          </w:p>
        </w:tc>
        <w:tc>
          <w:tcPr>
            <w:tcW w:w="3491" w:type="pct"/>
            <w:tcBorders>
              <w:top w:val="single" w:sz="4" w:space="0" w:color="auto"/>
              <w:bottom w:val="single" w:sz="4" w:space="0" w:color="auto"/>
            </w:tcBorders>
          </w:tcPr>
          <w:p w14:paraId="59A3ABFF" w14:textId="4CC54029" w:rsidR="001303C0" w:rsidRPr="00047B2E" w:rsidRDefault="001303C0" w:rsidP="00047B2E">
            <w:pPr>
              <w:pStyle w:val="TableText"/>
              <w:rPr>
                <w:lang w:eastAsia="ja-JP"/>
              </w:rPr>
            </w:pPr>
            <w:r w:rsidRPr="00047B2E">
              <w:rPr>
                <w:lang w:eastAsia="ja-JP"/>
              </w:rPr>
              <w:t xml:space="preserve">A measurable quantity (e.g. concentration) or condition of an indicator for a specific community value below which (or above which, in the case of stressors such as pH, dissolved oxygen and many biodiversity responses) there is considered to be a low risk of unacceptable effects occurring to that </w:t>
            </w:r>
            <w:r w:rsidR="00047B2E" w:rsidRPr="00047B2E">
              <w:rPr>
                <w:lang w:eastAsia="ja-JP"/>
              </w:rPr>
              <w:t xml:space="preserve">community </w:t>
            </w:r>
            <w:r w:rsidRPr="00047B2E">
              <w:rPr>
                <w:lang w:eastAsia="ja-JP"/>
              </w:rPr>
              <w:t>value. Guideline values for more than one indicator should be used simultaneously in a multiple lines of evidence approach.</w:t>
            </w:r>
            <w:r w:rsidR="00EF0BE4">
              <w:rPr>
                <w:lang w:eastAsia="ja-JP"/>
              </w:rPr>
              <w:t xml:space="preserve"> Also refer to ‘default guideline value’ and ‘site-specific guideline value’.</w:t>
            </w:r>
          </w:p>
        </w:tc>
      </w:tr>
      <w:tr w:rsidR="00C4799B" w:rsidRPr="000A4069" w14:paraId="6EB07B9A" w14:textId="77777777" w:rsidTr="00244F7D">
        <w:tc>
          <w:tcPr>
            <w:tcW w:w="1509" w:type="pct"/>
            <w:tcBorders>
              <w:top w:val="single" w:sz="4" w:space="0" w:color="auto"/>
              <w:bottom w:val="single" w:sz="4" w:space="0" w:color="auto"/>
            </w:tcBorders>
          </w:tcPr>
          <w:p w14:paraId="095BB438" w14:textId="77777777" w:rsidR="00C4799B" w:rsidRPr="00047B2E" w:rsidRDefault="00C4799B" w:rsidP="00244F7D">
            <w:pPr>
              <w:pStyle w:val="TableText"/>
              <w:rPr>
                <w:lang w:eastAsia="ja-JP"/>
              </w:rPr>
            </w:pPr>
            <w:r>
              <w:rPr>
                <w:lang w:eastAsia="ja-JP"/>
              </w:rPr>
              <w:t>ICx</w:t>
            </w:r>
          </w:p>
        </w:tc>
        <w:tc>
          <w:tcPr>
            <w:tcW w:w="3491" w:type="pct"/>
            <w:tcBorders>
              <w:top w:val="single" w:sz="4" w:space="0" w:color="auto"/>
              <w:bottom w:val="single" w:sz="4" w:space="0" w:color="auto"/>
            </w:tcBorders>
          </w:tcPr>
          <w:p w14:paraId="1E1D8CD5" w14:textId="77777777" w:rsidR="00C4799B" w:rsidRDefault="00C4799B" w:rsidP="00244F7D">
            <w:pPr>
              <w:pStyle w:val="TableText"/>
              <w:rPr>
                <w:lang w:eastAsia="ja-JP"/>
              </w:rPr>
            </w:pPr>
            <w:r>
              <w:rPr>
                <w:lang w:eastAsia="ja-JP"/>
              </w:rPr>
              <w:t>Th</w:t>
            </w:r>
            <w:r w:rsidRPr="001E7FE3">
              <w:rPr>
                <w:lang w:eastAsia="ja-JP"/>
              </w:rPr>
              <w:t>e concentration of a substance in water or sediment that is estimated to produce an x% inhibition of the response being measured in test organisms relative to the control response, under specified conditions.</w:t>
            </w:r>
          </w:p>
        </w:tc>
      </w:tr>
      <w:tr w:rsidR="001303C0" w:rsidRPr="000A4069" w14:paraId="6CB7BFC4" w14:textId="77777777" w:rsidTr="007336AC">
        <w:tc>
          <w:tcPr>
            <w:tcW w:w="1509" w:type="pct"/>
            <w:tcBorders>
              <w:top w:val="single" w:sz="4" w:space="0" w:color="auto"/>
              <w:bottom w:val="single" w:sz="4" w:space="0" w:color="auto"/>
            </w:tcBorders>
          </w:tcPr>
          <w:p w14:paraId="5E10FE60" w14:textId="77777777" w:rsidR="001303C0" w:rsidRPr="00047B2E" w:rsidRDefault="001303C0" w:rsidP="007336AC">
            <w:pPr>
              <w:pStyle w:val="TableText"/>
              <w:rPr>
                <w:lang w:eastAsia="ja-JP"/>
              </w:rPr>
            </w:pPr>
            <w:r w:rsidRPr="00047B2E">
              <w:rPr>
                <w:lang w:eastAsia="ja-JP"/>
              </w:rPr>
              <w:t>LC50 (median lethal concentration)</w:t>
            </w:r>
          </w:p>
        </w:tc>
        <w:tc>
          <w:tcPr>
            <w:tcW w:w="3491" w:type="pct"/>
            <w:tcBorders>
              <w:top w:val="single" w:sz="4" w:space="0" w:color="auto"/>
              <w:bottom w:val="single" w:sz="4" w:space="0" w:color="auto"/>
            </w:tcBorders>
          </w:tcPr>
          <w:p w14:paraId="4CFBA362" w14:textId="6BC28E5E" w:rsidR="001303C0" w:rsidRPr="00047B2E" w:rsidRDefault="00EF0BE4" w:rsidP="007336AC">
            <w:pPr>
              <w:pStyle w:val="TableText"/>
              <w:rPr>
                <w:lang w:eastAsia="ja-JP"/>
              </w:rPr>
            </w:pPr>
            <w:r>
              <w:rPr>
                <w:lang w:eastAsia="ja-JP"/>
              </w:rPr>
              <w:t>T</w:t>
            </w:r>
            <w:r w:rsidRPr="00EF0BE4">
              <w:rPr>
                <w:lang w:eastAsia="ja-JP"/>
              </w:rPr>
              <w:t>he concentration of a substance in water or sediment that is estimated to be lethal to 50% of a group of test organisms, relative to the control response, under specified conditions.</w:t>
            </w:r>
          </w:p>
        </w:tc>
      </w:tr>
      <w:tr w:rsidR="00C4799B" w:rsidRPr="000A4069" w14:paraId="210406A7" w14:textId="77777777" w:rsidTr="00244F7D">
        <w:tc>
          <w:tcPr>
            <w:tcW w:w="1509" w:type="pct"/>
            <w:tcBorders>
              <w:top w:val="single" w:sz="4" w:space="0" w:color="auto"/>
              <w:bottom w:val="single" w:sz="4" w:space="0" w:color="auto"/>
            </w:tcBorders>
          </w:tcPr>
          <w:p w14:paraId="74A4660A" w14:textId="7300C81C" w:rsidR="00C4799B" w:rsidRPr="00047B2E" w:rsidRDefault="00C4799B" w:rsidP="00244F7D">
            <w:pPr>
              <w:pStyle w:val="TableText"/>
              <w:rPr>
                <w:lang w:eastAsia="ja-JP"/>
              </w:rPr>
            </w:pPr>
            <w:r w:rsidRPr="00047B2E">
              <w:rPr>
                <w:lang w:eastAsia="ja-JP"/>
              </w:rPr>
              <w:t>LC</w:t>
            </w:r>
            <w:r>
              <w:rPr>
                <w:lang w:eastAsia="ja-JP"/>
              </w:rPr>
              <w:t>x</w:t>
            </w:r>
            <w:r w:rsidRPr="00047B2E">
              <w:rPr>
                <w:lang w:eastAsia="ja-JP"/>
              </w:rPr>
              <w:t xml:space="preserve"> </w:t>
            </w:r>
          </w:p>
        </w:tc>
        <w:tc>
          <w:tcPr>
            <w:tcW w:w="3491" w:type="pct"/>
            <w:tcBorders>
              <w:top w:val="single" w:sz="4" w:space="0" w:color="auto"/>
              <w:bottom w:val="single" w:sz="4" w:space="0" w:color="auto"/>
            </w:tcBorders>
          </w:tcPr>
          <w:p w14:paraId="61EB7568" w14:textId="0F436217" w:rsidR="00C4799B" w:rsidRPr="00047B2E" w:rsidRDefault="00C4799B" w:rsidP="00244F7D">
            <w:pPr>
              <w:pStyle w:val="TableText"/>
              <w:rPr>
                <w:lang w:eastAsia="ja-JP"/>
              </w:rPr>
            </w:pPr>
            <w:r>
              <w:rPr>
                <w:lang w:eastAsia="ja-JP"/>
              </w:rPr>
              <w:t>T</w:t>
            </w:r>
            <w:r w:rsidRPr="00EF0BE4">
              <w:rPr>
                <w:lang w:eastAsia="ja-JP"/>
              </w:rPr>
              <w:t xml:space="preserve">he concentration of a substance in water or sediment that is estimated to be lethal to </w:t>
            </w:r>
            <w:r>
              <w:rPr>
                <w:lang w:eastAsia="ja-JP"/>
              </w:rPr>
              <w:t>x</w:t>
            </w:r>
            <w:r w:rsidRPr="00EF0BE4">
              <w:rPr>
                <w:lang w:eastAsia="ja-JP"/>
              </w:rPr>
              <w:t>% of a group of test organisms, relative to the control response, under specified conditions.</w:t>
            </w:r>
          </w:p>
        </w:tc>
      </w:tr>
      <w:tr w:rsidR="00047B2E" w:rsidRPr="000A4069" w14:paraId="5D53F90C" w14:textId="77777777" w:rsidTr="007336AC">
        <w:tc>
          <w:tcPr>
            <w:tcW w:w="1509" w:type="pct"/>
            <w:tcBorders>
              <w:top w:val="single" w:sz="4" w:space="0" w:color="auto"/>
              <w:bottom w:val="single" w:sz="4" w:space="0" w:color="auto"/>
            </w:tcBorders>
          </w:tcPr>
          <w:p w14:paraId="693E4E49" w14:textId="5662F9C7" w:rsidR="002D2A2E" w:rsidRDefault="002D2A2E" w:rsidP="002D2A2E">
            <w:pPr>
              <w:pStyle w:val="TableText"/>
              <w:rPr>
                <w:lang w:eastAsia="ja-JP"/>
              </w:rPr>
            </w:pPr>
            <w:r w:rsidRPr="00047B2E">
              <w:rPr>
                <w:lang w:eastAsia="ja-JP"/>
              </w:rPr>
              <w:t xml:space="preserve">lowest observed effect concentration </w:t>
            </w:r>
            <w:r>
              <w:rPr>
                <w:lang w:eastAsia="ja-JP"/>
              </w:rPr>
              <w:t>(LOEC</w:t>
            </w:r>
            <w:r w:rsidR="00047B2E" w:rsidRPr="00047B2E">
              <w:rPr>
                <w:lang w:eastAsia="ja-JP"/>
              </w:rPr>
              <w:t>)</w:t>
            </w:r>
          </w:p>
          <w:p w14:paraId="6787E5FC" w14:textId="0DC90804" w:rsidR="002D2A2E" w:rsidRDefault="002D2A2E" w:rsidP="002D2A2E">
            <w:pPr>
              <w:pStyle w:val="TableText"/>
              <w:rPr>
                <w:lang w:eastAsia="ja-JP"/>
              </w:rPr>
            </w:pPr>
            <w:r w:rsidRPr="00047B2E">
              <w:rPr>
                <w:lang w:eastAsia="ja-JP"/>
              </w:rPr>
              <w:t>or</w:t>
            </w:r>
          </w:p>
          <w:p w14:paraId="64F390F5" w14:textId="76F4638F" w:rsidR="00047B2E" w:rsidRPr="000A4069" w:rsidRDefault="002D2A2E" w:rsidP="002D2A2E">
            <w:pPr>
              <w:pStyle w:val="TableText"/>
              <w:rPr>
                <w:highlight w:val="yellow"/>
                <w:lang w:eastAsia="ja-JP"/>
              </w:rPr>
            </w:pPr>
            <w:r w:rsidRPr="00047B2E">
              <w:rPr>
                <w:lang w:eastAsia="ja-JP"/>
              </w:rPr>
              <w:t xml:space="preserve">lowest </w:t>
            </w:r>
            <w:r>
              <w:rPr>
                <w:lang w:eastAsia="ja-JP"/>
              </w:rPr>
              <w:t>observed effect level</w:t>
            </w:r>
            <w:r w:rsidRPr="00047B2E">
              <w:rPr>
                <w:lang w:eastAsia="ja-JP"/>
              </w:rPr>
              <w:t xml:space="preserve"> </w:t>
            </w:r>
            <w:r>
              <w:rPr>
                <w:lang w:eastAsia="ja-JP"/>
              </w:rPr>
              <w:t>(</w:t>
            </w:r>
            <w:r w:rsidRPr="00047B2E">
              <w:rPr>
                <w:lang w:eastAsia="ja-JP"/>
              </w:rPr>
              <w:t>LOE</w:t>
            </w:r>
            <w:r>
              <w:rPr>
                <w:lang w:eastAsia="ja-JP"/>
              </w:rPr>
              <w:t>L)</w:t>
            </w:r>
          </w:p>
        </w:tc>
        <w:tc>
          <w:tcPr>
            <w:tcW w:w="3491" w:type="pct"/>
            <w:tcBorders>
              <w:top w:val="single" w:sz="4" w:space="0" w:color="auto"/>
              <w:bottom w:val="single" w:sz="4" w:space="0" w:color="auto"/>
            </w:tcBorders>
          </w:tcPr>
          <w:p w14:paraId="6F0CE903" w14:textId="57C6A47B" w:rsidR="00047B2E" w:rsidRPr="000A4069" w:rsidRDefault="002D2A2E" w:rsidP="002D2A2E">
            <w:pPr>
              <w:pStyle w:val="TableText"/>
              <w:rPr>
                <w:highlight w:val="yellow"/>
                <w:lang w:eastAsia="ja-JP"/>
              </w:rPr>
            </w:pPr>
            <w:r>
              <w:rPr>
                <w:lang w:eastAsia="ja-JP"/>
              </w:rPr>
              <w:t>T</w:t>
            </w:r>
            <w:r w:rsidRPr="002D2A2E">
              <w:rPr>
                <w:lang w:eastAsia="ja-JP"/>
              </w:rPr>
              <w:t xml:space="preserve">he lowest concentration of a material used in a toxicity test that has a statistically significant adverse effect on the exposed population of test organisms as compared with the controls. </w:t>
            </w:r>
            <w:r w:rsidR="00047B2E" w:rsidRPr="00047B2E">
              <w:rPr>
                <w:lang w:eastAsia="ja-JP"/>
              </w:rPr>
              <w:t>Also sometimes referred to as a lowest observed effect level (LOEL).</w:t>
            </w:r>
          </w:p>
        </w:tc>
      </w:tr>
      <w:tr w:rsidR="00047B2E" w:rsidRPr="000A4069" w14:paraId="4F44A3AC" w14:textId="77777777" w:rsidTr="007336AC">
        <w:tc>
          <w:tcPr>
            <w:tcW w:w="1509" w:type="pct"/>
            <w:tcBorders>
              <w:top w:val="single" w:sz="4" w:space="0" w:color="auto"/>
              <w:bottom w:val="single" w:sz="4" w:space="0" w:color="auto"/>
            </w:tcBorders>
          </w:tcPr>
          <w:p w14:paraId="2324E1DE" w14:textId="0728834B" w:rsidR="002D2A2E" w:rsidRDefault="002D2A2E" w:rsidP="007336AC">
            <w:pPr>
              <w:pStyle w:val="TableText"/>
              <w:rPr>
                <w:lang w:eastAsia="ja-JP"/>
              </w:rPr>
            </w:pPr>
            <w:r>
              <w:rPr>
                <w:lang w:eastAsia="ja-JP"/>
              </w:rPr>
              <w:lastRenderedPageBreak/>
              <w:t>n</w:t>
            </w:r>
            <w:r w:rsidR="00047B2E" w:rsidRPr="00047B2E">
              <w:rPr>
                <w:lang w:eastAsia="ja-JP"/>
              </w:rPr>
              <w:t>o observed effect concentration</w:t>
            </w:r>
            <w:r w:rsidRPr="00047B2E">
              <w:rPr>
                <w:lang w:eastAsia="ja-JP"/>
              </w:rPr>
              <w:t xml:space="preserve"> </w:t>
            </w:r>
            <w:r>
              <w:rPr>
                <w:lang w:eastAsia="ja-JP"/>
              </w:rPr>
              <w:t>(</w:t>
            </w:r>
            <w:r w:rsidRPr="00047B2E">
              <w:rPr>
                <w:lang w:eastAsia="ja-JP"/>
              </w:rPr>
              <w:t>NOEC</w:t>
            </w:r>
            <w:r w:rsidR="00047B2E" w:rsidRPr="00047B2E">
              <w:rPr>
                <w:lang w:eastAsia="ja-JP"/>
              </w:rPr>
              <w:t>)</w:t>
            </w:r>
          </w:p>
          <w:p w14:paraId="78C35883" w14:textId="5C6934EA" w:rsidR="002D2A2E" w:rsidRDefault="002D2A2E" w:rsidP="007336AC">
            <w:pPr>
              <w:pStyle w:val="TableText"/>
              <w:rPr>
                <w:lang w:eastAsia="ja-JP"/>
              </w:rPr>
            </w:pPr>
            <w:r>
              <w:rPr>
                <w:lang w:eastAsia="ja-JP"/>
              </w:rPr>
              <w:t>o</w:t>
            </w:r>
            <w:r w:rsidR="00047B2E" w:rsidRPr="00047B2E">
              <w:rPr>
                <w:lang w:eastAsia="ja-JP"/>
              </w:rPr>
              <w:t>r</w:t>
            </w:r>
          </w:p>
          <w:p w14:paraId="62A8A76A" w14:textId="7380DFC7" w:rsidR="00047B2E" w:rsidRPr="000A4069" w:rsidRDefault="00047B2E" w:rsidP="002D2A2E">
            <w:pPr>
              <w:pStyle w:val="TableText"/>
              <w:rPr>
                <w:highlight w:val="yellow"/>
                <w:lang w:eastAsia="ja-JP"/>
              </w:rPr>
            </w:pPr>
            <w:r w:rsidRPr="00047B2E">
              <w:rPr>
                <w:lang w:eastAsia="ja-JP"/>
              </w:rPr>
              <w:t>no observed effect level</w:t>
            </w:r>
            <w:r w:rsidR="002D2A2E" w:rsidRPr="00047B2E">
              <w:rPr>
                <w:lang w:eastAsia="ja-JP"/>
              </w:rPr>
              <w:t xml:space="preserve"> </w:t>
            </w:r>
            <w:r w:rsidR="002D2A2E">
              <w:rPr>
                <w:lang w:eastAsia="ja-JP"/>
              </w:rPr>
              <w:t>(</w:t>
            </w:r>
            <w:r w:rsidR="002D2A2E" w:rsidRPr="00047B2E">
              <w:rPr>
                <w:lang w:eastAsia="ja-JP"/>
              </w:rPr>
              <w:t>NOEL</w:t>
            </w:r>
            <w:r w:rsidR="002D2A2E">
              <w:rPr>
                <w:lang w:eastAsia="ja-JP"/>
              </w:rPr>
              <w:t>)</w:t>
            </w:r>
          </w:p>
        </w:tc>
        <w:tc>
          <w:tcPr>
            <w:tcW w:w="3491" w:type="pct"/>
            <w:tcBorders>
              <w:top w:val="single" w:sz="4" w:space="0" w:color="auto"/>
              <w:bottom w:val="single" w:sz="4" w:space="0" w:color="auto"/>
            </w:tcBorders>
          </w:tcPr>
          <w:p w14:paraId="7B2B82C4" w14:textId="7AA0DDB8" w:rsidR="00047B2E" w:rsidRPr="000A4069" w:rsidRDefault="002D2A2E" w:rsidP="007336AC">
            <w:pPr>
              <w:pStyle w:val="TableText"/>
              <w:rPr>
                <w:highlight w:val="yellow"/>
                <w:lang w:eastAsia="ja-JP"/>
              </w:rPr>
            </w:pPr>
            <w:r>
              <w:rPr>
                <w:lang w:eastAsia="ja-JP"/>
              </w:rPr>
              <w:t>T</w:t>
            </w:r>
            <w:r w:rsidRPr="002D2A2E">
              <w:rPr>
                <w:lang w:eastAsia="ja-JP"/>
              </w:rPr>
              <w:t>he highest concentration of a material used in a toxicity test that has no statistically significant adverse effect on the exposed population of test organisms as compared with the controls.</w:t>
            </w:r>
            <w:r w:rsidRPr="002D2A2E" w:rsidDel="002D2A2E">
              <w:rPr>
                <w:lang w:eastAsia="ja-JP"/>
              </w:rPr>
              <w:t xml:space="preserve"> </w:t>
            </w:r>
            <w:r w:rsidR="00047B2E" w:rsidRPr="00047B2E">
              <w:rPr>
                <w:lang w:eastAsia="ja-JP"/>
              </w:rPr>
              <w:t>Also sometimes referred to as a no observed effect level (NOEL).</w:t>
            </w:r>
          </w:p>
        </w:tc>
      </w:tr>
      <w:tr w:rsidR="00047B2E" w:rsidRPr="000A4069" w14:paraId="0FBA4BE1" w14:textId="77777777" w:rsidTr="007336AC">
        <w:tc>
          <w:tcPr>
            <w:tcW w:w="1509" w:type="pct"/>
            <w:tcBorders>
              <w:top w:val="single" w:sz="4" w:space="0" w:color="auto"/>
              <w:bottom w:val="single" w:sz="4" w:space="0" w:color="auto"/>
            </w:tcBorders>
          </w:tcPr>
          <w:p w14:paraId="6ED5CBDA" w14:textId="5B0FCC8A" w:rsidR="00047B2E" w:rsidRPr="00047B2E" w:rsidRDefault="00047B2E" w:rsidP="007336AC">
            <w:pPr>
              <w:pStyle w:val="TableText"/>
              <w:rPr>
                <w:lang w:eastAsia="ja-JP"/>
              </w:rPr>
            </w:pPr>
            <w:r w:rsidRPr="00047B2E">
              <w:rPr>
                <w:lang w:eastAsia="ja-JP"/>
              </w:rPr>
              <w:t>Phototrophs</w:t>
            </w:r>
          </w:p>
        </w:tc>
        <w:tc>
          <w:tcPr>
            <w:tcW w:w="3491" w:type="pct"/>
            <w:tcBorders>
              <w:top w:val="single" w:sz="4" w:space="0" w:color="auto"/>
              <w:bottom w:val="single" w:sz="4" w:space="0" w:color="auto"/>
            </w:tcBorders>
          </w:tcPr>
          <w:p w14:paraId="1AFA4F20" w14:textId="0866D049" w:rsidR="00047B2E" w:rsidRPr="00047B2E" w:rsidRDefault="00047B2E" w:rsidP="002D2A2E">
            <w:pPr>
              <w:pStyle w:val="TableText"/>
              <w:rPr>
                <w:lang w:eastAsia="ja-JP"/>
              </w:rPr>
            </w:pPr>
            <w:r w:rsidRPr="00047B2E">
              <w:rPr>
                <w:lang w:eastAsia="ja-JP"/>
              </w:rPr>
              <w:t>Organisms that photosynthesize as their main means of obtaining energy</w:t>
            </w:r>
            <w:r w:rsidR="002D2A2E">
              <w:rPr>
                <w:lang w:eastAsia="ja-JP"/>
              </w:rPr>
              <w:t>, for example</w:t>
            </w:r>
            <w:r w:rsidRPr="00047B2E">
              <w:rPr>
                <w:lang w:eastAsia="ja-JP"/>
              </w:rPr>
              <w:t xml:space="preserve"> plants and algae.</w:t>
            </w:r>
          </w:p>
        </w:tc>
      </w:tr>
      <w:tr w:rsidR="001303C0" w:rsidRPr="000A4069" w14:paraId="290AE093" w14:textId="77777777" w:rsidTr="007336AC">
        <w:tc>
          <w:tcPr>
            <w:tcW w:w="1509" w:type="pct"/>
            <w:tcBorders>
              <w:top w:val="single" w:sz="4" w:space="0" w:color="auto"/>
              <w:bottom w:val="single" w:sz="4" w:space="0" w:color="auto"/>
            </w:tcBorders>
          </w:tcPr>
          <w:p w14:paraId="6FBF0445" w14:textId="1866EF83" w:rsidR="001303C0" w:rsidRPr="00D9719B" w:rsidRDefault="001303C0" w:rsidP="007336AC">
            <w:pPr>
              <w:pStyle w:val="TableText"/>
              <w:rPr>
                <w:lang w:eastAsia="ja-JP"/>
              </w:rPr>
            </w:pPr>
            <w:r w:rsidRPr="00D9719B">
              <w:rPr>
                <w:lang w:eastAsia="ja-JP"/>
              </w:rPr>
              <w:t>site-specific</w:t>
            </w:r>
            <w:r w:rsidR="002D2A2E">
              <w:rPr>
                <w:lang w:eastAsia="ja-JP"/>
              </w:rPr>
              <w:t xml:space="preserve"> guideline value</w:t>
            </w:r>
          </w:p>
        </w:tc>
        <w:tc>
          <w:tcPr>
            <w:tcW w:w="3491" w:type="pct"/>
            <w:tcBorders>
              <w:top w:val="single" w:sz="4" w:space="0" w:color="auto"/>
              <w:bottom w:val="single" w:sz="4" w:space="0" w:color="auto"/>
            </w:tcBorders>
          </w:tcPr>
          <w:p w14:paraId="0E13CF78" w14:textId="639F73CD" w:rsidR="001303C0" w:rsidRPr="00D9719B" w:rsidRDefault="00BD096D" w:rsidP="007336AC">
            <w:pPr>
              <w:pStyle w:val="TableText"/>
              <w:rPr>
                <w:lang w:eastAsia="ja-JP"/>
              </w:rPr>
            </w:pPr>
            <w:r>
              <w:rPr>
                <w:lang w:eastAsia="ja-JP"/>
              </w:rPr>
              <w:t>A</w:t>
            </w:r>
            <w:r w:rsidRPr="00BD096D">
              <w:rPr>
                <w:lang w:eastAsia="ja-JP"/>
              </w:rPr>
              <w:t xml:space="preserve"> guideline value that is relevant to the specific location or conditions that are the focus of a given assessment or issue.</w:t>
            </w:r>
          </w:p>
        </w:tc>
      </w:tr>
      <w:tr w:rsidR="001303C0" w:rsidRPr="000A4069" w14:paraId="0EE171E6" w14:textId="77777777" w:rsidTr="007336AC">
        <w:tc>
          <w:tcPr>
            <w:tcW w:w="1509" w:type="pct"/>
            <w:tcBorders>
              <w:top w:val="single" w:sz="4" w:space="0" w:color="auto"/>
              <w:bottom w:val="single" w:sz="4" w:space="0" w:color="auto"/>
            </w:tcBorders>
          </w:tcPr>
          <w:p w14:paraId="215620CD" w14:textId="78D9C267" w:rsidR="001303C0" w:rsidRPr="00D9719B" w:rsidRDefault="00BD096D" w:rsidP="007336AC">
            <w:pPr>
              <w:pStyle w:val="TableText"/>
              <w:rPr>
                <w:lang w:eastAsia="ja-JP"/>
              </w:rPr>
            </w:pPr>
            <w:r w:rsidRPr="00D9719B">
              <w:rPr>
                <w:lang w:eastAsia="ja-JP"/>
              </w:rPr>
              <w:t>S</w:t>
            </w:r>
            <w:r w:rsidR="001303C0" w:rsidRPr="00D9719B">
              <w:rPr>
                <w:lang w:eastAsia="ja-JP"/>
              </w:rPr>
              <w:t>pecies</w:t>
            </w:r>
            <w:r>
              <w:rPr>
                <w:lang w:eastAsia="ja-JP"/>
              </w:rPr>
              <w:t xml:space="preserve"> (biological)</w:t>
            </w:r>
          </w:p>
        </w:tc>
        <w:tc>
          <w:tcPr>
            <w:tcW w:w="3491" w:type="pct"/>
            <w:tcBorders>
              <w:top w:val="single" w:sz="4" w:space="0" w:color="auto"/>
              <w:bottom w:val="single" w:sz="4" w:space="0" w:color="auto"/>
            </w:tcBorders>
          </w:tcPr>
          <w:p w14:paraId="00351133" w14:textId="77777777" w:rsidR="001303C0" w:rsidRPr="00D9719B" w:rsidRDefault="001303C0" w:rsidP="007336AC">
            <w:pPr>
              <w:pStyle w:val="TableText"/>
              <w:rPr>
                <w:lang w:eastAsia="ja-JP"/>
              </w:rPr>
            </w:pPr>
            <w:r w:rsidRPr="00D9719B">
              <w:rPr>
                <w:lang w:eastAsia="ja-JP"/>
              </w:rPr>
              <w:t>A group of organisms that resemble each other to a greater degree than members of other groups and that form a reproductively isolated group that will not produce viable offspring if bred with members of another group.</w:t>
            </w:r>
          </w:p>
        </w:tc>
      </w:tr>
      <w:tr w:rsidR="001303C0" w:rsidRPr="000A4069" w14:paraId="3573E836" w14:textId="77777777" w:rsidTr="007336AC">
        <w:tc>
          <w:tcPr>
            <w:tcW w:w="1509" w:type="pct"/>
            <w:tcBorders>
              <w:top w:val="single" w:sz="4" w:space="0" w:color="auto"/>
              <w:bottom w:val="single" w:sz="4" w:space="0" w:color="auto"/>
            </w:tcBorders>
          </w:tcPr>
          <w:p w14:paraId="79DB4A03" w14:textId="77777777" w:rsidR="001303C0" w:rsidRPr="000A4069" w:rsidRDefault="001303C0" w:rsidP="007336AC">
            <w:pPr>
              <w:pStyle w:val="TableText"/>
              <w:rPr>
                <w:highlight w:val="yellow"/>
                <w:lang w:eastAsia="ja-JP"/>
              </w:rPr>
            </w:pPr>
            <w:r w:rsidRPr="00174574">
              <w:rPr>
                <w:lang w:eastAsia="ja-JP"/>
              </w:rPr>
              <w:t xml:space="preserve">species sensitivity distribution (SSD) </w:t>
            </w:r>
          </w:p>
        </w:tc>
        <w:tc>
          <w:tcPr>
            <w:tcW w:w="3491" w:type="pct"/>
            <w:tcBorders>
              <w:top w:val="single" w:sz="4" w:space="0" w:color="auto"/>
              <w:bottom w:val="single" w:sz="4" w:space="0" w:color="auto"/>
            </w:tcBorders>
          </w:tcPr>
          <w:p w14:paraId="6CB34BE8" w14:textId="31ADC156" w:rsidR="001303C0" w:rsidRPr="000A4069" w:rsidRDefault="00BD096D" w:rsidP="00174574">
            <w:pPr>
              <w:pStyle w:val="TableText"/>
              <w:rPr>
                <w:highlight w:val="yellow"/>
                <w:lang w:eastAsia="ja-JP"/>
              </w:rPr>
            </w:pPr>
            <w:r>
              <w:rPr>
                <w:lang w:eastAsia="ja-JP"/>
              </w:rPr>
              <w:t>A</w:t>
            </w:r>
            <w:r w:rsidRPr="00BD096D">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1303C0" w:rsidRPr="000A4069" w14:paraId="71228D1A" w14:textId="77777777" w:rsidTr="007336AC">
        <w:tc>
          <w:tcPr>
            <w:tcW w:w="1509" w:type="pct"/>
            <w:tcBorders>
              <w:top w:val="single" w:sz="4" w:space="0" w:color="auto"/>
              <w:bottom w:val="single" w:sz="4" w:space="0" w:color="auto"/>
            </w:tcBorders>
          </w:tcPr>
          <w:p w14:paraId="3AA02CDE" w14:textId="77777777" w:rsidR="001303C0" w:rsidRPr="00D9719B" w:rsidRDefault="001303C0" w:rsidP="007336AC">
            <w:pPr>
              <w:pStyle w:val="TableText"/>
              <w:rPr>
                <w:lang w:eastAsia="ja-JP"/>
              </w:rPr>
            </w:pPr>
            <w:r w:rsidRPr="00D9719B">
              <w:rPr>
                <w:lang w:eastAsia="ja-JP"/>
              </w:rPr>
              <w:t>toxicity</w:t>
            </w:r>
          </w:p>
        </w:tc>
        <w:tc>
          <w:tcPr>
            <w:tcW w:w="3491" w:type="pct"/>
            <w:tcBorders>
              <w:top w:val="single" w:sz="4" w:space="0" w:color="auto"/>
              <w:bottom w:val="single" w:sz="4" w:space="0" w:color="auto"/>
            </w:tcBorders>
          </w:tcPr>
          <w:p w14:paraId="2DE624E7" w14:textId="77777777" w:rsidR="001303C0" w:rsidRPr="00D9719B" w:rsidRDefault="001303C0" w:rsidP="007336AC">
            <w:pPr>
              <w:pStyle w:val="TableText"/>
              <w:rPr>
                <w:lang w:eastAsia="ja-JP"/>
              </w:rPr>
            </w:pPr>
            <w:r w:rsidRPr="00D9719B">
              <w:rPr>
                <w:lang w:eastAsia="ja-JP"/>
              </w:rPr>
              <w:t>The inherent potential or capacity of a material to cause adverse effects in a living organism.</w:t>
            </w:r>
          </w:p>
        </w:tc>
      </w:tr>
      <w:tr w:rsidR="001303C0" w:rsidRPr="00585FD8" w14:paraId="0D4D2A0B" w14:textId="77777777" w:rsidTr="007336AC">
        <w:tc>
          <w:tcPr>
            <w:tcW w:w="1509" w:type="pct"/>
            <w:tcBorders>
              <w:top w:val="single" w:sz="4" w:space="0" w:color="auto"/>
              <w:bottom w:val="single" w:sz="12" w:space="0" w:color="auto"/>
            </w:tcBorders>
          </w:tcPr>
          <w:p w14:paraId="558C20D2" w14:textId="77777777" w:rsidR="001303C0" w:rsidRPr="00D9719B" w:rsidRDefault="001303C0" w:rsidP="007336AC">
            <w:pPr>
              <w:pStyle w:val="TableText"/>
              <w:rPr>
                <w:lang w:eastAsia="ja-JP"/>
              </w:rPr>
            </w:pPr>
            <w:r w:rsidRPr="00D9719B">
              <w:rPr>
                <w:lang w:eastAsia="ja-JP"/>
              </w:rPr>
              <w:t>toxicity test</w:t>
            </w:r>
          </w:p>
        </w:tc>
        <w:tc>
          <w:tcPr>
            <w:tcW w:w="3491" w:type="pct"/>
            <w:tcBorders>
              <w:top w:val="single" w:sz="4" w:space="0" w:color="auto"/>
              <w:bottom w:val="single" w:sz="12" w:space="0" w:color="auto"/>
            </w:tcBorders>
          </w:tcPr>
          <w:p w14:paraId="7BD3F439" w14:textId="71DEC39A" w:rsidR="001303C0" w:rsidRPr="00D9719B" w:rsidRDefault="001303C0" w:rsidP="00BD096D">
            <w:pPr>
              <w:pStyle w:val="TableText"/>
              <w:rPr>
                <w:lang w:eastAsia="ja-JP"/>
              </w:rPr>
            </w:pPr>
            <w:r w:rsidRPr="00D9719B">
              <w:rPr>
                <w:lang w:eastAsia="ja-JP"/>
              </w:rPr>
              <w:t xml:space="preserve">The means by which the toxicity of a chemical or other test material is determined. A toxicity test is used to measure the degree of response produced by exposure to a </w:t>
            </w:r>
            <w:r w:rsidR="00BD096D" w:rsidRPr="00BD096D">
              <w:rPr>
                <w:lang w:eastAsia="ja-JP"/>
              </w:rPr>
              <w:t xml:space="preserve">specific level of stimulus (or concentration of chemical) for a specified test period. </w:t>
            </w:r>
          </w:p>
        </w:tc>
      </w:tr>
    </w:tbl>
    <w:p w14:paraId="407AB621" w14:textId="77777777" w:rsidR="00BB617A" w:rsidRDefault="00BB617A" w:rsidP="001303C0">
      <w:pPr>
        <w:rPr>
          <w:lang w:eastAsia="ja-JP"/>
        </w:rPr>
      </w:pPr>
    </w:p>
    <w:p w14:paraId="3EA9DDFD" w14:textId="77777777" w:rsidR="00BB617A" w:rsidRDefault="00BB617A" w:rsidP="001303C0">
      <w:pPr>
        <w:rPr>
          <w:lang w:eastAsia="ja-JP"/>
        </w:rPr>
        <w:sectPr w:rsidR="00BB617A" w:rsidSect="00FB3DE6">
          <w:headerReference w:type="default" r:id="rId29"/>
          <w:headerReference w:type="first" r:id="rId30"/>
          <w:footerReference w:type="first" r:id="rId31"/>
          <w:pgSz w:w="11906" w:h="16838"/>
          <w:pgMar w:top="1418" w:right="1418" w:bottom="1418" w:left="1418" w:header="567" w:footer="283" w:gutter="0"/>
          <w:pgNumType w:start="1"/>
          <w:cols w:space="708"/>
          <w:titlePg/>
          <w:docGrid w:linePitch="360"/>
        </w:sectPr>
      </w:pPr>
    </w:p>
    <w:p w14:paraId="628F211C" w14:textId="248F1A31" w:rsidR="001C0D1C" w:rsidRDefault="00D758D2">
      <w:pPr>
        <w:pStyle w:val="Heading2"/>
        <w:numPr>
          <w:ilvl w:val="0"/>
          <w:numId w:val="0"/>
        </w:numPr>
      </w:pPr>
      <w:bookmarkStart w:id="94" w:name="_Ref16942625"/>
      <w:bookmarkStart w:id="95" w:name="_Ref16942906"/>
      <w:bookmarkStart w:id="96" w:name="_Toc64624298"/>
      <w:r>
        <w:lastRenderedPageBreak/>
        <w:t>Appendix </w:t>
      </w:r>
      <w:r w:rsidR="00953B48">
        <w:t xml:space="preserve">A: </w:t>
      </w:r>
      <w:r w:rsidR="00850457" w:rsidRPr="00850457">
        <w:t xml:space="preserve">Toxicity data that passed the screening and quality assessment </w:t>
      </w:r>
      <w:r w:rsidR="00B1064D">
        <w:t>and were used to derive the default guideline values</w:t>
      </w:r>
      <w:bookmarkEnd w:id="94"/>
      <w:bookmarkEnd w:id="95"/>
      <w:bookmarkEnd w:id="96"/>
    </w:p>
    <w:p w14:paraId="2D7C8AA0" w14:textId="0B595394" w:rsidR="00111616" w:rsidRPr="00111616" w:rsidRDefault="00953B48" w:rsidP="00111616">
      <w:pPr>
        <w:pStyle w:val="Caption"/>
      </w:pPr>
      <w:bookmarkStart w:id="97" w:name="_Ref16942648"/>
      <w:bookmarkStart w:id="98" w:name="_Ref6322511"/>
      <w:bookmarkStart w:id="99" w:name="_Toc32491888"/>
      <w:r>
        <w:t>Table A </w:t>
      </w:r>
      <w:r w:rsidR="00736C4F">
        <w:fldChar w:fldCharType="begin"/>
      </w:r>
      <w:r w:rsidR="00736C4F">
        <w:instrText xml:space="preserve"> SEQ Table_A \* ARABIC </w:instrText>
      </w:r>
      <w:r w:rsidR="00736C4F">
        <w:fldChar w:fldCharType="separate"/>
      </w:r>
      <w:r w:rsidR="00D758D2">
        <w:rPr>
          <w:noProof/>
        </w:rPr>
        <w:t>1</w:t>
      </w:r>
      <w:r w:rsidR="00736C4F">
        <w:rPr>
          <w:noProof/>
        </w:rPr>
        <w:fldChar w:fldCharType="end"/>
      </w:r>
      <w:bookmarkEnd w:id="97"/>
      <w:r>
        <w:t xml:space="preserve"> </w:t>
      </w:r>
      <w:r w:rsidR="00850457" w:rsidRPr="00850457">
        <w:t xml:space="preserve">Summary, </w:t>
      </w:r>
      <w:r w:rsidR="00750F06">
        <w:t xml:space="preserve">chronic </w:t>
      </w:r>
      <w:r w:rsidR="00850457" w:rsidRPr="00850457">
        <w:t xml:space="preserve">toxicity data that passed the screening and quality assurance processes, </w:t>
      </w:r>
      <w:r w:rsidR="00850457">
        <w:t>glyphosate</w:t>
      </w:r>
      <w:r w:rsidR="00850457" w:rsidRPr="00850457">
        <w:t xml:space="preserve"> in freshwater</w:t>
      </w:r>
      <w:bookmarkEnd w:id="98"/>
      <w:bookmarkEnd w:id="99"/>
    </w:p>
    <w:tbl>
      <w:tblPr>
        <w:tblStyle w:val="TableList1"/>
        <w:tblW w:w="5000" w:type="pct"/>
        <w:tblInd w:w="0" w:type="dxa"/>
        <w:tblBorders>
          <w:top w:val="none" w:sz="0" w:space="0" w:color="auto"/>
          <w:left w:val="none" w:sz="0" w:space="0" w:color="auto"/>
          <w:bottom w:val="none" w:sz="0" w:space="0" w:color="auto"/>
          <w:right w:val="none" w:sz="0" w:space="0" w:color="auto"/>
        </w:tblBorders>
        <w:tblLook w:val="0400" w:firstRow="0" w:lastRow="0" w:firstColumn="0" w:lastColumn="0" w:noHBand="0" w:noVBand="1"/>
        <w:tblCaption w:val="Summary, chronic toxicity data that passed the screening and quality assurance processes, glyphosate in freshwater"/>
        <w:tblDescription w:val="Table lists 11 species with their taxonomic group and species name. The different life stages for each species are provided with the following test information: exposure duration, toxicity measure, test medium, temperature, pH, concentration and reference."/>
      </w:tblPr>
      <w:tblGrid>
        <w:gridCol w:w="1500"/>
        <w:gridCol w:w="1392"/>
        <w:gridCol w:w="1255"/>
        <w:gridCol w:w="1115"/>
        <w:gridCol w:w="1949"/>
        <w:gridCol w:w="1960"/>
        <w:gridCol w:w="1255"/>
        <w:gridCol w:w="980"/>
        <w:gridCol w:w="1283"/>
        <w:gridCol w:w="1313"/>
      </w:tblGrid>
      <w:tr w:rsidR="00955EF0" w14:paraId="65579367" w14:textId="77777777" w:rsidTr="00664659">
        <w:trPr>
          <w:cnfStyle w:val="000000010000" w:firstRow="0" w:lastRow="0" w:firstColumn="0" w:lastColumn="0" w:oddVBand="0" w:evenVBand="0" w:oddHBand="0" w:evenHBand="1" w:firstRowFirstColumn="0" w:firstRowLastColumn="0" w:lastRowFirstColumn="0" w:lastRowLastColumn="0"/>
          <w:cantSplit/>
          <w:tblHeader/>
        </w:trPr>
        <w:tc>
          <w:tcPr>
            <w:tcW w:w="536" w:type="pct"/>
            <w:tcBorders>
              <w:top w:val="single" w:sz="12" w:space="0" w:color="auto"/>
              <w:bottom w:val="single" w:sz="12" w:space="0" w:color="auto"/>
            </w:tcBorders>
            <w:shd w:val="clear" w:color="auto" w:fill="auto"/>
            <w:hideMark/>
          </w:tcPr>
          <w:p w14:paraId="41B6D96F" w14:textId="4082BDF8" w:rsidR="00955EF0" w:rsidRDefault="00955EF0" w:rsidP="00661EB0">
            <w:pPr>
              <w:pStyle w:val="TableHeading"/>
              <w:jc w:val="left"/>
            </w:pPr>
            <w:r>
              <w:t>Taxonomic group (Phylum)</w:t>
            </w:r>
          </w:p>
        </w:tc>
        <w:tc>
          <w:tcPr>
            <w:tcW w:w="497" w:type="pct"/>
            <w:tcBorders>
              <w:top w:val="single" w:sz="12" w:space="0" w:color="auto"/>
              <w:bottom w:val="single" w:sz="12" w:space="0" w:color="auto"/>
            </w:tcBorders>
            <w:shd w:val="clear" w:color="auto" w:fill="auto"/>
            <w:hideMark/>
          </w:tcPr>
          <w:p w14:paraId="1EC03CEF" w14:textId="77777777" w:rsidR="00955EF0" w:rsidRPr="00661EB0" w:rsidRDefault="00955EF0" w:rsidP="00661EB0">
            <w:pPr>
              <w:pStyle w:val="TableHeading"/>
              <w:jc w:val="left"/>
            </w:pPr>
            <w:r w:rsidRPr="00661EB0">
              <w:t>Species</w:t>
            </w:r>
          </w:p>
        </w:tc>
        <w:tc>
          <w:tcPr>
            <w:tcW w:w="448" w:type="pct"/>
            <w:tcBorders>
              <w:top w:val="single" w:sz="12" w:space="0" w:color="auto"/>
              <w:bottom w:val="single" w:sz="12" w:space="0" w:color="auto"/>
            </w:tcBorders>
            <w:shd w:val="clear" w:color="auto" w:fill="auto"/>
            <w:hideMark/>
          </w:tcPr>
          <w:p w14:paraId="4FEE6CD9" w14:textId="77777777" w:rsidR="00955EF0" w:rsidRDefault="00955EF0" w:rsidP="00661EB0">
            <w:pPr>
              <w:pStyle w:val="TableHeading"/>
              <w:jc w:val="left"/>
            </w:pPr>
            <w:r>
              <w:t>Life stage</w:t>
            </w:r>
          </w:p>
        </w:tc>
        <w:tc>
          <w:tcPr>
            <w:tcW w:w="398" w:type="pct"/>
            <w:tcBorders>
              <w:top w:val="single" w:sz="12" w:space="0" w:color="auto"/>
              <w:bottom w:val="single" w:sz="12" w:space="0" w:color="auto"/>
            </w:tcBorders>
            <w:shd w:val="clear" w:color="auto" w:fill="auto"/>
            <w:hideMark/>
          </w:tcPr>
          <w:p w14:paraId="08D29A60" w14:textId="41E5D1A6" w:rsidR="00955EF0" w:rsidRDefault="00955EF0" w:rsidP="00661EB0">
            <w:pPr>
              <w:pStyle w:val="TableHeading"/>
              <w:jc w:val="left"/>
            </w:pPr>
            <w:r>
              <w:t>Exposure duration (d)</w:t>
            </w:r>
          </w:p>
        </w:tc>
        <w:tc>
          <w:tcPr>
            <w:tcW w:w="696" w:type="pct"/>
            <w:tcBorders>
              <w:top w:val="single" w:sz="12" w:space="0" w:color="auto"/>
              <w:bottom w:val="single" w:sz="12" w:space="0" w:color="auto"/>
            </w:tcBorders>
            <w:shd w:val="clear" w:color="auto" w:fill="auto"/>
          </w:tcPr>
          <w:p w14:paraId="489B525C" w14:textId="28A8AEA3" w:rsidR="00955EF0" w:rsidRDefault="00955EF0" w:rsidP="004371E7">
            <w:pPr>
              <w:pStyle w:val="TableHeading"/>
              <w:jc w:val="left"/>
            </w:pPr>
            <w:r>
              <w:t xml:space="preserve">Toxicity measure </w:t>
            </w:r>
            <w:r w:rsidRPr="002811E7">
              <w:rPr>
                <w:rStyle w:val="Strong"/>
                <w:vertAlign w:val="superscript"/>
              </w:rPr>
              <w:t>a</w:t>
            </w:r>
            <w:r>
              <w:t xml:space="preserve"> (test endpoint)</w:t>
            </w:r>
          </w:p>
        </w:tc>
        <w:tc>
          <w:tcPr>
            <w:tcW w:w="700" w:type="pct"/>
            <w:tcBorders>
              <w:top w:val="single" w:sz="12" w:space="0" w:color="auto"/>
              <w:bottom w:val="single" w:sz="12" w:space="0" w:color="auto"/>
            </w:tcBorders>
            <w:shd w:val="clear" w:color="auto" w:fill="auto"/>
            <w:hideMark/>
          </w:tcPr>
          <w:p w14:paraId="09B36027" w14:textId="77777777" w:rsidR="00955EF0" w:rsidRDefault="00955EF0" w:rsidP="00661EB0">
            <w:pPr>
              <w:pStyle w:val="TableHeading"/>
              <w:jc w:val="left"/>
            </w:pPr>
            <w:r>
              <w:t>Test medium</w:t>
            </w:r>
          </w:p>
        </w:tc>
        <w:tc>
          <w:tcPr>
            <w:tcW w:w="448" w:type="pct"/>
            <w:tcBorders>
              <w:top w:val="single" w:sz="12" w:space="0" w:color="auto"/>
              <w:bottom w:val="single" w:sz="12" w:space="0" w:color="auto"/>
            </w:tcBorders>
            <w:shd w:val="clear" w:color="auto" w:fill="auto"/>
            <w:hideMark/>
          </w:tcPr>
          <w:p w14:paraId="417C6BA5" w14:textId="1D363B37" w:rsidR="00955EF0" w:rsidRDefault="00955EF0" w:rsidP="00661EB0">
            <w:pPr>
              <w:pStyle w:val="TableHeading"/>
              <w:jc w:val="left"/>
            </w:pPr>
            <w:r>
              <w:t>Temperature (</w:t>
            </w:r>
            <w:r>
              <w:sym w:font="Symbol" w:char="F0B0"/>
            </w:r>
            <w:r>
              <w:t>C)</w:t>
            </w:r>
          </w:p>
        </w:tc>
        <w:tc>
          <w:tcPr>
            <w:tcW w:w="350" w:type="pct"/>
            <w:tcBorders>
              <w:top w:val="single" w:sz="12" w:space="0" w:color="auto"/>
              <w:bottom w:val="single" w:sz="12" w:space="0" w:color="auto"/>
            </w:tcBorders>
            <w:shd w:val="clear" w:color="auto" w:fill="auto"/>
            <w:hideMark/>
          </w:tcPr>
          <w:p w14:paraId="5D3A6A9D" w14:textId="77777777" w:rsidR="00955EF0" w:rsidRDefault="00955EF0" w:rsidP="00661EB0">
            <w:pPr>
              <w:pStyle w:val="TableHeading"/>
              <w:jc w:val="left"/>
            </w:pPr>
            <w:r>
              <w:t>pH</w:t>
            </w:r>
          </w:p>
        </w:tc>
        <w:tc>
          <w:tcPr>
            <w:tcW w:w="458" w:type="pct"/>
            <w:tcBorders>
              <w:top w:val="single" w:sz="12" w:space="0" w:color="auto"/>
              <w:bottom w:val="single" w:sz="12" w:space="0" w:color="auto"/>
            </w:tcBorders>
            <w:shd w:val="clear" w:color="auto" w:fill="auto"/>
            <w:hideMark/>
          </w:tcPr>
          <w:p w14:paraId="2518E26D" w14:textId="77777777" w:rsidR="00955EF0" w:rsidRPr="00A37153" w:rsidRDefault="00955EF0" w:rsidP="00661EB0">
            <w:pPr>
              <w:pStyle w:val="TableHeading"/>
              <w:jc w:val="left"/>
            </w:pPr>
            <w:r w:rsidRPr="00A37153">
              <w:t>Concentration (µg/L)</w:t>
            </w:r>
          </w:p>
        </w:tc>
        <w:tc>
          <w:tcPr>
            <w:tcW w:w="469" w:type="pct"/>
            <w:tcBorders>
              <w:top w:val="single" w:sz="12" w:space="0" w:color="auto"/>
              <w:bottom w:val="single" w:sz="12" w:space="0" w:color="auto"/>
            </w:tcBorders>
            <w:shd w:val="clear" w:color="auto" w:fill="auto"/>
            <w:hideMark/>
          </w:tcPr>
          <w:p w14:paraId="46B33DD3" w14:textId="77777777" w:rsidR="00955EF0" w:rsidRPr="00661EB0" w:rsidRDefault="00955EF0" w:rsidP="00661EB0">
            <w:pPr>
              <w:pStyle w:val="TableHeading"/>
              <w:jc w:val="left"/>
            </w:pPr>
            <w:r w:rsidRPr="00661EB0">
              <w:t>Reference</w:t>
            </w:r>
          </w:p>
        </w:tc>
      </w:tr>
      <w:tr w:rsidR="00C72F61" w14:paraId="207768B9" w14:textId="77777777" w:rsidTr="00664659">
        <w:trPr>
          <w:cnfStyle w:val="000000100000" w:firstRow="0" w:lastRow="0" w:firstColumn="0" w:lastColumn="0" w:oddVBand="0" w:evenVBand="0" w:oddHBand="1" w:evenHBand="0" w:firstRowFirstColumn="0" w:firstRowLastColumn="0" w:lastRowFirstColumn="0" w:lastRowLastColumn="0"/>
          <w:cantSplit/>
          <w:trHeight w:val="734"/>
        </w:trPr>
        <w:tc>
          <w:tcPr>
            <w:tcW w:w="536" w:type="pct"/>
            <w:tcBorders>
              <w:top w:val="single" w:sz="12" w:space="0" w:color="auto"/>
            </w:tcBorders>
            <w:shd w:val="clear" w:color="auto" w:fill="auto"/>
            <w:hideMark/>
          </w:tcPr>
          <w:p w14:paraId="0F6A9CA1" w14:textId="77777777" w:rsidR="00C72F61" w:rsidRDefault="00C72F61" w:rsidP="00017C13">
            <w:pPr>
              <w:pStyle w:val="TableText"/>
              <w:jc w:val="left"/>
            </w:pPr>
            <w:r>
              <w:t>Crustacean</w:t>
            </w:r>
          </w:p>
          <w:p w14:paraId="0807849D" w14:textId="77777777" w:rsidR="00C72F61" w:rsidRDefault="00C72F61" w:rsidP="00017C13">
            <w:pPr>
              <w:pStyle w:val="TableText"/>
              <w:jc w:val="left"/>
            </w:pPr>
            <w:r>
              <w:t>(Arthropoda)</w:t>
            </w:r>
          </w:p>
        </w:tc>
        <w:tc>
          <w:tcPr>
            <w:tcW w:w="497" w:type="pct"/>
            <w:tcBorders>
              <w:top w:val="single" w:sz="12" w:space="0" w:color="auto"/>
            </w:tcBorders>
            <w:shd w:val="clear" w:color="auto" w:fill="auto"/>
            <w:hideMark/>
          </w:tcPr>
          <w:p w14:paraId="23773063" w14:textId="4A0F6A2A" w:rsidR="00C72F61" w:rsidRPr="00661EB0" w:rsidRDefault="00C72F61" w:rsidP="00017C13">
            <w:pPr>
              <w:pStyle w:val="TableText"/>
              <w:jc w:val="left"/>
            </w:pPr>
            <w:r>
              <w:rPr>
                <w:rStyle w:val="Emphasis"/>
              </w:rPr>
              <w:t>Ceriodaphnia dubia</w:t>
            </w:r>
          </w:p>
        </w:tc>
        <w:tc>
          <w:tcPr>
            <w:tcW w:w="448" w:type="pct"/>
            <w:tcBorders>
              <w:top w:val="single" w:sz="12" w:space="0" w:color="auto"/>
            </w:tcBorders>
            <w:shd w:val="clear" w:color="auto" w:fill="auto"/>
            <w:hideMark/>
          </w:tcPr>
          <w:p w14:paraId="2E880608" w14:textId="53C667C7" w:rsidR="00C72F61" w:rsidRDefault="00C72F61" w:rsidP="00017C13">
            <w:pPr>
              <w:pStyle w:val="TableText"/>
              <w:jc w:val="left"/>
            </w:pPr>
            <w:r>
              <w:t>&lt;24-hour old</w:t>
            </w:r>
          </w:p>
        </w:tc>
        <w:tc>
          <w:tcPr>
            <w:tcW w:w="398" w:type="pct"/>
            <w:tcBorders>
              <w:top w:val="single" w:sz="12" w:space="0" w:color="auto"/>
            </w:tcBorders>
            <w:shd w:val="clear" w:color="auto" w:fill="auto"/>
            <w:hideMark/>
          </w:tcPr>
          <w:p w14:paraId="335C1FFF" w14:textId="476F3925" w:rsidR="00C72F61" w:rsidRDefault="00C72F61" w:rsidP="00017C13">
            <w:pPr>
              <w:pStyle w:val="TableText"/>
              <w:jc w:val="left"/>
            </w:pPr>
            <w:r>
              <w:t>7</w:t>
            </w:r>
          </w:p>
        </w:tc>
        <w:tc>
          <w:tcPr>
            <w:tcW w:w="696" w:type="pct"/>
            <w:tcBorders>
              <w:top w:val="single" w:sz="12" w:space="0" w:color="auto"/>
            </w:tcBorders>
            <w:shd w:val="clear" w:color="auto" w:fill="auto"/>
          </w:tcPr>
          <w:p w14:paraId="7044513A" w14:textId="77777777" w:rsidR="00C72F61" w:rsidRDefault="00C72F61" w:rsidP="00017C13">
            <w:pPr>
              <w:pStyle w:val="TableText"/>
              <w:jc w:val="left"/>
            </w:pPr>
            <w:r>
              <w:t>NOEC</w:t>
            </w:r>
          </w:p>
          <w:p w14:paraId="07ED04E0" w14:textId="589251F2" w:rsidR="00C72F61" w:rsidRDefault="00C72F61" w:rsidP="00017C13">
            <w:pPr>
              <w:pStyle w:val="TableText"/>
              <w:jc w:val="left"/>
            </w:pPr>
            <w:r>
              <w:t>(Survival)</w:t>
            </w:r>
          </w:p>
        </w:tc>
        <w:tc>
          <w:tcPr>
            <w:tcW w:w="700" w:type="pct"/>
            <w:tcBorders>
              <w:top w:val="single" w:sz="12" w:space="0" w:color="auto"/>
            </w:tcBorders>
            <w:shd w:val="clear" w:color="auto" w:fill="auto"/>
            <w:hideMark/>
          </w:tcPr>
          <w:p w14:paraId="2AE0C0F2" w14:textId="15FD6386" w:rsidR="00C72F61" w:rsidRDefault="00C72F61" w:rsidP="00017C13">
            <w:pPr>
              <w:pStyle w:val="TableText"/>
              <w:jc w:val="left"/>
            </w:pPr>
            <w:r>
              <w:t>Dilution water</w:t>
            </w:r>
          </w:p>
        </w:tc>
        <w:tc>
          <w:tcPr>
            <w:tcW w:w="448" w:type="pct"/>
            <w:tcBorders>
              <w:top w:val="single" w:sz="12" w:space="0" w:color="auto"/>
            </w:tcBorders>
            <w:shd w:val="clear" w:color="auto" w:fill="auto"/>
            <w:hideMark/>
          </w:tcPr>
          <w:p w14:paraId="0B56C6E7" w14:textId="58C25067" w:rsidR="00C72F61" w:rsidRDefault="00C72F61" w:rsidP="00017C13">
            <w:pPr>
              <w:pStyle w:val="TableText"/>
              <w:jc w:val="left"/>
            </w:pPr>
            <w:r>
              <w:t xml:space="preserve">24–25 </w:t>
            </w:r>
          </w:p>
        </w:tc>
        <w:tc>
          <w:tcPr>
            <w:tcW w:w="350" w:type="pct"/>
            <w:tcBorders>
              <w:top w:val="single" w:sz="12" w:space="0" w:color="auto"/>
            </w:tcBorders>
            <w:shd w:val="clear" w:color="auto" w:fill="auto"/>
            <w:hideMark/>
          </w:tcPr>
          <w:p w14:paraId="1B194E3B" w14:textId="60A86712" w:rsidR="00C72F61" w:rsidRDefault="00C72F61" w:rsidP="00017C13">
            <w:pPr>
              <w:pStyle w:val="TableText"/>
              <w:jc w:val="left"/>
            </w:pPr>
            <w:r>
              <w:t>4.7–8.2</w:t>
            </w:r>
          </w:p>
        </w:tc>
        <w:tc>
          <w:tcPr>
            <w:tcW w:w="458" w:type="pct"/>
            <w:tcBorders>
              <w:top w:val="single" w:sz="12" w:space="0" w:color="auto"/>
            </w:tcBorders>
            <w:shd w:val="clear" w:color="auto" w:fill="auto"/>
            <w:hideMark/>
          </w:tcPr>
          <w:p w14:paraId="34DAFDC2" w14:textId="22D3BE4D" w:rsidR="00C72F61" w:rsidRPr="00A37153" w:rsidRDefault="00C72F61" w:rsidP="00017C13">
            <w:pPr>
              <w:pStyle w:val="TableText"/>
              <w:jc w:val="left"/>
            </w:pPr>
            <w:r>
              <w:t>65</w:t>
            </w:r>
            <w:r w:rsidRPr="00A37153">
              <w:t> </w:t>
            </w:r>
            <w:r>
              <w:t>0</w:t>
            </w:r>
            <w:r w:rsidRPr="00A37153">
              <w:t>00</w:t>
            </w:r>
          </w:p>
        </w:tc>
        <w:tc>
          <w:tcPr>
            <w:tcW w:w="469" w:type="pct"/>
            <w:tcBorders>
              <w:top w:val="single" w:sz="12" w:space="0" w:color="auto"/>
            </w:tcBorders>
            <w:shd w:val="clear" w:color="auto" w:fill="auto"/>
            <w:hideMark/>
          </w:tcPr>
          <w:p w14:paraId="5045CA86" w14:textId="7AF7449D" w:rsidR="00C72F61" w:rsidRPr="00661EB0" w:rsidRDefault="00C72F61" w:rsidP="00017C13">
            <w:pPr>
              <w:pStyle w:val="TableText"/>
              <w:jc w:val="left"/>
            </w:pPr>
            <w:r>
              <w:t>SEC (2007)</w:t>
            </w:r>
          </w:p>
        </w:tc>
      </w:tr>
      <w:tr w:rsidR="00C72F61" w14:paraId="4B324A77" w14:textId="77777777" w:rsidTr="00C72F61">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4" w:space="0" w:color="auto"/>
            </w:tcBorders>
            <w:shd w:val="clear" w:color="auto" w:fill="auto"/>
          </w:tcPr>
          <w:p w14:paraId="1FF94638" w14:textId="77777777" w:rsidR="00C72F61" w:rsidRDefault="00C72F61" w:rsidP="00017C13">
            <w:pPr>
              <w:pStyle w:val="TableText"/>
              <w:jc w:val="left"/>
            </w:pPr>
            <w:r>
              <w:t>–</w:t>
            </w:r>
          </w:p>
        </w:tc>
        <w:tc>
          <w:tcPr>
            <w:tcW w:w="458" w:type="pct"/>
            <w:tcBorders>
              <w:bottom w:val="single" w:sz="4" w:space="0" w:color="auto"/>
            </w:tcBorders>
            <w:shd w:val="clear" w:color="auto" w:fill="auto"/>
            <w:hideMark/>
          </w:tcPr>
          <w:p w14:paraId="390790FC" w14:textId="3E102F87" w:rsidR="00C72F61" w:rsidRPr="00A37153" w:rsidRDefault="00C72F61" w:rsidP="00017C13">
            <w:pPr>
              <w:pStyle w:val="TableText"/>
              <w:jc w:val="left"/>
            </w:pPr>
            <w:r>
              <w:t>65</w:t>
            </w:r>
            <w:r w:rsidRPr="00A37153">
              <w:t> </w:t>
            </w:r>
            <w:r>
              <w:t>0</w:t>
            </w:r>
            <w:r w:rsidRPr="00A37153">
              <w:t>00</w:t>
            </w:r>
          </w:p>
        </w:tc>
        <w:tc>
          <w:tcPr>
            <w:tcW w:w="469" w:type="pct"/>
            <w:tcBorders>
              <w:bottom w:val="single" w:sz="4" w:space="0" w:color="auto"/>
            </w:tcBorders>
            <w:shd w:val="clear" w:color="auto" w:fill="auto"/>
            <w:hideMark/>
          </w:tcPr>
          <w:p w14:paraId="7251E7B0" w14:textId="77777777" w:rsidR="00C72F61" w:rsidRPr="00661EB0" w:rsidRDefault="00C72F61" w:rsidP="00017C13">
            <w:pPr>
              <w:pStyle w:val="TableText"/>
              <w:jc w:val="left"/>
            </w:pPr>
            <w:r w:rsidRPr="00661EB0">
              <w:rPr>
                <w:rFonts w:cs="Calibri"/>
                <w:b/>
              </w:rPr>
              <w:t>VALUE USED IN SSD</w:t>
            </w:r>
          </w:p>
        </w:tc>
      </w:tr>
      <w:tr w:rsidR="00955EF0" w14:paraId="02EA19D5" w14:textId="77777777" w:rsidTr="00664659">
        <w:trPr>
          <w:cnfStyle w:val="000000100000" w:firstRow="0" w:lastRow="0" w:firstColumn="0" w:lastColumn="0" w:oddVBand="0" w:evenVBand="0" w:oddHBand="1" w:evenHBand="0" w:firstRowFirstColumn="0" w:firstRowLastColumn="0" w:lastRowFirstColumn="0" w:lastRowLastColumn="0"/>
          <w:cantSplit/>
          <w:trHeight w:val="734"/>
        </w:trPr>
        <w:tc>
          <w:tcPr>
            <w:tcW w:w="536" w:type="pct"/>
            <w:tcBorders>
              <w:top w:val="single" w:sz="12" w:space="0" w:color="auto"/>
            </w:tcBorders>
            <w:shd w:val="clear" w:color="auto" w:fill="auto"/>
            <w:hideMark/>
          </w:tcPr>
          <w:p w14:paraId="2624DC3F" w14:textId="77777777" w:rsidR="00955EF0" w:rsidRDefault="00955EF0" w:rsidP="00661EB0">
            <w:pPr>
              <w:pStyle w:val="TableText"/>
              <w:jc w:val="left"/>
            </w:pPr>
            <w:r>
              <w:t>Crustacean</w:t>
            </w:r>
          </w:p>
          <w:p w14:paraId="11289B5D" w14:textId="6F22227E" w:rsidR="00955EF0" w:rsidRDefault="00955EF0" w:rsidP="00661EB0">
            <w:pPr>
              <w:pStyle w:val="TableText"/>
              <w:jc w:val="left"/>
            </w:pPr>
            <w:r>
              <w:t>(Arthropoda)</w:t>
            </w:r>
          </w:p>
        </w:tc>
        <w:tc>
          <w:tcPr>
            <w:tcW w:w="497" w:type="pct"/>
            <w:tcBorders>
              <w:top w:val="single" w:sz="12" w:space="0" w:color="auto"/>
            </w:tcBorders>
            <w:shd w:val="clear" w:color="auto" w:fill="auto"/>
            <w:hideMark/>
          </w:tcPr>
          <w:p w14:paraId="5DDCED04" w14:textId="2D5BBB9A" w:rsidR="00955EF0" w:rsidRPr="00661EB0" w:rsidRDefault="00955EF0" w:rsidP="00282321">
            <w:pPr>
              <w:pStyle w:val="TableText"/>
              <w:jc w:val="left"/>
            </w:pPr>
            <w:r w:rsidRPr="00DB321B">
              <w:rPr>
                <w:rStyle w:val="Emphasis"/>
              </w:rPr>
              <w:t>Cherax quadricarinatus</w:t>
            </w:r>
          </w:p>
        </w:tc>
        <w:tc>
          <w:tcPr>
            <w:tcW w:w="448" w:type="pct"/>
            <w:tcBorders>
              <w:top w:val="single" w:sz="12" w:space="0" w:color="auto"/>
            </w:tcBorders>
            <w:shd w:val="clear" w:color="auto" w:fill="auto"/>
            <w:hideMark/>
          </w:tcPr>
          <w:p w14:paraId="7F7D8F10" w14:textId="77777777" w:rsidR="00955EF0" w:rsidRDefault="00955EF0" w:rsidP="00661EB0">
            <w:pPr>
              <w:pStyle w:val="TableText"/>
              <w:jc w:val="left"/>
            </w:pPr>
            <w:r>
              <w:t>Advanced juvenile</w:t>
            </w:r>
          </w:p>
        </w:tc>
        <w:tc>
          <w:tcPr>
            <w:tcW w:w="398" w:type="pct"/>
            <w:tcBorders>
              <w:top w:val="single" w:sz="12" w:space="0" w:color="auto"/>
            </w:tcBorders>
            <w:shd w:val="clear" w:color="auto" w:fill="auto"/>
            <w:hideMark/>
          </w:tcPr>
          <w:p w14:paraId="0EE64623" w14:textId="77777777" w:rsidR="00955EF0" w:rsidRDefault="00955EF0" w:rsidP="00661EB0">
            <w:pPr>
              <w:pStyle w:val="TableText"/>
              <w:jc w:val="left"/>
            </w:pPr>
            <w:r>
              <w:t>50</w:t>
            </w:r>
          </w:p>
        </w:tc>
        <w:tc>
          <w:tcPr>
            <w:tcW w:w="696" w:type="pct"/>
            <w:tcBorders>
              <w:top w:val="single" w:sz="12" w:space="0" w:color="auto"/>
            </w:tcBorders>
            <w:shd w:val="clear" w:color="auto" w:fill="auto"/>
          </w:tcPr>
          <w:p w14:paraId="09170871" w14:textId="77777777" w:rsidR="00955EF0" w:rsidRDefault="00955EF0" w:rsidP="00661EB0">
            <w:pPr>
              <w:pStyle w:val="TableText"/>
              <w:jc w:val="left"/>
            </w:pPr>
            <w:r>
              <w:t>NOEC</w:t>
            </w:r>
          </w:p>
          <w:p w14:paraId="53AB8F79" w14:textId="3338C7CE" w:rsidR="00955EF0" w:rsidRDefault="00955EF0" w:rsidP="00661EB0">
            <w:pPr>
              <w:pStyle w:val="TableText"/>
              <w:jc w:val="left"/>
            </w:pPr>
            <w:r>
              <w:t>(Growth)</w:t>
            </w:r>
          </w:p>
        </w:tc>
        <w:tc>
          <w:tcPr>
            <w:tcW w:w="700" w:type="pct"/>
            <w:tcBorders>
              <w:top w:val="single" w:sz="12" w:space="0" w:color="auto"/>
            </w:tcBorders>
            <w:shd w:val="clear" w:color="auto" w:fill="auto"/>
            <w:hideMark/>
          </w:tcPr>
          <w:p w14:paraId="77ABE62D" w14:textId="77777777" w:rsidR="00955EF0" w:rsidRDefault="00955EF0" w:rsidP="00661EB0">
            <w:pPr>
              <w:pStyle w:val="TableText"/>
              <w:jc w:val="left"/>
            </w:pPr>
            <w:r>
              <w:t>Dechlorinated filtered tap water</w:t>
            </w:r>
          </w:p>
        </w:tc>
        <w:tc>
          <w:tcPr>
            <w:tcW w:w="448" w:type="pct"/>
            <w:tcBorders>
              <w:top w:val="single" w:sz="12" w:space="0" w:color="auto"/>
            </w:tcBorders>
            <w:shd w:val="clear" w:color="auto" w:fill="auto"/>
            <w:hideMark/>
          </w:tcPr>
          <w:p w14:paraId="18AA48A8" w14:textId="77777777" w:rsidR="00955EF0" w:rsidRDefault="00955EF0" w:rsidP="00661EB0">
            <w:pPr>
              <w:pStyle w:val="TableText"/>
              <w:jc w:val="left"/>
            </w:pPr>
            <w:r>
              <w:t>27 ± 1</w:t>
            </w:r>
          </w:p>
        </w:tc>
        <w:tc>
          <w:tcPr>
            <w:tcW w:w="350" w:type="pct"/>
            <w:tcBorders>
              <w:top w:val="single" w:sz="12" w:space="0" w:color="auto"/>
            </w:tcBorders>
            <w:shd w:val="clear" w:color="auto" w:fill="auto"/>
            <w:hideMark/>
          </w:tcPr>
          <w:p w14:paraId="57B215B1" w14:textId="77777777" w:rsidR="00955EF0" w:rsidRDefault="00955EF0" w:rsidP="00661EB0">
            <w:pPr>
              <w:pStyle w:val="TableText"/>
              <w:jc w:val="left"/>
            </w:pPr>
            <w:r>
              <w:t>8.0 ± 0.5</w:t>
            </w:r>
          </w:p>
        </w:tc>
        <w:tc>
          <w:tcPr>
            <w:tcW w:w="458" w:type="pct"/>
            <w:tcBorders>
              <w:top w:val="single" w:sz="12" w:space="0" w:color="auto"/>
            </w:tcBorders>
            <w:shd w:val="clear" w:color="auto" w:fill="auto"/>
            <w:hideMark/>
          </w:tcPr>
          <w:p w14:paraId="65F71E23" w14:textId="5C3407F6" w:rsidR="00955EF0" w:rsidRPr="00A37153" w:rsidRDefault="00955EF0" w:rsidP="00A37153">
            <w:pPr>
              <w:pStyle w:val="TableText"/>
              <w:jc w:val="left"/>
            </w:pPr>
            <w:r w:rsidRPr="00A37153">
              <w:t>22 500</w:t>
            </w:r>
          </w:p>
        </w:tc>
        <w:tc>
          <w:tcPr>
            <w:tcW w:w="469" w:type="pct"/>
            <w:tcBorders>
              <w:top w:val="single" w:sz="12" w:space="0" w:color="auto"/>
            </w:tcBorders>
            <w:shd w:val="clear" w:color="auto" w:fill="auto"/>
            <w:hideMark/>
          </w:tcPr>
          <w:p w14:paraId="544C01B3" w14:textId="77777777" w:rsidR="00955EF0" w:rsidRPr="00661EB0" w:rsidRDefault="00955EF0" w:rsidP="00661EB0">
            <w:pPr>
              <w:pStyle w:val="TableText"/>
              <w:jc w:val="left"/>
            </w:pPr>
            <w:r w:rsidRPr="00661EB0">
              <w:t>Frontera et al. (2011)</w:t>
            </w:r>
          </w:p>
        </w:tc>
      </w:tr>
      <w:tr w:rsidR="00661EB0" w14:paraId="355564D0" w14:textId="77777777" w:rsidTr="00C72F61">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4" w:space="0" w:color="auto"/>
            </w:tcBorders>
            <w:shd w:val="clear" w:color="auto" w:fill="auto"/>
          </w:tcPr>
          <w:p w14:paraId="73F9F6E6" w14:textId="6D8914C4" w:rsidR="00661EB0" w:rsidRDefault="00282321" w:rsidP="00661EB0">
            <w:pPr>
              <w:pStyle w:val="TableText"/>
              <w:jc w:val="left"/>
            </w:pPr>
            <w:r>
              <w:t>–</w:t>
            </w:r>
          </w:p>
        </w:tc>
        <w:tc>
          <w:tcPr>
            <w:tcW w:w="458" w:type="pct"/>
            <w:tcBorders>
              <w:bottom w:val="single" w:sz="4" w:space="0" w:color="auto"/>
            </w:tcBorders>
            <w:shd w:val="clear" w:color="auto" w:fill="auto"/>
            <w:hideMark/>
          </w:tcPr>
          <w:p w14:paraId="5781CFC3" w14:textId="3280642F" w:rsidR="00661EB0" w:rsidRPr="00A37153" w:rsidRDefault="00661EB0" w:rsidP="00A37153">
            <w:pPr>
              <w:pStyle w:val="TableText"/>
              <w:jc w:val="left"/>
            </w:pPr>
            <w:r w:rsidRPr="00A37153">
              <w:rPr>
                <w:b/>
              </w:rPr>
              <w:t>22</w:t>
            </w:r>
            <w:r w:rsidR="00A37153" w:rsidRPr="00A37153">
              <w:rPr>
                <w:b/>
              </w:rPr>
              <w:t> </w:t>
            </w:r>
            <w:r w:rsidRPr="00A37153">
              <w:rPr>
                <w:b/>
              </w:rPr>
              <w:t>500</w:t>
            </w:r>
          </w:p>
        </w:tc>
        <w:tc>
          <w:tcPr>
            <w:tcW w:w="469" w:type="pct"/>
            <w:tcBorders>
              <w:bottom w:val="single" w:sz="4" w:space="0" w:color="auto"/>
            </w:tcBorders>
            <w:shd w:val="clear" w:color="auto" w:fill="auto"/>
            <w:hideMark/>
          </w:tcPr>
          <w:p w14:paraId="2A0C4F92" w14:textId="77777777" w:rsidR="00661EB0" w:rsidRPr="00661EB0" w:rsidRDefault="00661EB0" w:rsidP="00661EB0">
            <w:pPr>
              <w:pStyle w:val="TableText"/>
              <w:jc w:val="left"/>
            </w:pPr>
            <w:r w:rsidRPr="00661EB0">
              <w:rPr>
                <w:rFonts w:cs="Calibri"/>
                <w:b/>
              </w:rPr>
              <w:t>VALUE USED IN SSD</w:t>
            </w:r>
          </w:p>
        </w:tc>
      </w:tr>
      <w:tr w:rsidR="00955EF0" w:rsidRPr="00232C90" w14:paraId="5BC1D4BB" w14:textId="77777777" w:rsidTr="00232C90">
        <w:trPr>
          <w:cnfStyle w:val="000000100000" w:firstRow="0" w:lastRow="0" w:firstColumn="0" w:lastColumn="0" w:oddVBand="0" w:evenVBand="0" w:oddHBand="1" w:evenHBand="0" w:firstRowFirstColumn="0" w:firstRowLastColumn="0" w:lastRowFirstColumn="0" w:lastRowLastColumn="0"/>
          <w:cantSplit/>
        </w:trPr>
        <w:tc>
          <w:tcPr>
            <w:tcW w:w="536" w:type="pct"/>
            <w:tcBorders>
              <w:top w:val="single" w:sz="4" w:space="0" w:color="auto"/>
            </w:tcBorders>
            <w:shd w:val="clear" w:color="auto" w:fill="auto"/>
            <w:hideMark/>
          </w:tcPr>
          <w:p w14:paraId="156B067D" w14:textId="77777777" w:rsidR="00955EF0" w:rsidRPr="00232C90" w:rsidRDefault="00955EF0" w:rsidP="00677567">
            <w:pPr>
              <w:pStyle w:val="TableText"/>
              <w:jc w:val="left"/>
            </w:pPr>
            <w:r w:rsidRPr="00232C90">
              <w:t>Crustacean</w:t>
            </w:r>
          </w:p>
          <w:p w14:paraId="089DE2C4" w14:textId="45E4ACEC" w:rsidR="00955EF0" w:rsidRPr="00232C90" w:rsidRDefault="00955EF0" w:rsidP="00677567">
            <w:pPr>
              <w:pStyle w:val="TableText"/>
              <w:jc w:val="left"/>
            </w:pPr>
            <w:r w:rsidRPr="00232C90">
              <w:t>(Arthropoda)</w:t>
            </w:r>
          </w:p>
        </w:tc>
        <w:tc>
          <w:tcPr>
            <w:tcW w:w="497" w:type="pct"/>
            <w:tcBorders>
              <w:top w:val="single" w:sz="4" w:space="0" w:color="auto"/>
            </w:tcBorders>
            <w:shd w:val="clear" w:color="auto" w:fill="auto"/>
            <w:hideMark/>
          </w:tcPr>
          <w:p w14:paraId="2C114076" w14:textId="42039AC3" w:rsidR="00955EF0" w:rsidRPr="00232C90" w:rsidRDefault="00955EF0" w:rsidP="00677567">
            <w:pPr>
              <w:pStyle w:val="TableText"/>
              <w:jc w:val="left"/>
            </w:pPr>
            <w:r w:rsidRPr="00232C90">
              <w:rPr>
                <w:rStyle w:val="Emphasis"/>
              </w:rPr>
              <w:t>Daphnia magna</w:t>
            </w:r>
          </w:p>
        </w:tc>
        <w:tc>
          <w:tcPr>
            <w:tcW w:w="448" w:type="pct"/>
            <w:tcBorders>
              <w:top w:val="single" w:sz="4" w:space="0" w:color="auto"/>
            </w:tcBorders>
            <w:shd w:val="clear" w:color="auto" w:fill="auto"/>
            <w:hideMark/>
          </w:tcPr>
          <w:p w14:paraId="2CE2BEBE" w14:textId="51D36B8B" w:rsidR="00955EF0" w:rsidRPr="00232C90" w:rsidRDefault="00955EF0" w:rsidP="00661EB0">
            <w:pPr>
              <w:pStyle w:val="TableText"/>
              <w:jc w:val="left"/>
            </w:pPr>
            <w:r w:rsidRPr="00232C90">
              <w:t>Neonates</w:t>
            </w:r>
          </w:p>
        </w:tc>
        <w:tc>
          <w:tcPr>
            <w:tcW w:w="398" w:type="pct"/>
            <w:tcBorders>
              <w:top w:val="single" w:sz="4" w:space="0" w:color="auto"/>
            </w:tcBorders>
            <w:shd w:val="clear" w:color="auto" w:fill="auto"/>
            <w:hideMark/>
          </w:tcPr>
          <w:p w14:paraId="11BC4AA1" w14:textId="77777777" w:rsidR="00955EF0" w:rsidRPr="00232C90" w:rsidRDefault="00955EF0" w:rsidP="00661EB0">
            <w:pPr>
              <w:pStyle w:val="TableText"/>
              <w:jc w:val="left"/>
            </w:pPr>
            <w:r w:rsidRPr="00232C90">
              <w:t>55</w:t>
            </w:r>
          </w:p>
        </w:tc>
        <w:tc>
          <w:tcPr>
            <w:tcW w:w="696" w:type="pct"/>
            <w:tcBorders>
              <w:top w:val="single" w:sz="4" w:space="0" w:color="auto"/>
            </w:tcBorders>
            <w:shd w:val="clear" w:color="auto" w:fill="auto"/>
            <w:hideMark/>
          </w:tcPr>
          <w:p w14:paraId="05E9580C" w14:textId="77777777" w:rsidR="00955EF0" w:rsidRPr="00232C90" w:rsidRDefault="00955EF0" w:rsidP="004371E7">
            <w:pPr>
              <w:pStyle w:val="TableText"/>
              <w:jc w:val="left"/>
            </w:pPr>
            <w:r w:rsidRPr="00232C90">
              <w:t>NOEC</w:t>
            </w:r>
          </w:p>
          <w:p w14:paraId="15F1E42C" w14:textId="63E37E21" w:rsidR="00955EF0" w:rsidRPr="00232C90" w:rsidRDefault="00955EF0" w:rsidP="004371E7">
            <w:pPr>
              <w:pStyle w:val="TableText"/>
              <w:jc w:val="left"/>
            </w:pPr>
            <w:r w:rsidRPr="00232C90">
              <w:t>(Fecundity)</w:t>
            </w:r>
          </w:p>
        </w:tc>
        <w:tc>
          <w:tcPr>
            <w:tcW w:w="700" w:type="pct"/>
            <w:tcBorders>
              <w:top w:val="single" w:sz="4" w:space="0" w:color="auto"/>
            </w:tcBorders>
            <w:shd w:val="clear" w:color="auto" w:fill="auto"/>
            <w:hideMark/>
          </w:tcPr>
          <w:p w14:paraId="7BCB1976" w14:textId="77777777" w:rsidR="00955EF0" w:rsidRPr="00232C90" w:rsidRDefault="00955EF0" w:rsidP="00661EB0">
            <w:pPr>
              <w:pStyle w:val="TableText"/>
              <w:jc w:val="left"/>
            </w:pPr>
            <w:r w:rsidRPr="00232C90">
              <w:t>Aachener Daphnien Medium (adam)</w:t>
            </w:r>
          </w:p>
        </w:tc>
        <w:tc>
          <w:tcPr>
            <w:tcW w:w="448" w:type="pct"/>
            <w:tcBorders>
              <w:top w:val="single" w:sz="4" w:space="0" w:color="auto"/>
            </w:tcBorders>
            <w:shd w:val="clear" w:color="auto" w:fill="auto"/>
            <w:hideMark/>
          </w:tcPr>
          <w:p w14:paraId="399CCDE3" w14:textId="77777777" w:rsidR="00955EF0" w:rsidRPr="00232C90" w:rsidRDefault="00955EF0" w:rsidP="00661EB0">
            <w:pPr>
              <w:pStyle w:val="TableText"/>
              <w:jc w:val="left"/>
            </w:pPr>
            <w:r w:rsidRPr="00232C90">
              <w:t>27 ± 2</w:t>
            </w:r>
          </w:p>
        </w:tc>
        <w:tc>
          <w:tcPr>
            <w:tcW w:w="350" w:type="pct"/>
            <w:tcBorders>
              <w:top w:val="single" w:sz="4" w:space="0" w:color="auto"/>
            </w:tcBorders>
            <w:shd w:val="clear" w:color="auto" w:fill="auto"/>
            <w:hideMark/>
          </w:tcPr>
          <w:p w14:paraId="4F934745" w14:textId="77777777" w:rsidR="00955EF0" w:rsidRPr="00232C90" w:rsidRDefault="00955EF0" w:rsidP="00661EB0">
            <w:pPr>
              <w:pStyle w:val="TableText"/>
              <w:jc w:val="left"/>
            </w:pPr>
            <w:r w:rsidRPr="00232C90">
              <w:t>7.5 ± 0.7</w:t>
            </w:r>
          </w:p>
        </w:tc>
        <w:tc>
          <w:tcPr>
            <w:tcW w:w="458" w:type="pct"/>
            <w:tcBorders>
              <w:top w:val="single" w:sz="4" w:space="0" w:color="auto"/>
            </w:tcBorders>
            <w:shd w:val="clear" w:color="auto" w:fill="auto"/>
            <w:hideMark/>
          </w:tcPr>
          <w:p w14:paraId="6021F8AF" w14:textId="77777777" w:rsidR="00955EF0" w:rsidRPr="00232C90" w:rsidRDefault="00955EF0" w:rsidP="00661EB0">
            <w:pPr>
              <w:pStyle w:val="TableText"/>
              <w:jc w:val="left"/>
            </w:pPr>
            <w:r w:rsidRPr="00232C90">
              <w:t>450</w:t>
            </w:r>
          </w:p>
        </w:tc>
        <w:tc>
          <w:tcPr>
            <w:tcW w:w="469" w:type="pct"/>
            <w:tcBorders>
              <w:top w:val="single" w:sz="4" w:space="0" w:color="auto"/>
            </w:tcBorders>
            <w:shd w:val="clear" w:color="auto" w:fill="auto"/>
            <w:hideMark/>
          </w:tcPr>
          <w:p w14:paraId="124E2A84" w14:textId="77777777" w:rsidR="00955EF0" w:rsidRPr="00232C90" w:rsidRDefault="00955EF0" w:rsidP="00661EB0">
            <w:pPr>
              <w:pStyle w:val="TableText"/>
              <w:jc w:val="left"/>
            </w:pPr>
            <w:r w:rsidRPr="00232C90">
              <w:t>Cuhra et al. (2013)</w:t>
            </w:r>
          </w:p>
        </w:tc>
      </w:tr>
      <w:tr w:rsidR="00282321" w14:paraId="39D3A22C" w14:textId="77777777" w:rsidTr="00232C90">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4" w:space="0" w:color="auto"/>
            </w:tcBorders>
            <w:shd w:val="clear" w:color="auto" w:fill="auto"/>
          </w:tcPr>
          <w:p w14:paraId="1EC14B7A" w14:textId="1737A437" w:rsidR="00282321" w:rsidRPr="00232C90" w:rsidRDefault="00282321" w:rsidP="00661EB0">
            <w:pPr>
              <w:pStyle w:val="TableText"/>
              <w:jc w:val="left"/>
            </w:pPr>
            <w:r w:rsidRPr="00232C90">
              <w:t>–</w:t>
            </w:r>
          </w:p>
        </w:tc>
        <w:tc>
          <w:tcPr>
            <w:tcW w:w="458" w:type="pct"/>
            <w:tcBorders>
              <w:bottom w:val="single" w:sz="4" w:space="0" w:color="auto"/>
            </w:tcBorders>
            <w:shd w:val="clear" w:color="auto" w:fill="auto"/>
            <w:hideMark/>
          </w:tcPr>
          <w:p w14:paraId="78793B64" w14:textId="4E1D0AED" w:rsidR="00282321" w:rsidRPr="00232C90" w:rsidRDefault="00AB7303" w:rsidP="00661EB0">
            <w:pPr>
              <w:pStyle w:val="TableText"/>
              <w:jc w:val="left"/>
            </w:pPr>
            <w:r w:rsidRPr="00232C90">
              <w:rPr>
                <w:b/>
              </w:rPr>
              <w:t>450</w:t>
            </w:r>
          </w:p>
        </w:tc>
        <w:tc>
          <w:tcPr>
            <w:tcW w:w="469" w:type="pct"/>
            <w:tcBorders>
              <w:bottom w:val="single" w:sz="4" w:space="0" w:color="auto"/>
            </w:tcBorders>
            <w:shd w:val="clear" w:color="auto" w:fill="auto"/>
            <w:hideMark/>
          </w:tcPr>
          <w:p w14:paraId="5DE874BF" w14:textId="29092D43" w:rsidR="00282321" w:rsidRPr="00661EB0" w:rsidRDefault="00282321" w:rsidP="00661EB0">
            <w:pPr>
              <w:pStyle w:val="TableText"/>
              <w:jc w:val="left"/>
              <w:rPr>
                <w:rFonts w:cs="Calibri"/>
              </w:rPr>
            </w:pPr>
            <w:r w:rsidRPr="00232C90">
              <w:rPr>
                <w:rFonts w:cs="Calibri"/>
                <w:b/>
              </w:rPr>
              <w:t>VALUE USED IN SSD</w:t>
            </w:r>
            <w:r w:rsidR="00060C4F" w:rsidRPr="00232C90">
              <w:rPr>
                <w:rFonts w:cs="Calibri"/>
                <w:b/>
              </w:rPr>
              <w:t xml:space="preserve"> </w:t>
            </w:r>
          </w:p>
        </w:tc>
      </w:tr>
      <w:tr w:rsidR="00F27E5D" w14:paraId="19C2A20F" w14:textId="77777777" w:rsidTr="00790143">
        <w:trPr>
          <w:cnfStyle w:val="000000100000" w:firstRow="0" w:lastRow="0" w:firstColumn="0" w:lastColumn="0" w:oddVBand="0" w:evenVBand="0" w:oddHBand="1" w:evenHBand="0" w:firstRowFirstColumn="0" w:firstRowLastColumn="0" w:lastRowFirstColumn="0" w:lastRowLastColumn="0"/>
          <w:cantSplit/>
        </w:trPr>
        <w:tc>
          <w:tcPr>
            <w:tcW w:w="536" w:type="pct"/>
            <w:vMerge w:val="restart"/>
            <w:tcBorders>
              <w:top w:val="single" w:sz="4" w:space="0" w:color="auto"/>
            </w:tcBorders>
            <w:shd w:val="clear" w:color="auto" w:fill="auto"/>
            <w:hideMark/>
          </w:tcPr>
          <w:p w14:paraId="60979202" w14:textId="77777777" w:rsidR="00F27E5D" w:rsidRDefault="00F27E5D" w:rsidP="00664659">
            <w:pPr>
              <w:pStyle w:val="TableText"/>
              <w:jc w:val="left"/>
            </w:pPr>
            <w:r>
              <w:t>Crustacean</w:t>
            </w:r>
          </w:p>
          <w:p w14:paraId="0BC33E06" w14:textId="31C9398F" w:rsidR="00F27E5D" w:rsidRDefault="00F27E5D" w:rsidP="00664659">
            <w:pPr>
              <w:pStyle w:val="TableText"/>
              <w:jc w:val="left"/>
            </w:pPr>
            <w:r>
              <w:t>(Arthropoda</w:t>
            </w:r>
          </w:p>
        </w:tc>
        <w:tc>
          <w:tcPr>
            <w:tcW w:w="497" w:type="pct"/>
            <w:vMerge w:val="restart"/>
            <w:tcBorders>
              <w:top w:val="single" w:sz="4" w:space="0" w:color="auto"/>
            </w:tcBorders>
            <w:shd w:val="clear" w:color="auto" w:fill="auto"/>
            <w:hideMark/>
          </w:tcPr>
          <w:p w14:paraId="5C2F1FA7" w14:textId="70E64739" w:rsidR="00F27E5D" w:rsidRPr="00661EB0" w:rsidRDefault="002D68B8" w:rsidP="00017C13">
            <w:pPr>
              <w:pStyle w:val="TableText"/>
              <w:jc w:val="left"/>
            </w:pPr>
            <w:r>
              <w:rPr>
                <w:rStyle w:val="Emphasis"/>
              </w:rPr>
              <w:t>Hyalella</w:t>
            </w:r>
            <w:r w:rsidR="00F27E5D">
              <w:rPr>
                <w:rStyle w:val="Emphasis"/>
              </w:rPr>
              <w:t xml:space="preserve"> azteca</w:t>
            </w:r>
          </w:p>
        </w:tc>
        <w:tc>
          <w:tcPr>
            <w:tcW w:w="448" w:type="pct"/>
            <w:tcBorders>
              <w:top w:val="single" w:sz="4" w:space="0" w:color="auto"/>
              <w:bottom w:val="single" w:sz="4" w:space="0" w:color="auto"/>
            </w:tcBorders>
            <w:shd w:val="clear" w:color="auto" w:fill="auto"/>
            <w:hideMark/>
          </w:tcPr>
          <w:p w14:paraId="16DE41B5" w14:textId="5FC229FC" w:rsidR="00F27E5D" w:rsidRDefault="00F27E5D" w:rsidP="00017C13">
            <w:pPr>
              <w:pStyle w:val="TableText"/>
              <w:jc w:val="left"/>
            </w:pPr>
            <w:r>
              <w:t>Juvenile</w:t>
            </w:r>
          </w:p>
        </w:tc>
        <w:tc>
          <w:tcPr>
            <w:tcW w:w="398" w:type="pct"/>
            <w:tcBorders>
              <w:top w:val="single" w:sz="4" w:space="0" w:color="auto"/>
              <w:bottom w:val="single" w:sz="4" w:space="0" w:color="auto"/>
            </w:tcBorders>
            <w:shd w:val="clear" w:color="auto" w:fill="auto"/>
            <w:hideMark/>
          </w:tcPr>
          <w:p w14:paraId="678B6FC7" w14:textId="5CB32B7F" w:rsidR="00F27E5D" w:rsidRDefault="00F27E5D" w:rsidP="00017C13">
            <w:pPr>
              <w:pStyle w:val="TableText"/>
              <w:jc w:val="left"/>
            </w:pPr>
            <w:r>
              <w:t>14</w:t>
            </w:r>
          </w:p>
        </w:tc>
        <w:tc>
          <w:tcPr>
            <w:tcW w:w="696" w:type="pct"/>
            <w:tcBorders>
              <w:top w:val="single" w:sz="4" w:space="0" w:color="auto"/>
              <w:bottom w:val="single" w:sz="4" w:space="0" w:color="auto"/>
            </w:tcBorders>
            <w:shd w:val="clear" w:color="auto" w:fill="auto"/>
            <w:hideMark/>
          </w:tcPr>
          <w:p w14:paraId="5371D45A" w14:textId="5B39ED10" w:rsidR="00F27E5D" w:rsidRDefault="00F27E5D" w:rsidP="00017C13">
            <w:pPr>
              <w:pStyle w:val="TableText"/>
              <w:jc w:val="left"/>
            </w:pPr>
            <w:r>
              <w:t>EC10</w:t>
            </w:r>
          </w:p>
          <w:p w14:paraId="6189BEDA" w14:textId="08F5A970" w:rsidR="00F27E5D" w:rsidRDefault="00F27E5D" w:rsidP="00017C13">
            <w:pPr>
              <w:pStyle w:val="TableText"/>
              <w:jc w:val="left"/>
            </w:pPr>
            <w:r>
              <w:t>(Survival)</w:t>
            </w:r>
          </w:p>
        </w:tc>
        <w:tc>
          <w:tcPr>
            <w:tcW w:w="700" w:type="pct"/>
            <w:tcBorders>
              <w:top w:val="single" w:sz="4" w:space="0" w:color="auto"/>
              <w:bottom w:val="single" w:sz="4" w:space="0" w:color="auto"/>
            </w:tcBorders>
            <w:shd w:val="clear" w:color="auto" w:fill="auto"/>
            <w:hideMark/>
          </w:tcPr>
          <w:p w14:paraId="7C6BA39C" w14:textId="78E4E6DE" w:rsidR="00F27E5D" w:rsidRDefault="00F27E5D" w:rsidP="00017C13">
            <w:pPr>
              <w:pStyle w:val="TableText"/>
              <w:jc w:val="left"/>
            </w:pPr>
            <w:r>
              <w:t>Dilution water</w:t>
            </w:r>
          </w:p>
        </w:tc>
        <w:tc>
          <w:tcPr>
            <w:tcW w:w="448" w:type="pct"/>
            <w:tcBorders>
              <w:top w:val="single" w:sz="4" w:space="0" w:color="auto"/>
              <w:bottom w:val="single" w:sz="4" w:space="0" w:color="auto"/>
            </w:tcBorders>
            <w:shd w:val="clear" w:color="auto" w:fill="auto"/>
            <w:hideMark/>
          </w:tcPr>
          <w:p w14:paraId="48707F86" w14:textId="07881AE4" w:rsidR="00F27E5D" w:rsidRDefault="00F27E5D" w:rsidP="00017C13">
            <w:pPr>
              <w:pStyle w:val="TableText"/>
              <w:jc w:val="left"/>
            </w:pPr>
            <w:r>
              <w:t xml:space="preserve">22–23 </w:t>
            </w:r>
          </w:p>
        </w:tc>
        <w:tc>
          <w:tcPr>
            <w:tcW w:w="350" w:type="pct"/>
            <w:tcBorders>
              <w:top w:val="single" w:sz="4" w:space="0" w:color="auto"/>
              <w:bottom w:val="single" w:sz="4" w:space="0" w:color="auto"/>
            </w:tcBorders>
            <w:shd w:val="clear" w:color="auto" w:fill="auto"/>
            <w:hideMark/>
          </w:tcPr>
          <w:p w14:paraId="1ED9083B" w14:textId="35CF8F71" w:rsidR="00F27E5D" w:rsidRDefault="00F27E5D" w:rsidP="00017C13">
            <w:pPr>
              <w:pStyle w:val="TableText"/>
              <w:jc w:val="left"/>
            </w:pPr>
            <w:r>
              <w:t>3.5–7.9</w:t>
            </w:r>
          </w:p>
        </w:tc>
        <w:tc>
          <w:tcPr>
            <w:tcW w:w="458" w:type="pct"/>
            <w:tcBorders>
              <w:top w:val="single" w:sz="4" w:space="0" w:color="auto"/>
              <w:bottom w:val="single" w:sz="4" w:space="0" w:color="auto"/>
            </w:tcBorders>
            <w:shd w:val="clear" w:color="auto" w:fill="auto"/>
            <w:hideMark/>
          </w:tcPr>
          <w:p w14:paraId="071D7D07" w14:textId="1720B038" w:rsidR="00F27E5D" w:rsidRPr="00A37153" w:rsidRDefault="00F27E5D" w:rsidP="00017C13">
            <w:pPr>
              <w:pStyle w:val="TableText"/>
              <w:jc w:val="left"/>
            </w:pPr>
            <w:r>
              <w:t>53</w:t>
            </w:r>
            <w:r w:rsidRPr="00A37153">
              <w:t> </w:t>
            </w:r>
            <w:r>
              <w:t>9</w:t>
            </w:r>
            <w:r w:rsidRPr="00A37153">
              <w:t>00</w:t>
            </w:r>
          </w:p>
        </w:tc>
        <w:tc>
          <w:tcPr>
            <w:tcW w:w="469" w:type="pct"/>
            <w:tcBorders>
              <w:top w:val="single" w:sz="4" w:space="0" w:color="auto"/>
              <w:bottom w:val="single" w:sz="4" w:space="0" w:color="auto"/>
            </w:tcBorders>
            <w:shd w:val="clear" w:color="auto" w:fill="auto"/>
            <w:hideMark/>
          </w:tcPr>
          <w:p w14:paraId="115234DC" w14:textId="7A4A3DAF" w:rsidR="00F27E5D" w:rsidRPr="00661EB0" w:rsidRDefault="00CF6DFC" w:rsidP="00017C13">
            <w:pPr>
              <w:pStyle w:val="TableText"/>
              <w:jc w:val="left"/>
            </w:pPr>
            <w:r>
              <w:t>SEC (2007)</w:t>
            </w:r>
          </w:p>
        </w:tc>
      </w:tr>
      <w:tr w:rsidR="00F27E5D" w14:paraId="5E3FD643" w14:textId="77777777" w:rsidTr="00790143">
        <w:trPr>
          <w:cnfStyle w:val="000000010000" w:firstRow="0" w:lastRow="0" w:firstColumn="0" w:lastColumn="0" w:oddVBand="0" w:evenVBand="0" w:oddHBand="0" w:evenHBand="1" w:firstRowFirstColumn="0" w:firstRowLastColumn="0" w:lastRowFirstColumn="0" w:lastRowLastColumn="0"/>
          <w:cantSplit/>
        </w:trPr>
        <w:tc>
          <w:tcPr>
            <w:tcW w:w="536" w:type="pct"/>
            <w:vMerge/>
            <w:shd w:val="clear" w:color="auto" w:fill="auto"/>
            <w:hideMark/>
          </w:tcPr>
          <w:p w14:paraId="2587D038" w14:textId="011F3E3F" w:rsidR="00F27E5D" w:rsidRDefault="00F27E5D" w:rsidP="00664659">
            <w:pPr>
              <w:pStyle w:val="TableText"/>
              <w:jc w:val="left"/>
            </w:pPr>
          </w:p>
        </w:tc>
        <w:tc>
          <w:tcPr>
            <w:tcW w:w="497" w:type="pct"/>
            <w:vMerge/>
            <w:shd w:val="clear" w:color="auto" w:fill="auto"/>
            <w:hideMark/>
          </w:tcPr>
          <w:p w14:paraId="664BB96D" w14:textId="5C15098B" w:rsidR="00F27E5D" w:rsidRPr="00661EB0" w:rsidRDefault="00F27E5D" w:rsidP="00664659">
            <w:pPr>
              <w:pStyle w:val="TableText"/>
              <w:jc w:val="left"/>
            </w:pPr>
          </w:p>
        </w:tc>
        <w:tc>
          <w:tcPr>
            <w:tcW w:w="448" w:type="pct"/>
            <w:tcBorders>
              <w:top w:val="single" w:sz="4" w:space="0" w:color="auto"/>
            </w:tcBorders>
            <w:shd w:val="clear" w:color="auto" w:fill="auto"/>
            <w:hideMark/>
          </w:tcPr>
          <w:p w14:paraId="02157693" w14:textId="22CB1CB5" w:rsidR="00F27E5D" w:rsidRDefault="00F27E5D" w:rsidP="00664659">
            <w:pPr>
              <w:pStyle w:val="TableText"/>
              <w:jc w:val="left"/>
            </w:pPr>
            <w:r>
              <w:t>Juvenile</w:t>
            </w:r>
          </w:p>
        </w:tc>
        <w:tc>
          <w:tcPr>
            <w:tcW w:w="398" w:type="pct"/>
            <w:tcBorders>
              <w:top w:val="single" w:sz="4" w:space="0" w:color="auto"/>
            </w:tcBorders>
            <w:shd w:val="clear" w:color="auto" w:fill="auto"/>
            <w:hideMark/>
          </w:tcPr>
          <w:p w14:paraId="0C728F11" w14:textId="0F11FD6C" w:rsidR="00F27E5D" w:rsidRDefault="00F27E5D" w:rsidP="00664659">
            <w:pPr>
              <w:pStyle w:val="TableText"/>
              <w:jc w:val="left"/>
            </w:pPr>
            <w:r>
              <w:t>14</w:t>
            </w:r>
          </w:p>
        </w:tc>
        <w:tc>
          <w:tcPr>
            <w:tcW w:w="696" w:type="pct"/>
            <w:tcBorders>
              <w:top w:val="single" w:sz="4" w:space="0" w:color="auto"/>
            </w:tcBorders>
            <w:shd w:val="clear" w:color="auto" w:fill="auto"/>
            <w:hideMark/>
          </w:tcPr>
          <w:p w14:paraId="088DDCC5" w14:textId="034A7A13" w:rsidR="00F27E5D" w:rsidRDefault="00F27E5D" w:rsidP="00664659">
            <w:pPr>
              <w:pStyle w:val="TableText"/>
              <w:jc w:val="left"/>
            </w:pPr>
            <w:r>
              <w:t>NOEC</w:t>
            </w:r>
          </w:p>
          <w:p w14:paraId="3D8399DA" w14:textId="455B2B7C" w:rsidR="00F27E5D" w:rsidRDefault="00F27E5D" w:rsidP="00664659">
            <w:pPr>
              <w:pStyle w:val="TableText"/>
              <w:jc w:val="left"/>
            </w:pPr>
            <w:r>
              <w:t>(Survival)</w:t>
            </w:r>
          </w:p>
        </w:tc>
        <w:tc>
          <w:tcPr>
            <w:tcW w:w="700" w:type="pct"/>
            <w:tcBorders>
              <w:top w:val="single" w:sz="4" w:space="0" w:color="auto"/>
            </w:tcBorders>
            <w:shd w:val="clear" w:color="auto" w:fill="auto"/>
            <w:hideMark/>
          </w:tcPr>
          <w:p w14:paraId="7CB211C0" w14:textId="7A9A541B" w:rsidR="00F27E5D" w:rsidRDefault="00F27E5D" w:rsidP="00664659">
            <w:pPr>
              <w:pStyle w:val="TableText"/>
              <w:jc w:val="left"/>
            </w:pPr>
            <w:r>
              <w:t>Dilution water</w:t>
            </w:r>
          </w:p>
        </w:tc>
        <w:tc>
          <w:tcPr>
            <w:tcW w:w="448" w:type="pct"/>
            <w:tcBorders>
              <w:top w:val="single" w:sz="4" w:space="0" w:color="auto"/>
            </w:tcBorders>
            <w:shd w:val="clear" w:color="auto" w:fill="auto"/>
            <w:hideMark/>
          </w:tcPr>
          <w:p w14:paraId="565FFB45" w14:textId="548D5390" w:rsidR="00F27E5D" w:rsidRDefault="00F27E5D" w:rsidP="00664659">
            <w:pPr>
              <w:pStyle w:val="TableText"/>
              <w:jc w:val="left"/>
            </w:pPr>
            <w:r>
              <w:t xml:space="preserve">22–23 </w:t>
            </w:r>
          </w:p>
        </w:tc>
        <w:tc>
          <w:tcPr>
            <w:tcW w:w="350" w:type="pct"/>
            <w:tcBorders>
              <w:top w:val="single" w:sz="4" w:space="0" w:color="auto"/>
            </w:tcBorders>
            <w:shd w:val="clear" w:color="auto" w:fill="auto"/>
            <w:hideMark/>
          </w:tcPr>
          <w:p w14:paraId="3B375E1C" w14:textId="380EF763" w:rsidR="00F27E5D" w:rsidRDefault="00F27E5D" w:rsidP="00664659">
            <w:pPr>
              <w:pStyle w:val="TableText"/>
              <w:jc w:val="left"/>
            </w:pPr>
            <w:r>
              <w:t>3.5–7.9</w:t>
            </w:r>
          </w:p>
        </w:tc>
        <w:tc>
          <w:tcPr>
            <w:tcW w:w="458" w:type="pct"/>
            <w:tcBorders>
              <w:top w:val="single" w:sz="4" w:space="0" w:color="auto"/>
            </w:tcBorders>
            <w:shd w:val="clear" w:color="auto" w:fill="auto"/>
            <w:hideMark/>
          </w:tcPr>
          <w:p w14:paraId="56221C0E" w14:textId="6CB9ED9B" w:rsidR="00F27E5D" w:rsidRPr="00A37153" w:rsidRDefault="00F27E5D" w:rsidP="00664659">
            <w:pPr>
              <w:pStyle w:val="TableText"/>
              <w:jc w:val="left"/>
            </w:pPr>
            <w:r>
              <w:t>6</w:t>
            </w:r>
            <w:r w:rsidRPr="00A37153">
              <w:t> 800</w:t>
            </w:r>
          </w:p>
        </w:tc>
        <w:tc>
          <w:tcPr>
            <w:tcW w:w="469" w:type="pct"/>
            <w:tcBorders>
              <w:top w:val="single" w:sz="4" w:space="0" w:color="auto"/>
            </w:tcBorders>
            <w:shd w:val="clear" w:color="auto" w:fill="auto"/>
            <w:hideMark/>
          </w:tcPr>
          <w:p w14:paraId="759B34A7" w14:textId="66B94AF1" w:rsidR="00F27E5D" w:rsidRPr="00661EB0" w:rsidRDefault="00CF6DFC" w:rsidP="00664659">
            <w:pPr>
              <w:pStyle w:val="TableText"/>
              <w:jc w:val="left"/>
            </w:pPr>
            <w:r>
              <w:t>SEC (2007)</w:t>
            </w:r>
          </w:p>
        </w:tc>
      </w:tr>
      <w:tr w:rsidR="00664659" w14:paraId="5E9B6D48" w14:textId="77777777" w:rsidTr="00017C13">
        <w:trPr>
          <w:cnfStyle w:val="000000100000" w:firstRow="0" w:lastRow="0" w:firstColumn="0" w:lastColumn="0" w:oddVBand="0" w:evenVBand="0" w:oddHBand="1" w:evenHBand="0" w:firstRowFirstColumn="0" w:firstRowLastColumn="0" w:lastRowFirstColumn="0" w:lastRowLastColumn="0"/>
          <w:cantSplit/>
        </w:trPr>
        <w:tc>
          <w:tcPr>
            <w:tcW w:w="4073" w:type="pct"/>
            <w:gridSpan w:val="8"/>
            <w:tcBorders>
              <w:bottom w:val="single" w:sz="4" w:space="0" w:color="auto"/>
            </w:tcBorders>
            <w:shd w:val="clear" w:color="auto" w:fill="auto"/>
          </w:tcPr>
          <w:p w14:paraId="520BC23F" w14:textId="77777777" w:rsidR="00664659" w:rsidRDefault="00664659" w:rsidP="00017C13">
            <w:pPr>
              <w:pStyle w:val="TableText"/>
              <w:jc w:val="left"/>
            </w:pPr>
            <w:r>
              <w:lastRenderedPageBreak/>
              <w:t>–</w:t>
            </w:r>
          </w:p>
        </w:tc>
        <w:tc>
          <w:tcPr>
            <w:tcW w:w="458" w:type="pct"/>
            <w:tcBorders>
              <w:bottom w:val="single" w:sz="4" w:space="0" w:color="auto"/>
            </w:tcBorders>
            <w:shd w:val="clear" w:color="auto" w:fill="auto"/>
            <w:hideMark/>
          </w:tcPr>
          <w:p w14:paraId="2827D908" w14:textId="48C36DA1" w:rsidR="00664659" w:rsidRPr="00A37153" w:rsidRDefault="00664659" w:rsidP="00017C13">
            <w:pPr>
              <w:pStyle w:val="TableText"/>
              <w:jc w:val="left"/>
            </w:pPr>
            <w:r w:rsidRPr="00A37153">
              <w:rPr>
                <w:b/>
              </w:rPr>
              <w:t>1</w:t>
            </w:r>
            <w:r>
              <w:rPr>
                <w:b/>
              </w:rPr>
              <w:t>9</w:t>
            </w:r>
            <w:r w:rsidRPr="00A37153">
              <w:rPr>
                <w:b/>
              </w:rPr>
              <w:t> </w:t>
            </w:r>
            <w:r>
              <w:rPr>
                <w:b/>
              </w:rPr>
              <w:t>145</w:t>
            </w:r>
          </w:p>
        </w:tc>
        <w:tc>
          <w:tcPr>
            <w:tcW w:w="469" w:type="pct"/>
            <w:tcBorders>
              <w:bottom w:val="single" w:sz="4" w:space="0" w:color="auto"/>
            </w:tcBorders>
            <w:shd w:val="clear" w:color="auto" w:fill="auto"/>
            <w:hideMark/>
          </w:tcPr>
          <w:p w14:paraId="1BBDE233" w14:textId="3E5C3248" w:rsidR="00664659" w:rsidRPr="00661EB0" w:rsidRDefault="00664659" w:rsidP="00017C13">
            <w:pPr>
              <w:pStyle w:val="TableText"/>
              <w:jc w:val="left"/>
            </w:pPr>
            <w:r w:rsidRPr="00661EB0">
              <w:rPr>
                <w:rFonts w:cs="Calibri"/>
                <w:b/>
              </w:rPr>
              <w:t>VALUE USED IN SSD</w:t>
            </w:r>
            <w:r>
              <w:rPr>
                <w:rFonts w:cs="Calibri"/>
                <w:b/>
              </w:rPr>
              <w:t xml:space="preserve"> (GEOMTERIC MEAN)</w:t>
            </w:r>
          </w:p>
        </w:tc>
      </w:tr>
      <w:tr w:rsidR="00955EF0" w14:paraId="73DD6A1E" w14:textId="77777777" w:rsidTr="00664659">
        <w:trPr>
          <w:cnfStyle w:val="000000010000" w:firstRow="0" w:lastRow="0" w:firstColumn="0" w:lastColumn="0" w:oddVBand="0" w:evenVBand="0" w:oddHBand="0" w:evenHBand="1" w:firstRowFirstColumn="0" w:firstRowLastColumn="0" w:lastRowFirstColumn="0" w:lastRowLastColumn="0"/>
          <w:cantSplit/>
        </w:trPr>
        <w:tc>
          <w:tcPr>
            <w:tcW w:w="536" w:type="pct"/>
            <w:tcBorders>
              <w:top w:val="single" w:sz="4" w:space="0" w:color="auto"/>
            </w:tcBorders>
            <w:shd w:val="clear" w:color="auto" w:fill="auto"/>
            <w:hideMark/>
          </w:tcPr>
          <w:p w14:paraId="418AABDC" w14:textId="77777777" w:rsidR="00955EF0" w:rsidRDefault="00955EF0" w:rsidP="009A2F51">
            <w:pPr>
              <w:pStyle w:val="TableText"/>
              <w:jc w:val="left"/>
            </w:pPr>
            <w:r>
              <w:t>Diatom</w:t>
            </w:r>
          </w:p>
          <w:p w14:paraId="567C1E32" w14:textId="7FEFF03C" w:rsidR="00955EF0" w:rsidRDefault="00955EF0" w:rsidP="009A2F51">
            <w:pPr>
              <w:pStyle w:val="TableText"/>
              <w:jc w:val="left"/>
            </w:pPr>
            <w:r>
              <w:t>(Bacillariophyta)</w:t>
            </w:r>
          </w:p>
        </w:tc>
        <w:tc>
          <w:tcPr>
            <w:tcW w:w="497" w:type="pct"/>
            <w:tcBorders>
              <w:top w:val="single" w:sz="4" w:space="0" w:color="auto"/>
            </w:tcBorders>
            <w:shd w:val="clear" w:color="auto" w:fill="auto"/>
            <w:hideMark/>
          </w:tcPr>
          <w:p w14:paraId="729F4B1D" w14:textId="632FEC38" w:rsidR="00955EF0" w:rsidRPr="00661EB0" w:rsidRDefault="00955EF0" w:rsidP="00282321">
            <w:pPr>
              <w:pStyle w:val="TableText"/>
              <w:jc w:val="left"/>
            </w:pPr>
            <w:r w:rsidRPr="00DB321B">
              <w:rPr>
                <w:rStyle w:val="Emphasis"/>
              </w:rPr>
              <w:t>Navicula pelliculosa</w:t>
            </w:r>
          </w:p>
        </w:tc>
        <w:tc>
          <w:tcPr>
            <w:tcW w:w="448" w:type="pct"/>
            <w:tcBorders>
              <w:top w:val="single" w:sz="4" w:space="0" w:color="auto"/>
            </w:tcBorders>
            <w:shd w:val="clear" w:color="auto" w:fill="auto"/>
            <w:hideMark/>
          </w:tcPr>
          <w:p w14:paraId="64118767" w14:textId="77777777" w:rsidR="00955EF0" w:rsidRDefault="00955EF0" w:rsidP="00661EB0">
            <w:pPr>
              <w:pStyle w:val="TableText"/>
              <w:jc w:val="left"/>
            </w:pPr>
            <w:r>
              <w:t>Not stated</w:t>
            </w:r>
          </w:p>
        </w:tc>
        <w:tc>
          <w:tcPr>
            <w:tcW w:w="398" w:type="pct"/>
            <w:tcBorders>
              <w:top w:val="single" w:sz="4" w:space="0" w:color="auto"/>
            </w:tcBorders>
            <w:shd w:val="clear" w:color="auto" w:fill="auto"/>
            <w:hideMark/>
          </w:tcPr>
          <w:p w14:paraId="0F845B9A" w14:textId="77777777" w:rsidR="00955EF0" w:rsidRDefault="00955EF0" w:rsidP="00661EB0">
            <w:pPr>
              <w:pStyle w:val="TableText"/>
              <w:jc w:val="left"/>
            </w:pPr>
            <w:r>
              <w:t>5</w:t>
            </w:r>
          </w:p>
        </w:tc>
        <w:tc>
          <w:tcPr>
            <w:tcW w:w="696" w:type="pct"/>
            <w:tcBorders>
              <w:top w:val="single" w:sz="4" w:space="0" w:color="auto"/>
            </w:tcBorders>
            <w:shd w:val="clear" w:color="auto" w:fill="auto"/>
            <w:hideMark/>
          </w:tcPr>
          <w:p w14:paraId="6DF50243" w14:textId="77777777" w:rsidR="00955EF0" w:rsidRDefault="00955EF0" w:rsidP="004371E7">
            <w:pPr>
              <w:pStyle w:val="TableText"/>
              <w:jc w:val="left"/>
            </w:pPr>
            <w:r>
              <w:t xml:space="preserve">NOEL </w:t>
            </w:r>
          </w:p>
          <w:p w14:paraId="1521F7FB" w14:textId="408618AE" w:rsidR="00955EF0" w:rsidRDefault="00955EF0" w:rsidP="004371E7">
            <w:pPr>
              <w:pStyle w:val="TableText"/>
              <w:jc w:val="left"/>
            </w:pPr>
            <w:r>
              <w:t xml:space="preserve">(Biomass, growth rate, AUC </w:t>
            </w:r>
            <w:r w:rsidRPr="002811E7">
              <w:rPr>
                <w:rStyle w:val="Strong"/>
                <w:vertAlign w:val="superscript"/>
              </w:rPr>
              <w:t>b</w:t>
            </w:r>
            <w:r>
              <w:t>)</w:t>
            </w:r>
          </w:p>
        </w:tc>
        <w:tc>
          <w:tcPr>
            <w:tcW w:w="700" w:type="pct"/>
            <w:tcBorders>
              <w:top w:val="single" w:sz="4" w:space="0" w:color="auto"/>
            </w:tcBorders>
            <w:shd w:val="clear" w:color="auto" w:fill="auto"/>
            <w:hideMark/>
          </w:tcPr>
          <w:p w14:paraId="533324C2" w14:textId="77777777" w:rsidR="00955EF0" w:rsidRDefault="00955EF0" w:rsidP="00661EB0">
            <w:pPr>
              <w:pStyle w:val="TableText"/>
              <w:jc w:val="left"/>
            </w:pPr>
            <w:r>
              <w:t>ASTM Type I water</w:t>
            </w:r>
          </w:p>
        </w:tc>
        <w:tc>
          <w:tcPr>
            <w:tcW w:w="448" w:type="pct"/>
            <w:tcBorders>
              <w:top w:val="single" w:sz="4" w:space="0" w:color="auto"/>
            </w:tcBorders>
            <w:shd w:val="clear" w:color="auto" w:fill="auto"/>
            <w:hideMark/>
          </w:tcPr>
          <w:p w14:paraId="6C1618BD" w14:textId="77777777" w:rsidR="00955EF0" w:rsidRDefault="00955EF0" w:rsidP="00661EB0">
            <w:pPr>
              <w:pStyle w:val="TableText"/>
              <w:jc w:val="left"/>
            </w:pPr>
            <w:r>
              <w:t>24 ± 2</w:t>
            </w:r>
          </w:p>
        </w:tc>
        <w:tc>
          <w:tcPr>
            <w:tcW w:w="350" w:type="pct"/>
            <w:tcBorders>
              <w:top w:val="single" w:sz="4" w:space="0" w:color="auto"/>
            </w:tcBorders>
            <w:shd w:val="clear" w:color="auto" w:fill="auto"/>
            <w:hideMark/>
          </w:tcPr>
          <w:p w14:paraId="26C00AF0" w14:textId="77777777" w:rsidR="00955EF0" w:rsidRDefault="00955EF0" w:rsidP="00661EB0">
            <w:pPr>
              <w:pStyle w:val="TableText"/>
              <w:jc w:val="left"/>
            </w:pPr>
            <w:r>
              <w:t>7.5 ± 0.1</w:t>
            </w:r>
          </w:p>
        </w:tc>
        <w:tc>
          <w:tcPr>
            <w:tcW w:w="458" w:type="pct"/>
            <w:tcBorders>
              <w:top w:val="single" w:sz="4" w:space="0" w:color="auto"/>
            </w:tcBorders>
            <w:shd w:val="clear" w:color="auto" w:fill="auto"/>
            <w:hideMark/>
          </w:tcPr>
          <w:p w14:paraId="307071D4" w14:textId="72BBD0FA" w:rsidR="00955EF0" w:rsidRPr="00A37153" w:rsidRDefault="00955EF0" w:rsidP="00A37153">
            <w:pPr>
              <w:pStyle w:val="TableText"/>
              <w:jc w:val="left"/>
            </w:pPr>
            <w:r w:rsidRPr="00A37153">
              <w:t>1 800</w:t>
            </w:r>
          </w:p>
        </w:tc>
        <w:tc>
          <w:tcPr>
            <w:tcW w:w="469" w:type="pct"/>
            <w:tcBorders>
              <w:top w:val="single" w:sz="4" w:space="0" w:color="auto"/>
            </w:tcBorders>
            <w:shd w:val="clear" w:color="auto" w:fill="auto"/>
            <w:hideMark/>
          </w:tcPr>
          <w:p w14:paraId="64CBA748" w14:textId="694559EF" w:rsidR="00955EF0" w:rsidRPr="00661EB0" w:rsidRDefault="00955EF0" w:rsidP="00661EB0">
            <w:pPr>
              <w:pStyle w:val="TableText"/>
              <w:jc w:val="left"/>
            </w:pPr>
            <w:r w:rsidRPr="00661EB0">
              <w:t>USEPA (2015</w:t>
            </w:r>
            <w:r>
              <w:t>b</w:t>
            </w:r>
            <w:r w:rsidRPr="00661EB0">
              <w:t>)</w:t>
            </w:r>
          </w:p>
        </w:tc>
      </w:tr>
      <w:tr w:rsidR="00282321" w14:paraId="65C25D44" w14:textId="77777777" w:rsidTr="00C72F61">
        <w:trPr>
          <w:cnfStyle w:val="000000100000" w:firstRow="0" w:lastRow="0" w:firstColumn="0" w:lastColumn="0" w:oddVBand="0" w:evenVBand="0" w:oddHBand="1" w:evenHBand="0" w:firstRowFirstColumn="0" w:firstRowLastColumn="0" w:lastRowFirstColumn="0" w:lastRowLastColumn="0"/>
          <w:cantSplit/>
        </w:trPr>
        <w:tc>
          <w:tcPr>
            <w:tcW w:w="4073" w:type="pct"/>
            <w:gridSpan w:val="8"/>
            <w:tcBorders>
              <w:bottom w:val="single" w:sz="4" w:space="0" w:color="auto"/>
            </w:tcBorders>
            <w:shd w:val="clear" w:color="auto" w:fill="auto"/>
          </w:tcPr>
          <w:p w14:paraId="355D25CC" w14:textId="2F23D1C2" w:rsidR="00282321" w:rsidRDefault="00282321" w:rsidP="00661EB0">
            <w:pPr>
              <w:pStyle w:val="TableText"/>
              <w:jc w:val="left"/>
            </w:pPr>
            <w:r>
              <w:t>–</w:t>
            </w:r>
          </w:p>
        </w:tc>
        <w:tc>
          <w:tcPr>
            <w:tcW w:w="458" w:type="pct"/>
            <w:tcBorders>
              <w:bottom w:val="single" w:sz="4" w:space="0" w:color="auto"/>
            </w:tcBorders>
            <w:shd w:val="clear" w:color="auto" w:fill="auto"/>
            <w:hideMark/>
          </w:tcPr>
          <w:p w14:paraId="517FCC17" w14:textId="45D8AA2A" w:rsidR="00282321" w:rsidRPr="00A37153" w:rsidRDefault="00282321" w:rsidP="00A37153">
            <w:pPr>
              <w:pStyle w:val="TableText"/>
              <w:jc w:val="left"/>
            </w:pPr>
            <w:r w:rsidRPr="00A37153">
              <w:rPr>
                <w:b/>
              </w:rPr>
              <w:t>1</w:t>
            </w:r>
            <w:r w:rsidR="00A37153" w:rsidRPr="00A37153">
              <w:rPr>
                <w:b/>
              </w:rPr>
              <w:t> </w:t>
            </w:r>
            <w:r w:rsidRPr="00A37153">
              <w:rPr>
                <w:b/>
              </w:rPr>
              <w:t>800</w:t>
            </w:r>
          </w:p>
        </w:tc>
        <w:tc>
          <w:tcPr>
            <w:tcW w:w="469" w:type="pct"/>
            <w:tcBorders>
              <w:bottom w:val="single" w:sz="4" w:space="0" w:color="auto"/>
            </w:tcBorders>
            <w:shd w:val="clear" w:color="auto" w:fill="auto"/>
            <w:hideMark/>
          </w:tcPr>
          <w:p w14:paraId="2EC5650D" w14:textId="77777777" w:rsidR="00282321" w:rsidRPr="00661EB0" w:rsidRDefault="00282321" w:rsidP="00661EB0">
            <w:pPr>
              <w:pStyle w:val="TableText"/>
              <w:jc w:val="left"/>
            </w:pPr>
            <w:r w:rsidRPr="00661EB0">
              <w:rPr>
                <w:rFonts w:cs="Calibri"/>
                <w:b/>
              </w:rPr>
              <w:t>VALUE USED IN SSD</w:t>
            </w:r>
          </w:p>
        </w:tc>
      </w:tr>
      <w:tr w:rsidR="00955EF0" w14:paraId="41D4AE5D" w14:textId="77777777" w:rsidTr="00664659">
        <w:trPr>
          <w:cnfStyle w:val="000000010000" w:firstRow="0" w:lastRow="0" w:firstColumn="0" w:lastColumn="0" w:oddVBand="0" w:evenVBand="0" w:oddHBand="0" w:evenHBand="1" w:firstRowFirstColumn="0" w:firstRowLastColumn="0" w:lastRowFirstColumn="0" w:lastRowLastColumn="0"/>
          <w:cantSplit/>
        </w:trPr>
        <w:tc>
          <w:tcPr>
            <w:tcW w:w="536" w:type="pct"/>
            <w:vMerge w:val="restart"/>
            <w:tcBorders>
              <w:top w:val="single" w:sz="4" w:space="0" w:color="auto"/>
            </w:tcBorders>
            <w:shd w:val="clear" w:color="auto" w:fill="auto"/>
            <w:hideMark/>
          </w:tcPr>
          <w:p w14:paraId="479AF5DC" w14:textId="77777777" w:rsidR="00955EF0" w:rsidRDefault="00955EF0" w:rsidP="007D33DD">
            <w:pPr>
              <w:pStyle w:val="TableText"/>
              <w:keepNext/>
              <w:keepLines/>
              <w:jc w:val="left"/>
            </w:pPr>
            <w:r>
              <w:t>Green alga</w:t>
            </w:r>
          </w:p>
          <w:p w14:paraId="28202C10" w14:textId="33578964" w:rsidR="00955EF0" w:rsidRDefault="00955EF0" w:rsidP="007D33DD">
            <w:pPr>
              <w:pStyle w:val="TableText"/>
              <w:keepNext/>
              <w:keepLines/>
              <w:jc w:val="left"/>
            </w:pPr>
            <w:r>
              <w:t>(Chlorophyta)</w:t>
            </w:r>
          </w:p>
        </w:tc>
        <w:tc>
          <w:tcPr>
            <w:tcW w:w="497" w:type="pct"/>
            <w:vMerge w:val="restart"/>
            <w:tcBorders>
              <w:top w:val="single" w:sz="4" w:space="0" w:color="auto"/>
            </w:tcBorders>
            <w:shd w:val="clear" w:color="auto" w:fill="auto"/>
            <w:hideMark/>
          </w:tcPr>
          <w:p w14:paraId="75472804" w14:textId="403E9194" w:rsidR="00955EF0" w:rsidRPr="00661EB0" w:rsidRDefault="00955EF0" w:rsidP="007D33DD">
            <w:pPr>
              <w:pStyle w:val="TableText"/>
              <w:keepNext/>
              <w:keepLines/>
              <w:jc w:val="left"/>
            </w:pPr>
            <w:r w:rsidRPr="00DB321B">
              <w:rPr>
                <w:rStyle w:val="Emphasis"/>
              </w:rPr>
              <w:t>Chlorella saccharophila</w:t>
            </w:r>
          </w:p>
        </w:tc>
        <w:tc>
          <w:tcPr>
            <w:tcW w:w="448" w:type="pct"/>
            <w:tcBorders>
              <w:top w:val="single" w:sz="4" w:space="0" w:color="auto"/>
              <w:bottom w:val="single" w:sz="4" w:space="0" w:color="auto"/>
            </w:tcBorders>
            <w:shd w:val="clear" w:color="auto" w:fill="auto"/>
            <w:hideMark/>
          </w:tcPr>
          <w:p w14:paraId="45D72939" w14:textId="77777777" w:rsidR="00955EF0" w:rsidRDefault="00955EF0" w:rsidP="007D33DD">
            <w:pPr>
              <w:pStyle w:val="TableText"/>
              <w:keepNext/>
              <w:keepLines/>
              <w:jc w:val="left"/>
            </w:pPr>
            <w:r>
              <w:t>Exponential growth phase</w:t>
            </w:r>
          </w:p>
        </w:tc>
        <w:tc>
          <w:tcPr>
            <w:tcW w:w="398" w:type="pct"/>
            <w:tcBorders>
              <w:top w:val="single" w:sz="4" w:space="0" w:color="auto"/>
              <w:bottom w:val="single" w:sz="4" w:space="0" w:color="auto"/>
            </w:tcBorders>
            <w:shd w:val="clear" w:color="auto" w:fill="auto"/>
            <w:hideMark/>
          </w:tcPr>
          <w:p w14:paraId="6A554EA4" w14:textId="77777777" w:rsidR="00955EF0" w:rsidRDefault="00955EF0" w:rsidP="007D33DD">
            <w:pPr>
              <w:pStyle w:val="TableText"/>
              <w:keepNext/>
              <w:keepLines/>
              <w:jc w:val="left"/>
            </w:pPr>
            <w:r>
              <w:t>3</w:t>
            </w:r>
          </w:p>
        </w:tc>
        <w:tc>
          <w:tcPr>
            <w:tcW w:w="696" w:type="pct"/>
            <w:tcBorders>
              <w:top w:val="single" w:sz="4" w:space="0" w:color="auto"/>
              <w:bottom w:val="single" w:sz="4" w:space="0" w:color="auto"/>
            </w:tcBorders>
            <w:shd w:val="clear" w:color="auto" w:fill="auto"/>
          </w:tcPr>
          <w:p w14:paraId="303FC85D" w14:textId="77777777" w:rsidR="00955EF0" w:rsidRDefault="00955EF0" w:rsidP="007D33DD">
            <w:pPr>
              <w:pStyle w:val="TableText"/>
              <w:keepNext/>
              <w:keepLines/>
              <w:jc w:val="left"/>
            </w:pPr>
            <w:r>
              <w:t>NOEC</w:t>
            </w:r>
          </w:p>
          <w:p w14:paraId="19F65920" w14:textId="77777777" w:rsidR="00955EF0" w:rsidRDefault="00955EF0" w:rsidP="007D33DD">
            <w:pPr>
              <w:pStyle w:val="TableText"/>
              <w:keepNext/>
              <w:keepLines/>
              <w:jc w:val="left"/>
            </w:pPr>
            <w:r>
              <w:t>(Cell density)</w:t>
            </w:r>
          </w:p>
        </w:tc>
        <w:tc>
          <w:tcPr>
            <w:tcW w:w="700" w:type="pct"/>
            <w:tcBorders>
              <w:top w:val="single" w:sz="4" w:space="0" w:color="auto"/>
              <w:bottom w:val="single" w:sz="4" w:space="0" w:color="auto"/>
            </w:tcBorders>
            <w:shd w:val="clear" w:color="auto" w:fill="auto"/>
            <w:hideMark/>
          </w:tcPr>
          <w:p w14:paraId="1AC5E317" w14:textId="77777777" w:rsidR="00955EF0" w:rsidRDefault="00955EF0" w:rsidP="007D33DD">
            <w:pPr>
              <w:pStyle w:val="TableText"/>
              <w:keepNext/>
              <w:keepLines/>
              <w:jc w:val="left"/>
            </w:pPr>
            <w:r>
              <w:t>ASTM medium</w:t>
            </w:r>
          </w:p>
        </w:tc>
        <w:tc>
          <w:tcPr>
            <w:tcW w:w="448" w:type="pct"/>
            <w:tcBorders>
              <w:top w:val="single" w:sz="4" w:space="0" w:color="auto"/>
              <w:bottom w:val="single" w:sz="4" w:space="0" w:color="auto"/>
            </w:tcBorders>
            <w:shd w:val="clear" w:color="auto" w:fill="auto"/>
            <w:hideMark/>
          </w:tcPr>
          <w:p w14:paraId="34A5A141" w14:textId="77777777" w:rsidR="00955EF0" w:rsidRDefault="00955EF0" w:rsidP="007D33DD">
            <w:pPr>
              <w:pStyle w:val="TableText"/>
              <w:keepNext/>
              <w:keepLines/>
              <w:jc w:val="left"/>
            </w:pPr>
            <w:r>
              <w:t>24 ± 2</w:t>
            </w:r>
          </w:p>
        </w:tc>
        <w:tc>
          <w:tcPr>
            <w:tcW w:w="350" w:type="pct"/>
            <w:tcBorders>
              <w:top w:val="single" w:sz="4" w:space="0" w:color="auto"/>
              <w:bottom w:val="single" w:sz="4" w:space="0" w:color="auto"/>
            </w:tcBorders>
            <w:shd w:val="clear" w:color="auto" w:fill="auto"/>
            <w:hideMark/>
          </w:tcPr>
          <w:p w14:paraId="5128016B" w14:textId="77777777" w:rsidR="00955EF0" w:rsidRDefault="00955EF0" w:rsidP="007D33DD">
            <w:pPr>
              <w:pStyle w:val="TableText"/>
              <w:keepNext/>
              <w:keepLines/>
              <w:jc w:val="left"/>
            </w:pPr>
            <w:r>
              <w:t>Not stated</w:t>
            </w:r>
          </w:p>
        </w:tc>
        <w:tc>
          <w:tcPr>
            <w:tcW w:w="458" w:type="pct"/>
            <w:tcBorders>
              <w:top w:val="single" w:sz="4" w:space="0" w:color="auto"/>
              <w:bottom w:val="single" w:sz="4" w:space="0" w:color="auto"/>
            </w:tcBorders>
            <w:shd w:val="clear" w:color="auto" w:fill="auto"/>
            <w:hideMark/>
          </w:tcPr>
          <w:p w14:paraId="06CB58AA" w14:textId="77777777" w:rsidR="00955EF0" w:rsidRPr="00A37153" w:rsidRDefault="00955EF0" w:rsidP="007D33DD">
            <w:pPr>
              <w:pStyle w:val="TableText"/>
              <w:keepNext/>
              <w:keepLines/>
              <w:jc w:val="left"/>
            </w:pPr>
            <w:r w:rsidRPr="00A37153">
              <w:t>390</w:t>
            </w:r>
          </w:p>
        </w:tc>
        <w:tc>
          <w:tcPr>
            <w:tcW w:w="469" w:type="pct"/>
            <w:tcBorders>
              <w:top w:val="single" w:sz="4" w:space="0" w:color="auto"/>
              <w:bottom w:val="single" w:sz="4" w:space="0" w:color="auto"/>
            </w:tcBorders>
            <w:shd w:val="clear" w:color="auto" w:fill="auto"/>
            <w:hideMark/>
          </w:tcPr>
          <w:p w14:paraId="42152FB9" w14:textId="77777777" w:rsidR="00955EF0" w:rsidRPr="00661EB0" w:rsidRDefault="00955EF0" w:rsidP="007D33DD">
            <w:pPr>
              <w:pStyle w:val="TableText"/>
              <w:keepNext/>
              <w:keepLines/>
              <w:jc w:val="left"/>
            </w:pPr>
            <w:r w:rsidRPr="00661EB0">
              <w:t>Vendrell et al. (2009)</w:t>
            </w:r>
          </w:p>
        </w:tc>
      </w:tr>
      <w:tr w:rsidR="00955EF0" w14:paraId="07CF2CAF" w14:textId="77777777" w:rsidTr="00664659">
        <w:trPr>
          <w:cnfStyle w:val="000000100000" w:firstRow="0" w:lastRow="0" w:firstColumn="0" w:lastColumn="0" w:oddVBand="0" w:evenVBand="0" w:oddHBand="1" w:evenHBand="0" w:firstRowFirstColumn="0" w:firstRowLastColumn="0" w:lastRowFirstColumn="0" w:lastRowLastColumn="0"/>
          <w:cantSplit/>
        </w:trPr>
        <w:tc>
          <w:tcPr>
            <w:tcW w:w="536" w:type="pct"/>
            <w:vMerge/>
            <w:shd w:val="clear" w:color="auto" w:fill="auto"/>
            <w:hideMark/>
          </w:tcPr>
          <w:p w14:paraId="73DDB228" w14:textId="1B8B64F2" w:rsidR="00955EF0" w:rsidRDefault="00955EF0" w:rsidP="007D33DD">
            <w:pPr>
              <w:pStyle w:val="TableText"/>
              <w:keepNext/>
              <w:keepLines/>
              <w:jc w:val="left"/>
            </w:pPr>
          </w:p>
        </w:tc>
        <w:tc>
          <w:tcPr>
            <w:tcW w:w="497" w:type="pct"/>
            <w:vMerge/>
            <w:shd w:val="clear" w:color="auto" w:fill="auto"/>
            <w:hideMark/>
          </w:tcPr>
          <w:p w14:paraId="1B08A058" w14:textId="7EB20A3C" w:rsidR="00955EF0" w:rsidRPr="00661EB0" w:rsidRDefault="00955EF0" w:rsidP="007D33DD">
            <w:pPr>
              <w:pStyle w:val="TableText"/>
              <w:keepNext/>
              <w:keepLines/>
              <w:jc w:val="left"/>
            </w:pPr>
          </w:p>
        </w:tc>
        <w:tc>
          <w:tcPr>
            <w:tcW w:w="448" w:type="pct"/>
            <w:tcBorders>
              <w:top w:val="single" w:sz="4" w:space="0" w:color="auto"/>
            </w:tcBorders>
            <w:shd w:val="clear" w:color="auto" w:fill="auto"/>
            <w:hideMark/>
          </w:tcPr>
          <w:p w14:paraId="34FC1487" w14:textId="77777777" w:rsidR="00955EF0" w:rsidRDefault="00955EF0" w:rsidP="007D33DD">
            <w:pPr>
              <w:pStyle w:val="TableText"/>
              <w:keepNext/>
              <w:keepLines/>
              <w:jc w:val="left"/>
            </w:pPr>
            <w:r>
              <w:t>Exponential growth phase</w:t>
            </w:r>
          </w:p>
        </w:tc>
        <w:tc>
          <w:tcPr>
            <w:tcW w:w="398" w:type="pct"/>
            <w:tcBorders>
              <w:top w:val="single" w:sz="4" w:space="0" w:color="auto"/>
            </w:tcBorders>
            <w:shd w:val="clear" w:color="auto" w:fill="auto"/>
            <w:hideMark/>
          </w:tcPr>
          <w:p w14:paraId="45AC6099" w14:textId="77777777" w:rsidR="00955EF0" w:rsidRDefault="00955EF0" w:rsidP="007D33DD">
            <w:pPr>
              <w:pStyle w:val="TableText"/>
              <w:keepNext/>
              <w:keepLines/>
              <w:jc w:val="left"/>
            </w:pPr>
            <w:r>
              <w:t>3</w:t>
            </w:r>
          </w:p>
        </w:tc>
        <w:tc>
          <w:tcPr>
            <w:tcW w:w="696" w:type="pct"/>
            <w:tcBorders>
              <w:top w:val="single" w:sz="4" w:space="0" w:color="auto"/>
            </w:tcBorders>
            <w:shd w:val="clear" w:color="auto" w:fill="auto"/>
          </w:tcPr>
          <w:p w14:paraId="60B7CB0E" w14:textId="77777777" w:rsidR="00955EF0" w:rsidRDefault="00955EF0" w:rsidP="007D33DD">
            <w:pPr>
              <w:pStyle w:val="TableText"/>
              <w:keepNext/>
              <w:keepLines/>
              <w:jc w:val="left"/>
            </w:pPr>
            <w:r>
              <w:t>EC10</w:t>
            </w:r>
          </w:p>
          <w:p w14:paraId="05F5CCE7" w14:textId="77777777" w:rsidR="00955EF0" w:rsidRDefault="00955EF0" w:rsidP="007D33DD">
            <w:pPr>
              <w:pStyle w:val="TableText"/>
              <w:keepNext/>
              <w:keepLines/>
              <w:jc w:val="left"/>
            </w:pPr>
            <w:r>
              <w:t>(Cell density)</w:t>
            </w:r>
          </w:p>
        </w:tc>
        <w:tc>
          <w:tcPr>
            <w:tcW w:w="700" w:type="pct"/>
            <w:tcBorders>
              <w:top w:val="single" w:sz="4" w:space="0" w:color="auto"/>
            </w:tcBorders>
            <w:shd w:val="clear" w:color="auto" w:fill="auto"/>
            <w:hideMark/>
          </w:tcPr>
          <w:p w14:paraId="41C27FAD" w14:textId="77777777" w:rsidR="00955EF0" w:rsidRDefault="00955EF0" w:rsidP="007D33DD">
            <w:pPr>
              <w:pStyle w:val="TableText"/>
              <w:keepNext/>
              <w:keepLines/>
              <w:jc w:val="left"/>
            </w:pPr>
            <w:r>
              <w:t>ASTM medium</w:t>
            </w:r>
          </w:p>
        </w:tc>
        <w:tc>
          <w:tcPr>
            <w:tcW w:w="448" w:type="pct"/>
            <w:tcBorders>
              <w:top w:val="single" w:sz="4" w:space="0" w:color="auto"/>
            </w:tcBorders>
            <w:shd w:val="clear" w:color="auto" w:fill="auto"/>
            <w:hideMark/>
          </w:tcPr>
          <w:p w14:paraId="5DA8EDCE" w14:textId="77777777" w:rsidR="00955EF0" w:rsidRDefault="00955EF0" w:rsidP="007D33DD">
            <w:pPr>
              <w:pStyle w:val="TableText"/>
              <w:keepNext/>
              <w:keepLines/>
              <w:jc w:val="left"/>
            </w:pPr>
            <w:r>
              <w:t>24 ± 2</w:t>
            </w:r>
          </w:p>
        </w:tc>
        <w:tc>
          <w:tcPr>
            <w:tcW w:w="350" w:type="pct"/>
            <w:tcBorders>
              <w:top w:val="single" w:sz="4" w:space="0" w:color="auto"/>
            </w:tcBorders>
            <w:shd w:val="clear" w:color="auto" w:fill="auto"/>
            <w:hideMark/>
          </w:tcPr>
          <w:p w14:paraId="34B7EF7F" w14:textId="77777777" w:rsidR="00955EF0" w:rsidRDefault="00955EF0" w:rsidP="007D33DD">
            <w:pPr>
              <w:pStyle w:val="TableText"/>
              <w:keepNext/>
              <w:keepLines/>
              <w:jc w:val="left"/>
            </w:pPr>
            <w:r>
              <w:t>Not stated</w:t>
            </w:r>
          </w:p>
        </w:tc>
        <w:tc>
          <w:tcPr>
            <w:tcW w:w="458" w:type="pct"/>
            <w:tcBorders>
              <w:top w:val="single" w:sz="4" w:space="0" w:color="auto"/>
            </w:tcBorders>
            <w:shd w:val="clear" w:color="auto" w:fill="auto"/>
            <w:hideMark/>
          </w:tcPr>
          <w:p w14:paraId="0F6BB80D" w14:textId="7FF5E654" w:rsidR="00955EF0" w:rsidRPr="00A37153" w:rsidRDefault="00955EF0" w:rsidP="007D33DD">
            <w:pPr>
              <w:pStyle w:val="TableText"/>
              <w:keepNext/>
              <w:keepLines/>
              <w:jc w:val="left"/>
            </w:pPr>
            <w:r w:rsidRPr="00A37153">
              <w:t>3 000</w:t>
            </w:r>
          </w:p>
        </w:tc>
        <w:tc>
          <w:tcPr>
            <w:tcW w:w="469" w:type="pct"/>
            <w:tcBorders>
              <w:top w:val="single" w:sz="4" w:space="0" w:color="auto"/>
            </w:tcBorders>
            <w:shd w:val="clear" w:color="auto" w:fill="auto"/>
            <w:hideMark/>
          </w:tcPr>
          <w:p w14:paraId="32808731" w14:textId="77777777" w:rsidR="00955EF0" w:rsidRPr="00661EB0" w:rsidRDefault="00955EF0" w:rsidP="007D33DD">
            <w:pPr>
              <w:pStyle w:val="TableText"/>
              <w:keepNext/>
              <w:keepLines/>
              <w:jc w:val="left"/>
            </w:pPr>
            <w:r w:rsidRPr="00661EB0">
              <w:t>Vendrell et al. (2009)</w:t>
            </w:r>
          </w:p>
        </w:tc>
      </w:tr>
      <w:tr w:rsidR="00282321" w14:paraId="71B4D049" w14:textId="77777777" w:rsidTr="00C72F61">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4" w:space="0" w:color="auto"/>
            </w:tcBorders>
            <w:shd w:val="clear" w:color="auto" w:fill="auto"/>
          </w:tcPr>
          <w:p w14:paraId="2B9388E3" w14:textId="13BE308A" w:rsidR="00282321" w:rsidRDefault="00282321" w:rsidP="00661EB0">
            <w:pPr>
              <w:pStyle w:val="TableText"/>
              <w:jc w:val="left"/>
            </w:pPr>
            <w:r>
              <w:t>–</w:t>
            </w:r>
          </w:p>
        </w:tc>
        <w:tc>
          <w:tcPr>
            <w:tcW w:w="458" w:type="pct"/>
            <w:tcBorders>
              <w:bottom w:val="single" w:sz="4" w:space="0" w:color="auto"/>
            </w:tcBorders>
            <w:shd w:val="clear" w:color="auto" w:fill="auto"/>
            <w:hideMark/>
          </w:tcPr>
          <w:p w14:paraId="55F748ED" w14:textId="294C2B3D" w:rsidR="00282321" w:rsidRPr="00A37153" w:rsidRDefault="00282321" w:rsidP="00A37153">
            <w:pPr>
              <w:pStyle w:val="TableText"/>
              <w:jc w:val="left"/>
            </w:pPr>
            <w:r w:rsidRPr="00A37153">
              <w:rPr>
                <w:b/>
              </w:rPr>
              <w:t>1</w:t>
            </w:r>
            <w:r w:rsidR="00A37153" w:rsidRPr="00A37153">
              <w:rPr>
                <w:b/>
              </w:rPr>
              <w:t> </w:t>
            </w:r>
            <w:r w:rsidRPr="00A37153">
              <w:rPr>
                <w:b/>
              </w:rPr>
              <w:t>08</w:t>
            </w:r>
            <w:r w:rsidR="00AB7303">
              <w:rPr>
                <w:b/>
              </w:rPr>
              <w:t>2</w:t>
            </w:r>
          </w:p>
        </w:tc>
        <w:tc>
          <w:tcPr>
            <w:tcW w:w="469" w:type="pct"/>
            <w:tcBorders>
              <w:bottom w:val="single" w:sz="4" w:space="0" w:color="auto"/>
            </w:tcBorders>
            <w:shd w:val="clear" w:color="auto" w:fill="auto"/>
            <w:hideMark/>
          </w:tcPr>
          <w:p w14:paraId="0AB58B7C" w14:textId="356AF1AC" w:rsidR="00282321" w:rsidRPr="00661EB0" w:rsidRDefault="00282321" w:rsidP="00661EB0">
            <w:pPr>
              <w:pStyle w:val="TableText"/>
              <w:jc w:val="left"/>
              <w:rPr>
                <w:rFonts w:cs="Calibri"/>
              </w:rPr>
            </w:pPr>
            <w:r w:rsidRPr="00661EB0">
              <w:rPr>
                <w:rFonts w:cs="Calibri"/>
                <w:b/>
              </w:rPr>
              <w:t>VALUE USED IN SSD</w:t>
            </w:r>
            <w:r w:rsidR="00060C4F">
              <w:rPr>
                <w:rFonts w:cs="Calibri"/>
                <w:b/>
              </w:rPr>
              <w:t xml:space="preserve"> (GEOMETRIC MEAN)</w:t>
            </w:r>
          </w:p>
        </w:tc>
      </w:tr>
      <w:tr w:rsidR="00955EF0" w14:paraId="491C5BAC" w14:textId="77777777" w:rsidTr="00664659">
        <w:trPr>
          <w:cnfStyle w:val="000000100000" w:firstRow="0" w:lastRow="0" w:firstColumn="0" w:lastColumn="0" w:oddVBand="0" w:evenVBand="0" w:oddHBand="1" w:evenHBand="0" w:firstRowFirstColumn="0" w:firstRowLastColumn="0" w:lastRowFirstColumn="0" w:lastRowLastColumn="0"/>
          <w:cantSplit/>
        </w:trPr>
        <w:tc>
          <w:tcPr>
            <w:tcW w:w="536" w:type="pct"/>
            <w:tcBorders>
              <w:top w:val="single" w:sz="4" w:space="0" w:color="auto"/>
            </w:tcBorders>
            <w:shd w:val="clear" w:color="auto" w:fill="auto"/>
            <w:hideMark/>
          </w:tcPr>
          <w:p w14:paraId="42E8C17C" w14:textId="77777777" w:rsidR="00955EF0" w:rsidRDefault="00955EF0" w:rsidP="004371E7">
            <w:pPr>
              <w:pStyle w:val="TableText"/>
              <w:jc w:val="left"/>
            </w:pPr>
            <w:r>
              <w:t>Green alga</w:t>
            </w:r>
          </w:p>
          <w:p w14:paraId="753B885D" w14:textId="76539A92" w:rsidR="00955EF0" w:rsidRDefault="00955EF0" w:rsidP="004371E7">
            <w:pPr>
              <w:pStyle w:val="TableText"/>
              <w:jc w:val="left"/>
            </w:pPr>
            <w:r>
              <w:t>(Chlorophyta)</w:t>
            </w:r>
          </w:p>
        </w:tc>
        <w:tc>
          <w:tcPr>
            <w:tcW w:w="497" w:type="pct"/>
            <w:tcBorders>
              <w:top w:val="single" w:sz="4" w:space="0" w:color="auto"/>
            </w:tcBorders>
            <w:shd w:val="clear" w:color="auto" w:fill="auto"/>
            <w:hideMark/>
          </w:tcPr>
          <w:p w14:paraId="07EB58D1" w14:textId="44E2E36F" w:rsidR="00955EF0" w:rsidRPr="00661EB0" w:rsidRDefault="00955EF0" w:rsidP="00DB321B">
            <w:pPr>
              <w:pStyle w:val="TableText"/>
              <w:jc w:val="left"/>
            </w:pPr>
            <w:r w:rsidRPr="00DB321B">
              <w:rPr>
                <w:rStyle w:val="Emphasis"/>
              </w:rPr>
              <w:t>Selenastrum capricornutum</w:t>
            </w:r>
            <w:r>
              <w:t xml:space="preserve"> </w:t>
            </w:r>
            <w:r w:rsidRPr="00DB321B">
              <w:rPr>
                <w:rStyle w:val="Strong"/>
                <w:vertAlign w:val="superscript"/>
              </w:rPr>
              <w:t>a</w:t>
            </w:r>
          </w:p>
        </w:tc>
        <w:tc>
          <w:tcPr>
            <w:tcW w:w="448" w:type="pct"/>
            <w:tcBorders>
              <w:top w:val="single" w:sz="4" w:space="0" w:color="auto"/>
            </w:tcBorders>
            <w:shd w:val="clear" w:color="auto" w:fill="auto"/>
            <w:hideMark/>
          </w:tcPr>
          <w:p w14:paraId="6ABAF528" w14:textId="77777777" w:rsidR="00955EF0" w:rsidRDefault="00955EF0" w:rsidP="00661EB0">
            <w:pPr>
              <w:pStyle w:val="TableText"/>
              <w:jc w:val="left"/>
            </w:pPr>
            <w:r>
              <w:t>Not stated</w:t>
            </w:r>
          </w:p>
        </w:tc>
        <w:tc>
          <w:tcPr>
            <w:tcW w:w="398" w:type="pct"/>
            <w:tcBorders>
              <w:top w:val="single" w:sz="4" w:space="0" w:color="auto"/>
            </w:tcBorders>
            <w:shd w:val="clear" w:color="auto" w:fill="auto"/>
            <w:hideMark/>
          </w:tcPr>
          <w:p w14:paraId="215BF851" w14:textId="55BB07D9" w:rsidR="00955EF0" w:rsidRDefault="00D048E0" w:rsidP="00661EB0">
            <w:pPr>
              <w:pStyle w:val="TableText"/>
              <w:jc w:val="left"/>
            </w:pPr>
            <w:r>
              <w:t>5</w:t>
            </w:r>
          </w:p>
        </w:tc>
        <w:tc>
          <w:tcPr>
            <w:tcW w:w="696" w:type="pct"/>
            <w:tcBorders>
              <w:top w:val="single" w:sz="4" w:space="0" w:color="auto"/>
            </w:tcBorders>
            <w:shd w:val="clear" w:color="auto" w:fill="auto"/>
          </w:tcPr>
          <w:p w14:paraId="0FB8C994" w14:textId="77777777" w:rsidR="00955EF0" w:rsidRDefault="00955EF0" w:rsidP="002811E7">
            <w:pPr>
              <w:pStyle w:val="TableText"/>
              <w:jc w:val="left"/>
            </w:pPr>
            <w:r>
              <w:t xml:space="preserve">NOEL </w:t>
            </w:r>
          </w:p>
          <w:p w14:paraId="46E7304F" w14:textId="4F3BF2A3" w:rsidR="00955EF0" w:rsidRDefault="00955EF0" w:rsidP="002811E7">
            <w:pPr>
              <w:pStyle w:val="TableText"/>
              <w:jc w:val="left"/>
            </w:pPr>
            <w:r>
              <w:t xml:space="preserve">(Biomass, growth rate, AUC </w:t>
            </w:r>
            <w:r w:rsidRPr="002811E7">
              <w:rPr>
                <w:rStyle w:val="Strong"/>
                <w:vertAlign w:val="superscript"/>
              </w:rPr>
              <w:t>b</w:t>
            </w:r>
            <w:r>
              <w:t>)</w:t>
            </w:r>
          </w:p>
        </w:tc>
        <w:tc>
          <w:tcPr>
            <w:tcW w:w="700" w:type="pct"/>
            <w:tcBorders>
              <w:top w:val="single" w:sz="4" w:space="0" w:color="auto"/>
            </w:tcBorders>
            <w:shd w:val="clear" w:color="auto" w:fill="auto"/>
            <w:hideMark/>
          </w:tcPr>
          <w:p w14:paraId="2E351633" w14:textId="77777777" w:rsidR="00955EF0" w:rsidRDefault="00955EF0" w:rsidP="00661EB0">
            <w:pPr>
              <w:pStyle w:val="TableText"/>
              <w:jc w:val="left"/>
            </w:pPr>
            <w:r>
              <w:t>ASTM Type I water</w:t>
            </w:r>
          </w:p>
        </w:tc>
        <w:tc>
          <w:tcPr>
            <w:tcW w:w="448" w:type="pct"/>
            <w:tcBorders>
              <w:top w:val="single" w:sz="4" w:space="0" w:color="auto"/>
            </w:tcBorders>
            <w:shd w:val="clear" w:color="auto" w:fill="auto"/>
            <w:hideMark/>
          </w:tcPr>
          <w:p w14:paraId="45A171A7" w14:textId="77777777" w:rsidR="00955EF0" w:rsidRDefault="00955EF0" w:rsidP="00661EB0">
            <w:pPr>
              <w:pStyle w:val="TableText"/>
              <w:jc w:val="left"/>
            </w:pPr>
            <w:r>
              <w:t>24 ± 2</w:t>
            </w:r>
          </w:p>
        </w:tc>
        <w:tc>
          <w:tcPr>
            <w:tcW w:w="350" w:type="pct"/>
            <w:tcBorders>
              <w:top w:val="single" w:sz="4" w:space="0" w:color="auto"/>
            </w:tcBorders>
            <w:shd w:val="clear" w:color="auto" w:fill="auto"/>
            <w:hideMark/>
          </w:tcPr>
          <w:p w14:paraId="5D91E650" w14:textId="77777777" w:rsidR="00955EF0" w:rsidRDefault="00955EF0" w:rsidP="00661EB0">
            <w:pPr>
              <w:pStyle w:val="TableText"/>
              <w:jc w:val="left"/>
            </w:pPr>
            <w:r>
              <w:t>7.5 ± 0.1</w:t>
            </w:r>
          </w:p>
        </w:tc>
        <w:tc>
          <w:tcPr>
            <w:tcW w:w="458" w:type="pct"/>
            <w:tcBorders>
              <w:top w:val="single" w:sz="4" w:space="0" w:color="auto"/>
            </w:tcBorders>
            <w:shd w:val="clear" w:color="auto" w:fill="auto"/>
            <w:hideMark/>
          </w:tcPr>
          <w:p w14:paraId="413D7250" w14:textId="0328F537" w:rsidR="00955EF0" w:rsidRPr="00A37153" w:rsidRDefault="00955EF0" w:rsidP="00661EB0">
            <w:pPr>
              <w:pStyle w:val="TableText"/>
              <w:jc w:val="left"/>
            </w:pPr>
            <w:r w:rsidRPr="00A37153">
              <w:t>1</w:t>
            </w:r>
            <w:r w:rsidR="00D048E0">
              <w:t>0</w:t>
            </w:r>
            <w:r w:rsidRPr="00A37153">
              <w:t> </w:t>
            </w:r>
            <w:r w:rsidR="00D048E0">
              <w:t>0</w:t>
            </w:r>
            <w:r w:rsidR="00D048E0" w:rsidRPr="00A37153">
              <w:t>00</w:t>
            </w:r>
          </w:p>
        </w:tc>
        <w:tc>
          <w:tcPr>
            <w:tcW w:w="469" w:type="pct"/>
            <w:tcBorders>
              <w:top w:val="single" w:sz="4" w:space="0" w:color="auto"/>
            </w:tcBorders>
            <w:shd w:val="clear" w:color="auto" w:fill="auto"/>
            <w:hideMark/>
          </w:tcPr>
          <w:p w14:paraId="6D574C70" w14:textId="1484A12B" w:rsidR="00955EF0" w:rsidRPr="00661EB0" w:rsidRDefault="00955EF0" w:rsidP="00661EB0">
            <w:pPr>
              <w:pStyle w:val="TableText"/>
              <w:jc w:val="left"/>
            </w:pPr>
            <w:r w:rsidRPr="00661EB0">
              <w:t>USEPA (2015</w:t>
            </w:r>
            <w:r>
              <w:t>b</w:t>
            </w:r>
            <w:r w:rsidRPr="00661EB0">
              <w:t>)</w:t>
            </w:r>
          </w:p>
        </w:tc>
      </w:tr>
      <w:tr w:rsidR="00282321" w14:paraId="4E755ADE" w14:textId="77777777" w:rsidTr="00C72F61">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4" w:space="0" w:color="auto"/>
            </w:tcBorders>
            <w:shd w:val="clear" w:color="auto" w:fill="auto"/>
          </w:tcPr>
          <w:p w14:paraId="1D25791D" w14:textId="6071DAF6" w:rsidR="00282321" w:rsidRDefault="00282321" w:rsidP="00661EB0">
            <w:pPr>
              <w:pStyle w:val="TableText"/>
              <w:jc w:val="left"/>
            </w:pPr>
            <w:r>
              <w:t>–</w:t>
            </w:r>
          </w:p>
        </w:tc>
        <w:tc>
          <w:tcPr>
            <w:tcW w:w="458" w:type="pct"/>
            <w:tcBorders>
              <w:bottom w:val="single" w:sz="4" w:space="0" w:color="auto"/>
            </w:tcBorders>
            <w:shd w:val="clear" w:color="auto" w:fill="auto"/>
            <w:hideMark/>
          </w:tcPr>
          <w:p w14:paraId="41A3FFE3" w14:textId="5553E93D" w:rsidR="00282321" w:rsidRPr="00A37153" w:rsidRDefault="00282321" w:rsidP="00A37153">
            <w:pPr>
              <w:pStyle w:val="TableText"/>
              <w:jc w:val="left"/>
            </w:pPr>
            <w:r w:rsidRPr="00A37153">
              <w:rPr>
                <w:b/>
              </w:rPr>
              <w:t>1</w:t>
            </w:r>
            <w:r w:rsidR="00D048E0">
              <w:rPr>
                <w:b/>
              </w:rPr>
              <w:t>0</w:t>
            </w:r>
            <w:r w:rsidR="00A37153" w:rsidRPr="00A37153">
              <w:rPr>
                <w:b/>
              </w:rPr>
              <w:t> </w:t>
            </w:r>
            <w:r w:rsidR="00D048E0">
              <w:rPr>
                <w:b/>
              </w:rPr>
              <w:t>0</w:t>
            </w:r>
            <w:r w:rsidR="00D048E0" w:rsidRPr="00A37153">
              <w:rPr>
                <w:b/>
              </w:rPr>
              <w:t>00</w:t>
            </w:r>
          </w:p>
        </w:tc>
        <w:tc>
          <w:tcPr>
            <w:tcW w:w="469" w:type="pct"/>
            <w:tcBorders>
              <w:bottom w:val="single" w:sz="4" w:space="0" w:color="auto"/>
            </w:tcBorders>
            <w:shd w:val="clear" w:color="auto" w:fill="auto"/>
            <w:hideMark/>
          </w:tcPr>
          <w:p w14:paraId="4B9C83B4" w14:textId="1E2C175A" w:rsidR="00282321" w:rsidRPr="00661EB0" w:rsidRDefault="00282321" w:rsidP="00661EB0">
            <w:pPr>
              <w:pStyle w:val="TableText"/>
              <w:jc w:val="left"/>
              <w:rPr>
                <w:rFonts w:cs="Calibri"/>
              </w:rPr>
            </w:pPr>
            <w:r w:rsidRPr="00661EB0">
              <w:rPr>
                <w:rFonts w:cs="Calibri"/>
                <w:b/>
              </w:rPr>
              <w:t>VALUE USED IN SSD</w:t>
            </w:r>
            <w:r w:rsidR="00060C4F">
              <w:rPr>
                <w:rFonts w:cs="Calibri"/>
                <w:b/>
              </w:rPr>
              <w:t xml:space="preserve"> </w:t>
            </w:r>
          </w:p>
        </w:tc>
      </w:tr>
      <w:tr w:rsidR="00AF365B" w14:paraId="2B759E70" w14:textId="77777777" w:rsidTr="00017C13">
        <w:trPr>
          <w:cnfStyle w:val="000000100000" w:firstRow="0" w:lastRow="0" w:firstColumn="0" w:lastColumn="0" w:oddVBand="0" w:evenVBand="0" w:oddHBand="1" w:evenHBand="0" w:firstRowFirstColumn="0" w:firstRowLastColumn="0" w:lastRowFirstColumn="0" w:lastRowLastColumn="0"/>
          <w:cantSplit/>
        </w:trPr>
        <w:tc>
          <w:tcPr>
            <w:tcW w:w="536" w:type="pct"/>
            <w:tcBorders>
              <w:top w:val="single" w:sz="4" w:space="0" w:color="auto"/>
            </w:tcBorders>
            <w:shd w:val="clear" w:color="auto" w:fill="auto"/>
            <w:hideMark/>
          </w:tcPr>
          <w:p w14:paraId="35F3EF81" w14:textId="77777777" w:rsidR="00AF365B" w:rsidRDefault="00AF365B" w:rsidP="00017C13">
            <w:pPr>
              <w:pStyle w:val="TableText"/>
              <w:jc w:val="left"/>
            </w:pPr>
            <w:r>
              <w:t>Green alga</w:t>
            </w:r>
          </w:p>
          <w:p w14:paraId="6A37F842" w14:textId="77777777" w:rsidR="00AF365B" w:rsidRDefault="00AF365B" w:rsidP="00017C13">
            <w:pPr>
              <w:pStyle w:val="TableText"/>
              <w:jc w:val="left"/>
            </w:pPr>
            <w:r>
              <w:t>(Chlorophyta)</w:t>
            </w:r>
          </w:p>
        </w:tc>
        <w:tc>
          <w:tcPr>
            <w:tcW w:w="497" w:type="pct"/>
            <w:tcBorders>
              <w:top w:val="single" w:sz="4" w:space="0" w:color="auto"/>
            </w:tcBorders>
            <w:shd w:val="clear" w:color="auto" w:fill="auto"/>
            <w:hideMark/>
          </w:tcPr>
          <w:p w14:paraId="003BF85D" w14:textId="125E83E6" w:rsidR="00AF365B" w:rsidRPr="00AF365B" w:rsidRDefault="00AF365B" w:rsidP="00017C13">
            <w:pPr>
              <w:pStyle w:val="TableText"/>
              <w:jc w:val="left"/>
            </w:pPr>
            <w:r>
              <w:rPr>
                <w:rStyle w:val="Emphasis"/>
              </w:rPr>
              <w:t>Scenedesmus acutus</w:t>
            </w:r>
            <w:r>
              <w:rPr>
                <w:rStyle w:val="Emphasis"/>
                <w:i w:val="0"/>
                <w:iCs w:val="0"/>
              </w:rPr>
              <w:t xml:space="preserve"> </w:t>
            </w:r>
            <w:r w:rsidRPr="00AF365B">
              <w:rPr>
                <w:rStyle w:val="Emphasis"/>
                <w:b/>
                <w:bCs/>
                <w:i w:val="0"/>
                <w:iCs w:val="0"/>
                <w:vertAlign w:val="superscript"/>
              </w:rPr>
              <w:t>c</w:t>
            </w:r>
          </w:p>
        </w:tc>
        <w:tc>
          <w:tcPr>
            <w:tcW w:w="448" w:type="pct"/>
            <w:tcBorders>
              <w:top w:val="single" w:sz="4" w:space="0" w:color="auto"/>
            </w:tcBorders>
            <w:shd w:val="clear" w:color="auto" w:fill="auto"/>
            <w:hideMark/>
          </w:tcPr>
          <w:p w14:paraId="17B3A8FB" w14:textId="77777777" w:rsidR="00AF365B" w:rsidRDefault="00AF365B" w:rsidP="00017C13">
            <w:pPr>
              <w:pStyle w:val="TableText"/>
              <w:jc w:val="left"/>
            </w:pPr>
            <w:r>
              <w:t>Not stated</w:t>
            </w:r>
          </w:p>
        </w:tc>
        <w:tc>
          <w:tcPr>
            <w:tcW w:w="398" w:type="pct"/>
            <w:tcBorders>
              <w:top w:val="single" w:sz="4" w:space="0" w:color="auto"/>
            </w:tcBorders>
            <w:shd w:val="clear" w:color="auto" w:fill="auto"/>
            <w:hideMark/>
          </w:tcPr>
          <w:p w14:paraId="62666A91" w14:textId="77777777" w:rsidR="00AF365B" w:rsidRDefault="00AF365B" w:rsidP="00017C13">
            <w:pPr>
              <w:pStyle w:val="TableText"/>
              <w:jc w:val="left"/>
            </w:pPr>
            <w:r>
              <w:t>4</w:t>
            </w:r>
          </w:p>
        </w:tc>
        <w:tc>
          <w:tcPr>
            <w:tcW w:w="696" w:type="pct"/>
            <w:tcBorders>
              <w:top w:val="single" w:sz="4" w:space="0" w:color="auto"/>
            </w:tcBorders>
            <w:shd w:val="clear" w:color="auto" w:fill="auto"/>
          </w:tcPr>
          <w:p w14:paraId="0E132C87" w14:textId="77777777" w:rsidR="00AF365B" w:rsidRDefault="00AF365B" w:rsidP="00017C13">
            <w:pPr>
              <w:pStyle w:val="TableText"/>
              <w:jc w:val="left"/>
            </w:pPr>
            <w:r>
              <w:t xml:space="preserve">NOEC </w:t>
            </w:r>
          </w:p>
          <w:p w14:paraId="109FF9A8" w14:textId="77777777" w:rsidR="00AF365B" w:rsidRDefault="00AF365B" w:rsidP="00017C13">
            <w:pPr>
              <w:pStyle w:val="TableText"/>
              <w:jc w:val="left"/>
            </w:pPr>
            <w:r>
              <w:t>(Chlorophyl a content)</w:t>
            </w:r>
          </w:p>
        </w:tc>
        <w:tc>
          <w:tcPr>
            <w:tcW w:w="700" w:type="pct"/>
            <w:tcBorders>
              <w:top w:val="single" w:sz="4" w:space="0" w:color="auto"/>
            </w:tcBorders>
            <w:shd w:val="clear" w:color="auto" w:fill="auto"/>
            <w:hideMark/>
          </w:tcPr>
          <w:p w14:paraId="643967DD" w14:textId="77777777" w:rsidR="00AF365B" w:rsidRDefault="00AF365B" w:rsidP="00017C13">
            <w:pPr>
              <w:pStyle w:val="TableText"/>
              <w:jc w:val="left"/>
            </w:pPr>
            <w:r>
              <w:t>Modified Detmer’s nutrient medium</w:t>
            </w:r>
          </w:p>
        </w:tc>
        <w:tc>
          <w:tcPr>
            <w:tcW w:w="448" w:type="pct"/>
            <w:tcBorders>
              <w:top w:val="single" w:sz="4" w:space="0" w:color="auto"/>
            </w:tcBorders>
            <w:shd w:val="clear" w:color="auto" w:fill="auto"/>
            <w:hideMark/>
          </w:tcPr>
          <w:p w14:paraId="09526E38" w14:textId="77777777" w:rsidR="00AF365B" w:rsidRDefault="00AF365B" w:rsidP="00017C13">
            <w:pPr>
              <w:pStyle w:val="TableText"/>
              <w:jc w:val="left"/>
            </w:pPr>
            <w:r>
              <w:t>22 ± 2</w:t>
            </w:r>
          </w:p>
        </w:tc>
        <w:tc>
          <w:tcPr>
            <w:tcW w:w="350" w:type="pct"/>
            <w:tcBorders>
              <w:top w:val="single" w:sz="4" w:space="0" w:color="auto"/>
            </w:tcBorders>
            <w:shd w:val="clear" w:color="auto" w:fill="auto"/>
            <w:hideMark/>
          </w:tcPr>
          <w:p w14:paraId="3A5B0128" w14:textId="77777777" w:rsidR="00AF365B" w:rsidRDefault="00AF365B" w:rsidP="00017C13">
            <w:pPr>
              <w:pStyle w:val="TableText"/>
              <w:jc w:val="left"/>
            </w:pPr>
            <w:r>
              <w:t>7.5</w:t>
            </w:r>
          </w:p>
        </w:tc>
        <w:tc>
          <w:tcPr>
            <w:tcW w:w="458" w:type="pct"/>
            <w:tcBorders>
              <w:top w:val="single" w:sz="4" w:space="0" w:color="auto"/>
            </w:tcBorders>
            <w:shd w:val="clear" w:color="auto" w:fill="auto"/>
            <w:hideMark/>
          </w:tcPr>
          <w:p w14:paraId="504838D1" w14:textId="77777777" w:rsidR="00AF365B" w:rsidRPr="00A37153" w:rsidRDefault="00AF365B" w:rsidP="00017C13">
            <w:pPr>
              <w:pStyle w:val="TableText"/>
              <w:jc w:val="left"/>
            </w:pPr>
            <w:r>
              <w:t>2</w:t>
            </w:r>
            <w:r w:rsidRPr="00A37153">
              <w:t> </w:t>
            </w:r>
            <w:r>
              <w:t>0</w:t>
            </w:r>
            <w:r w:rsidRPr="00A37153">
              <w:t>00</w:t>
            </w:r>
          </w:p>
        </w:tc>
        <w:tc>
          <w:tcPr>
            <w:tcW w:w="469" w:type="pct"/>
            <w:tcBorders>
              <w:top w:val="single" w:sz="4" w:space="0" w:color="auto"/>
            </w:tcBorders>
            <w:shd w:val="clear" w:color="auto" w:fill="auto"/>
            <w:hideMark/>
          </w:tcPr>
          <w:p w14:paraId="7DB8893B" w14:textId="77777777" w:rsidR="00AF365B" w:rsidRPr="00661EB0" w:rsidRDefault="00AF365B" w:rsidP="00017C13">
            <w:pPr>
              <w:pStyle w:val="TableText"/>
              <w:jc w:val="left"/>
            </w:pPr>
            <w:r w:rsidRPr="00304EA2">
              <w:t>Saenz et al. (1997)</w:t>
            </w:r>
          </w:p>
        </w:tc>
      </w:tr>
      <w:tr w:rsidR="00AF365B" w14:paraId="3D9F45D5" w14:textId="77777777" w:rsidTr="00017C13">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4" w:space="0" w:color="auto"/>
            </w:tcBorders>
            <w:shd w:val="clear" w:color="auto" w:fill="auto"/>
          </w:tcPr>
          <w:p w14:paraId="5A4BE7DB" w14:textId="77777777" w:rsidR="00AF365B" w:rsidRDefault="00AF365B" w:rsidP="00017C13">
            <w:pPr>
              <w:pStyle w:val="TableText"/>
              <w:jc w:val="left"/>
            </w:pPr>
            <w:r>
              <w:t>–</w:t>
            </w:r>
          </w:p>
        </w:tc>
        <w:tc>
          <w:tcPr>
            <w:tcW w:w="458" w:type="pct"/>
            <w:tcBorders>
              <w:bottom w:val="single" w:sz="4" w:space="0" w:color="auto"/>
            </w:tcBorders>
            <w:shd w:val="clear" w:color="auto" w:fill="auto"/>
            <w:hideMark/>
          </w:tcPr>
          <w:p w14:paraId="2D0AAD1A" w14:textId="77777777" w:rsidR="00AF365B" w:rsidRPr="00A37153" w:rsidRDefault="00AF365B" w:rsidP="00017C13">
            <w:pPr>
              <w:pStyle w:val="TableText"/>
              <w:jc w:val="left"/>
            </w:pPr>
            <w:r>
              <w:rPr>
                <w:b/>
              </w:rPr>
              <w:t>2</w:t>
            </w:r>
            <w:r w:rsidRPr="00A37153">
              <w:rPr>
                <w:b/>
              </w:rPr>
              <w:t> </w:t>
            </w:r>
            <w:r>
              <w:rPr>
                <w:b/>
              </w:rPr>
              <w:t>0</w:t>
            </w:r>
            <w:r w:rsidRPr="00A37153">
              <w:rPr>
                <w:b/>
              </w:rPr>
              <w:t>00</w:t>
            </w:r>
          </w:p>
        </w:tc>
        <w:tc>
          <w:tcPr>
            <w:tcW w:w="469" w:type="pct"/>
            <w:tcBorders>
              <w:bottom w:val="single" w:sz="4" w:space="0" w:color="auto"/>
            </w:tcBorders>
            <w:shd w:val="clear" w:color="auto" w:fill="auto"/>
            <w:hideMark/>
          </w:tcPr>
          <w:p w14:paraId="0D9F918B" w14:textId="77777777" w:rsidR="00AF365B" w:rsidRPr="00661EB0" w:rsidRDefault="00AF365B" w:rsidP="00017C13">
            <w:pPr>
              <w:pStyle w:val="TableText"/>
              <w:jc w:val="left"/>
              <w:rPr>
                <w:rFonts w:cs="Calibri"/>
              </w:rPr>
            </w:pPr>
            <w:r w:rsidRPr="00661EB0">
              <w:rPr>
                <w:rFonts w:cs="Calibri"/>
                <w:b/>
              </w:rPr>
              <w:t>VALUE USED IN SSD</w:t>
            </w:r>
            <w:r>
              <w:rPr>
                <w:rFonts w:cs="Calibri"/>
                <w:b/>
              </w:rPr>
              <w:t xml:space="preserve"> </w:t>
            </w:r>
          </w:p>
        </w:tc>
      </w:tr>
      <w:tr w:rsidR="00AF365B" w14:paraId="6EB626BA" w14:textId="77777777" w:rsidTr="00017C13">
        <w:trPr>
          <w:cnfStyle w:val="000000100000" w:firstRow="0" w:lastRow="0" w:firstColumn="0" w:lastColumn="0" w:oddVBand="0" w:evenVBand="0" w:oddHBand="1" w:evenHBand="0" w:firstRowFirstColumn="0" w:firstRowLastColumn="0" w:lastRowFirstColumn="0" w:lastRowLastColumn="0"/>
          <w:cantSplit/>
        </w:trPr>
        <w:tc>
          <w:tcPr>
            <w:tcW w:w="536" w:type="pct"/>
            <w:tcBorders>
              <w:top w:val="single" w:sz="4" w:space="0" w:color="auto"/>
            </w:tcBorders>
            <w:shd w:val="clear" w:color="auto" w:fill="auto"/>
            <w:hideMark/>
          </w:tcPr>
          <w:p w14:paraId="2246C908" w14:textId="77777777" w:rsidR="00AF365B" w:rsidRDefault="00AF365B" w:rsidP="00017C13">
            <w:pPr>
              <w:pStyle w:val="TableText"/>
              <w:jc w:val="left"/>
            </w:pPr>
            <w:r>
              <w:lastRenderedPageBreak/>
              <w:t>Green alga</w:t>
            </w:r>
          </w:p>
          <w:p w14:paraId="109B0AC8" w14:textId="77777777" w:rsidR="00AF365B" w:rsidRDefault="00AF365B" w:rsidP="00017C13">
            <w:pPr>
              <w:pStyle w:val="TableText"/>
              <w:jc w:val="left"/>
            </w:pPr>
            <w:r>
              <w:t>(Chlorophyta)</w:t>
            </w:r>
          </w:p>
        </w:tc>
        <w:tc>
          <w:tcPr>
            <w:tcW w:w="497" w:type="pct"/>
            <w:tcBorders>
              <w:top w:val="single" w:sz="4" w:space="0" w:color="auto"/>
            </w:tcBorders>
            <w:shd w:val="clear" w:color="auto" w:fill="auto"/>
            <w:hideMark/>
          </w:tcPr>
          <w:p w14:paraId="26F94A16" w14:textId="77777777" w:rsidR="00AF365B" w:rsidRPr="00661EB0" w:rsidRDefault="00AF365B" w:rsidP="00017C13">
            <w:pPr>
              <w:pStyle w:val="TableText"/>
              <w:jc w:val="left"/>
            </w:pPr>
            <w:r>
              <w:rPr>
                <w:rStyle w:val="Emphasis"/>
              </w:rPr>
              <w:t>Scenedesmus quadricauda</w:t>
            </w:r>
          </w:p>
        </w:tc>
        <w:tc>
          <w:tcPr>
            <w:tcW w:w="448" w:type="pct"/>
            <w:tcBorders>
              <w:top w:val="single" w:sz="4" w:space="0" w:color="auto"/>
            </w:tcBorders>
            <w:shd w:val="clear" w:color="auto" w:fill="auto"/>
            <w:hideMark/>
          </w:tcPr>
          <w:p w14:paraId="449C0702" w14:textId="77777777" w:rsidR="00AF365B" w:rsidRDefault="00AF365B" w:rsidP="00017C13">
            <w:pPr>
              <w:pStyle w:val="TableText"/>
              <w:jc w:val="left"/>
            </w:pPr>
            <w:r>
              <w:t>Not stated</w:t>
            </w:r>
          </w:p>
        </w:tc>
        <w:tc>
          <w:tcPr>
            <w:tcW w:w="398" w:type="pct"/>
            <w:tcBorders>
              <w:top w:val="single" w:sz="4" w:space="0" w:color="auto"/>
            </w:tcBorders>
            <w:shd w:val="clear" w:color="auto" w:fill="auto"/>
            <w:hideMark/>
          </w:tcPr>
          <w:p w14:paraId="30C5A979" w14:textId="77777777" w:rsidR="00AF365B" w:rsidRDefault="00AF365B" w:rsidP="00017C13">
            <w:pPr>
              <w:pStyle w:val="TableText"/>
              <w:jc w:val="left"/>
            </w:pPr>
            <w:r>
              <w:t>4</w:t>
            </w:r>
          </w:p>
        </w:tc>
        <w:tc>
          <w:tcPr>
            <w:tcW w:w="696" w:type="pct"/>
            <w:tcBorders>
              <w:top w:val="single" w:sz="4" w:space="0" w:color="auto"/>
            </w:tcBorders>
            <w:shd w:val="clear" w:color="auto" w:fill="auto"/>
          </w:tcPr>
          <w:p w14:paraId="2A036751" w14:textId="77777777" w:rsidR="00AF365B" w:rsidRDefault="00AF365B" w:rsidP="00017C13">
            <w:pPr>
              <w:pStyle w:val="TableText"/>
              <w:jc w:val="left"/>
            </w:pPr>
            <w:r>
              <w:t xml:space="preserve">NOEC </w:t>
            </w:r>
          </w:p>
          <w:p w14:paraId="5F9F5887" w14:textId="77777777" w:rsidR="00AF365B" w:rsidRDefault="00AF365B" w:rsidP="00017C13">
            <w:pPr>
              <w:pStyle w:val="TableText"/>
              <w:jc w:val="left"/>
            </w:pPr>
            <w:r>
              <w:t>(Chlorophyl a content)</w:t>
            </w:r>
          </w:p>
        </w:tc>
        <w:tc>
          <w:tcPr>
            <w:tcW w:w="700" w:type="pct"/>
            <w:tcBorders>
              <w:top w:val="single" w:sz="4" w:space="0" w:color="auto"/>
            </w:tcBorders>
            <w:shd w:val="clear" w:color="auto" w:fill="auto"/>
            <w:hideMark/>
          </w:tcPr>
          <w:p w14:paraId="7F142588" w14:textId="77777777" w:rsidR="00AF365B" w:rsidRDefault="00AF365B" w:rsidP="00017C13">
            <w:pPr>
              <w:pStyle w:val="TableText"/>
              <w:jc w:val="left"/>
            </w:pPr>
            <w:r>
              <w:t>Modified Detmer’s nutrient medium</w:t>
            </w:r>
          </w:p>
        </w:tc>
        <w:tc>
          <w:tcPr>
            <w:tcW w:w="448" w:type="pct"/>
            <w:tcBorders>
              <w:top w:val="single" w:sz="4" w:space="0" w:color="auto"/>
            </w:tcBorders>
            <w:shd w:val="clear" w:color="auto" w:fill="auto"/>
            <w:hideMark/>
          </w:tcPr>
          <w:p w14:paraId="42F0C13A" w14:textId="77777777" w:rsidR="00AF365B" w:rsidRDefault="00AF365B" w:rsidP="00017C13">
            <w:pPr>
              <w:pStyle w:val="TableText"/>
              <w:jc w:val="left"/>
            </w:pPr>
            <w:r>
              <w:t>22 ± 2</w:t>
            </w:r>
          </w:p>
        </w:tc>
        <w:tc>
          <w:tcPr>
            <w:tcW w:w="350" w:type="pct"/>
            <w:tcBorders>
              <w:top w:val="single" w:sz="4" w:space="0" w:color="auto"/>
            </w:tcBorders>
            <w:shd w:val="clear" w:color="auto" w:fill="auto"/>
            <w:hideMark/>
          </w:tcPr>
          <w:p w14:paraId="29319A6D" w14:textId="77777777" w:rsidR="00AF365B" w:rsidRDefault="00AF365B" w:rsidP="00017C13">
            <w:pPr>
              <w:pStyle w:val="TableText"/>
              <w:jc w:val="left"/>
            </w:pPr>
            <w:r>
              <w:t>7.5</w:t>
            </w:r>
          </w:p>
        </w:tc>
        <w:tc>
          <w:tcPr>
            <w:tcW w:w="458" w:type="pct"/>
            <w:tcBorders>
              <w:top w:val="single" w:sz="4" w:space="0" w:color="auto"/>
            </w:tcBorders>
            <w:shd w:val="clear" w:color="auto" w:fill="auto"/>
            <w:hideMark/>
          </w:tcPr>
          <w:p w14:paraId="6EFDFE98" w14:textId="77777777" w:rsidR="00AF365B" w:rsidRPr="00A37153" w:rsidRDefault="00AF365B" w:rsidP="00017C13">
            <w:pPr>
              <w:pStyle w:val="TableText"/>
              <w:jc w:val="left"/>
            </w:pPr>
            <w:r>
              <w:t>770</w:t>
            </w:r>
          </w:p>
        </w:tc>
        <w:tc>
          <w:tcPr>
            <w:tcW w:w="469" w:type="pct"/>
            <w:tcBorders>
              <w:top w:val="single" w:sz="4" w:space="0" w:color="auto"/>
            </w:tcBorders>
            <w:shd w:val="clear" w:color="auto" w:fill="auto"/>
            <w:hideMark/>
          </w:tcPr>
          <w:p w14:paraId="211CF380" w14:textId="77777777" w:rsidR="00AF365B" w:rsidRPr="00661EB0" w:rsidRDefault="00AF365B" w:rsidP="00017C13">
            <w:pPr>
              <w:pStyle w:val="TableText"/>
              <w:jc w:val="left"/>
            </w:pPr>
            <w:r w:rsidRPr="00304EA2">
              <w:t>Saenz et al. (1997)</w:t>
            </w:r>
          </w:p>
        </w:tc>
      </w:tr>
      <w:tr w:rsidR="00AF365B" w14:paraId="12EF1BBC" w14:textId="77777777" w:rsidTr="00017C13">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4" w:space="0" w:color="auto"/>
            </w:tcBorders>
            <w:shd w:val="clear" w:color="auto" w:fill="auto"/>
          </w:tcPr>
          <w:p w14:paraId="5CF8945F" w14:textId="77777777" w:rsidR="00AF365B" w:rsidRDefault="00AF365B" w:rsidP="00017C13">
            <w:pPr>
              <w:pStyle w:val="TableText"/>
              <w:jc w:val="left"/>
            </w:pPr>
            <w:r>
              <w:t>–</w:t>
            </w:r>
          </w:p>
        </w:tc>
        <w:tc>
          <w:tcPr>
            <w:tcW w:w="458" w:type="pct"/>
            <w:tcBorders>
              <w:bottom w:val="single" w:sz="4" w:space="0" w:color="auto"/>
            </w:tcBorders>
            <w:shd w:val="clear" w:color="auto" w:fill="auto"/>
            <w:hideMark/>
          </w:tcPr>
          <w:p w14:paraId="4760E271" w14:textId="77777777" w:rsidR="00AF365B" w:rsidRPr="00A37153" w:rsidRDefault="00AF365B" w:rsidP="00017C13">
            <w:pPr>
              <w:pStyle w:val="TableText"/>
              <w:jc w:val="left"/>
            </w:pPr>
            <w:r>
              <w:rPr>
                <w:b/>
              </w:rPr>
              <w:t>770</w:t>
            </w:r>
          </w:p>
        </w:tc>
        <w:tc>
          <w:tcPr>
            <w:tcW w:w="469" w:type="pct"/>
            <w:tcBorders>
              <w:bottom w:val="single" w:sz="4" w:space="0" w:color="auto"/>
            </w:tcBorders>
            <w:shd w:val="clear" w:color="auto" w:fill="auto"/>
            <w:hideMark/>
          </w:tcPr>
          <w:p w14:paraId="6ADBF266" w14:textId="77777777" w:rsidR="00AF365B" w:rsidRPr="00661EB0" w:rsidRDefault="00AF365B" w:rsidP="00017C13">
            <w:pPr>
              <w:pStyle w:val="TableText"/>
              <w:jc w:val="left"/>
              <w:rPr>
                <w:rFonts w:cs="Calibri"/>
              </w:rPr>
            </w:pPr>
            <w:r w:rsidRPr="00661EB0">
              <w:rPr>
                <w:rFonts w:cs="Calibri"/>
                <w:b/>
              </w:rPr>
              <w:t>VALUE USED IN SSD</w:t>
            </w:r>
            <w:r>
              <w:rPr>
                <w:rFonts w:cs="Calibri"/>
                <w:b/>
              </w:rPr>
              <w:t xml:space="preserve"> </w:t>
            </w:r>
          </w:p>
        </w:tc>
      </w:tr>
      <w:tr w:rsidR="00955EF0" w14:paraId="0D301E3C" w14:textId="77777777" w:rsidTr="00664659">
        <w:trPr>
          <w:cnfStyle w:val="000000100000" w:firstRow="0" w:lastRow="0" w:firstColumn="0" w:lastColumn="0" w:oddVBand="0" w:evenVBand="0" w:oddHBand="1" w:evenHBand="0" w:firstRowFirstColumn="0" w:firstRowLastColumn="0" w:lastRowFirstColumn="0" w:lastRowLastColumn="0"/>
          <w:cantSplit/>
        </w:trPr>
        <w:tc>
          <w:tcPr>
            <w:tcW w:w="536" w:type="pct"/>
            <w:vMerge w:val="restart"/>
            <w:tcBorders>
              <w:top w:val="single" w:sz="4" w:space="0" w:color="auto"/>
            </w:tcBorders>
            <w:shd w:val="clear" w:color="auto" w:fill="auto"/>
            <w:hideMark/>
          </w:tcPr>
          <w:p w14:paraId="619EB6C7" w14:textId="77777777" w:rsidR="00955EF0" w:rsidRDefault="00955EF0" w:rsidP="00661EB0">
            <w:pPr>
              <w:pStyle w:val="TableText"/>
              <w:jc w:val="left"/>
            </w:pPr>
            <w:r>
              <w:t>Green alga</w:t>
            </w:r>
          </w:p>
          <w:p w14:paraId="3A14B89D" w14:textId="6B2C4AFD" w:rsidR="00955EF0" w:rsidRDefault="00955EF0" w:rsidP="00897B78">
            <w:pPr>
              <w:pStyle w:val="TableText"/>
              <w:jc w:val="left"/>
            </w:pPr>
            <w:r>
              <w:t>(Chlorophyta)</w:t>
            </w:r>
          </w:p>
        </w:tc>
        <w:tc>
          <w:tcPr>
            <w:tcW w:w="497" w:type="pct"/>
            <w:vMerge w:val="restart"/>
            <w:tcBorders>
              <w:top w:val="single" w:sz="4" w:space="0" w:color="auto"/>
            </w:tcBorders>
            <w:shd w:val="clear" w:color="auto" w:fill="auto"/>
            <w:hideMark/>
          </w:tcPr>
          <w:p w14:paraId="47FB2D2F" w14:textId="4A8898B0" w:rsidR="00955EF0" w:rsidRPr="00661EB0" w:rsidRDefault="00955EF0" w:rsidP="00897B78">
            <w:pPr>
              <w:pStyle w:val="TableText"/>
              <w:jc w:val="left"/>
            </w:pPr>
            <w:r w:rsidRPr="00DB321B">
              <w:rPr>
                <w:rStyle w:val="Emphasis"/>
              </w:rPr>
              <w:t>Scenedesmus subspicatus</w:t>
            </w:r>
            <w:r>
              <w:rPr>
                <w:rStyle w:val="Emphasis"/>
              </w:rPr>
              <w:t xml:space="preserve"> </w:t>
            </w:r>
            <w:r w:rsidR="00AF365B">
              <w:rPr>
                <w:rStyle w:val="Strong"/>
                <w:vertAlign w:val="superscript"/>
              </w:rPr>
              <w:t>d</w:t>
            </w:r>
          </w:p>
        </w:tc>
        <w:tc>
          <w:tcPr>
            <w:tcW w:w="448" w:type="pct"/>
            <w:tcBorders>
              <w:top w:val="single" w:sz="4" w:space="0" w:color="auto"/>
              <w:bottom w:val="single" w:sz="4" w:space="0" w:color="auto"/>
            </w:tcBorders>
            <w:shd w:val="clear" w:color="auto" w:fill="auto"/>
            <w:hideMark/>
          </w:tcPr>
          <w:p w14:paraId="0A014F3A" w14:textId="77777777" w:rsidR="00955EF0" w:rsidRDefault="00955EF0" w:rsidP="00661EB0">
            <w:pPr>
              <w:pStyle w:val="TableText"/>
              <w:jc w:val="left"/>
            </w:pPr>
            <w:r>
              <w:t>Exponential growth phase</w:t>
            </w:r>
          </w:p>
        </w:tc>
        <w:tc>
          <w:tcPr>
            <w:tcW w:w="398" w:type="pct"/>
            <w:tcBorders>
              <w:top w:val="single" w:sz="4" w:space="0" w:color="auto"/>
              <w:bottom w:val="single" w:sz="4" w:space="0" w:color="auto"/>
            </w:tcBorders>
            <w:shd w:val="clear" w:color="auto" w:fill="auto"/>
            <w:hideMark/>
          </w:tcPr>
          <w:p w14:paraId="6F490DCE" w14:textId="77777777" w:rsidR="00955EF0" w:rsidRDefault="00955EF0" w:rsidP="00661EB0">
            <w:pPr>
              <w:pStyle w:val="TableText"/>
              <w:jc w:val="left"/>
            </w:pPr>
            <w:r>
              <w:t>3</w:t>
            </w:r>
          </w:p>
        </w:tc>
        <w:tc>
          <w:tcPr>
            <w:tcW w:w="696" w:type="pct"/>
            <w:tcBorders>
              <w:top w:val="single" w:sz="4" w:space="0" w:color="auto"/>
              <w:bottom w:val="single" w:sz="4" w:space="0" w:color="auto"/>
            </w:tcBorders>
            <w:shd w:val="clear" w:color="auto" w:fill="auto"/>
          </w:tcPr>
          <w:p w14:paraId="7A4CA002" w14:textId="77777777" w:rsidR="00955EF0" w:rsidRDefault="00955EF0" w:rsidP="00661EB0">
            <w:pPr>
              <w:pStyle w:val="TableText"/>
              <w:jc w:val="left"/>
            </w:pPr>
            <w:r>
              <w:t>NOEC</w:t>
            </w:r>
          </w:p>
          <w:p w14:paraId="68A356F9" w14:textId="77777777" w:rsidR="00955EF0" w:rsidRDefault="00955EF0" w:rsidP="00661EB0">
            <w:pPr>
              <w:pStyle w:val="TableText"/>
              <w:jc w:val="left"/>
            </w:pPr>
            <w:r>
              <w:t>(Cell density)</w:t>
            </w:r>
          </w:p>
        </w:tc>
        <w:tc>
          <w:tcPr>
            <w:tcW w:w="700" w:type="pct"/>
            <w:tcBorders>
              <w:top w:val="single" w:sz="4" w:space="0" w:color="auto"/>
              <w:bottom w:val="single" w:sz="4" w:space="0" w:color="auto"/>
            </w:tcBorders>
            <w:shd w:val="clear" w:color="auto" w:fill="auto"/>
            <w:hideMark/>
          </w:tcPr>
          <w:p w14:paraId="5D4C7E06" w14:textId="77777777" w:rsidR="00955EF0" w:rsidRDefault="00955EF0" w:rsidP="00661EB0">
            <w:pPr>
              <w:pStyle w:val="TableText"/>
              <w:jc w:val="left"/>
            </w:pPr>
            <w:r>
              <w:t>ASTM medium</w:t>
            </w:r>
          </w:p>
        </w:tc>
        <w:tc>
          <w:tcPr>
            <w:tcW w:w="448" w:type="pct"/>
            <w:tcBorders>
              <w:top w:val="single" w:sz="4" w:space="0" w:color="auto"/>
              <w:bottom w:val="single" w:sz="4" w:space="0" w:color="auto"/>
            </w:tcBorders>
            <w:shd w:val="clear" w:color="auto" w:fill="auto"/>
            <w:hideMark/>
          </w:tcPr>
          <w:p w14:paraId="5A8B97C7" w14:textId="77777777" w:rsidR="00955EF0" w:rsidRDefault="00955EF0" w:rsidP="00661EB0">
            <w:pPr>
              <w:pStyle w:val="TableText"/>
              <w:jc w:val="left"/>
            </w:pPr>
            <w:r>
              <w:t>24 ± 2</w:t>
            </w:r>
          </w:p>
        </w:tc>
        <w:tc>
          <w:tcPr>
            <w:tcW w:w="350" w:type="pct"/>
            <w:tcBorders>
              <w:top w:val="single" w:sz="4" w:space="0" w:color="auto"/>
              <w:bottom w:val="single" w:sz="4" w:space="0" w:color="auto"/>
            </w:tcBorders>
            <w:shd w:val="clear" w:color="auto" w:fill="auto"/>
            <w:hideMark/>
          </w:tcPr>
          <w:p w14:paraId="384A80D7" w14:textId="77777777" w:rsidR="00955EF0" w:rsidRDefault="00955EF0" w:rsidP="00661EB0">
            <w:pPr>
              <w:pStyle w:val="TableText"/>
              <w:jc w:val="left"/>
            </w:pPr>
            <w:r>
              <w:t>Not stated</w:t>
            </w:r>
          </w:p>
        </w:tc>
        <w:tc>
          <w:tcPr>
            <w:tcW w:w="458" w:type="pct"/>
            <w:tcBorders>
              <w:top w:val="single" w:sz="4" w:space="0" w:color="auto"/>
              <w:bottom w:val="single" w:sz="4" w:space="0" w:color="auto"/>
            </w:tcBorders>
            <w:shd w:val="clear" w:color="auto" w:fill="auto"/>
            <w:hideMark/>
          </w:tcPr>
          <w:p w14:paraId="1D3D7FE4" w14:textId="77777777" w:rsidR="00955EF0" w:rsidRPr="00A37153" w:rsidRDefault="00955EF0" w:rsidP="00661EB0">
            <w:pPr>
              <w:pStyle w:val="TableText"/>
              <w:jc w:val="left"/>
            </w:pPr>
            <w:r w:rsidRPr="00A37153">
              <w:t>100</w:t>
            </w:r>
          </w:p>
        </w:tc>
        <w:tc>
          <w:tcPr>
            <w:tcW w:w="469" w:type="pct"/>
            <w:tcBorders>
              <w:top w:val="single" w:sz="4" w:space="0" w:color="auto"/>
              <w:bottom w:val="single" w:sz="4" w:space="0" w:color="auto"/>
            </w:tcBorders>
            <w:shd w:val="clear" w:color="auto" w:fill="auto"/>
            <w:hideMark/>
          </w:tcPr>
          <w:p w14:paraId="5B6001C1" w14:textId="77777777" w:rsidR="00955EF0" w:rsidRPr="00661EB0" w:rsidRDefault="00955EF0" w:rsidP="00661EB0">
            <w:pPr>
              <w:pStyle w:val="TableText"/>
              <w:jc w:val="left"/>
            </w:pPr>
            <w:r w:rsidRPr="00661EB0">
              <w:t>Vendrell et al. (2009)</w:t>
            </w:r>
          </w:p>
        </w:tc>
      </w:tr>
      <w:tr w:rsidR="00955EF0" w14:paraId="5A8B7C08" w14:textId="77777777" w:rsidTr="00664659">
        <w:trPr>
          <w:cnfStyle w:val="000000010000" w:firstRow="0" w:lastRow="0" w:firstColumn="0" w:lastColumn="0" w:oddVBand="0" w:evenVBand="0" w:oddHBand="0" w:evenHBand="1" w:firstRowFirstColumn="0" w:firstRowLastColumn="0" w:lastRowFirstColumn="0" w:lastRowLastColumn="0"/>
          <w:cantSplit/>
        </w:trPr>
        <w:tc>
          <w:tcPr>
            <w:tcW w:w="536" w:type="pct"/>
            <w:vMerge/>
            <w:shd w:val="clear" w:color="auto" w:fill="auto"/>
            <w:hideMark/>
          </w:tcPr>
          <w:p w14:paraId="6F261356" w14:textId="532D0BDB" w:rsidR="00955EF0" w:rsidRDefault="00955EF0" w:rsidP="00661EB0">
            <w:pPr>
              <w:pStyle w:val="TableText"/>
              <w:jc w:val="left"/>
            </w:pPr>
          </w:p>
        </w:tc>
        <w:tc>
          <w:tcPr>
            <w:tcW w:w="497" w:type="pct"/>
            <w:vMerge/>
            <w:shd w:val="clear" w:color="auto" w:fill="auto"/>
            <w:hideMark/>
          </w:tcPr>
          <w:p w14:paraId="22C0CD98" w14:textId="26F346D4" w:rsidR="00955EF0" w:rsidRPr="00661EB0" w:rsidRDefault="00955EF0" w:rsidP="00661EB0">
            <w:pPr>
              <w:pStyle w:val="TableText"/>
              <w:jc w:val="left"/>
            </w:pPr>
          </w:p>
        </w:tc>
        <w:tc>
          <w:tcPr>
            <w:tcW w:w="448" w:type="pct"/>
            <w:tcBorders>
              <w:top w:val="single" w:sz="4" w:space="0" w:color="auto"/>
            </w:tcBorders>
            <w:shd w:val="clear" w:color="auto" w:fill="auto"/>
            <w:hideMark/>
          </w:tcPr>
          <w:p w14:paraId="599C03BA" w14:textId="77777777" w:rsidR="00955EF0" w:rsidRDefault="00955EF0" w:rsidP="00661EB0">
            <w:pPr>
              <w:pStyle w:val="TableText"/>
              <w:jc w:val="left"/>
            </w:pPr>
            <w:r>
              <w:t>Exponential growth phase</w:t>
            </w:r>
          </w:p>
        </w:tc>
        <w:tc>
          <w:tcPr>
            <w:tcW w:w="398" w:type="pct"/>
            <w:tcBorders>
              <w:top w:val="single" w:sz="4" w:space="0" w:color="auto"/>
            </w:tcBorders>
            <w:shd w:val="clear" w:color="auto" w:fill="auto"/>
            <w:hideMark/>
          </w:tcPr>
          <w:p w14:paraId="5147E9A9" w14:textId="77777777" w:rsidR="00955EF0" w:rsidRDefault="00955EF0" w:rsidP="00661EB0">
            <w:pPr>
              <w:pStyle w:val="TableText"/>
              <w:jc w:val="left"/>
            </w:pPr>
            <w:r>
              <w:t>3</w:t>
            </w:r>
          </w:p>
        </w:tc>
        <w:tc>
          <w:tcPr>
            <w:tcW w:w="696" w:type="pct"/>
            <w:tcBorders>
              <w:top w:val="single" w:sz="4" w:space="0" w:color="auto"/>
            </w:tcBorders>
            <w:shd w:val="clear" w:color="auto" w:fill="auto"/>
          </w:tcPr>
          <w:p w14:paraId="621D1978" w14:textId="77777777" w:rsidR="00955EF0" w:rsidRDefault="00955EF0" w:rsidP="00661EB0">
            <w:pPr>
              <w:pStyle w:val="TableText"/>
              <w:jc w:val="left"/>
            </w:pPr>
            <w:r>
              <w:t>EC10</w:t>
            </w:r>
          </w:p>
          <w:p w14:paraId="1166E9FD" w14:textId="77777777" w:rsidR="00955EF0" w:rsidRDefault="00955EF0" w:rsidP="00661EB0">
            <w:pPr>
              <w:pStyle w:val="TableText"/>
              <w:jc w:val="left"/>
            </w:pPr>
            <w:r>
              <w:t>(Cell density)</w:t>
            </w:r>
          </w:p>
        </w:tc>
        <w:tc>
          <w:tcPr>
            <w:tcW w:w="700" w:type="pct"/>
            <w:tcBorders>
              <w:top w:val="single" w:sz="4" w:space="0" w:color="auto"/>
            </w:tcBorders>
            <w:shd w:val="clear" w:color="auto" w:fill="auto"/>
            <w:hideMark/>
          </w:tcPr>
          <w:p w14:paraId="342B36C6" w14:textId="77777777" w:rsidR="00955EF0" w:rsidRDefault="00955EF0" w:rsidP="00661EB0">
            <w:pPr>
              <w:pStyle w:val="TableText"/>
              <w:jc w:val="left"/>
            </w:pPr>
            <w:r>
              <w:t>ASTM medium</w:t>
            </w:r>
          </w:p>
        </w:tc>
        <w:tc>
          <w:tcPr>
            <w:tcW w:w="448" w:type="pct"/>
            <w:tcBorders>
              <w:top w:val="single" w:sz="4" w:space="0" w:color="auto"/>
            </w:tcBorders>
            <w:shd w:val="clear" w:color="auto" w:fill="auto"/>
            <w:hideMark/>
          </w:tcPr>
          <w:p w14:paraId="78E115AE" w14:textId="77777777" w:rsidR="00955EF0" w:rsidRDefault="00955EF0" w:rsidP="00661EB0">
            <w:pPr>
              <w:pStyle w:val="TableText"/>
              <w:jc w:val="left"/>
            </w:pPr>
            <w:r>
              <w:t>24 ± 2</w:t>
            </w:r>
          </w:p>
        </w:tc>
        <w:tc>
          <w:tcPr>
            <w:tcW w:w="350" w:type="pct"/>
            <w:tcBorders>
              <w:top w:val="single" w:sz="4" w:space="0" w:color="auto"/>
            </w:tcBorders>
            <w:shd w:val="clear" w:color="auto" w:fill="auto"/>
            <w:hideMark/>
          </w:tcPr>
          <w:p w14:paraId="6E09A68D" w14:textId="77777777" w:rsidR="00955EF0" w:rsidRDefault="00955EF0" w:rsidP="00661EB0">
            <w:pPr>
              <w:pStyle w:val="TableText"/>
              <w:jc w:val="left"/>
            </w:pPr>
            <w:r>
              <w:t>Not stated</w:t>
            </w:r>
          </w:p>
        </w:tc>
        <w:tc>
          <w:tcPr>
            <w:tcW w:w="458" w:type="pct"/>
            <w:tcBorders>
              <w:top w:val="single" w:sz="4" w:space="0" w:color="auto"/>
            </w:tcBorders>
            <w:shd w:val="clear" w:color="auto" w:fill="auto"/>
            <w:hideMark/>
          </w:tcPr>
          <w:p w14:paraId="0347501C" w14:textId="0B3FD650" w:rsidR="00955EF0" w:rsidRPr="00A37153" w:rsidRDefault="00955EF0" w:rsidP="00661EB0">
            <w:pPr>
              <w:pStyle w:val="TableText"/>
              <w:jc w:val="left"/>
            </w:pPr>
            <w:r>
              <w:t>1 </w:t>
            </w:r>
            <w:r w:rsidRPr="00A37153">
              <w:t>600</w:t>
            </w:r>
          </w:p>
        </w:tc>
        <w:tc>
          <w:tcPr>
            <w:tcW w:w="469" w:type="pct"/>
            <w:tcBorders>
              <w:top w:val="single" w:sz="4" w:space="0" w:color="auto"/>
            </w:tcBorders>
            <w:shd w:val="clear" w:color="auto" w:fill="auto"/>
            <w:hideMark/>
          </w:tcPr>
          <w:p w14:paraId="61D8F067" w14:textId="77777777" w:rsidR="00955EF0" w:rsidRPr="00661EB0" w:rsidRDefault="00955EF0" w:rsidP="00661EB0">
            <w:pPr>
              <w:pStyle w:val="TableText"/>
              <w:jc w:val="left"/>
            </w:pPr>
            <w:r w:rsidRPr="00661EB0">
              <w:t>Vendrell et al. (2009)</w:t>
            </w:r>
          </w:p>
        </w:tc>
      </w:tr>
      <w:tr w:rsidR="00282321" w14:paraId="4BC14A7F" w14:textId="77777777" w:rsidTr="00C72F61">
        <w:trPr>
          <w:cnfStyle w:val="000000100000" w:firstRow="0" w:lastRow="0" w:firstColumn="0" w:lastColumn="0" w:oddVBand="0" w:evenVBand="0" w:oddHBand="1" w:evenHBand="0" w:firstRowFirstColumn="0" w:firstRowLastColumn="0" w:lastRowFirstColumn="0" w:lastRowLastColumn="0"/>
          <w:cantSplit/>
        </w:trPr>
        <w:tc>
          <w:tcPr>
            <w:tcW w:w="4073" w:type="pct"/>
            <w:gridSpan w:val="8"/>
            <w:tcBorders>
              <w:bottom w:val="single" w:sz="4" w:space="0" w:color="auto"/>
            </w:tcBorders>
            <w:shd w:val="clear" w:color="auto" w:fill="auto"/>
          </w:tcPr>
          <w:p w14:paraId="482119D1" w14:textId="57527489" w:rsidR="00282321" w:rsidRDefault="00282321" w:rsidP="00661EB0">
            <w:pPr>
              <w:pStyle w:val="TableText"/>
              <w:jc w:val="left"/>
            </w:pPr>
            <w:r>
              <w:t>–</w:t>
            </w:r>
          </w:p>
        </w:tc>
        <w:tc>
          <w:tcPr>
            <w:tcW w:w="458" w:type="pct"/>
            <w:tcBorders>
              <w:bottom w:val="single" w:sz="4" w:space="0" w:color="auto"/>
            </w:tcBorders>
            <w:shd w:val="clear" w:color="auto" w:fill="auto"/>
            <w:hideMark/>
          </w:tcPr>
          <w:p w14:paraId="38E83A19" w14:textId="77777777" w:rsidR="00282321" w:rsidRPr="00A37153" w:rsidRDefault="00282321" w:rsidP="00661EB0">
            <w:pPr>
              <w:pStyle w:val="TableText"/>
              <w:jc w:val="left"/>
            </w:pPr>
            <w:r w:rsidRPr="00A37153">
              <w:rPr>
                <w:b/>
              </w:rPr>
              <w:t>400</w:t>
            </w:r>
          </w:p>
        </w:tc>
        <w:tc>
          <w:tcPr>
            <w:tcW w:w="469" w:type="pct"/>
            <w:tcBorders>
              <w:bottom w:val="single" w:sz="4" w:space="0" w:color="auto"/>
            </w:tcBorders>
            <w:shd w:val="clear" w:color="auto" w:fill="auto"/>
            <w:hideMark/>
          </w:tcPr>
          <w:p w14:paraId="40099C63" w14:textId="5ADF6602" w:rsidR="00282321" w:rsidRPr="00661EB0" w:rsidRDefault="00282321" w:rsidP="00661EB0">
            <w:pPr>
              <w:pStyle w:val="TableText"/>
              <w:jc w:val="left"/>
            </w:pPr>
            <w:r w:rsidRPr="00661EB0">
              <w:rPr>
                <w:b/>
              </w:rPr>
              <w:t>VALUE USED IN SSD</w:t>
            </w:r>
            <w:r w:rsidR="00060C4F">
              <w:rPr>
                <w:b/>
              </w:rPr>
              <w:t xml:space="preserve"> (GEOMETRIC MEAN)</w:t>
            </w:r>
          </w:p>
        </w:tc>
      </w:tr>
      <w:tr w:rsidR="00955EF0" w14:paraId="78D9C88F" w14:textId="77777777" w:rsidTr="00664659">
        <w:trPr>
          <w:cnfStyle w:val="000000010000" w:firstRow="0" w:lastRow="0" w:firstColumn="0" w:lastColumn="0" w:oddVBand="0" w:evenVBand="0" w:oddHBand="0" w:evenHBand="1" w:firstRowFirstColumn="0" w:firstRowLastColumn="0" w:lastRowFirstColumn="0" w:lastRowLastColumn="0"/>
          <w:cantSplit/>
        </w:trPr>
        <w:tc>
          <w:tcPr>
            <w:tcW w:w="536" w:type="pct"/>
            <w:tcBorders>
              <w:top w:val="single" w:sz="4" w:space="0" w:color="auto"/>
            </w:tcBorders>
            <w:shd w:val="clear" w:color="auto" w:fill="auto"/>
            <w:hideMark/>
          </w:tcPr>
          <w:p w14:paraId="14B23FF7" w14:textId="77777777" w:rsidR="00955EF0" w:rsidRDefault="00955EF0" w:rsidP="00897B78">
            <w:pPr>
              <w:pStyle w:val="TableText"/>
              <w:jc w:val="left"/>
            </w:pPr>
            <w:r>
              <w:t>Blue–green alga</w:t>
            </w:r>
          </w:p>
          <w:p w14:paraId="14952AE0" w14:textId="154C9D48" w:rsidR="00955EF0" w:rsidRDefault="00955EF0" w:rsidP="00897B78">
            <w:pPr>
              <w:pStyle w:val="TableText"/>
              <w:jc w:val="left"/>
            </w:pPr>
            <w:r>
              <w:t>(Cyanobacteria)</w:t>
            </w:r>
          </w:p>
        </w:tc>
        <w:tc>
          <w:tcPr>
            <w:tcW w:w="497" w:type="pct"/>
            <w:tcBorders>
              <w:top w:val="single" w:sz="4" w:space="0" w:color="auto"/>
            </w:tcBorders>
            <w:shd w:val="clear" w:color="auto" w:fill="auto"/>
            <w:hideMark/>
          </w:tcPr>
          <w:p w14:paraId="399A97C9" w14:textId="6BCD08B8" w:rsidR="00955EF0" w:rsidRPr="00661EB0" w:rsidRDefault="00955EF0" w:rsidP="002811E7">
            <w:pPr>
              <w:pStyle w:val="TableText"/>
              <w:jc w:val="left"/>
            </w:pPr>
            <w:r w:rsidRPr="00DB321B">
              <w:rPr>
                <w:rStyle w:val="Emphasis"/>
              </w:rPr>
              <w:t>Anabaena flosaquae</w:t>
            </w:r>
          </w:p>
        </w:tc>
        <w:tc>
          <w:tcPr>
            <w:tcW w:w="448" w:type="pct"/>
            <w:tcBorders>
              <w:top w:val="single" w:sz="4" w:space="0" w:color="auto"/>
            </w:tcBorders>
            <w:shd w:val="clear" w:color="auto" w:fill="auto"/>
            <w:hideMark/>
          </w:tcPr>
          <w:p w14:paraId="7ABDCDA3" w14:textId="77777777" w:rsidR="00955EF0" w:rsidRDefault="00955EF0" w:rsidP="00661EB0">
            <w:pPr>
              <w:pStyle w:val="TableText"/>
              <w:jc w:val="left"/>
            </w:pPr>
            <w:r>
              <w:t>Not stated</w:t>
            </w:r>
          </w:p>
        </w:tc>
        <w:tc>
          <w:tcPr>
            <w:tcW w:w="398" w:type="pct"/>
            <w:tcBorders>
              <w:top w:val="single" w:sz="4" w:space="0" w:color="auto"/>
            </w:tcBorders>
            <w:shd w:val="clear" w:color="auto" w:fill="auto"/>
            <w:hideMark/>
          </w:tcPr>
          <w:p w14:paraId="5E86DB54" w14:textId="77777777" w:rsidR="00955EF0" w:rsidRDefault="00955EF0" w:rsidP="00661EB0">
            <w:pPr>
              <w:pStyle w:val="TableText"/>
              <w:jc w:val="left"/>
            </w:pPr>
            <w:r>
              <w:t>5</w:t>
            </w:r>
          </w:p>
        </w:tc>
        <w:tc>
          <w:tcPr>
            <w:tcW w:w="696" w:type="pct"/>
            <w:tcBorders>
              <w:top w:val="single" w:sz="4" w:space="0" w:color="auto"/>
            </w:tcBorders>
            <w:shd w:val="clear" w:color="auto" w:fill="auto"/>
            <w:hideMark/>
          </w:tcPr>
          <w:p w14:paraId="2F2B8238" w14:textId="77777777" w:rsidR="00955EF0" w:rsidRDefault="00955EF0" w:rsidP="002811E7">
            <w:pPr>
              <w:pStyle w:val="TableText"/>
              <w:jc w:val="left"/>
            </w:pPr>
            <w:r>
              <w:t xml:space="preserve">NOEL </w:t>
            </w:r>
          </w:p>
          <w:p w14:paraId="65FF1DF0" w14:textId="33D4616C" w:rsidR="00955EF0" w:rsidRDefault="00955EF0" w:rsidP="002811E7">
            <w:pPr>
              <w:pStyle w:val="TableText"/>
              <w:jc w:val="left"/>
            </w:pPr>
            <w:r>
              <w:t xml:space="preserve">(Biomass, growth rate, AUC </w:t>
            </w:r>
            <w:r w:rsidRPr="002811E7">
              <w:rPr>
                <w:rStyle w:val="Strong"/>
                <w:vertAlign w:val="superscript"/>
              </w:rPr>
              <w:t>b</w:t>
            </w:r>
            <w:r>
              <w:t>)</w:t>
            </w:r>
          </w:p>
        </w:tc>
        <w:tc>
          <w:tcPr>
            <w:tcW w:w="700" w:type="pct"/>
            <w:tcBorders>
              <w:top w:val="single" w:sz="4" w:space="0" w:color="auto"/>
            </w:tcBorders>
            <w:shd w:val="clear" w:color="auto" w:fill="auto"/>
            <w:hideMark/>
          </w:tcPr>
          <w:p w14:paraId="072C5F93" w14:textId="77777777" w:rsidR="00955EF0" w:rsidRDefault="00955EF0" w:rsidP="00661EB0">
            <w:pPr>
              <w:pStyle w:val="TableText"/>
              <w:jc w:val="left"/>
            </w:pPr>
            <w:r>
              <w:t>ASTM Type I water</w:t>
            </w:r>
          </w:p>
        </w:tc>
        <w:tc>
          <w:tcPr>
            <w:tcW w:w="448" w:type="pct"/>
            <w:tcBorders>
              <w:top w:val="single" w:sz="4" w:space="0" w:color="auto"/>
            </w:tcBorders>
            <w:shd w:val="clear" w:color="auto" w:fill="auto"/>
            <w:hideMark/>
          </w:tcPr>
          <w:p w14:paraId="4C5B46A5" w14:textId="77777777" w:rsidR="00955EF0" w:rsidRDefault="00955EF0" w:rsidP="00661EB0">
            <w:pPr>
              <w:pStyle w:val="TableText"/>
              <w:jc w:val="left"/>
            </w:pPr>
            <w:r>
              <w:t>24 ± 2</w:t>
            </w:r>
          </w:p>
        </w:tc>
        <w:tc>
          <w:tcPr>
            <w:tcW w:w="350" w:type="pct"/>
            <w:tcBorders>
              <w:top w:val="single" w:sz="4" w:space="0" w:color="auto"/>
            </w:tcBorders>
            <w:shd w:val="clear" w:color="auto" w:fill="auto"/>
            <w:hideMark/>
          </w:tcPr>
          <w:p w14:paraId="64B20347" w14:textId="77777777" w:rsidR="00955EF0" w:rsidRDefault="00955EF0" w:rsidP="00661EB0">
            <w:pPr>
              <w:pStyle w:val="TableText"/>
              <w:jc w:val="left"/>
            </w:pPr>
            <w:r>
              <w:t>7.5 ± 0.1</w:t>
            </w:r>
          </w:p>
        </w:tc>
        <w:tc>
          <w:tcPr>
            <w:tcW w:w="458" w:type="pct"/>
            <w:tcBorders>
              <w:top w:val="single" w:sz="4" w:space="0" w:color="auto"/>
            </w:tcBorders>
            <w:shd w:val="clear" w:color="auto" w:fill="auto"/>
            <w:hideMark/>
          </w:tcPr>
          <w:p w14:paraId="1C34A4BE" w14:textId="3D8FF338" w:rsidR="00955EF0" w:rsidRPr="00A37153" w:rsidRDefault="00955EF0" w:rsidP="00A37153">
            <w:pPr>
              <w:pStyle w:val="TableText"/>
              <w:jc w:val="left"/>
            </w:pPr>
            <w:r w:rsidRPr="00A37153">
              <w:t>12</w:t>
            </w:r>
            <w:r>
              <w:t> </w:t>
            </w:r>
            <w:r w:rsidRPr="00A37153">
              <w:t>000</w:t>
            </w:r>
          </w:p>
        </w:tc>
        <w:tc>
          <w:tcPr>
            <w:tcW w:w="469" w:type="pct"/>
            <w:tcBorders>
              <w:top w:val="single" w:sz="4" w:space="0" w:color="auto"/>
            </w:tcBorders>
            <w:shd w:val="clear" w:color="auto" w:fill="auto"/>
            <w:hideMark/>
          </w:tcPr>
          <w:p w14:paraId="2AA0E0B8" w14:textId="161E744F" w:rsidR="00955EF0" w:rsidRPr="00661EB0" w:rsidRDefault="00955EF0" w:rsidP="00661EB0">
            <w:pPr>
              <w:pStyle w:val="TableText"/>
              <w:jc w:val="left"/>
            </w:pPr>
            <w:r w:rsidRPr="00661EB0">
              <w:t>USEPA (2015</w:t>
            </w:r>
            <w:r>
              <w:t>b</w:t>
            </w:r>
            <w:r w:rsidRPr="00661EB0">
              <w:t>)</w:t>
            </w:r>
          </w:p>
        </w:tc>
      </w:tr>
      <w:tr w:rsidR="00282321" w14:paraId="1F45A6CD" w14:textId="77777777" w:rsidTr="00C72F61">
        <w:trPr>
          <w:cnfStyle w:val="000000100000" w:firstRow="0" w:lastRow="0" w:firstColumn="0" w:lastColumn="0" w:oddVBand="0" w:evenVBand="0" w:oddHBand="1" w:evenHBand="0" w:firstRowFirstColumn="0" w:firstRowLastColumn="0" w:lastRowFirstColumn="0" w:lastRowLastColumn="0"/>
          <w:cantSplit/>
        </w:trPr>
        <w:tc>
          <w:tcPr>
            <w:tcW w:w="4073" w:type="pct"/>
            <w:gridSpan w:val="8"/>
            <w:tcBorders>
              <w:bottom w:val="single" w:sz="4" w:space="0" w:color="auto"/>
            </w:tcBorders>
            <w:shd w:val="clear" w:color="auto" w:fill="auto"/>
          </w:tcPr>
          <w:p w14:paraId="35EB42D0" w14:textId="1E36EC32" w:rsidR="00282321" w:rsidRDefault="00282321" w:rsidP="00661EB0">
            <w:pPr>
              <w:pStyle w:val="TableText"/>
              <w:jc w:val="left"/>
            </w:pPr>
            <w:r>
              <w:t>–</w:t>
            </w:r>
          </w:p>
        </w:tc>
        <w:tc>
          <w:tcPr>
            <w:tcW w:w="458" w:type="pct"/>
            <w:tcBorders>
              <w:bottom w:val="single" w:sz="4" w:space="0" w:color="auto"/>
            </w:tcBorders>
            <w:shd w:val="clear" w:color="auto" w:fill="auto"/>
            <w:hideMark/>
          </w:tcPr>
          <w:p w14:paraId="1D6EEA20" w14:textId="4D440246" w:rsidR="00282321" w:rsidRPr="00A37153" w:rsidRDefault="00282321" w:rsidP="00A37153">
            <w:pPr>
              <w:pStyle w:val="TableText"/>
              <w:jc w:val="left"/>
            </w:pPr>
            <w:r w:rsidRPr="00A37153">
              <w:rPr>
                <w:b/>
              </w:rPr>
              <w:t>12</w:t>
            </w:r>
            <w:r w:rsidR="00A37153">
              <w:rPr>
                <w:b/>
              </w:rPr>
              <w:t> </w:t>
            </w:r>
            <w:r w:rsidRPr="00A37153">
              <w:rPr>
                <w:b/>
              </w:rPr>
              <w:t>000</w:t>
            </w:r>
          </w:p>
        </w:tc>
        <w:tc>
          <w:tcPr>
            <w:tcW w:w="469" w:type="pct"/>
            <w:tcBorders>
              <w:bottom w:val="single" w:sz="4" w:space="0" w:color="auto"/>
            </w:tcBorders>
            <w:shd w:val="clear" w:color="auto" w:fill="auto"/>
            <w:hideMark/>
          </w:tcPr>
          <w:p w14:paraId="431888D2" w14:textId="77777777" w:rsidR="00282321" w:rsidRPr="00661EB0" w:rsidRDefault="00282321" w:rsidP="00661EB0">
            <w:pPr>
              <w:pStyle w:val="TableText"/>
              <w:jc w:val="left"/>
            </w:pPr>
            <w:r w:rsidRPr="00661EB0">
              <w:rPr>
                <w:rFonts w:cs="Calibri"/>
                <w:b/>
              </w:rPr>
              <w:t>VALUE USED IN SSD</w:t>
            </w:r>
          </w:p>
        </w:tc>
      </w:tr>
      <w:tr w:rsidR="00955EF0" w14:paraId="1A586451" w14:textId="77777777" w:rsidTr="00664659">
        <w:trPr>
          <w:cnfStyle w:val="000000010000" w:firstRow="0" w:lastRow="0" w:firstColumn="0" w:lastColumn="0" w:oddVBand="0" w:evenVBand="0" w:oddHBand="0" w:evenHBand="1" w:firstRowFirstColumn="0" w:firstRowLastColumn="0" w:lastRowFirstColumn="0" w:lastRowLastColumn="0"/>
          <w:cantSplit/>
        </w:trPr>
        <w:tc>
          <w:tcPr>
            <w:tcW w:w="536" w:type="pct"/>
            <w:tcBorders>
              <w:top w:val="single" w:sz="4" w:space="0" w:color="auto"/>
            </w:tcBorders>
            <w:shd w:val="clear" w:color="auto" w:fill="auto"/>
            <w:hideMark/>
          </w:tcPr>
          <w:p w14:paraId="5CA4B701" w14:textId="77777777" w:rsidR="00955EF0" w:rsidRDefault="00955EF0" w:rsidP="00897B78">
            <w:pPr>
              <w:pStyle w:val="TableText"/>
              <w:jc w:val="left"/>
            </w:pPr>
            <w:r>
              <w:t>Bivalve</w:t>
            </w:r>
          </w:p>
          <w:p w14:paraId="3EA655FE" w14:textId="360D7EF3" w:rsidR="00955EF0" w:rsidRDefault="00955EF0" w:rsidP="00897B78">
            <w:pPr>
              <w:pStyle w:val="TableText"/>
              <w:jc w:val="left"/>
            </w:pPr>
            <w:r>
              <w:t>(Mollusca)</w:t>
            </w:r>
          </w:p>
        </w:tc>
        <w:tc>
          <w:tcPr>
            <w:tcW w:w="497" w:type="pct"/>
            <w:tcBorders>
              <w:top w:val="single" w:sz="4" w:space="0" w:color="auto"/>
            </w:tcBorders>
            <w:shd w:val="clear" w:color="auto" w:fill="auto"/>
            <w:hideMark/>
          </w:tcPr>
          <w:p w14:paraId="0E3DD1EF" w14:textId="5AAC4761" w:rsidR="00955EF0" w:rsidRPr="00661EB0" w:rsidRDefault="00955EF0" w:rsidP="002811E7">
            <w:pPr>
              <w:pStyle w:val="TableText"/>
              <w:jc w:val="left"/>
            </w:pPr>
            <w:r w:rsidRPr="00DB321B">
              <w:rPr>
                <w:rStyle w:val="Emphasis"/>
              </w:rPr>
              <w:t>Lampsilis siliquoidea</w:t>
            </w:r>
          </w:p>
        </w:tc>
        <w:tc>
          <w:tcPr>
            <w:tcW w:w="448" w:type="pct"/>
            <w:tcBorders>
              <w:top w:val="single" w:sz="4" w:space="0" w:color="auto"/>
            </w:tcBorders>
            <w:shd w:val="clear" w:color="auto" w:fill="auto"/>
            <w:hideMark/>
          </w:tcPr>
          <w:p w14:paraId="74AB7D6F" w14:textId="77777777" w:rsidR="00955EF0" w:rsidRDefault="00955EF0" w:rsidP="00661EB0">
            <w:pPr>
              <w:pStyle w:val="TableText"/>
              <w:jc w:val="left"/>
            </w:pPr>
            <w:r>
              <w:t>Juvenile</w:t>
            </w:r>
          </w:p>
        </w:tc>
        <w:tc>
          <w:tcPr>
            <w:tcW w:w="398" w:type="pct"/>
            <w:tcBorders>
              <w:top w:val="single" w:sz="4" w:space="0" w:color="auto"/>
            </w:tcBorders>
            <w:shd w:val="clear" w:color="auto" w:fill="auto"/>
            <w:hideMark/>
          </w:tcPr>
          <w:p w14:paraId="71F813B1" w14:textId="77777777" w:rsidR="00955EF0" w:rsidRDefault="00955EF0" w:rsidP="00661EB0">
            <w:pPr>
              <w:pStyle w:val="TableText"/>
              <w:jc w:val="left"/>
            </w:pPr>
            <w:r>
              <w:t>21</w:t>
            </w:r>
          </w:p>
        </w:tc>
        <w:tc>
          <w:tcPr>
            <w:tcW w:w="696" w:type="pct"/>
            <w:tcBorders>
              <w:top w:val="single" w:sz="4" w:space="0" w:color="auto"/>
            </w:tcBorders>
            <w:shd w:val="clear" w:color="auto" w:fill="auto"/>
            <w:hideMark/>
          </w:tcPr>
          <w:p w14:paraId="18E68AEB" w14:textId="77777777" w:rsidR="00955EF0" w:rsidRDefault="00955EF0" w:rsidP="004371E7">
            <w:pPr>
              <w:pStyle w:val="TableText"/>
              <w:jc w:val="left"/>
            </w:pPr>
            <w:r>
              <w:t xml:space="preserve">NOEC </w:t>
            </w:r>
          </w:p>
          <w:p w14:paraId="22CC5B07" w14:textId="5F6C1144" w:rsidR="00955EF0" w:rsidRDefault="00955EF0" w:rsidP="004371E7">
            <w:pPr>
              <w:pStyle w:val="TableText"/>
              <w:jc w:val="left"/>
            </w:pPr>
            <w:r>
              <w:t>(Growth)</w:t>
            </w:r>
          </w:p>
        </w:tc>
        <w:tc>
          <w:tcPr>
            <w:tcW w:w="700" w:type="pct"/>
            <w:tcBorders>
              <w:top w:val="single" w:sz="4" w:space="0" w:color="auto"/>
            </w:tcBorders>
            <w:shd w:val="clear" w:color="auto" w:fill="auto"/>
            <w:hideMark/>
          </w:tcPr>
          <w:p w14:paraId="14CCF336" w14:textId="77777777" w:rsidR="00955EF0" w:rsidRDefault="00955EF0" w:rsidP="00661EB0">
            <w:pPr>
              <w:pStyle w:val="TableText"/>
              <w:jc w:val="left"/>
            </w:pPr>
            <w:r>
              <w:t>Reconstituted hard water</w:t>
            </w:r>
          </w:p>
        </w:tc>
        <w:tc>
          <w:tcPr>
            <w:tcW w:w="448" w:type="pct"/>
            <w:tcBorders>
              <w:top w:val="single" w:sz="4" w:space="0" w:color="auto"/>
            </w:tcBorders>
            <w:shd w:val="clear" w:color="auto" w:fill="auto"/>
            <w:hideMark/>
          </w:tcPr>
          <w:p w14:paraId="159B2607" w14:textId="77777777" w:rsidR="00955EF0" w:rsidRDefault="00955EF0" w:rsidP="00661EB0">
            <w:pPr>
              <w:pStyle w:val="TableText"/>
              <w:jc w:val="left"/>
            </w:pPr>
            <w:r>
              <w:t>21.1 ± 0.7</w:t>
            </w:r>
          </w:p>
        </w:tc>
        <w:tc>
          <w:tcPr>
            <w:tcW w:w="350" w:type="pct"/>
            <w:tcBorders>
              <w:top w:val="single" w:sz="4" w:space="0" w:color="auto"/>
            </w:tcBorders>
            <w:shd w:val="clear" w:color="auto" w:fill="auto"/>
            <w:hideMark/>
          </w:tcPr>
          <w:p w14:paraId="7C0E91FD" w14:textId="77777777" w:rsidR="00955EF0" w:rsidRDefault="00955EF0" w:rsidP="00661EB0">
            <w:pPr>
              <w:pStyle w:val="TableText"/>
              <w:jc w:val="left"/>
            </w:pPr>
            <w:r>
              <w:t>8.22–8.76</w:t>
            </w:r>
          </w:p>
        </w:tc>
        <w:tc>
          <w:tcPr>
            <w:tcW w:w="458" w:type="pct"/>
            <w:tcBorders>
              <w:top w:val="single" w:sz="4" w:space="0" w:color="auto"/>
            </w:tcBorders>
            <w:shd w:val="clear" w:color="auto" w:fill="auto"/>
            <w:hideMark/>
          </w:tcPr>
          <w:p w14:paraId="560380A2" w14:textId="4A12F671" w:rsidR="00955EF0" w:rsidRPr="00A37153" w:rsidRDefault="00955EF0" w:rsidP="00A37153">
            <w:pPr>
              <w:pStyle w:val="TableText"/>
              <w:jc w:val="left"/>
            </w:pPr>
            <w:r w:rsidRPr="00A37153">
              <w:t>12</w:t>
            </w:r>
            <w:r>
              <w:t> </w:t>
            </w:r>
            <w:r w:rsidRPr="00A37153">
              <w:t>500</w:t>
            </w:r>
          </w:p>
        </w:tc>
        <w:tc>
          <w:tcPr>
            <w:tcW w:w="469" w:type="pct"/>
            <w:tcBorders>
              <w:top w:val="single" w:sz="4" w:space="0" w:color="auto"/>
            </w:tcBorders>
            <w:shd w:val="clear" w:color="auto" w:fill="auto"/>
            <w:hideMark/>
          </w:tcPr>
          <w:p w14:paraId="5F6AAC14" w14:textId="77777777" w:rsidR="00955EF0" w:rsidRPr="00661EB0" w:rsidRDefault="00955EF0" w:rsidP="00661EB0">
            <w:pPr>
              <w:pStyle w:val="TableText"/>
              <w:jc w:val="left"/>
            </w:pPr>
            <w:r w:rsidRPr="00661EB0">
              <w:t>Bringolf et al. (2007)</w:t>
            </w:r>
          </w:p>
        </w:tc>
      </w:tr>
      <w:tr w:rsidR="00282321" w14:paraId="6E27C06B" w14:textId="77777777" w:rsidTr="00C72F61">
        <w:trPr>
          <w:cnfStyle w:val="000000100000" w:firstRow="0" w:lastRow="0" w:firstColumn="0" w:lastColumn="0" w:oddVBand="0" w:evenVBand="0" w:oddHBand="1" w:evenHBand="0" w:firstRowFirstColumn="0" w:firstRowLastColumn="0" w:lastRowFirstColumn="0" w:lastRowLastColumn="0"/>
          <w:cantSplit/>
        </w:trPr>
        <w:tc>
          <w:tcPr>
            <w:tcW w:w="4073" w:type="pct"/>
            <w:gridSpan w:val="8"/>
            <w:tcBorders>
              <w:bottom w:val="single" w:sz="4" w:space="0" w:color="auto"/>
            </w:tcBorders>
            <w:shd w:val="clear" w:color="auto" w:fill="auto"/>
          </w:tcPr>
          <w:p w14:paraId="79C66090" w14:textId="6819EB8E" w:rsidR="00282321" w:rsidRDefault="00282321" w:rsidP="00661EB0">
            <w:pPr>
              <w:pStyle w:val="TableText"/>
              <w:jc w:val="left"/>
            </w:pPr>
            <w:r>
              <w:t>–</w:t>
            </w:r>
          </w:p>
        </w:tc>
        <w:tc>
          <w:tcPr>
            <w:tcW w:w="458" w:type="pct"/>
            <w:tcBorders>
              <w:bottom w:val="single" w:sz="4" w:space="0" w:color="auto"/>
            </w:tcBorders>
            <w:shd w:val="clear" w:color="auto" w:fill="auto"/>
            <w:hideMark/>
          </w:tcPr>
          <w:p w14:paraId="4A737F74" w14:textId="47AB6D5D" w:rsidR="00282321" w:rsidRPr="00A37153" w:rsidRDefault="00282321" w:rsidP="00A37153">
            <w:pPr>
              <w:pStyle w:val="TableText"/>
              <w:jc w:val="left"/>
            </w:pPr>
            <w:r w:rsidRPr="00A37153">
              <w:rPr>
                <w:b/>
              </w:rPr>
              <w:t>12</w:t>
            </w:r>
            <w:r w:rsidR="00A37153">
              <w:rPr>
                <w:b/>
              </w:rPr>
              <w:t> </w:t>
            </w:r>
            <w:r w:rsidRPr="00A37153">
              <w:rPr>
                <w:b/>
              </w:rPr>
              <w:t>500</w:t>
            </w:r>
          </w:p>
        </w:tc>
        <w:tc>
          <w:tcPr>
            <w:tcW w:w="469" w:type="pct"/>
            <w:tcBorders>
              <w:bottom w:val="single" w:sz="4" w:space="0" w:color="auto"/>
            </w:tcBorders>
            <w:shd w:val="clear" w:color="auto" w:fill="auto"/>
            <w:hideMark/>
          </w:tcPr>
          <w:p w14:paraId="4BED6AD1" w14:textId="77777777" w:rsidR="00282321" w:rsidRPr="00661EB0" w:rsidRDefault="00282321" w:rsidP="00661EB0">
            <w:pPr>
              <w:pStyle w:val="TableText"/>
              <w:jc w:val="left"/>
            </w:pPr>
            <w:r w:rsidRPr="00661EB0">
              <w:rPr>
                <w:rFonts w:cs="Calibri"/>
                <w:b/>
              </w:rPr>
              <w:t>VALUE USED IN SSD</w:t>
            </w:r>
          </w:p>
        </w:tc>
      </w:tr>
      <w:tr w:rsidR="00955EF0" w14:paraId="3CB2111F" w14:textId="77777777" w:rsidTr="00664659">
        <w:trPr>
          <w:cnfStyle w:val="000000010000" w:firstRow="0" w:lastRow="0" w:firstColumn="0" w:lastColumn="0" w:oddVBand="0" w:evenVBand="0" w:oddHBand="0" w:evenHBand="1" w:firstRowFirstColumn="0" w:firstRowLastColumn="0" w:lastRowFirstColumn="0" w:lastRowLastColumn="0"/>
          <w:cantSplit/>
        </w:trPr>
        <w:tc>
          <w:tcPr>
            <w:tcW w:w="536" w:type="pct"/>
            <w:vMerge w:val="restart"/>
            <w:tcBorders>
              <w:top w:val="single" w:sz="4" w:space="0" w:color="auto"/>
            </w:tcBorders>
            <w:shd w:val="clear" w:color="auto" w:fill="auto"/>
            <w:hideMark/>
          </w:tcPr>
          <w:p w14:paraId="33EC5B3C" w14:textId="77777777" w:rsidR="00955EF0" w:rsidRDefault="00955EF0" w:rsidP="00661EB0">
            <w:pPr>
              <w:pStyle w:val="TableText"/>
              <w:jc w:val="left"/>
            </w:pPr>
            <w:r>
              <w:t>Gastropod</w:t>
            </w:r>
          </w:p>
          <w:p w14:paraId="59FEAE9D" w14:textId="5B044CD6" w:rsidR="00955EF0" w:rsidRDefault="00955EF0" w:rsidP="00897B78">
            <w:pPr>
              <w:pStyle w:val="TableText"/>
              <w:jc w:val="left"/>
            </w:pPr>
            <w:r>
              <w:t>(Mollusca)</w:t>
            </w:r>
          </w:p>
        </w:tc>
        <w:tc>
          <w:tcPr>
            <w:tcW w:w="497" w:type="pct"/>
            <w:vMerge w:val="restart"/>
            <w:tcBorders>
              <w:top w:val="single" w:sz="4" w:space="0" w:color="auto"/>
            </w:tcBorders>
            <w:shd w:val="clear" w:color="auto" w:fill="auto"/>
            <w:hideMark/>
          </w:tcPr>
          <w:p w14:paraId="1A7DA2CA" w14:textId="4F049179" w:rsidR="00955EF0" w:rsidRPr="00661EB0" w:rsidRDefault="00955EF0" w:rsidP="00897B78">
            <w:pPr>
              <w:pStyle w:val="TableText"/>
              <w:jc w:val="left"/>
            </w:pPr>
            <w:r w:rsidRPr="00DB321B">
              <w:rPr>
                <w:rStyle w:val="Emphasis"/>
              </w:rPr>
              <w:t>Pseudosuccinea columella</w:t>
            </w:r>
          </w:p>
        </w:tc>
        <w:tc>
          <w:tcPr>
            <w:tcW w:w="448" w:type="pct"/>
            <w:tcBorders>
              <w:top w:val="single" w:sz="4" w:space="0" w:color="auto"/>
              <w:bottom w:val="single" w:sz="4" w:space="0" w:color="auto"/>
            </w:tcBorders>
            <w:shd w:val="clear" w:color="auto" w:fill="auto"/>
            <w:hideMark/>
          </w:tcPr>
          <w:p w14:paraId="60DAEC7B" w14:textId="77777777" w:rsidR="00955EF0" w:rsidRDefault="00955EF0" w:rsidP="00661EB0">
            <w:pPr>
              <w:pStyle w:val="TableText"/>
              <w:jc w:val="left"/>
            </w:pPr>
            <w:r>
              <w:t>Embryo</w:t>
            </w:r>
          </w:p>
        </w:tc>
        <w:tc>
          <w:tcPr>
            <w:tcW w:w="398" w:type="pct"/>
            <w:tcBorders>
              <w:top w:val="single" w:sz="4" w:space="0" w:color="auto"/>
              <w:bottom w:val="single" w:sz="4" w:space="0" w:color="auto"/>
            </w:tcBorders>
            <w:shd w:val="clear" w:color="auto" w:fill="auto"/>
            <w:hideMark/>
          </w:tcPr>
          <w:p w14:paraId="49AF275D" w14:textId="77777777" w:rsidR="00955EF0" w:rsidRDefault="00955EF0" w:rsidP="00661EB0">
            <w:pPr>
              <w:pStyle w:val="TableText"/>
              <w:jc w:val="left"/>
            </w:pPr>
            <w:r>
              <w:t>12</w:t>
            </w:r>
          </w:p>
        </w:tc>
        <w:tc>
          <w:tcPr>
            <w:tcW w:w="696" w:type="pct"/>
            <w:tcBorders>
              <w:top w:val="single" w:sz="4" w:space="0" w:color="auto"/>
              <w:bottom w:val="single" w:sz="4" w:space="0" w:color="auto"/>
            </w:tcBorders>
            <w:shd w:val="clear" w:color="auto" w:fill="auto"/>
          </w:tcPr>
          <w:p w14:paraId="44483FCD" w14:textId="77777777" w:rsidR="00955EF0" w:rsidRDefault="00955EF0" w:rsidP="004371E7">
            <w:pPr>
              <w:pStyle w:val="TableText"/>
              <w:jc w:val="left"/>
            </w:pPr>
            <w:r>
              <w:t xml:space="preserve">NOEC </w:t>
            </w:r>
          </w:p>
          <w:p w14:paraId="32765F3F" w14:textId="22C47FCE" w:rsidR="00955EF0" w:rsidRDefault="00955EF0" w:rsidP="004371E7">
            <w:pPr>
              <w:pStyle w:val="TableText"/>
              <w:jc w:val="left"/>
            </w:pPr>
            <w:r>
              <w:t>(Hatching success)</w:t>
            </w:r>
          </w:p>
        </w:tc>
        <w:tc>
          <w:tcPr>
            <w:tcW w:w="700" w:type="pct"/>
            <w:tcBorders>
              <w:top w:val="single" w:sz="4" w:space="0" w:color="auto"/>
              <w:bottom w:val="single" w:sz="4" w:space="0" w:color="auto"/>
            </w:tcBorders>
            <w:shd w:val="clear" w:color="auto" w:fill="auto"/>
            <w:hideMark/>
          </w:tcPr>
          <w:p w14:paraId="0230B082" w14:textId="77777777" w:rsidR="00955EF0" w:rsidRDefault="00955EF0" w:rsidP="00661EB0">
            <w:pPr>
              <w:pStyle w:val="TableText"/>
              <w:jc w:val="left"/>
            </w:pPr>
            <w:r>
              <w:t>Artificial spring water</w:t>
            </w:r>
          </w:p>
        </w:tc>
        <w:tc>
          <w:tcPr>
            <w:tcW w:w="448" w:type="pct"/>
            <w:tcBorders>
              <w:top w:val="single" w:sz="4" w:space="0" w:color="auto"/>
              <w:bottom w:val="single" w:sz="4" w:space="0" w:color="auto"/>
            </w:tcBorders>
            <w:shd w:val="clear" w:color="auto" w:fill="auto"/>
            <w:hideMark/>
          </w:tcPr>
          <w:p w14:paraId="20F01CAE" w14:textId="77777777" w:rsidR="00955EF0" w:rsidRDefault="00955EF0" w:rsidP="00661EB0">
            <w:pPr>
              <w:pStyle w:val="TableText"/>
              <w:jc w:val="left"/>
            </w:pPr>
            <w:r>
              <w:t>25 ± 2</w:t>
            </w:r>
          </w:p>
        </w:tc>
        <w:tc>
          <w:tcPr>
            <w:tcW w:w="350" w:type="pct"/>
            <w:tcBorders>
              <w:top w:val="single" w:sz="4" w:space="0" w:color="auto"/>
              <w:bottom w:val="single" w:sz="4" w:space="0" w:color="auto"/>
            </w:tcBorders>
            <w:shd w:val="clear" w:color="auto" w:fill="auto"/>
            <w:hideMark/>
          </w:tcPr>
          <w:p w14:paraId="3689148F" w14:textId="77777777" w:rsidR="00955EF0" w:rsidRDefault="00955EF0" w:rsidP="00661EB0">
            <w:pPr>
              <w:pStyle w:val="TableText"/>
              <w:jc w:val="left"/>
            </w:pPr>
            <w:r>
              <w:t>6.5–8.5</w:t>
            </w:r>
          </w:p>
        </w:tc>
        <w:tc>
          <w:tcPr>
            <w:tcW w:w="458" w:type="pct"/>
            <w:tcBorders>
              <w:top w:val="single" w:sz="4" w:space="0" w:color="auto"/>
              <w:bottom w:val="single" w:sz="4" w:space="0" w:color="auto"/>
            </w:tcBorders>
            <w:shd w:val="clear" w:color="auto" w:fill="auto"/>
            <w:hideMark/>
          </w:tcPr>
          <w:p w14:paraId="43E67828" w14:textId="148E13E5" w:rsidR="00955EF0" w:rsidRPr="00A37153" w:rsidRDefault="00955EF0" w:rsidP="00A37153">
            <w:pPr>
              <w:pStyle w:val="TableText"/>
              <w:jc w:val="left"/>
            </w:pPr>
            <w:r w:rsidRPr="00A37153">
              <w:t>1</w:t>
            </w:r>
            <w:r>
              <w:t> </w:t>
            </w:r>
            <w:r w:rsidRPr="00A37153">
              <w:t>000</w:t>
            </w:r>
          </w:p>
        </w:tc>
        <w:tc>
          <w:tcPr>
            <w:tcW w:w="469" w:type="pct"/>
            <w:tcBorders>
              <w:top w:val="single" w:sz="4" w:space="0" w:color="auto"/>
              <w:bottom w:val="single" w:sz="4" w:space="0" w:color="auto"/>
            </w:tcBorders>
            <w:shd w:val="clear" w:color="auto" w:fill="auto"/>
            <w:hideMark/>
          </w:tcPr>
          <w:p w14:paraId="7B9C77EF" w14:textId="77777777" w:rsidR="00955EF0" w:rsidRPr="00661EB0" w:rsidRDefault="00955EF0" w:rsidP="00661EB0">
            <w:pPr>
              <w:pStyle w:val="TableText"/>
              <w:jc w:val="left"/>
            </w:pPr>
            <w:r w:rsidRPr="00661EB0">
              <w:t>Tate et al. (1997)</w:t>
            </w:r>
          </w:p>
        </w:tc>
      </w:tr>
      <w:tr w:rsidR="00955EF0" w14:paraId="03EFD97E" w14:textId="77777777" w:rsidTr="00664659">
        <w:trPr>
          <w:cnfStyle w:val="000000100000" w:firstRow="0" w:lastRow="0" w:firstColumn="0" w:lastColumn="0" w:oddVBand="0" w:evenVBand="0" w:oddHBand="1" w:evenHBand="0" w:firstRowFirstColumn="0" w:firstRowLastColumn="0" w:lastRowFirstColumn="0" w:lastRowLastColumn="0"/>
          <w:cantSplit/>
        </w:trPr>
        <w:tc>
          <w:tcPr>
            <w:tcW w:w="536" w:type="pct"/>
            <w:vMerge/>
            <w:shd w:val="clear" w:color="auto" w:fill="auto"/>
            <w:hideMark/>
          </w:tcPr>
          <w:p w14:paraId="577129CE" w14:textId="772F9521" w:rsidR="00955EF0" w:rsidRDefault="00955EF0" w:rsidP="00661EB0">
            <w:pPr>
              <w:pStyle w:val="TableText"/>
              <w:jc w:val="left"/>
            </w:pPr>
          </w:p>
        </w:tc>
        <w:tc>
          <w:tcPr>
            <w:tcW w:w="497" w:type="pct"/>
            <w:vMerge/>
            <w:shd w:val="clear" w:color="auto" w:fill="auto"/>
            <w:hideMark/>
          </w:tcPr>
          <w:p w14:paraId="2B5DA76B" w14:textId="2E449B33" w:rsidR="00955EF0" w:rsidRPr="00661EB0" w:rsidRDefault="00955EF0" w:rsidP="00661EB0">
            <w:pPr>
              <w:pStyle w:val="TableText"/>
              <w:jc w:val="left"/>
            </w:pPr>
          </w:p>
        </w:tc>
        <w:tc>
          <w:tcPr>
            <w:tcW w:w="448" w:type="pct"/>
            <w:tcBorders>
              <w:top w:val="single" w:sz="4" w:space="0" w:color="auto"/>
            </w:tcBorders>
            <w:shd w:val="clear" w:color="auto" w:fill="auto"/>
            <w:hideMark/>
          </w:tcPr>
          <w:p w14:paraId="42EC76B5" w14:textId="77777777" w:rsidR="00955EF0" w:rsidRDefault="00955EF0" w:rsidP="00661EB0">
            <w:pPr>
              <w:pStyle w:val="TableText"/>
              <w:jc w:val="left"/>
            </w:pPr>
            <w:r>
              <w:t>Embryo</w:t>
            </w:r>
          </w:p>
        </w:tc>
        <w:tc>
          <w:tcPr>
            <w:tcW w:w="398" w:type="pct"/>
            <w:tcBorders>
              <w:top w:val="single" w:sz="4" w:space="0" w:color="auto"/>
            </w:tcBorders>
            <w:shd w:val="clear" w:color="auto" w:fill="auto"/>
            <w:hideMark/>
          </w:tcPr>
          <w:p w14:paraId="0492D87F" w14:textId="77777777" w:rsidR="00955EF0" w:rsidRDefault="00955EF0" w:rsidP="00661EB0">
            <w:pPr>
              <w:pStyle w:val="TableText"/>
              <w:jc w:val="left"/>
            </w:pPr>
            <w:r>
              <w:t>12</w:t>
            </w:r>
          </w:p>
        </w:tc>
        <w:tc>
          <w:tcPr>
            <w:tcW w:w="696" w:type="pct"/>
            <w:tcBorders>
              <w:top w:val="single" w:sz="4" w:space="0" w:color="auto"/>
            </w:tcBorders>
            <w:shd w:val="clear" w:color="auto" w:fill="auto"/>
          </w:tcPr>
          <w:p w14:paraId="540001E8" w14:textId="77777777" w:rsidR="00955EF0" w:rsidRDefault="00955EF0" w:rsidP="00661EB0">
            <w:pPr>
              <w:pStyle w:val="TableText"/>
              <w:jc w:val="left"/>
            </w:pPr>
            <w:r>
              <w:t>IC7</w:t>
            </w:r>
          </w:p>
          <w:p w14:paraId="1F55F401" w14:textId="77777777" w:rsidR="00955EF0" w:rsidRDefault="00955EF0" w:rsidP="00661EB0">
            <w:pPr>
              <w:pStyle w:val="TableText"/>
              <w:jc w:val="left"/>
            </w:pPr>
            <w:r>
              <w:t>(Hatching success)</w:t>
            </w:r>
          </w:p>
        </w:tc>
        <w:tc>
          <w:tcPr>
            <w:tcW w:w="700" w:type="pct"/>
            <w:tcBorders>
              <w:top w:val="single" w:sz="4" w:space="0" w:color="auto"/>
            </w:tcBorders>
            <w:shd w:val="clear" w:color="auto" w:fill="auto"/>
            <w:hideMark/>
          </w:tcPr>
          <w:p w14:paraId="3F7E9238" w14:textId="77777777" w:rsidR="00955EF0" w:rsidRDefault="00955EF0" w:rsidP="00661EB0">
            <w:pPr>
              <w:pStyle w:val="TableText"/>
              <w:jc w:val="left"/>
            </w:pPr>
            <w:r>
              <w:t>Artificial spring water</w:t>
            </w:r>
          </w:p>
        </w:tc>
        <w:tc>
          <w:tcPr>
            <w:tcW w:w="448" w:type="pct"/>
            <w:tcBorders>
              <w:top w:val="single" w:sz="4" w:space="0" w:color="auto"/>
            </w:tcBorders>
            <w:shd w:val="clear" w:color="auto" w:fill="auto"/>
            <w:hideMark/>
          </w:tcPr>
          <w:p w14:paraId="75BC4F99" w14:textId="77777777" w:rsidR="00955EF0" w:rsidRDefault="00955EF0" w:rsidP="00661EB0">
            <w:pPr>
              <w:pStyle w:val="TableText"/>
              <w:jc w:val="left"/>
            </w:pPr>
            <w:r>
              <w:t>25 ± 2</w:t>
            </w:r>
          </w:p>
        </w:tc>
        <w:tc>
          <w:tcPr>
            <w:tcW w:w="350" w:type="pct"/>
            <w:tcBorders>
              <w:top w:val="single" w:sz="4" w:space="0" w:color="auto"/>
            </w:tcBorders>
            <w:shd w:val="clear" w:color="auto" w:fill="auto"/>
            <w:hideMark/>
          </w:tcPr>
          <w:p w14:paraId="544697F1" w14:textId="77777777" w:rsidR="00955EF0" w:rsidRDefault="00955EF0" w:rsidP="00661EB0">
            <w:pPr>
              <w:pStyle w:val="TableText"/>
              <w:jc w:val="left"/>
            </w:pPr>
            <w:r>
              <w:t>6.5–8.5</w:t>
            </w:r>
          </w:p>
        </w:tc>
        <w:tc>
          <w:tcPr>
            <w:tcW w:w="458" w:type="pct"/>
            <w:tcBorders>
              <w:top w:val="single" w:sz="4" w:space="0" w:color="auto"/>
            </w:tcBorders>
            <w:shd w:val="clear" w:color="auto" w:fill="auto"/>
            <w:hideMark/>
          </w:tcPr>
          <w:p w14:paraId="333FE007" w14:textId="77777777" w:rsidR="00955EF0" w:rsidRPr="00A37153" w:rsidRDefault="00955EF0" w:rsidP="00661EB0">
            <w:pPr>
              <w:pStyle w:val="TableText"/>
              <w:jc w:val="left"/>
            </w:pPr>
            <w:r w:rsidRPr="00A37153">
              <w:t>100</w:t>
            </w:r>
          </w:p>
        </w:tc>
        <w:tc>
          <w:tcPr>
            <w:tcW w:w="469" w:type="pct"/>
            <w:tcBorders>
              <w:top w:val="single" w:sz="4" w:space="0" w:color="auto"/>
            </w:tcBorders>
            <w:shd w:val="clear" w:color="auto" w:fill="auto"/>
            <w:hideMark/>
          </w:tcPr>
          <w:p w14:paraId="34824077" w14:textId="77777777" w:rsidR="00955EF0" w:rsidRPr="00661EB0" w:rsidRDefault="00955EF0" w:rsidP="00661EB0">
            <w:pPr>
              <w:pStyle w:val="TableText"/>
              <w:jc w:val="left"/>
            </w:pPr>
            <w:r w:rsidRPr="00661EB0">
              <w:t>Tate et al. (1997)</w:t>
            </w:r>
          </w:p>
        </w:tc>
      </w:tr>
      <w:tr w:rsidR="00282321" w14:paraId="7B7D52A5" w14:textId="77777777" w:rsidTr="00C72F61">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4" w:space="0" w:color="auto"/>
            </w:tcBorders>
            <w:shd w:val="clear" w:color="auto" w:fill="auto"/>
          </w:tcPr>
          <w:p w14:paraId="66D8F704" w14:textId="247490F5" w:rsidR="00282321" w:rsidRDefault="00282321" w:rsidP="00661EB0">
            <w:pPr>
              <w:pStyle w:val="TableText"/>
              <w:jc w:val="left"/>
            </w:pPr>
            <w:r>
              <w:lastRenderedPageBreak/>
              <w:t>–</w:t>
            </w:r>
          </w:p>
        </w:tc>
        <w:tc>
          <w:tcPr>
            <w:tcW w:w="458" w:type="pct"/>
            <w:tcBorders>
              <w:bottom w:val="single" w:sz="4" w:space="0" w:color="auto"/>
            </w:tcBorders>
            <w:shd w:val="clear" w:color="auto" w:fill="auto"/>
            <w:hideMark/>
          </w:tcPr>
          <w:p w14:paraId="2C8945AC" w14:textId="416CDB8A" w:rsidR="00282321" w:rsidRPr="00A37153" w:rsidRDefault="00282321" w:rsidP="00661EB0">
            <w:pPr>
              <w:pStyle w:val="TableText"/>
              <w:jc w:val="left"/>
            </w:pPr>
            <w:r w:rsidRPr="00A37153">
              <w:rPr>
                <w:b/>
              </w:rPr>
              <w:t>316</w:t>
            </w:r>
          </w:p>
        </w:tc>
        <w:tc>
          <w:tcPr>
            <w:tcW w:w="469" w:type="pct"/>
            <w:tcBorders>
              <w:bottom w:val="single" w:sz="4" w:space="0" w:color="auto"/>
            </w:tcBorders>
            <w:shd w:val="clear" w:color="auto" w:fill="auto"/>
            <w:hideMark/>
          </w:tcPr>
          <w:p w14:paraId="29429C92" w14:textId="4897E4CC" w:rsidR="00282321" w:rsidRPr="00661EB0" w:rsidRDefault="00282321" w:rsidP="00661EB0">
            <w:pPr>
              <w:pStyle w:val="TableText"/>
              <w:jc w:val="left"/>
            </w:pPr>
            <w:r w:rsidRPr="00661EB0">
              <w:rPr>
                <w:rFonts w:cs="Calibri"/>
                <w:b/>
              </w:rPr>
              <w:t>VALUE USED IN SSD</w:t>
            </w:r>
            <w:r w:rsidR="00060C4F">
              <w:rPr>
                <w:rFonts w:cs="Calibri"/>
                <w:b/>
              </w:rPr>
              <w:t xml:space="preserve"> (GEOMETRIC MEAN)</w:t>
            </w:r>
          </w:p>
        </w:tc>
      </w:tr>
      <w:tr w:rsidR="00955EF0" w14:paraId="311F7664" w14:textId="77777777" w:rsidTr="00664659">
        <w:trPr>
          <w:cnfStyle w:val="000000100000" w:firstRow="0" w:lastRow="0" w:firstColumn="0" w:lastColumn="0" w:oddVBand="0" w:evenVBand="0" w:oddHBand="1" w:evenHBand="0" w:firstRowFirstColumn="0" w:firstRowLastColumn="0" w:lastRowFirstColumn="0" w:lastRowLastColumn="0"/>
          <w:cantSplit/>
        </w:trPr>
        <w:tc>
          <w:tcPr>
            <w:tcW w:w="536" w:type="pct"/>
            <w:tcBorders>
              <w:top w:val="single" w:sz="4" w:space="0" w:color="auto"/>
            </w:tcBorders>
            <w:shd w:val="clear" w:color="auto" w:fill="auto"/>
            <w:hideMark/>
          </w:tcPr>
          <w:p w14:paraId="59D1E099" w14:textId="77777777" w:rsidR="00955EF0" w:rsidRDefault="00955EF0" w:rsidP="00661EB0">
            <w:pPr>
              <w:pStyle w:val="TableText"/>
              <w:jc w:val="left"/>
            </w:pPr>
            <w:r>
              <w:t xml:space="preserve">Macrophyte </w:t>
            </w:r>
          </w:p>
          <w:p w14:paraId="38D9C20E" w14:textId="63A24577" w:rsidR="00955EF0" w:rsidRDefault="00955EF0" w:rsidP="00661EB0">
            <w:pPr>
              <w:pStyle w:val="TableText"/>
              <w:jc w:val="left"/>
            </w:pPr>
            <w:r>
              <w:t>(Tracheophyta)</w:t>
            </w:r>
          </w:p>
        </w:tc>
        <w:tc>
          <w:tcPr>
            <w:tcW w:w="497" w:type="pct"/>
            <w:tcBorders>
              <w:top w:val="single" w:sz="4" w:space="0" w:color="auto"/>
            </w:tcBorders>
            <w:shd w:val="clear" w:color="auto" w:fill="auto"/>
            <w:hideMark/>
          </w:tcPr>
          <w:p w14:paraId="14F66F40" w14:textId="100FF176" w:rsidR="00955EF0" w:rsidRPr="00661EB0" w:rsidRDefault="00955EF0" w:rsidP="002811E7">
            <w:pPr>
              <w:pStyle w:val="TableText"/>
              <w:jc w:val="left"/>
            </w:pPr>
            <w:r w:rsidRPr="00DB321B">
              <w:rPr>
                <w:rStyle w:val="Emphasis"/>
              </w:rPr>
              <w:t>Lemna gibba</w:t>
            </w:r>
          </w:p>
        </w:tc>
        <w:tc>
          <w:tcPr>
            <w:tcW w:w="448" w:type="pct"/>
            <w:tcBorders>
              <w:top w:val="single" w:sz="4" w:space="0" w:color="auto"/>
            </w:tcBorders>
            <w:shd w:val="clear" w:color="auto" w:fill="auto"/>
            <w:hideMark/>
          </w:tcPr>
          <w:p w14:paraId="4D16ADC3" w14:textId="4EAEFE07" w:rsidR="00955EF0" w:rsidRDefault="00955EF0" w:rsidP="00661EB0">
            <w:pPr>
              <w:pStyle w:val="TableText"/>
              <w:jc w:val="left"/>
            </w:pPr>
            <w:r>
              <w:t>Not stated</w:t>
            </w:r>
          </w:p>
        </w:tc>
        <w:tc>
          <w:tcPr>
            <w:tcW w:w="398" w:type="pct"/>
            <w:tcBorders>
              <w:top w:val="single" w:sz="4" w:space="0" w:color="auto"/>
            </w:tcBorders>
            <w:shd w:val="clear" w:color="auto" w:fill="auto"/>
            <w:hideMark/>
          </w:tcPr>
          <w:p w14:paraId="7A14DE90" w14:textId="77777777" w:rsidR="00955EF0" w:rsidRDefault="00955EF0" w:rsidP="00661EB0">
            <w:pPr>
              <w:pStyle w:val="TableText"/>
              <w:jc w:val="left"/>
            </w:pPr>
            <w:r>
              <w:t>14</w:t>
            </w:r>
          </w:p>
        </w:tc>
        <w:tc>
          <w:tcPr>
            <w:tcW w:w="696" w:type="pct"/>
            <w:tcBorders>
              <w:top w:val="single" w:sz="4" w:space="0" w:color="auto"/>
            </w:tcBorders>
            <w:shd w:val="clear" w:color="auto" w:fill="auto"/>
            <w:hideMark/>
          </w:tcPr>
          <w:p w14:paraId="11E2A162" w14:textId="77777777" w:rsidR="00955EF0" w:rsidRDefault="00955EF0" w:rsidP="004371E7">
            <w:pPr>
              <w:pStyle w:val="TableText"/>
              <w:jc w:val="left"/>
            </w:pPr>
            <w:r>
              <w:t xml:space="preserve">NOEL </w:t>
            </w:r>
          </w:p>
          <w:p w14:paraId="7CF0ABB2" w14:textId="755678D1" w:rsidR="00955EF0" w:rsidRDefault="00955EF0" w:rsidP="004371E7">
            <w:pPr>
              <w:pStyle w:val="TableText"/>
              <w:jc w:val="left"/>
            </w:pPr>
            <w:r>
              <w:t xml:space="preserve">(Frond number, </w:t>
            </w:r>
            <w:r w:rsidR="004937F2">
              <w:t>growth rate, mortality</w:t>
            </w:r>
            <w:r>
              <w:t>)</w:t>
            </w:r>
          </w:p>
        </w:tc>
        <w:tc>
          <w:tcPr>
            <w:tcW w:w="700" w:type="pct"/>
            <w:tcBorders>
              <w:top w:val="single" w:sz="4" w:space="0" w:color="auto"/>
            </w:tcBorders>
            <w:shd w:val="clear" w:color="auto" w:fill="auto"/>
            <w:hideMark/>
          </w:tcPr>
          <w:p w14:paraId="37F7D263" w14:textId="190FCFB7" w:rsidR="00955EF0" w:rsidRDefault="00955EF0" w:rsidP="00661EB0">
            <w:pPr>
              <w:pStyle w:val="TableText"/>
              <w:jc w:val="left"/>
            </w:pPr>
            <w:r>
              <w:t>M-Hoagland’s/20X-AAP nutrient media/ASTM Type I</w:t>
            </w:r>
          </w:p>
        </w:tc>
        <w:tc>
          <w:tcPr>
            <w:tcW w:w="448" w:type="pct"/>
            <w:tcBorders>
              <w:top w:val="single" w:sz="4" w:space="0" w:color="auto"/>
            </w:tcBorders>
            <w:shd w:val="clear" w:color="auto" w:fill="auto"/>
            <w:hideMark/>
          </w:tcPr>
          <w:p w14:paraId="394EEA12" w14:textId="2A543B4B" w:rsidR="00955EF0" w:rsidRDefault="00955EF0" w:rsidP="00282321">
            <w:pPr>
              <w:pStyle w:val="TableText"/>
              <w:jc w:val="left"/>
            </w:pPr>
            <w:r>
              <w:t>25 ±2</w:t>
            </w:r>
          </w:p>
        </w:tc>
        <w:tc>
          <w:tcPr>
            <w:tcW w:w="350" w:type="pct"/>
            <w:tcBorders>
              <w:top w:val="single" w:sz="4" w:space="0" w:color="auto"/>
            </w:tcBorders>
            <w:shd w:val="clear" w:color="auto" w:fill="auto"/>
            <w:hideMark/>
          </w:tcPr>
          <w:p w14:paraId="237680AB" w14:textId="77777777" w:rsidR="00955EF0" w:rsidRDefault="00955EF0" w:rsidP="00661EB0">
            <w:pPr>
              <w:pStyle w:val="TableText"/>
              <w:jc w:val="left"/>
            </w:pPr>
            <w:r>
              <w:t>4.8–5.2 / 7.5 ± 0.1</w:t>
            </w:r>
          </w:p>
        </w:tc>
        <w:tc>
          <w:tcPr>
            <w:tcW w:w="458" w:type="pct"/>
            <w:tcBorders>
              <w:top w:val="single" w:sz="4" w:space="0" w:color="auto"/>
            </w:tcBorders>
            <w:shd w:val="clear" w:color="auto" w:fill="auto"/>
            <w:hideMark/>
          </w:tcPr>
          <w:p w14:paraId="1432E894" w14:textId="2E6902A0" w:rsidR="00955EF0" w:rsidRPr="00A37153" w:rsidRDefault="00955EF0" w:rsidP="00A37153">
            <w:pPr>
              <w:pStyle w:val="TableText"/>
              <w:jc w:val="left"/>
            </w:pPr>
            <w:r w:rsidRPr="00A37153">
              <w:t>1</w:t>
            </w:r>
            <w:r>
              <w:t> </w:t>
            </w:r>
            <w:r w:rsidRPr="00A37153">
              <w:t>400</w:t>
            </w:r>
          </w:p>
        </w:tc>
        <w:tc>
          <w:tcPr>
            <w:tcW w:w="469" w:type="pct"/>
            <w:tcBorders>
              <w:top w:val="single" w:sz="4" w:space="0" w:color="auto"/>
            </w:tcBorders>
            <w:shd w:val="clear" w:color="auto" w:fill="auto"/>
            <w:hideMark/>
          </w:tcPr>
          <w:p w14:paraId="0011420C" w14:textId="3F279E47" w:rsidR="00955EF0" w:rsidRPr="00661EB0" w:rsidRDefault="00955EF0" w:rsidP="00661EB0">
            <w:pPr>
              <w:pStyle w:val="TableText"/>
              <w:jc w:val="left"/>
            </w:pPr>
            <w:r w:rsidRPr="00661EB0">
              <w:t>USEPA (2015</w:t>
            </w:r>
            <w:r>
              <w:t>b</w:t>
            </w:r>
            <w:r w:rsidRPr="00661EB0">
              <w:t>)</w:t>
            </w:r>
          </w:p>
        </w:tc>
      </w:tr>
      <w:tr w:rsidR="00282321" w14:paraId="0F0F8E0C" w14:textId="77777777" w:rsidTr="00C72F61">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4" w:space="0" w:color="auto"/>
            </w:tcBorders>
            <w:shd w:val="clear" w:color="auto" w:fill="auto"/>
          </w:tcPr>
          <w:p w14:paraId="1871857E" w14:textId="168A2377" w:rsidR="00282321" w:rsidRDefault="00282321" w:rsidP="00661EB0">
            <w:pPr>
              <w:pStyle w:val="TableText"/>
              <w:jc w:val="left"/>
            </w:pPr>
            <w:r>
              <w:t>–</w:t>
            </w:r>
          </w:p>
        </w:tc>
        <w:tc>
          <w:tcPr>
            <w:tcW w:w="458" w:type="pct"/>
            <w:tcBorders>
              <w:bottom w:val="single" w:sz="4" w:space="0" w:color="auto"/>
            </w:tcBorders>
            <w:shd w:val="clear" w:color="auto" w:fill="auto"/>
            <w:hideMark/>
          </w:tcPr>
          <w:p w14:paraId="561B03C5" w14:textId="6D7603E9" w:rsidR="00282321" w:rsidRPr="00A37153" w:rsidRDefault="00282321" w:rsidP="00A37153">
            <w:pPr>
              <w:pStyle w:val="TableText"/>
              <w:jc w:val="left"/>
            </w:pPr>
            <w:r w:rsidRPr="00A37153">
              <w:rPr>
                <w:b/>
              </w:rPr>
              <w:t>1</w:t>
            </w:r>
            <w:r w:rsidR="00A37153">
              <w:rPr>
                <w:b/>
              </w:rPr>
              <w:t> </w:t>
            </w:r>
            <w:r w:rsidRPr="00A37153">
              <w:rPr>
                <w:b/>
              </w:rPr>
              <w:t>400</w:t>
            </w:r>
          </w:p>
        </w:tc>
        <w:tc>
          <w:tcPr>
            <w:tcW w:w="469" w:type="pct"/>
            <w:tcBorders>
              <w:bottom w:val="single" w:sz="4" w:space="0" w:color="auto"/>
            </w:tcBorders>
            <w:shd w:val="clear" w:color="auto" w:fill="auto"/>
            <w:hideMark/>
          </w:tcPr>
          <w:p w14:paraId="656C83F7" w14:textId="77777777" w:rsidR="00282321" w:rsidRPr="00661EB0" w:rsidRDefault="00282321" w:rsidP="00661EB0">
            <w:pPr>
              <w:pStyle w:val="TableText"/>
              <w:jc w:val="left"/>
            </w:pPr>
            <w:r w:rsidRPr="00661EB0">
              <w:rPr>
                <w:rFonts w:cs="Calibri"/>
                <w:b/>
              </w:rPr>
              <w:t>VALUE USED IN SSD</w:t>
            </w:r>
          </w:p>
        </w:tc>
      </w:tr>
      <w:tr w:rsidR="00955EF0" w14:paraId="085AEDCF" w14:textId="77777777" w:rsidTr="00664659">
        <w:trPr>
          <w:cnfStyle w:val="000000100000" w:firstRow="0" w:lastRow="0" w:firstColumn="0" w:lastColumn="0" w:oddVBand="0" w:evenVBand="0" w:oddHBand="1" w:evenHBand="0" w:firstRowFirstColumn="0" w:firstRowLastColumn="0" w:lastRowFirstColumn="0" w:lastRowLastColumn="0"/>
          <w:cantSplit/>
        </w:trPr>
        <w:tc>
          <w:tcPr>
            <w:tcW w:w="536" w:type="pct"/>
            <w:tcBorders>
              <w:top w:val="single" w:sz="4" w:space="0" w:color="auto"/>
            </w:tcBorders>
            <w:shd w:val="clear" w:color="auto" w:fill="auto"/>
            <w:hideMark/>
          </w:tcPr>
          <w:p w14:paraId="09201AD5" w14:textId="77777777" w:rsidR="00955EF0" w:rsidRDefault="00955EF0" w:rsidP="00897B78">
            <w:pPr>
              <w:pStyle w:val="TableText"/>
              <w:jc w:val="left"/>
            </w:pPr>
            <w:r>
              <w:t>Macrophyte</w:t>
            </w:r>
          </w:p>
          <w:p w14:paraId="5A798055" w14:textId="2FB20205" w:rsidR="00955EF0" w:rsidRDefault="00955EF0" w:rsidP="00897B78">
            <w:pPr>
              <w:pStyle w:val="TableText"/>
              <w:jc w:val="left"/>
            </w:pPr>
            <w:r>
              <w:t>(Tracheophyta)</w:t>
            </w:r>
          </w:p>
        </w:tc>
        <w:tc>
          <w:tcPr>
            <w:tcW w:w="497" w:type="pct"/>
            <w:tcBorders>
              <w:top w:val="single" w:sz="4" w:space="0" w:color="auto"/>
            </w:tcBorders>
            <w:shd w:val="clear" w:color="auto" w:fill="auto"/>
            <w:hideMark/>
          </w:tcPr>
          <w:p w14:paraId="023D1765" w14:textId="768A100F" w:rsidR="00955EF0" w:rsidRPr="00661EB0" w:rsidRDefault="00955EF0" w:rsidP="00DB321B">
            <w:pPr>
              <w:pStyle w:val="TableText"/>
              <w:jc w:val="left"/>
            </w:pPr>
            <w:r w:rsidRPr="00DB321B">
              <w:rPr>
                <w:rStyle w:val="Emphasis"/>
              </w:rPr>
              <w:t>Lemna minor</w:t>
            </w:r>
          </w:p>
        </w:tc>
        <w:tc>
          <w:tcPr>
            <w:tcW w:w="448" w:type="pct"/>
            <w:tcBorders>
              <w:top w:val="single" w:sz="4" w:space="0" w:color="auto"/>
            </w:tcBorders>
            <w:shd w:val="clear" w:color="auto" w:fill="auto"/>
            <w:hideMark/>
          </w:tcPr>
          <w:p w14:paraId="7CB74159" w14:textId="77777777" w:rsidR="00955EF0" w:rsidRDefault="00955EF0" w:rsidP="00661EB0">
            <w:pPr>
              <w:pStyle w:val="TableText"/>
              <w:jc w:val="left"/>
            </w:pPr>
            <w:r>
              <w:t>Not stated</w:t>
            </w:r>
          </w:p>
        </w:tc>
        <w:tc>
          <w:tcPr>
            <w:tcW w:w="398" w:type="pct"/>
            <w:tcBorders>
              <w:top w:val="single" w:sz="4" w:space="0" w:color="auto"/>
            </w:tcBorders>
            <w:shd w:val="clear" w:color="auto" w:fill="auto"/>
            <w:hideMark/>
          </w:tcPr>
          <w:p w14:paraId="1D52F45D" w14:textId="77777777" w:rsidR="00955EF0" w:rsidRDefault="00955EF0" w:rsidP="00661EB0">
            <w:pPr>
              <w:pStyle w:val="TableText"/>
              <w:jc w:val="left"/>
            </w:pPr>
            <w:r>
              <w:t>7</w:t>
            </w:r>
          </w:p>
        </w:tc>
        <w:tc>
          <w:tcPr>
            <w:tcW w:w="696" w:type="pct"/>
            <w:tcBorders>
              <w:top w:val="single" w:sz="4" w:space="0" w:color="auto"/>
            </w:tcBorders>
            <w:shd w:val="clear" w:color="auto" w:fill="auto"/>
            <w:hideMark/>
          </w:tcPr>
          <w:p w14:paraId="3A6F0DAA" w14:textId="77777777" w:rsidR="00955EF0" w:rsidRDefault="00955EF0" w:rsidP="00661EB0">
            <w:pPr>
              <w:pStyle w:val="TableText"/>
              <w:jc w:val="left"/>
            </w:pPr>
            <w:r>
              <w:t>EC10</w:t>
            </w:r>
          </w:p>
          <w:p w14:paraId="516C0A0C" w14:textId="77777777" w:rsidR="00955EF0" w:rsidRDefault="00955EF0" w:rsidP="00661EB0">
            <w:pPr>
              <w:pStyle w:val="TableText"/>
              <w:jc w:val="left"/>
            </w:pPr>
            <w:r>
              <w:t>(Chlorophyll-a)</w:t>
            </w:r>
          </w:p>
        </w:tc>
        <w:tc>
          <w:tcPr>
            <w:tcW w:w="700" w:type="pct"/>
            <w:tcBorders>
              <w:top w:val="single" w:sz="4" w:space="0" w:color="auto"/>
            </w:tcBorders>
            <w:shd w:val="clear" w:color="auto" w:fill="auto"/>
            <w:hideMark/>
          </w:tcPr>
          <w:p w14:paraId="38CA5FA7" w14:textId="77777777" w:rsidR="00955EF0" w:rsidRDefault="00955EF0" w:rsidP="00661EB0">
            <w:pPr>
              <w:pStyle w:val="TableText"/>
              <w:jc w:val="left"/>
            </w:pPr>
            <w:r>
              <w:t>K' medium</w:t>
            </w:r>
          </w:p>
        </w:tc>
        <w:tc>
          <w:tcPr>
            <w:tcW w:w="448" w:type="pct"/>
            <w:tcBorders>
              <w:top w:val="single" w:sz="4" w:space="0" w:color="auto"/>
            </w:tcBorders>
            <w:shd w:val="clear" w:color="auto" w:fill="auto"/>
            <w:hideMark/>
          </w:tcPr>
          <w:p w14:paraId="46C455B8" w14:textId="77777777" w:rsidR="00955EF0" w:rsidRDefault="00955EF0" w:rsidP="00661EB0">
            <w:pPr>
              <w:pStyle w:val="TableText"/>
              <w:jc w:val="left"/>
            </w:pPr>
            <w:r>
              <w:t>24</w:t>
            </w:r>
          </w:p>
        </w:tc>
        <w:tc>
          <w:tcPr>
            <w:tcW w:w="350" w:type="pct"/>
            <w:tcBorders>
              <w:top w:val="single" w:sz="4" w:space="0" w:color="auto"/>
            </w:tcBorders>
            <w:shd w:val="clear" w:color="auto" w:fill="auto"/>
            <w:hideMark/>
          </w:tcPr>
          <w:p w14:paraId="75195BB1" w14:textId="77777777" w:rsidR="00955EF0" w:rsidRDefault="00955EF0" w:rsidP="00661EB0">
            <w:pPr>
              <w:pStyle w:val="TableText"/>
              <w:jc w:val="left"/>
            </w:pPr>
            <w:r>
              <w:t>5</w:t>
            </w:r>
          </w:p>
        </w:tc>
        <w:tc>
          <w:tcPr>
            <w:tcW w:w="458" w:type="pct"/>
            <w:tcBorders>
              <w:top w:val="single" w:sz="4" w:space="0" w:color="auto"/>
            </w:tcBorders>
            <w:shd w:val="clear" w:color="auto" w:fill="auto"/>
            <w:hideMark/>
          </w:tcPr>
          <w:p w14:paraId="68DF8C0F" w14:textId="64FA6CFB" w:rsidR="00955EF0" w:rsidRPr="00A37153" w:rsidRDefault="00955EF0" w:rsidP="00A37153">
            <w:pPr>
              <w:pStyle w:val="TableText"/>
              <w:jc w:val="left"/>
            </w:pPr>
            <w:r w:rsidRPr="00A37153">
              <w:t>3</w:t>
            </w:r>
            <w:r>
              <w:t> </w:t>
            </w:r>
            <w:r w:rsidRPr="00A37153">
              <w:t>780</w:t>
            </w:r>
          </w:p>
        </w:tc>
        <w:tc>
          <w:tcPr>
            <w:tcW w:w="469" w:type="pct"/>
            <w:tcBorders>
              <w:top w:val="single" w:sz="4" w:space="0" w:color="auto"/>
            </w:tcBorders>
            <w:shd w:val="clear" w:color="auto" w:fill="auto"/>
            <w:hideMark/>
          </w:tcPr>
          <w:p w14:paraId="630D17E7" w14:textId="77777777" w:rsidR="00955EF0" w:rsidRPr="00661EB0" w:rsidRDefault="00955EF0" w:rsidP="00661EB0">
            <w:pPr>
              <w:pStyle w:val="TableText"/>
              <w:jc w:val="left"/>
            </w:pPr>
            <w:r w:rsidRPr="00661EB0">
              <w:t>Cedergreen and Streibig (2005)</w:t>
            </w:r>
          </w:p>
        </w:tc>
      </w:tr>
      <w:tr w:rsidR="00282321" w14:paraId="5704A91C" w14:textId="77777777" w:rsidTr="00C72F61">
        <w:trPr>
          <w:cnfStyle w:val="000000010000" w:firstRow="0" w:lastRow="0" w:firstColumn="0" w:lastColumn="0" w:oddVBand="0" w:evenVBand="0" w:oddHBand="0" w:evenHBand="1" w:firstRowFirstColumn="0" w:firstRowLastColumn="0" w:lastRowFirstColumn="0" w:lastRowLastColumn="0"/>
          <w:cantSplit/>
        </w:trPr>
        <w:tc>
          <w:tcPr>
            <w:tcW w:w="4073" w:type="pct"/>
            <w:gridSpan w:val="8"/>
            <w:tcBorders>
              <w:bottom w:val="single" w:sz="12" w:space="0" w:color="auto"/>
            </w:tcBorders>
            <w:shd w:val="clear" w:color="auto" w:fill="auto"/>
          </w:tcPr>
          <w:p w14:paraId="50A72016" w14:textId="75C00DDF" w:rsidR="00282321" w:rsidRDefault="00282321" w:rsidP="00661EB0">
            <w:pPr>
              <w:pStyle w:val="TableText"/>
              <w:jc w:val="left"/>
            </w:pPr>
            <w:r>
              <w:t>–</w:t>
            </w:r>
          </w:p>
        </w:tc>
        <w:tc>
          <w:tcPr>
            <w:tcW w:w="458" w:type="pct"/>
            <w:tcBorders>
              <w:bottom w:val="single" w:sz="12" w:space="0" w:color="auto"/>
            </w:tcBorders>
            <w:shd w:val="clear" w:color="auto" w:fill="auto"/>
            <w:hideMark/>
          </w:tcPr>
          <w:p w14:paraId="3686C109" w14:textId="4DF811E6" w:rsidR="00282321" w:rsidRPr="00A37153" w:rsidRDefault="00A37153" w:rsidP="00661EB0">
            <w:pPr>
              <w:pStyle w:val="TableText"/>
              <w:jc w:val="left"/>
              <w:rPr>
                <w:b/>
              </w:rPr>
            </w:pPr>
            <w:r>
              <w:rPr>
                <w:b/>
              </w:rPr>
              <w:t>3 </w:t>
            </w:r>
            <w:r w:rsidR="00282321" w:rsidRPr="00A37153">
              <w:rPr>
                <w:b/>
              </w:rPr>
              <w:t>780</w:t>
            </w:r>
          </w:p>
        </w:tc>
        <w:tc>
          <w:tcPr>
            <w:tcW w:w="469" w:type="pct"/>
            <w:tcBorders>
              <w:bottom w:val="single" w:sz="12" w:space="0" w:color="auto"/>
            </w:tcBorders>
            <w:shd w:val="clear" w:color="auto" w:fill="auto"/>
            <w:hideMark/>
          </w:tcPr>
          <w:p w14:paraId="6AA85653" w14:textId="77777777" w:rsidR="00282321" w:rsidRPr="00661EB0" w:rsidRDefault="00282321" w:rsidP="00661EB0">
            <w:pPr>
              <w:pStyle w:val="TableText"/>
              <w:jc w:val="left"/>
            </w:pPr>
            <w:r w:rsidRPr="00661EB0">
              <w:rPr>
                <w:rFonts w:cs="Calibri"/>
                <w:b/>
              </w:rPr>
              <w:t>VALUE USED IN SSD</w:t>
            </w:r>
          </w:p>
        </w:tc>
      </w:tr>
    </w:tbl>
    <w:p w14:paraId="46635CE3" w14:textId="299701DE" w:rsidR="00385C82" w:rsidRDefault="002811E7" w:rsidP="00385C82">
      <w:pPr>
        <w:pStyle w:val="FigureTableNoteSource"/>
      </w:pPr>
      <w:r w:rsidRPr="002811E7">
        <w:rPr>
          <w:rStyle w:val="Strong"/>
        </w:rPr>
        <w:t>a</w:t>
      </w:r>
      <w:r w:rsidR="00BB617A" w:rsidRPr="00BB617A">
        <w:t xml:space="preserve"> This species has also been called </w:t>
      </w:r>
      <w:r w:rsidR="00BB617A" w:rsidRPr="00DB321B">
        <w:rPr>
          <w:rStyle w:val="Emphasis"/>
        </w:rPr>
        <w:t>Raphidocelis subcapitata</w:t>
      </w:r>
      <w:r w:rsidR="00BB617A" w:rsidRPr="00BB617A">
        <w:t xml:space="preserve"> and </w:t>
      </w:r>
      <w:r w:rsidR="00BB617A" w:rsidRPr="00DB321B">
        <w:rPr>
          <w:rStyle w:val="Emphasis"/>
        </w:rPr>
        <w:t>Pseudokirchneriella subcapitata</w:t>
      </w:r>
      <w:r w:rsidR="00BB617A" w:rsidRPr="00BB617A">
        <w:t>.</w:t>
      </w:r>
    </w:p>
    <w:p w14:paraId="5E9A8A73" w14:textId="212F6337" w:rsidR="00385C82" w:rsidRDefault="002811E7" w:rsidP="00385C82">
      <w:pPr>
        <w:pStyle w:val="FigureTableNoteSource"/>
      </w:pPr>
      <w:r w:rsidRPr="002811E7">
        <w:rPr>
          <w:rStyle w:val="Strong"/>
        </w:rPr>
        <w:t>b</w:t>
      </w:r>
      <w:r w:rsidR="00BB617A" w:rsidRPr="00BB617A">
        <w:t xml:space="preserve"> AUC = area under the growth curve.</w:t>
      </w:r>
    </w:p>
    <w:p w14:paraId="6B8E40A9" w14:textId="411B14A0" w:rsidR="00AF365B" w:rsidRDefault="00AF365B" w:rsidP="00AF365B">
      <w:pPr>
        <w:pStyle w:val="FigureTableNoteSource"/>
      </w:pPr>
      <w:r>
        <w:rPr>
          <w:rStyle w:val="Strong"/>
        </w:rPr>
        <w:t>c</w:t>
      </w:r>
      <w:r>
        <w:t xml:space="preserve"> </w:t>
      </w:r>
      <w:r w:rsidRPr="003B13DB">
        <w:t xml:space="preserve">This species has also been </w:t>
      </w:r>
      <w:r>
        <w:t xml:space="preserve">called </w:t>
      </w:r>
      <w:r>
        <w:rPr>
          <w:rStyle w:val="Emphasis"/>
        </w:rPr>
        <w:t>Scenedesmus obliquus</w:t>
      </w:r>
      <w:r>
        <w:t>.</w:t>
      </w:r>
    </w:p>
    <w:p w14:paraId="30BABFC7" w14:textId="0D07AED8" w:rsidR="00D52C10" w:rsidRDefault="00AF365B" w:rsidP="00D52C10">
      <w:pPr>
        <w:pStyle w:val="FigureTableNoteSource"/>
      </w:pPr>
      <w:r>
        <w:rPr>
          <w:rStyle w:val="Strong"/>
        </w:rPr>
        <w:t>d</w:t>
      </w:r>
      <w:r>
        <w:t xml:space="preserve"> </w:t>
      </w:r>
      <w:r w:rsidR="00D52C10" w:rsidRPr="003B13DB">
        <w:t xml:space="preserve">This species has also been </w:t>
      </w:r>
      <w:r w:rsidR="00D52C10">
        <w:t xml:space="preserve">called </w:t>
      </w:r>
      <w:r w:rsidR="00D52C10" w:rsidRPr="00C726E4">
        <w:rPr>
          <w:rStyle w:val="Emphasis"/>
        </w:rPr>
        <w:t>Desmodesmus subspicatus</w:t>
      </w:r>
      <w:r w:rsidR="00D52C10">
        <w:t>.</w:t>
      </w:r>
    </w:p>
    <w:p w14:paraId="45F2A6C1" w14:textId="7ACB5F8B" w:rsidR="00282321" w:rsidRPr="00282321" w:rsidRDefault="00BB617A" w:rsidP="00955EF0">
      <w:pPr>
        <w:pStyle w:val="FigureTableNoteSource"/>
      </w:pPr>
      <w:r w:rsidRPr="00BB617A">
        <w:t>Note: Table strictly excludes data that originated from the use of formulations (</w:t>
      </w:r>
      <w:r w:rsidR="00D352FF">
        <w:t>e.g.</w:t>
      </w:r>
      <w:r w:rsidRPr="00BB617A">
        <w:t xml:space="preserve"> Roundup).</w:t>
      </w:r>
    </w:p>
    <w:p w14:paraId="74B086F5" w14:textId="77777777" w:rsidR="00606A7B" w:rsidRDefault="00606A7B" w:rsidP="00606A7B">
      <w:pPr>
        <w:sectPr w:rsidR="00606A7B" w:rsidSect="007336AC">
          <w:headerReference w:type="default" r:id="rId32"/>
          <w:headerReference w:type="first" r:id="rId33"/>
          <w:footerReference w:type="first" r:id="rId34"/>
          <w:pgSz w:w="16838" w:h="11906" w:orient="landscape"/>
          <w:pgMar w:top="1418" w:right="1418" w:bottom="1418" w:left="1418" w:header="567" w:footer="283" w:gutter="0"/>
          <w:cols w:space="708"/>
          <w:docGrid w:linePitch="360"/>
        </w:sectPr>
      </w:pPr>
    </w:p>
    <w:p w14:paraId="7F685EEE" w14:textId="59109171" w:rsidR="00606A7B" w:rsidRDefault="00D758D2" w:rsidP="00606A7B">
      <w:pPr>
        <w:pStyle w:val="Heading2"/>
        <w:numPr>
          <w:ilvl w:val="0"/>
          <w:numId w:val="0"/>
        </w:numPr>
      </w:pPr>
      <w:bookmarkStart w:id="100" w:name="_Ref528068950"/>
      <w:bookmarkStart w:id="101" w:name="_Toc4498838"/>
      <w:bookmarkStart w:id="102" w:name="_Ref16942957"/>
      <w:bookmarkStart w:id="103" w:name="_Toc64624299"/>
      <w:r>
        <w:lastRenderedPageBreak/>
        <w:t>Appendix </w:t>
      </w:r>
      <w:r w:rsidR="00D3249C">
        <w:t>B</w:t>
      </w:r>
      <w:r w:rsidR="00606A7B" w:rsidRPr="00850457">
        <w:t xml:space="preserve">: </w:t>
      </w:r>
      <w:bookmarkEnd w:id="100"/>
      <w:bookmarkEnd w:id="101"/>
      <w:r w:rsidR="00CA034F" w:rsidRPr="00223956">
        <w:t>Modality assessment for glyphosate toxicity to freshwater species</w:t>
      </w:r>
      <w:bookmarkEnd w:id="102"/>
      <w:bookmarkEnd w:id="103"/>
    </w:p>
    <w:p w14:paraId="1A4B931B" w14:textId="77777777" w:rsidR="00130A21" w:rsidRDefault="00130A21" w:rsidP="00130A21">
      <w:r w:rsidRPr="00B7164F">
        <w:t xml:space="preserve">A modality assessment was undertaken for </w:t>
      </w:r>
      <w:r>
        <w:t>glyphosate</w:t>
      </w:r>
      <w:r w:rsidRPr="00B7164F">
        <w:t xml:space="preserve"> according to the </w:t>
      </w:r>
      <w:r>
        <w:t>weight of evidence approach specified</w:t>
      </w:r>
      <w:r w:rsidRPr="00B7164F">
        <w:t xml:space="preserve"> in Warne</w:t>
      </w:r>
      <w:r w:rsidRPr="00B7164F">
        <w:rPr>
          <w:i/>
        </w:rPr>
        <w:t xml:space="preserve"> </w:t>
      </w:r>
      <w:r w:rsidRPr="00984E1D">
        <w:rPr>
          <w:iCs/>
        </w:rPr>
        <w:t>et al.</w:t>
      </w:r>
      <w:r w:rsidRPr="00B7164F">
        <w:t xml:space="preserve"> (2018). </w:t>
      </w:r>
    </w:p>
    <w:p w14:paraId="605740A8" w14:textId="77777777" w:rsidR="00130A21" w:rsidRPr="004624D8" w:rsidRDefault="00130A21" w:rsidP="006D27DE">
      <w:pPr>
        <w:pStyle w:val="Heading5"/>
      </w:pPr>
      <w:r w:rsidRPr="004624D8">
        <w:t>Is there a specific mode of action that could result in taxa-specific sensitivity?</w:t>
      </w:r>
    </w:p>
    <w:p w14:paraId="0E5862AC" w14:textId="17FE36CF" w:rsidR="00130A21" w:rsidRDefault="00130A21" w:rsidP="00130A21">
      <w:pPr>
        <w:rPr>
          <w:bCs/>
        </w:rPr>
      </w:pPr>
      <w:r w:rsidRPr="003E4B07">
        <w:rPr>
          <w:bCs/>
        </w:rPr>
        <w:t xml:space="preserve">Glyphosate acts by binding to and inhibiting the enzyme </w:t>
      </w:r>
      <w:r w:rsidRPr="003E4B07">
        <w:rPr>
          <w:color w:val="000000"/>
          <w:shd w:val="clear" w:color="auto" w:fill="FFFFFF"/>
        </w:rPr>
        <w:t>5-enolpyruvylshikimate 3-phosphate (EPSP) synthase</w:t>
      </w:r>
      <w:r w:rsidRPr="003E4B07">
        <w:rPr>
          <w:bCs/>
        </w:rPr>
        <w:t>, which blocks the shikimate pathway and ultimately results in plant death from a lack of aromatic amino acids</w:t>
      </w:r>
      <w:r w:rsidR="006E5082">
        <w:rPr>
          <w:bCs/>
        </w:rPr>
        <w:t>,</w:t>
      </w:r>
      <w:r w:rsidRPr="003E4B07">
        <w:rPr>
          <w:bCs/>
        </w:rPr>
        <w:t xml:space="preserve"> such as tryptophan, phenylalanine and tyrosine (Schönbrunn et al. 2001</w:t>
      </w:r>
      <w:r w:rsidR="006E5082">
        <w:rPr>
          <w:bCs/>
        </w:rPr>
        <w:t>,</w:t>
      </w:r>
      <w:r>
        <w:rPr>
          <w:bCs/>
        </w:rPr>
        <w:t xml:space="preserve"> APVMA 2014</w:t>
      </w:r>
      <w:r w:rsidR="006E5082">
        <w:rPr>
          <w:bCs/>
        </w:rPr>
        <w:t>,</w:t>
      </w:r>
      <w:r>
        <w:rPr>
          <w:bCs/>
        </w:rPr>
        <w:t xml:space="preserve"> Myers et al. 2016</w:t>
      </w:r>
      <w:r w:rsidRPr="003E4B07">
        <w:rPr>
          <w:bCs/>
        </w:rPr>
        <w:t xml:space="preserve">) as well as </w:t>
      </w:r>
      <w:r w:rsidRPr="003E4B07">
        <w:t>lignins, alkaloids, flavonoids, benzoic acids and plant hormones (Plant and Soil Sciences eLibrary 2015)</w:t>
      </w:r>
      <w:r w:rsidRPr="003E4B07">
        <w:rPr>
          <w:bCs/>
        </w:rPr>
        <w:t xml:space="preserve">. </w:t>
      </w:r>
      <w:r>
        <w:rPr>
          <w:bCs/>
        </w:rPr>
        <w:t xml:space="preserve">The shikimate pathway is present in </w:t>
      </w:r>
      <w:r w:rsidRPr="00842588">
        <w:rPr>
          <w:bCs/>
        </w:rPr>
        <w:t>bacteria, archaea, fungi, algae, some protozoans, and plants</w:t>
      </w:r>
      <w:r w:rsidR="006E5082">
        <w:rPr>
          <w:bCs/>
        </w:rPr>
        <w:t>—</w:t>
      </w:r>
      <w:r>
        <w:rPr>
          <w:bCs/>
        </w:rPr>
        <w:t>but not in animals. Therefore, it might be expected that plants and micro-organisms are more sensitive to glyphosate than animals.</w:t>
      </w:r>
    </w:p>
    <w:p w14:paraId="6FCE1AB3" w14:textId="77777777" w:rsidR="00130A21" w:rsidRPr="004624D8" w:rsidRDefault="00130A21" w:rsidP="006D27DE">
      <w:pPr>
        <w:pStyle w:val="Heading5"/>
      </w:pPr>
      <w:r w:rsidRPr="004624D8">
        <w:t>Does the dataset suggest bimodality?</w:t>
      </w:r>
    </w:p>
    <w:p w14:paraId="50E34A66" w14:textId="7B7B6A7B" w:rsidR="00130A21" w:rsidRPr="00226046" w:rsidRDefault="00130A21" w:rsidP="00130A21">
      <w:pPr>
        <w:rPr>
          <w:rFonts w:ascii="Myriad Pro" w:hAnsi="Myriad Pro" w:cstheme="minorHAnsi"/>
          <w:sz w:val="18"/>
          <w:szCs w:val="18"/>
        </w:rPr>
      </w:pPr>
      <w:r>
        <w:t xml:space="preserve">Modality was assessed using a </w:t>
      </w:r>
      <w:r w:rsidR="00184EB6">
        <w:t xml:space="preserve">freshwater toxicity </w:t>
      </w:r>
      <w:r>
        <w:t>dataset for which all data</w:t>
      </w:r>
      <w:r w:rsidRPr="007E1BE9">
        <w:t xml:space="preserve"> </w:t>
      </w:r>
      <w:r>
        <w:t>had</w:t>
      </w:r>
      <w:r w:rsidRPr="007E1BE9">
        <w:t xml:space="preserve"> passed the quality assessment </w:t>
      </w:r>
      <w:r>
        <w:t>and screening processes (n</w:t>
      </w:r>
      <w:r w:rsidR="006E5082">
        <w:t> </w:t>
      </w:r>
      <w:r>
        <w:t>=</w:t>
      </w:r>
      <w:r w:rsidR="006E5082">
        <w:t> </w:t>
      </w:r>
      <w:r w:rsidR="00564498">
        <w:t>36</w:t>
      </w:r>
      <w:r>
        <w:t xml:space="preserve">). </w:t>
      </w:r>
      <w:r w:rsidRPr="007E1BE9">
        <w:t xml:space="preserve">All data that were not chronic </w:t>
      </w:r>
      <w:r w:rsidR="003F07C7">
        <w:t>negligible</w:t>
      </w:r>
      <w:r>
        <w:t xml:space="preserve"> effect</w:t>
      </w:r>
      <w:r w:rsidRPr="007E1BE9">
        <w:t xml:space="preserve"> values</w:t>
      </w:r>
      <w:r>
        <w:t xml:space="preserve"> (e.g. EC10, NOEC)</w:t>
      </w:r>
      <w:r w:rsidRPr="007E1BE9">
        <w:t xml:space="preserve"> were first converted to this type of data using the methods reco</w:t>
      </w:r>
      <w:r>
        <w:t>mmended by Warne et al. (2018). Calculation of</w:t>
      </w:r>
      <w:r w:rsidRPr="00CE4D55">
        <w:t xml:space="preserve"> the bimodality coefficient</w:t>
      </w:r>
      <w:r w:rsidRPr="007E1BE9">
        <w:t xml:space="preserve"> (BC</w:t>
      </w:r>
      <w:r>
        <w:t>) on log-transformed data yielded a value of 0.</w:t>
      </w:r>
      <w:r w:rsidR="00564498">
        <w:t>4</w:t>
      </w:r>
      <w:r w:rsidR="00050B74">
        <w:t>6</w:t>
      </w:r>
      <w:r>
        <w:t xml:space="preserve">, which, being </w:t>
      </w:r>
      <w:r w:rsidR="00564498">
        <w:t>below</w:t>
      </w:r>
      <w:r>
        <w:t xml:space="preserve"> the indicative threshold BC for bimodality of 0.55, suggested the dataset </w:t>
      </w:r>
      <w:r w:rsidR="00564498">
        <w:t>does not exhibit</w:t>
      </w:r>
      <w:r>
        <w:t xml:space="preserve"> bimodal</w:t>
      </w:r>
      <w:r w:rsidR="00564498">
        <w:t>ity</w:t>
      </w:r>
      <w:r>
        <w:t xml:space="preserve">. </w:t>
      </w:r>
      <w:r w:rsidR="00564498">
        <w:t>Additionally</w:t>
      </w:r>
      <w:r>
        <w:t xml:space="preserve">, a </w:t>
      </w:r>
      <w:r w:rsidRPr="00226046">
        <w:t>frequency histogram</w:t>
      </w:r>
      <w:r>
        <w:t xml:space="preserve"> of the data</w:t>
      </w:r>
      <w:r w:rsidRPr="00226046">
        <w:t xml:space="preserve"> </w:t>
      </w:r>
      <w:r w:rsidR="007945E2">
        <w:t xml:space="preserve">suggested that </w:t>
      </w:r>
      <w:r>
        <w:t xml:space="preserve">the distribution of toxicity data </w:t>
      </w:r>
      <w:r w:rsidR="000A1B73">
        <w:t xml:space="preserve">was </w:t>
      </w:r>
      <w:r w:rsidR="007945E2">
        <w:t>uni</w:t>
      </w:r>
      <w:r w:rsidR="007945E2" w:rsidRPr="00226046">
        <w:t xml:space="preserve">modal </w:t>
      </w:r>
      <w:r w:rsidRPr="00226046">
        <w:t>(</w:t>
      </w:r>
      <w:r w:rsidR="00C834FA">
        <w:fldChar w:fldCharType="begin"/>
      </w:r>
      <w:r w:rsidR="00C834FA">
        <w:instrText xml:space="preserve"> REF _Ref26614177 \h </w:instrText>
      </w:r>
      <w:r w:rsidR="00C834FA">
        <w:fldChar w:fldCharType="separate"/>
      </w:r>
      <w:r w:rsidR="00C834FA">
        <w:t>Figure B </w:t>
      </w:r>
      <w:r w:rsidR="00C834FA">
        <w:rPr>
          <w:noProof/>
        </w:rPr>
        <w:t>1</w:t>
      </w:r>
      <w:r w:rsidR="00C834FA">
        <w:fldChar w:fldCharType="end"/>
      </w:r>
      <w:r w:rsidRPr="00226046">
        <w:t>).</w:t>
      </w:r>
    </w:p>
    <w:p w14:paraId="3AAA112F" w14:textId="110752B1" w:rsidR="00130A21" w:rsidRDefault="00564164" w:rsidP="00083BAA">
      <w:r>
        <w:rPr>
          <w:noProof/>
        </w:rPr>
        <w:drawing>
          <wp:inline distT="0" distB="0" distL="0" distR="0" wp14:anchorId="0340679D" wp14:editId="4BF71374">
            <wp:extent cx="3327400" cy="295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5">
                      <a:extLst>
                        <a:ext uri="{28A0092B-C50C-407E-A947-70E740481C1C}">
                          <a14:useLocalDpi xmlns:a14="http://schemas.microsoft.com/office/drawing/2010/main" val="0"/>
                        </a:ext>
                      </a:extLst>
                    </a:blip>
                    <a:stretch>
                      <a:fillRect/>
                    </a:stretch>
                  </pic:blipFill>
                  <pic:spPr>
                    <a:xfrm>
                      <a:off x="0" y="0"/>
                      <a:ext cx="3327400" cy="2959100"/>
                    </a:xfrm>
                    <a:prstGeom prst="rect">
                      <a:avLst/>
                    </a:prstGeom>
                  </pic:spPr>
                </pic:pic>
              </a:graphicData>
            </a:graphic>
          </wp:inline>
        </w:drawing>
      </w:r>
    </w:p>
    <w:p w14:paraId="296201A8" w14:textId="463957BC" w:rsidR="00130A21" w:rsidRPr="00724DD6" w:rsidRDefault="00083BAA" w:rsidP="00083BAA">
      <w:pPr>
        <w:pStyle w:val="Caption"/>
        <w:keepNext w:val="0"/>
      </w:pPr>
      <w:bookmarkStart w:id="104" w:name="_Ref26614177"/>
      <w:bookmarkStart w:id="105" w:name="_Toc18411717"/>
      <w:bookmarkStart w:id="106" w:name="_Toc64624308"/>
      <w:r>
        <w:t>Figure B </w:t>
      </w:r>
      <w:r w:rsidR="00736C4F">
        <w:fldChar w:fldCharType="begin"/>
      </w:r>
      <w:r w:rsidR="00736C4F">
        <w:instrText xml:space="preserve"> SEQ Figure_B \* ARABIC </w:instrText>
      </w:r>
      <w:r w:rsidR="00736C4F">
        <w:fldChar w:fldCharType="separate"/>
      </w:r>
      <w:r>
        <w:rPr>
          <w:noProof/>
        </w:rPr>
        <w:t>1</w:t>
      </w:r>
      <w:r w:rsidR="00736C4F">
        <w:rPr>
          <w:noProof/>
        </w:rPr>
        <w:fldChar w:fldCharType="end"/>
      </w:r>
      <w:bookmarkEnd w:id="104"/>
      <w:r>
        <w:t xml:space="preserve"> </w:t>
      </w:r>
      <w:r w:rsidR="00130A21">
        <w:t>Frequency h</w:t>
      </w:r>
      <w:r w:rsidR="00130A21" w:rsidRPr="00724DD6">
        <w:t>istogram</w:t>
      </w:r>
      <w:r w:rsidR="006E5082">
        <w:t>,</w:t>
      </w:r>
      <w:r w:rsidR="00130A21" w:rsidRPr="00724DD6">
        <w:t xml:space="preserve"> log-transformed glyphosate ecotoxicity data</w:t>
      </w:r>
      <w:r w:rsidR="006E5082">
        <w:t>,</w:t>
      </w:r>
      <w:r w:rsidR="00130A21" w:rsidRPr="00724DD6">
        <w:t xml:space="preserve"> fresh</w:t>
      </w:r>
      <w:r w:rsidR="00130A21">
        <w:t>water</w:t>
      </w:r>
      <w:r w:rsidR="00130A21" w:rsidRPr="00724DD6">
        <w:t xml:space="preserve"> species</w:t>
      </w:r>
      <w:bookmarkEnd w:id="105"/>
      <w:bookmarkEnd w:id="106"/>
    </w:p>
    <w:p w14:paraId="2FE64BBF" w14:textId="77777777" w:rsidR="00130A21" w:rsidRDefault="00130A21" w:rsidP="00083BAA">
      <w:pPr>
        <w:pStyle w:val="Heading5"/>
        <w:keepLines w:val="0"/>
      </w:pPr>
      <w:r w:rsidRPr="00B7164F">
        <w:lastRenderedPageBreak/>
        <w:t>Do data show taxa-specific sensitivity (i.e. through distinct groupings of different taxa types)?</w:t>
      </w:r>
      <w:r>
        <w:t xml:space="preserve"> </w:t>
      </w:r>
    </w:p>
    <w:p w14:paraId="30F49D54" w14:textId="29C412A3" w:rsidR="00130A21" w:rsidRDefault="00130A21" w:rsidP="00130A21">
      <w:r>
        <w:t>The relative sensitivity of different taxa groups to glyphosate was compared using box and whisker plots (</w:t>
      </w:r>
      <w:r w:rsidR="00C834FA">
        <w:fldChar w:fldCharType="begin"/>
      </w:r>
      <w:r w:rsidR="00C834FA">
        <w:instrText xml:space="preserve"> REF _Ref26614191 \h </w:instrText>
      </w:r>
      <w:r w:rsidR="00C834FA">
        <w:fldChar w:fldCharType="separate"/>
      </w:r>
      <w:r w:rsidR="00C834FA">
        <w:t>Figure B </w:t>
      </w:r>
      <w:r w:rsidR="00C834FA">
        <w:rPr>
          <w:noProof/>
        </w:rPr>
        <w:t>2</w:t>
      </w:r>
      <w:r w:rsidR="00C834FA">
        <w:fldChar w:fldCharType="end"/>
      </w:r>
      <w:r>
        <w:t xml:space="preserve">) and a species sensitivity distribution </w:t>
      </w:r>
      <w:r w:rsidR="00D34D15">
        <w:t>(</w:t>
      </w:r>
      <w:r w:rsidR="00D34D15" w:rsidRPr="00C726E4">
        <w:t>plotted using the Burrlioz 2.0 software</w:t>
      </w:r>
      <w:r w:rsidR="00D34D15">
        <w:t xml:space="preserve">) </w:t>
      </w:r>
      <w:r>
        <w:t>(</w:t>
      </w:r>
      <w:r w:rsidR="00C834FA">
        <w:fldChar w:fldCharType="begin"/>
      </w:r>
      <w:r w:rsidR="00C834FA">
        <w:instrText xml:space="preserve"> REF _Ref26614201 \h </w:instrText>
      </w:r>
      <w:r w:rsidR="00C834FA">
        <w:fldChar w:fldCharType="separate"/>
      </w:r>
      <w:r w:rsidR="00C834FA">
        <w:t>Figure B </w:t>
      </w:r>
      <w:r w:rsidR="00C834FA">
        <w:rPr>
          <w:noProof/>
        </w:rPr>
        <w:t>3</w:t>
      </w:r>
      <w:r w:rsidR="00C834FA">
        <w:fldChar w:fldCharType="end"/>
      </w:r>
      <w:r>
        <w:t xml:space="preserve">). </w:t>
      </w:r>
      <w:r w:rsidR="003935AC">
        <w:t xml:space="preserve">Although these </w:t>
      </w:r>
      <w:r>
        <w:t xml:space="preserve">graphical analyses </w:t>
      </w:r>
      <w:r w:rsidR="000D588B">
        <w:t>indicate a general trend for phototrophs to be more sensitive than heterotrophs</w:t>
      </w:r>
      <w:r w:rsidR="002F41CA">
        <w:t xml:space="preserve"> (as would be expected given the mode of action)</w:t>
      </w:r>
      <w:r w:rsidR="000D588B">
        <w:t xml:space="preserve">, </w:t>
      </w:r>
      <w:r>
        <w:t>there is almost a complete overlap in the toxicity values of phototrophs and heterotrophs</w:t>
      </w:r>
      <w:r w:rsidR="006E5082">
        <w:t>,</w:t>
      </w:r>
      <w:r>
        <w:t xml:space="preserve"> indicating that there is no </w:t>
      </w:r>
      <w:r w:rsidR="000D588B">
        <w:t>clear separation</w:t>
      </w:r>
      <w:r>
        <w:t xml:space="preserve"> between these groups.</w:t>
      </w:r>
    </w:p>
    <w:p w14:paraId="40DA7496" w14:textId="620BC2D1" w:rsidR="00520454" w:rsidRDefault="00050B74" w:rsidP="00083BAA">
      <w:r>
        <w:rPr>
          <w:noProof/>
          <w:lang w:eastAsia="en-AU"/>
        </w:rPr>
        <w:drawing>
          <wp:inline distT="0" distB="0" distL="0" distR="0" wp14:anchorId="7615D28A" wp14:editId="3E5881AF">
            <wp:extent cx="4320000" cy="2601252"/>
            <wp:effectExtent l="0" t="0" r="0" b="2540"/>
            <wp:docPr id="11" name="Picture 11"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ox and whisker chart&#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20000" cy="2601252"/>
                    </a:xfrm>
                    <a:prstGeom prst="rect">
                      <a:avLst/>
                    </a:prstGeom>
                    <a:noFill/>
                  </pic:spPr>
                </pic:pic>
              </a:graphicData>
            </a:graphic>
          </wp:inline>
        </w:drawing>
      </w:r>
    </w:p>
    <w:p w14:paraId="628385AA" w14:textId="7131AC7B" w:rsidR="00130A21" w:rsidRPr="00724DD6" w:rsidRDefault="00083BAA" w:rsidP="00083BAA">
      <w:pPr>
        <w:pStyle w:val="Caption"/>
      </w:pPr>
      <w:bookmarkStart w:id="107" w:name="_Ref26614191"/>
      <w:bookmarkStart w:id="108" w:name="_Toc18411718"/>
      <w:bookmarkStart w:id="109" w:name="_Toc64624309"/>
      <w:r>
        <w:t>Figure B </w:t>
      </w:r>
      <w:r w:rsidR="00736C4F">
        <w:fldChar w:fldCharType="begin"/>
      </w:r>
      <w:r w:rsidR="00736C4F">
        <w:instrText xml:space="preserve"> SEQ Figure_B \* ARABIC </w:instrText>
      </w:r>
      <w:r w:rsidR="00736C4F">
        <w:fldChar w:fldCharType="separate"/>
      </w:r>
      <w:r>
        <w:rPr>
          <w:noProof/>
        </w:rPr>
        <w:t>2</w:t>
      </w:r>
      <w:r w:rsidR="00736C4F">
        <w:rPr>
          <w:noProof/>
        </w:rPr>
        <w:fldChar w:fldCharType="end"/>
      </w:r>
      <w:bookmarkEnd w:id="107"/>
      <w:r>
        <w:t xml:space="preserve"> </w:t>
      </w:r>
      <w:r w:rsidR="00130A21" w:rsidRPr="00724DD6">
        <w:t>Box and whisker plots</w:t>
      </w:r>
      <w:r w:rsidR="00993A88">
        <w:t>,</w:t>
      </w:r>
      <w:r w:rsidR="00130A21" w:rsidRPr="00724DD6">
        <w:t xml:space="preserve"> glyphosate toxicity</w:t>
      </w:r>
      <w:r w:rsidR="00993A88">
        <w:t>,</w:t>
      </w:r>
      <w:r w:rsidR="00130A21" w:rsidRPr="00724DD6">
        <w:t xml:space="preserve"> fresh</w:t>
      </w:r>
      <w:bookmarkEnd w:id="108"/>
      <w:r w:rsidR="00130A21">
        <w:t>water phototrophs and heterotrophs</w:t>
      </w:r>
      <w:bookmarkEnd w:id="109"/>
    </w:p>
    <w:p w14:paraId="6AABABF0" w14:textId="783DB054" w:rsidR="00130A21" w:rsidRDefault="00050B74" w:rsidP="00130A21">
      <w:pPr>
        <w:rPr>
          <w:rFonts w:ascii="Myriad Pro" w:hAnsi="Myriad Pro" w:cstheme="minorHAnsi"/>
          <w:b/>
          <w:sz w:val="18"/>
          <w:szCs w:val="18"/>
        </w:rPr>
      </w:pPr>
      <w:r w:rsidRPr="00050B74">
        <w:rPr>
          <w:rFonts w:ascii="Myriad Pro" w:hAnsi="Myriad Pro" w:cstheme="minorHAnsi"/>
          <w:b/>
          <w:noProof/>
          <w:sz w:val="18"/>
          <w:szCs w:val="18"/>
        </w:rPr>
        <w:drawing>
          <wp:inline distT="0" distB="0" distL="0" distR="0" wp14:anchorId="7C3077BE" wp14:editId="19334996">
            <wp:extent cx="4143458" cy="3852000"/>
            <wp:effectExtent l="0" t="0" r="0" b="0"/>
            <wp:docPr id="15" name="Picture 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hart, histogram&#10;&#10;Description automatically generated"/>
                    <pic:cNvPicPr>
                      <a:picLocks noChangeAspect="1"/>
                    </pic:cNvPicPr>
                  </pic:nvPicPr>
                  <pic:blipFill>
                    <a:blip r:embed="rId37"/>
                    <a:stretch>
                      <a:fillRect/>
                    </a:stretch>
                  </pic:blipFill>
                  <pic:spPr>
                    <a:xfrm>
                      <a:off x="0" y="0"/>
                      <a:ext cx="4143458" cy="3852000"/>
                    </a:xfrm>
                    <a:prstGeom prst="rect">
                      <a:avLst/>
                    </a:prstGeom>
                  </pic:spPr>
                </pic:pic>
              </a:graphicData>
            </a:graphic>
          </wp:inline>
        </w:drawing>
      </w:r>
    </w:p>
    <w:p w14:paraId="51394749" w14:textId="7B85EAB3" w:rsidR="00130A21" w:rsidRPr="004624D8" w:rsidRDefault="00083BAA" w:rsidP="00023A1F">
      <w:pPr>
        <w:pStyle w:val="Caption"/>
        <w:keepNext w:val="0"/>
      </w:pPr>
      <w:bookmarkStart w:id="110" w:name="_Ref26614201"/>
      <w:bookmarkStart w:id="111" w:name="_Toc18411719"/>
      <w:bookmarkStart w:id="112" w:name="_Toc64624310"/>
      <w:r>
        <w:t>Figure B </w:t>
      </w:r>
      <w:r w:rsidR="00736C4F">
        <w:fldChar w:fldCharType="begin"/>
      </w:r>
      <w:r w:rsidR="00736C4F">
        <w:instrText xml:space="preserve"> SEQ Figure_B \* ARABI</w:instrText>
      </w:r>
      <w:r w:rsidR="00736C4F">
        <w:instrText xml:space="preserve">C </w:instrText>
      </w:r>
      <w:r w:rsidR="00736C4F">
        <w:fldChar w:fldCharType="separate"/>
      </w:r>
      <w:r>
        <w:rPr>
          <w:noProof/>
        </w:rPr>
        <w:t>3</w:t>
      </w:r>
      <w:r w:rsidR="00736C4F">
        <w:rPr>
          <w:noProof/>
        </w:rPr>
        <w:fldChar w:fldCharType="end"/>
      </w:r>
      <w:bookmarkEnd w:id="110"/>
      <w:r>
        <w:t xml:space="preserve"> </w:t>
      </w:r>
      <w:r w:rsidR="00130A21" w:rsidRPr="00083BAA">
        <w:t xml:space="preserve">Species sensitivity distribution, </w:t>
      </w:r>
      <w:bookmarkEnd w:id="111"/>
      <w:r w:rsidR="00130A21" w:rsidRPr="00083BAA">
        <w:t>glyphosate toxicity</w:t>
      </w:r>
      <w:r w:rsidR="00D34D15" w:rsidRPr="00083BAA">
        <w:t>,</w:t>
      </w:r>
      <w:r w:rsidR="00130A21" w:rsidRPr="00083BAA">
        <w:t xml:space="preserve"> freshwater phototrophs and heterotrophs</w:t>
      </w:r>
      <w:bookmarkEnd w:id="112"/>
    </w:p>
    <w:p w14:paraId="1D70AE76" w14:textId="53A86218" w:rsidR="00130A21" w:rsidRPr="004624D8" w:rsidRDefault="00130A21" w:rsidP="006D27DE">
      <w:pPr>
        <w:pStyle w:val="Heading5"/>
      </w:pPr>
      <w:r w:rsidRPr="004624D8">
        <w:lastRenderedPageBreak/>
        <w:t>Is it likely that indications of bi</w:t>
      </w:r>
      <w:r w:rsidR="00D34D15">
        <w:t>modality</w:t>
      </w:r>
      <w:r w:rsidRPr="004624D8">
        <w:t xml:space="preserve"> or multimodality or distinct clustering of taxa groups are not due to artefacts of data selection, small sample size, test procedures, or other reasons unrelated to a specific mode of action?</w:t>
      </w:r>
    </w:p>
    <w:p w14:paraId="06E1B0C6" w14:textId="11FFBF80" w:rsidR="00130A21" w:rsidRDefault="00130A21" w:rsidP="00130A21">
      <w:r>
        <w:t xml:space="preserve">Given that the sample sizes are quite high for both phototrophs (n = </w:t>
      </w:r>
      <w:r w:rsidR="003935AC">
        <w:t>19</w:t>
      </w:r>
      <w:r>
        <w:t xml:space="preserve">) and heterotrophs (n = </w:t>
      </w:r>
      <w:r w:rsidR="003935AC">
        <w:t>17</w:t>
      </w:r>
      <w:r>
        <w:t>), it is likely that the distributions are representative, although a bias cannot be ruled out. The factors in the weight of evidence were: a potentially specific mode of action; a bimodality coefficient that indicated the data</w:t>
      </w:r>
      <w:r w:rsidR="00232C90">
        <w:t>set</w:t>
      </w:r>
      <w:r>
        <w:t xml:space="preserve"> </w:t>
      </w:r>
      <w:r w:rsidR="00232C90">
        <w:t xml:space="preserve">was likely to </w:t>
      </w:r>
      <w:r>
        <w:t>be bimodal</w:t>
      </w:r>
      <w:r w:rsidR="001F7A52">
        <w:t>; and</w:t>
      </w:r>
      <w:r>
        <w:t xml:space="preserve"> three graphical analyses that indicated the distribution of toxicity data is unimodal </w:t>
      </w:r>
      <w:r w:rsidR="003935AC">
        <w:t>despite a general trend for</w:t>
      </w:r>
      <w:r>
        <w:t xml:space="preserve"> phototrophs </w:t>
      </w:r>
      <w:r w:rsidR="003935AC">
        <w:t xml:space="preserve">to be more sensitive than </w:t>
      </w:r>
      <w:r>
        <w:t>heterotrophs. Overall, the information indicated that the toxicity of glyphosate to freshwater species exhibits a unimodal relationship</w:t>
      </w:r>
      <w:r w:rsidR="00D34D15">
        <w:t>;</w:t>
      </w:r>
      <w:r>
        <w:t xml:space="preserve"> therefore, all the available toxicity data were used in the DGV derivation.</w:t>
      </w:r>
    </w:p>
    <w:p w14:paraId="7E9CB546" w14:textId="35819EF6" w:rsidR="00606A7B" w:rsidRDefault="00606A7B" w:rsidP="00BB617A">
      <w:pPr>
        <w:rPr>
          <w:lang w:eastAsia="ja-JP"/>
        </w:rPr>
      </w:pPr>
      <w:r>
        <w:rPr>
          <w:lang w:eastAsia="ja-JP"/>
        </w:rPr>
        <w:br w:type="page"/>
      </w:r>
    </w:p>
    <w:p w14:paraId="5CE3283A" w14:textId="77777777" w:rsidR="00606A7B" w:rsidRDefault="00606A7B" w:rsidP="00606A7B">
      <w:pPr>
        <w:pStyle w:val="Heading2"/>
        <w:numPr>
          <w:ilvl w:val="0"/>
          <w:numId w:val="0"/>
        </w:numPr>
        <w:ind w:left="680" w:hanging="680"/>
      </w:pPr>
      <w:bookmarkStart w:id="113" w:name="_Toc4498839"/>
      <w:bookmarkStart w:id="114" w:name="_Toc64624300"/>
      <w:r w:rsidRPr="00585FD8">
        <w:lastRenderedPageBreak/>
        <w:t>References</w:t>
      </w:r>
      <w:bookmarkEnd w:id="113"/>
      <w:bookmarkEnd w:id="114"/>
    </w:p>
    <w:p w14:paraId="40F99207" w14:textId="77777777" w:rsidR="00023A1F" w:rsidRDefault="00023A1F" w:rsidP="003B13DB">
      <w:r>
        <w:t>AATSE 2002. Pesticide use in Australia. A review undertaken by the Australian Academy of Technological Sciences and Engineering. Australian Academy of Technological Sciences and Engineering, Parkville, Victoria, Australia, 309.</w:t>
      </w:r>
    </w:p>
    <w:p w14:paraId="4163DD47" w14:textId="77777777" w:rsidR="00023A1F" w:rsidRDefault="00023A1F" w:rsidP="003B13DB">
      <w:r w:rsidRPr="009B390A">
        <w:t xml:space="preserve">ACVM 2020. </w:t>
      </w:r>
      <w:hyperlink r:id="rId38" w:history="1">
        <w:r w:rsidRPr="002E4841">
          <w:rPr>
            <w:rStyle w:val="Hyperlink"/>
          </w:rPr>
          <w:t>Agricultural Compounds and Veterinary Medicines (ACVM) register</w:t>
        </w:r>
      </w:hyperlink>
      <w:r w:rsidRPr="009B390A">
        <w:t>. Minister for Primary Industries</w:t>
      </w:r>
      <w:r>
        <w:t>,</w:t>
      </w:r>
      <w:r w:rsidRPr="009B390A">
        <w:t xml:space="preserve"> New Zealand. Accessed 1</w:t>
      </w:r>
      <w:r>
        <w:t>4</w:t>
      </w:r>
      <w:r w:rsidRPr="009B390A">
        <w:t xml:space="preserve"> January 2020.</w:t>
      </w:r>
    </w:p>
    <w:p w14:paraId="2F2CB241" w14:textId="77777777" w:rsidR="00023A1F" w:rsidRDefault="00023A1F" w:rsidP="003B13DB">
      <w:r>
        <w:t xml:space="preserve">ALA 2017. </w:t>
      </w:r>
      <w:hyperlink r:id="rId39" w:history="1">
        <w:r w:rsidRPr="002A7AFB">
          <w:rPr>
            <w:rStyle w:val="Hyperlink"/>
          </w:rPr>
          <w:t>Atlas of Living Australia</w:t>
        </w:r>
      </w:hyperlink>
      <w:r>
        <w:t>. Developed by the National Research Infrastructure for Australia (NCRIS) and the Commonwealth Scientific and Industrial Research Organisation (CSIRO). Accessed May 2017.</w:t>
      </w:r>
    </w:p>
    <w:p w14:paraId="7C6F2E50" w14:textId="77777777" w:rsidR="00C01957" w:rsidRDefault="00C01957" w:rsidP="00C01957">
      <w:r>
        <w:t xml:space="preserve">Anton, FA, Ariz, M, &amp; Alia, M 1993. Ecotoxic effects of four herbicides (glyphosate, alachlor, chlortoluron and isoproturon) on the algae </w:t>
      </w:r>
      <w:r w:rsidRPr="00C64881">
        <w:rPr>
          <w:i/>
          <w:iCs/>
        </w:rPr>
        <w:t>Chlorella pyrenoidosa</w:t>
      </w:r>
      <w:r>
        <w:rPr>
          <w:i/>
          <w:iCs/>
        </w:rPr>
        <w:t xml:space="preserve"> </w:t>
      </w:r>
      <w:r>
        <w:t xml:space="preserve">Chick. </w:t>
      </w:r>
      <w:r w:rsidRPr="00C64881">
        <w:rPr>
          <w:i/>
          <w:iCs/>
        </w:rPr>
        <w:t>Science of the Total Environment</w:t>
      </w:r>
      <w:r>
        <w:t>, 134, 845–851.</w:t>
      </w:r>
    </w:p>
    <w:p w14:paraId="60BF29B3" w14:textId="77777777" w:rsidR="00023A1F" w:rsidRDefault="00023A1F" w:rsidP="003B13DB">
      <w:r>
        <w:t>ANZECC/ARMCANZ 2000. Australian and New Zealand Guidelines for fresh and marine water quality/aquatic ecosystems: Rationale and background information (Chapter 8). Australian and New Zealand Environment and Conservation Council and Agriculture and Resource Management Council of Australia and New Zealand, Canberra, Australia, 678.</w:t>
      </w:r>
    </w:p>
    <w:p w14:paraId="20AF99D0" w14:textId="77777777" w:rsidR="00023A1F" w:rsidRDefault="00023A1F" w:rsidP="00A77C61">
      <w:r w:rsidRPr="00E02F1A">
        <w:t xml:space="preserve">ANZG 2018. </w:t>
      </w:r>
      <w:hyperlink r:id="rId40" w:history="1">
        <w:r w:rsidRPr="00D34D15">
          <w:rPr>
            <w:rStyle w:val="Hyperlink"/>
          </w:rPr>
          <w:t>Australian and New Zealand Guidelines for Fresh and Marine Water Quality</w:t>
        </w:r>
      </w:hyperlink>
      <w:r w:rsidRPr="00E02F1A">
        <w:t>. Australian</w:t>
      </w:r>
      <w:r>
        <w:t xml:space="preserve"> </w:t>
      </w:r>
      <w:r w:rsidRPr="00E02F1A">
        <w:t xml:space="preserve">and New Zealand Governments and Australian state and territory governments, Canberra, ACT, Australia. </w:t>
      </w:r>
    </w:p>
    <w:p w14:paraId="0BAC759E" w14:textId="77777777" w:rsidR="00023A1F" w:rsidRDefault="00023A1F" w:rsidP="003B13DB">
      <w:r>
        <w:t xml:space="preserve">APVMA 2014. </w:t>
      </w:r>
      <w:hyperlink r:id="rId41" w:history="1">
        <w:r w:rsidRPr="002A7AFB">
          <w:rPr>
            <w:rStyle w:val="Hyperlink"/>
          </w:rPr>
          <w:t>Glyphosate</w:t>
        </w:r>
      </w:hyperlink>
      <w:r>
        <w:t>. Australian Pesticide and Veterinary Medicine Authority. Last updated 1 July 2014. Accessed 27 June 2016.</w:t>
      </w:r>
    </w:p>
    <w:p w14:paraId="7228D296" w14:textId="77777777" w:rsidR="00023A1F" w:rsidRPr="009B390A" w:rsidRDefault="00023A1F" w:rsidP="003B13DB">
      <w:r>
        <w:t xml:space="preserve">APVMA 2020. </w:t>
      </w:r>
      <w:hyperlink r:id="rId42" w:history="1">
        <w:r w:rsidRPr="002E4841">
          <w:rPr>
            <w:rStyle w:val="Hyperlink"/>
          </w:rPr>
          <w:t>Agricultural and Veterinary Permits Search</w:t>
        </w:r>
      </w:hyperlink>
      <w:r w:rsidRPr="009B390A">
        <w:t xml:space="preserve">. </w:t>
      </w:r>
      <w:r>
        <w:t>Australian Pesticide and Veterinary Medicine Authority</w:t>
      </w:r>
      <w:r w:rsidRPr="009B390A">
        <w:rPr>
          <w:rFonts w:cstheme="minorHAnsi"/>
        </w:rPr>
        <w:t>. Accessed 1</w:t>
      </w:r>
      <w:r>
        <w:rPr>
          <w:rFonts w:cstheme="minorHAnsi"/>
        </w:rPr>
        <w:t xml:space="preserve">4 </w:t>
      </w:r>
      <w:r w:rsidRPr="009B390A">
        <w:rPr>
          <w:rFonts w:cstheme="minorHAnsi"/>
        </w:rPr>
        <w:t>January 2020.</w:t>
      </w:r>
    </w:p>
    <w:p w14:paraId="2323BA6E" w14:textId="77777777" w:rsidR="00023A1F" w:rsidRDefault="00023A1F" w:rsidP="003B13DB">
      <w:r>
        <w:t>BCPC 2012. A world compendium. The Pesticide Manual. Sixteenth Edition. C MacBean (Ed). British Crop Production Council, Alton, United Kingdom, 586–591.</w:t>
      </w:r>
    </w:p>
    <w:p w14:paraId="2CB3E40E" w14:textId="77777777" w:rsidR="00023A1F" w:rsidRDefault="00023A1F" w:rsidP="003B13DB">
      <w:r>
        <w:t xml:space="preserve">Bidwell, JR &amp; Gorrie, JR 1995. Acute toxicity of a herbicide to selected frog species. Final Report. Technical Series 79. Department of Environmental Protection, Perth, Western Australia. </w:t>
      </w:r>
    </w:p>
    <w:p w14:paraId="0C40BB9D" w14:textId="77777777" w:rsidR="00023A1F" w:rsidRDefault="00023A1F" w:rsidP="00BB617A">
      <w:r>
        <w:t xml:space="preserve">Bringolf, RB, Cope, WG, Mosher, S, Barnhart, MC &amp; Shea, D 2007. Acute and chronic toxicity of glyphosate compounds to glochidia and juveniles of </w:t>
      </w:r>
      <w:r w:rsidRPr="00CA623D">
        <w:rPr>
          <w:rStyle w:val="Emphasis"/>
        </w:rPr>
        <w:t>Lampsilis siliquoidea</w:t>
      </w:r>
      <w:r>
        <w:t xml:space="preserve"> (Unionidae). </w:t>
      </w:r>
      <w:r w:rsidRPr="00CA623D">
        <w:rPr>
          <w:rStyle w:val="Emphasis"/>
        </w:rPr>
        <w:t>Environmental Toxicology and Chemistry</w:t>
      </w:r>
      <w:r>
        <w:t>, 26(10), 2094–2100.</w:t>
      </w:r>
    </w:p>
    <w:p w14:paraId="2A6A374D" w14:textId="77777777" w:rsidR="00023A1F" w:rsidRPr="005B2B81" w:rsidRDefault="00023A1F" w:rsidP="005B2B81">
      <w:r>
        <w:t>CCME</w:t>
      </w:r>
      <w:r w:rsidRPr="005B2B81">
        <w:t xml:space="preserve"> 2012. </w:t>
      </w:r>
      <w:hyperlink r:id="rId43" w:history="1">
        <w:r w:rsidRPr="00D34D15">
          <w:rPr>
            <w:rStyle w:val="Hyperlink"/>
          </w:rPr>
          <w:t>Canadian water quality guidelines for the protection of aquatic life: Glyphosate</w:t>
        </w:r>
      </w:hyperlink>
      <w:r w:rsidRPr="005B2B81">
        <w:t xml:space="preserve">. In: Canadian environmental quality guidelines, Canadian Council of Ministers of the Environment, Winnipeg. </w:t>
      </w:r>
    </w:p>
    <w:p w14:paraId="47D84077" w14:textId="77777777" w:rsidR="00023A1F" w:rsidRDefault="00023A1F" w:rsidP="00BB617A">
      <w:r>
        <w:t xml:space="preserve">Cedergreen, N &amp; Streibig, JC 2005. The toxicity of herbicides to non-target aquatic plants and algae: Assessment of predictive factors and hazard. </w:t>
      </w:r>
      <w:r w:rsidRPr="00CA623D">
        <w:rPr>
          <w:rStyle w:val="Emphasis"/>
        </w:rPr>
        <w:t>Pesticide Management Science</w:t>
      </w:r>
      <w:r>
        <w:t>, 61(12), 1152–1160.</w:t>
      </w:r>
    </w:p>
    <w:p w14:paraId="4E2DF79C" w14:textId="77777777" w:rsidR="00023A1F" w:rsidRDefault="00023A1F" w:rsidP="00BB617A">
      <w:r>
        <w:lastRenderedPageBreak/>
        <w:t xml:space="preserve">Cuhra, M, Traavik, T &amp; Bohn, T 2013. Clone- and age-dependent toxicity of a glyphosate commercial formulation and its active ingredient in </w:t>
      </w:r>
      <w:r w:rsidRPr="00CA623D">
        <w:rPr>
          <w:rStyle w:val="Emphasis"/>
        </w:rPr>
        <w:t>Daphnia magna</w:t>
      </w:r>
      <w:r>
        <w:t xml:space="preserve">. </w:t>
      </w:r>
      <w:r w:rsidRPr="00CA623D">
        <w:rPr>
          <w:rStyle w:val="Emphasis"/>
        </w:rPr>
        <w:t>Ecotoxicology</w:t>
      </w:r>
      <w:r>
        <w:t>, 22, 251–262.</w:t>
      </w:r>
    </w:p>
    <w:p w14:paraId="1FAF92B0" w14:textId="77777777" w:rsidR="00C01957" w:rsidRDefault="00C01957" w:rsidP="00C01957">
      <w:r w:rsidRPr="008912E5">
        <w:t>Demetrio</w:t>
      </w:r>
      <w:r>
        <w:t xml:space="preserve">, PM, </w:t>
      </w:r>
      <w:r w:rsidRPr="008912E5">
        <w:t>Bulus Rossini</w:t>
      </w:r>
      <w:r>
        <w:t>,</w:t>
      </w:r>
      <w:r w:rsidRPr="008912E5">
        <w:t xml:space="preserve"> </w:t>
      </w:r>
      <w:r>
        <w:t xml:space="preserve">GD, </w:t>
      </w:r>
      <w:r w:rsidRPr="008912E5">
        <w:t>Bonetto</w:t>
      </w:r>
      <w:r>
        <w:t>,</w:t>
      </w:r>
      <w:r w:rsidRPr="008912E5">
        <w:t xml:space="preserve"> </w:t>
      </w:r>
      <w:r>
        <w:t xml:space="preserve">CA &amp; </w:t>
      </w:r>
      <w:r w:rsidRPr="008912E5">
        <w:t>Ronco</w:t>
      </w:r>
      <w:r>
        <w:t>,</w:t>
      </w:r>
      <w:r w:rsidRPr="008912E5">
        <w:t xml:space="preserve"> </w:t>
      </w:r>
      <w:r>
        <w:t xml:space="preserve">AE </w:t>
      </w:r>
      <w:r w:rsidRPr="008912E5">
        <w:t xml:space="preserve">2012. Effects of pesticide formulations and active ingredients on the coelenterate </w:t>
      </w:r>
      <w:r w:rsidRPr="008912E5">
        <w:rPr>
          <w:i/>
          <w:iCs/>
        </w:rPr>
        <w:t>Hydra attenuata</w:t>
      </w:r>
      <w:r w:rsidRPr="008912E5">
        <w:t xml:space="preserve"> (Pallas, 1766)</w:t>
      </w:r>
      <w:r>
        <w:t xml:space="preserve">. </w:t>
      </w:r>
      <w:r w:rsidRPr="008912E5">
        <w:rPr>
          <w:i/>
          <w:iCs/>
        </w:rPr>
        <w:t>Bulletin of Environmental Contamination and Toxicology</w:t>
      </w:r>
      <w:r>
        <w:t xml:space="preserve">, </w:t>
      </w:r>
      <w:r w:rsidRPr="008912E5">
        <w:t>88,</w:t>
      </w:r>
      <w:r>
        <w:t xml:space="preserve"> </w:t>
      </w:r>
      <w:r w:rsidRPr="008912E5">
        <w:t>15</w:t>
      </w:r>
      <w:r>
        <w:t>–</w:t>
      </w:r>
      <w:r w:rsidRPr="008912E5">
        <w:t>19.</w:t>
      </w:r>
    </w:p>
    <w:p w14:paraId="54810878" w14:textId="77777777" w:rsidR="00023A1F" w:rsidRDefault="00023A1F" w:rsidP="003B13DB">
      <w:r>
        <w:t xml:space="preserve">Feng, JC, Thompson, DG &amp; Reynolds, PE 1990. Fate of glyphosate in a Canadian forest watershed. 1. Aquatic residues and off target deposit assessment. </w:t>
      </w:r>
      <w:r w:rsidRPr="00CA623D">
        <w:rPr>
          <w:rStyle w:val="Emphasis"/>
        </w:rPr>
        <w:t>Journal of Agriculture Food Chemistry</w:t>
      </w:r>
      <w:r>
        <w:t xml:space="preserve">, 38, 1110–1118. </w:t>
      </w:r>
    </w:p>
    <w:p w14:paraId="752EB38A" w14:textId="77777777" w:rsidR="00023A1F" w:rsidRDefault="00023A1F" w:rsidP="003B13DB">
      <w:r>
        <w:t xml:space="preserve">Folmar, LC, Sanders, HO &amp; Julin, AM 1979. Toxicity of the herbicides glyphosate and several of its formulations to fish and aquatic invertebrates. </w:t>
      </w:r>
      <w:r w:rsidRPr="00CA623D">
        <w:rPr>
          <w:rStyle w:val="Emphasis"/>
        </w:rPr>
        <w:t>Archives of Environmental Contamination and Toxicology</w:t>
      </w:r>
      <w:r>
        <w:t>, 8, 269–278.</w:t>
      </w:r>
    </w:p>
    <w:p w14:paraId="1BAAAE12" w14:textId="77777777" w:rsidR="00023A1F" w:rsidRDefault="00023A1F" w:rsidP="003B13DB">
      <w:r>
        <w:t xml:space="preserve">Freda, J 1986. The influence of acidic pond water on amphibians: a review. </w:t>
      </w:r>
      <w:r w:rsidRPr="00CA623D">
        <w:rPr>
          <w:rStyle w:val="Emphasis"/>
        </w:rPr>
        <w:t>Water, Air and Soil Pollution</w:t>
      </w:r>
      <w:r>
        <w:t>, 30, 439–450.</w:t>
      </w:r>
    </w:p>
    <w:p w14:paraId="7DE4A275" w14:textId="77777777" w:rsidR="00023A1F" w:rsidRDefault="00023A1F" w:rsidP="00BB617A">
      <w:r>
        <w:t xml:space="preserve">Frontera, JL, Vatnick, I, Chaulet, A &amp; Rodriguez, EM 2011. Effects of glyphosate and polyoxyethylenamine on growth and energetic reserves in the freshwater crayfish </w:t>
      </w:r>
      <w:r w:rsidRPr="00CA623D">
        <w:rPr>
          <w:rStyle w:val="Emphasis"/>
        </w:rPr>
        <w:t>Cherax quadricarinatus</w:t>
      </w:r>
      <w:r>
        <w:t xml:space="preserve"> (Decapoda, Parastacidae). </w:t>
      </w:r>
      <w:r w:rsidRPr="00CA623D">
        <w:rPr>
          <w:rStyle w:val="Emphasis"/>
        </w:rPr>
        <w:t>Archives of Environmental Contamination and Toxicology</w:t>
      </w:r>
      <w:r>
        <w:t>, 61(4), 590–598.</w:t>
      </w:r>
    </w:p>
    <w:p w14:paraId="47394C01" w14:textId="77777777" w:rsidR="00023A1F" w:rsidRDefault="00023A1F" w:rsidP="003B13DB">
      <w:r>
        <w:t xml:space="preserve">Guiry, MD &amp; Guiry, GM 2017. </w:t>
      </w:r>
      <w:hyperlink r:id="rId44" w:history="1">
        <w:r w:rsidRPr="002A7AFB">
          <w:rPr>
            <w:rStyle w:val="Hyperlink"/>
          </w:rPr>
          <w:t>AlgaeBase</w:t>
        </w:r>
      </w:hyperlink>
      <w:r>
        <w:t xml:space="preserve">. World-wide electronic publication, National University of Ireland, Galway. Accessed May 2017. </w:t>
      </w:r>
    </w:p>
    <w:p w14:paraId="7C25929C" w14:textId="77777777" w:rsidR="00023A1F" w:rsidRDefault="00023A1F" w:rsidP="003B13DB">
      <w:r>
        <w:t xml:space="preserve">ITIS 2017. </w:t>
      </w:r>
      <w:hyperlink r:id="rId45" w:history="1">
        <w:r w:rsidRPr="002A7AFB">
          <w:rPr>
            <w:rStyle w:val="Hyperlink"/>
          </w:rPr>
          <w:t>Integrated Taxonomic Information System</w:t>
        </w:r>
      </w:hyperlink>
      <w:r>
        <w:t xml:space="preserve">. Accessed May 2017. </w:t>
      </w:r>
    </w:p>
    <w:p w14:paraId="39C4E7A1" w14:textId="77777777" w:rsidR="00C01957" w:rsidRDefault="00C01957" w:rsidP="00C01957">
      <w:r w:rsidRPr="00C64881">
        <w:t>Lipok</w:t>
      </w:r>
      <w:r>
        <w:t xml:space="preserve">, J, </w:t>
      </w:r>
      <w:r w:rsidRPr="00C64881">
        <w:t>Studnik</w:t>
      </w:r>
      <w:r>
        <w:t xml:space="preserve">, H, &amp; </w:t>
      </w:r>
      <w:r w:rsidRPr="00C64881">
        <w:t>Gruyaert</w:t>
      </w:r>
      <w:r>
        <w:t xml:space="preserve">, S </w:t>
      </w:r>
      <w:r w:rsidRPr="00C64881">
        <w:t xml:space="preserve">2010. The </w:t>
      </w:r>
      <w:r>
        <w:t>to</w:t>
      </w:r>
      <w:r w:rsidRPr="00C64881">
        <w:t xml:space="preserve">xicity of </w:t>
      </w:r>
      <w:r>
        <w:t>R</w:t>
      </w:r>
      <w:r w:rsidRPr="00C64881">
        <w:t xml:space="preserve">oundup 360 SL </w:t>
      </w:r>
      <w:r>
        <w:t>f</w:t>
      </w:r>
      <w:r w:rsidRPr="00C64881">
        <w:t xml:space="preserve">ormulation and </w:t>
      </w:r>
      <w:r>
        <w:t>its main constituents</w:t>
      </w:r>
      <w:r w:rsidRPr="00C64881">
        <w:t xml:space="preserve">: Glyphosate and </w:t>
      </w:r>
      <w:r>
        <w:t>i</w:t>
      </w:r>
      <w:r w:rsidRPr="00C64881">
        <w:t xml:space="preserve">sopropylamine </w:t>
      </w:r>
      <w:r>
        <w:t>t</w:t>
      </w:r>
      <w:r w:rsidRPr="00C64881">
        <w:t xml:space="preserve">owards </w:t>
      </w:r>
      <w:r>
        <w:t>n</w:t>
      </w:r>
      <w:r w:rsidRPr="00C64881">
        <w:t>on-</w:t>
      </w:r>
      <w:r>
        <w:t>t</w:t>
      </w:r>
      <w:r w:rsidRPr="00C64881">
        <w:t xml:space="preserve">arget </w:t>
      </w:r>
      <w:r>
        <w:t>w</w:t>
      </w:r>
      <w:r w:rsidRPr="00C64881">
        <w:t xml:space="preserve">ater </w:t>
      </w:r>
      <w:r>
        <w:t>p</w:t>
      </w:r>
      <w:r w:rsidRPr="00C64881">
        <w:t>hotoautotrophs</w:t>
      </w:r>
      <w:r>
        <w:t>.</w:t>
      </w:r>
      <w:r w:rsidRPr="00C64881">
        <w:t xml:space="preserve"> </w:t>
      </w:r>
      <w:r w:rsidRPr="008912E5">
        <w:rPr>
          <w:i/>
          <w:iCs/>
        </w:rPr>
        <w:t>Ecotoxicology and Environmental Safety</w:t>
      </w:r>
      <w:r>
        <w:t xml:space="preserve">, </w:t>
      </w:r>
      <w:r w:rsidRPr="00C64881">
        <w:t>73</w:t>
      </w:r>
      <w:r>
        <w:t xml:space="preserve">, </w:t>
      </w:r>
      <w:r w:rsidRPr="00C64881">
        <w:t>1681</w:t>
      </w:r>
      <w:r>
        <w:t>–</w:t>
      </w:r>
      <w:r w:rsidRPr="00C64881">
        <w:t>1688.</w:t>
      </w:r>
    </w:p>
    <w:p w14:paraId="4876591E" w14:textId="77777777" w:rsidR="00023A1F" w:rsidRDefault="00023A1F" w:rsidP="003B13DB">
      <w:r>
        <w:t xml:space="preserve">Mann, RM &amp; Bidwell, JR 1999. The toxicity of glyphosate and several glyphosate formulations to four species of southwestern Australian frogs. </w:t>
      </w:r>
      <w:r w:rsidRPr="00CA623D">
        <w:rPr>
          <w:rStyle w:val="Emphasis"/>
        </w:rPr>
        <w:t>Archives of Environmental Contamination and Toxicology</w:t>
      </w:r>
      <w:r>
        <w:t>, 36, 193–199.</w:t>
      </w:r>
    </w:p>
    <w:p w14:paraId="7F45A3B2" w14:textId="77777777" w:rsidR="00023A1F" w:rsidRDefault="00023A1F" w:rsidP="003B13DB">
      <w:r>
        <w:t xml:space="preserve">Myers, JP, Antoniou, MN, Blumberg, B, Carroll, L, Colborn, T, Everett, LG, Hansen, M, Landrigan, PJ, Lanphear, BP, Mesnage, R, Vandenberg, LN, vom Saal, FS, Welshons, WV &amp; Benbrrok, CM 2016. Concerns over use of glyphosate-based herbicides and risks associated with exposures: a consensus statement. </w:t>
      </w:r>
      <w:r w:rsidRPr="00CA623D">
        <w:rPr>
          <w:rStyle w:val="Emphasis"/>
        </w:rPr>
        <w:t>Environmental Health</w:t>
      </w:r>
      <w:r>
        <w:t>, 15:19. DOI 10.1186/s12940-016-0117-0.</w:t>
      </w:r>
    </w:p>
    <w:p w14:paraId="2DA5CEAA" w14:textId="77777777" w:rsidR="00023A1F" w:rsidRDefault="00023A1F" w:rsidP="003B13DB">
      <w:r>
        <w:t xml:space="preserve">Newton, M, Homer, LM, Cowell, JE, White, DE &amp; Cole, EC 1994. Dissipation of glyphosate and aminomethylphosphonic acid in North American forests. </w:t>
      </w:r>
      <w:r w:rsidRPr="00CA623D">
        <w:rPr>
          <w:rStyle w:val="Emphasis"/>
        </w:rPr>
        <w:t>Journal of Agriculture Food Chemistry</w:t>
      </w:r>
      <w:r>
        <w:t>, 42, 1795–1802.</w:t>
      </w:r>
    </w:p>
    <w:p w14:paraId="4CF611EB" w14:textId="77777777" w:rsidR="00023A1F" w:rsidRDefault="00023A1F" w:rsidP="003B13DB">
      <w:r>
        <w:t xml:space="preserve">Plant and Soil Sciences eLibrary 2015. </w:t>
      </w:r>
      <w:hyperlink r:id="rId46" w:history="1">
        <w:r w:rsidRPr="002A7AFB">
          <w:rPr>
            <w:rStyle w:val="Hyperlink"/>
          </w:rPr>
          <w:t>Inhibitors of aromatic amino acid biosynthesis</w:t>
        </w:r>
      </w:hyperlink>
      <w:r>
        <w:t>. Accessed 15 September 2015.</w:t>
      </w:r>
    </w:p>
    <w:p w14:paraId="171A4D20" w14:textId="77777777" w:rsidR="00023A1F" w:rsidRDefault="00023A1F" w:rsidP="003B13DB">
      <w:r>
        <w:t xml:space="preserve">Roskov, Y, Abucay, L, Orrell, T, Nicolson, D, Bailly, N, Kirk, PM, Bourgoin, T, DeWalt, RE, Decock, W, De Wever, A, Nieukerken, E, Zarucchi, J &amp; Penev, L (eds.) 2017. </w:t>
      </w:r>
      <w:hyperlink r:id="rId47" w:history="1">
        <w:r w:rsidRPr="002A7AFB">
          <w:rPr>
            <w:rStyle w:val="Hyperlink"/>
          </w:rPr>
          <w:t xml:space="preserve">Species 2000 &amp; ITIS Catalogue of Life, </w:t>
        </w:r>
        <w:r w:rsidRPr="002A7AFB">
          <w:rPr>
            <w:rStyle w:val="Hyperlink"/>
          </w:rPr>
          <w:lastRenderedPageBreak/>
          <w:t>30th April 2017</w:t>
        </w:r>
      </w:hyperlink>
      <w:r>
        <w:t>. Species 2000: Naturalis, Leiden, the Netherlands. ISSN 2405-8858. Accessed May 2017.</w:t>
      </w:r>
    </w:p>
    <w:p w14:paraId="5F1BBF91" w14:textId="77777777" w:rsidR="00C01957" w:rsidRDefault="00C01957" w:rsidP="00C01957">
      <w:r>
        <w:t xml:space="preserve">Saenz, ME, Di Marzio, WD, Alberdi, JL &amp; del Carmen Tortorelli, M 1997. Effects of technical grade and a commercial formulation of glyphosate on algal population growth. </w:t>
      </w:r>
      <w:r w:rsidRPr="00304EA2">
        <w:rPr>
          <w:i/>
          <w:iCs/>
        </w:rPr>
        <w:t>Environmental Contamination and Toxicology</w:t>
      </w:r>
      <w:r>
        <w:t>, 59, 638–644.</w:t>
      </w:r>
    </w:p>
    <w:p w14:paraId="670D758D" w14:textId="77777777" w:rsidR="00023A1F" w:rsidRDefault="00023A1F" w:rsidP="003B13DB">
      <w:r>
        <w:t xml:space="preserve">Schönbrunn, E, Eschenburg, S, Shuttleworth, WA, Schloss, JV, Amrheim, N, Evans, JNS &amp; Kabsch, W 2001. Interaction of the herbicide glyphosate with its target enzyme 5-enolpyruvylshikimate 3-phosphate synthase in atomic detail. </w:t>
      </w:r>
      <w:r w:rsidRPr="00CA623D">
        <w:rPr>
          <w:rStyle w:val="Emphasis"/>
        </w:rPr>
        <w:t>Proceedings National Academy of Sciences of the United States of America</w:t>
      </w:r>
      <w:r>
        <w:t>, 98(4), 1376–1380.</w:t>
      </w:r>
    </w:p>
    <w:p w14:paraId="0A639385" w14:textId="77777777" w:rsidR="00023A1F" w:rsidRDefault="00023A1F" w:rsidP="003B13DB">
      <w:r>
        <w:t xml:space="preserve">Schuette, J 1998. Environmental fate of glyphosate. Department of Pesticide Regulation, Environmental Monitoring and Pesticide Management, Sacramento, California, CA 95824-5624. </w:t>
      </w:r>
    </w:p>
    <w:p w14:paraId="12B5291B" w14:textId="77777777" w:rsidR="00C01957" w:rsidRDefault="00C01957" w:rsidP="00C01957">
      <w:r w:rsidRPr="00C54162">
        <w:t xml:space="preserve">SEC </w:t>
      </w:r>
      <w:r>
        <w:t>(</w:t>
      </w:r>
      <w:r w:rsidRPr="00C54162">
        <w:t>Summit Environmental Consultants</w:t>
      </w:r>
      <w:r>
        <w:t>)</w:t>
      </w:r>
      <w:r w:rsidRPr="00C54162">
        <w:t xml:space="preserve"> 2007. Toxicity of glyphosate and thiram to aquatic invertebrates, Final Report 551-04.01, Prepared for Environment Canada, Summit Environmental Consultants, British Columbia.</w:t>
      </w:r>
    </w:p>
    <w:p w14:paraId="4AF6AC4D" w14:textId="77777777" w:rsidR="00C01957" w:rsidRDefault="00C01957" w:rsidP="00C01957">
      <w:r w:rsidRPr="000B5C5B">
        <w:t>Sobrero</w:t>
      </w:r>
      <w:r>
        <w:t>,</w:t>
      </w:r>
      <w:r w:rsidRPr="000B5C5B">
        <w:t xml:space="preserve"> </w:t>
      </w:r>
      <w:r>
        <w:t>MC</w:t>
      </w:r>
      <w:r w:rsidRPr="000B5C5B">
        <w:t>, Rimoldi</w:t>
      </w:r>
      <w:r>
        <w:t>,</w:t>
      </w:r>
      <w:r w:rsidRPr="000B5C5B">
        <w:t xml:space="preserve"> </w:t>
      </w:r>
      <w:r>
        <w:t xml:space="preserve">F &amp; </w:t>
      </w:r>
      <w:r w:rsidRPr="000B5C5B">
        <w:t>Ronco</w:t>
      </w:r>
      <w:r>
        <w:t xml:space="preserve">, AE </w:t>
      </w:r>
      <w:r w:rsidRPr="000B5C5B">
        <w:t xml:space="preserve">2007. Effects of the glyphosate active ingredient and a formulation on </w:t>
      </w:r>
      <w:r w:rsidRPr="000B5C5B">
        <w:rPr>
          <w:i/>
          <w:iCs/>
        </w:rPr>
        <w:t>Lemna gibba</w:t>
      </w:r>
      <w:r w:rsidRPr="000B5C5B">
        <w:t xml:space="preserve"> L. at different exposure levels and assessment end-points</w:t>
      </w:r>
      <w:r>
        <w:t>.</w:t>
      </w:r>
      <w:r w:rsidRPr="000B5C5B">
        <w:t xml:space="preserve"> </w:t>
      </w:r>
      <w:r w:rsidRPr="008912E5">
        <w:rPr>
          <w:i/>
          <w:iCs/>
        </w:rPr>
        <w:t>Bulletin of Environmental Contamination and Toxicology</w:t>
      </w:r>
      <w:r w:rsidRPr="000B5C5B">
        <w:t>, 79</w:t>
      </w:r>
      <w:r>
        <w:t>,</w:t>
      </w:r>
      <w:r w:rsidRPr="000B5C5B">
        <w:t xml:space="preserve"> 537</w:t>
      </w:r>
      <w:r>
        <w:t>–</w:t>
      </w:r>
      <w:r w:rsidRPr="000B5C5B">
        <w:t>543.</w:t>
      </w:r>
    </w:p>
    <w:p w14:paraId="291EFB02" w14:textId="1B625503" w:rsidR="00023A1F" w:rsidRDefault="00023A1F" w:rsidP="003B13DB">
      <w:r>
        <w:t xml:space="preserve">Sunderam, RIM, Warne, MStJ, Chapman, JC, Pablo, F, Hawkins, J, Rose, RM &amp; Patra, RW 2000. The ANZECC and ARMCANZ water quality guideline database for toxicants. Supplied as part of a </w:t>
      </w:r>
      <w:r w:rsidR="00087C88">
        <w:t>CD-ROM</w:t>
      </w:r>
      <w:r>
        <w:t xml:space="preserve"> in the ANZECC/ARMCANZ (2000) Australian and New Zealand Guidelines for Fresh and Marine Water Quality.</w:t>
      </w:r>
    </w:p>
    <w:p w14:paraId="24903D37" w14:textId="77777777" w:rsidR="00023A1F" w:rsidRDefault="00023A1F" w:rsidP="00BB617A">
      <w:r>
        <w:t xml:space="preserve">Tate, TM, Spurlock, JO &amp; Christian, FA 1997. Effect of glyphosate on the development of </w:t>
      </w:r>
      <w:r w:rsidRPr="00A7541A">
        <w:rPr>
          <w:rStyle w:val="Emphasis"/>
        </w:rPr>
        <w:t>Pseudosuccinea columella</w:t>
      </w:r>
      <w:r>
        <w:t xml:space="preserve"> snails. </w:t>
      </w:r>
      <w:r w:rsidRPr="00A7541A">
        <w:rPr>
          <w:rStyle w:val="Emphasis"/>
        </w:rPr>
        <w:t>Archives of Environmental Contamination and Toxicology</w:t>
      </w:r>
      <w:r>
        <w:t>, 33(3), 286–289.</w:t>
      </w:r>
    </w:p>
    <w:p w14:paraId="4C893761" w14:textId="5AA3D1C7" w:rsidR="00023A1F" w:rsidRDefault="00023A1F" w:rsidP="003B13DB">
      <w:r>
        <w:t xml:space="preserve">University of Hertfordshire 2013. </w:t>
      </w:r>
      <w:hyperlink r:id="rId48" w:history="1">
        <w:r w:rsidRPr="002A7AFB">
          <w:rPr>
            <w:rStyle w:val="Hyperlink"/>
          </w:rPr>
          <w:t>The Pesticide Properties Data Base (PPDB)</w:t>
        </w:r>
      </w:hyperlink>
      <w:r>
        <w:t>. Developed by the Agriculture &amp; Environment Research Unit (AERU), University of Hertfordshire, 2006–2013. Accessed May 2015.</w:t>
      </w:r>
    </w:p>
    <w:p w14:paraId="59B39F93" w14:textId="3DD95B31" w:rsidR="00C01957" w:rsidRDefault="00C01957" w:rsidP="003B13DB">
      <w:r w:rsidRPr="00825705">
        <w:t>Uren Webster</w:t>
      </w:r>
      <w:r>
        <w:t xml:space="preserve">, TM, </w:t>
      </w:r>
      <w:r w:rsidRPr="00825705">
        <w:t>Laing</w:t>
      </w:r>
      <w:r>
        <w:t xml:space="preserve">, LV, </w:t>
      </w:r>
      <w:r w:rsidRPr="00825705">
        <w:t>Florance</w:t>
      </w:r>
      <w:r>
        <w:t xml:space="preserve">, H &amp; </w:t>
      </w:r>
      <w:r w:rsidRPr="00825705">
        <w:t>Santos</w:t>
      </w:r>
      <w:r>
        <w:t xml:space="preserve">, EM </w:t>
      </w:r>
      <w:r w:rsidRPr="00825705">
        <w:t xml:space="preserve">2014. Effects of glyphosate and its formulation, </w:t>
      </w:r>
      <w:r>
        <w:t>R</w:t>
      </w:r>
      <w:r w:rsidRPr="00825705">
        <w:t>oundup, on reproduction in zebrafish (</w:t>
      </w:r>
      <w:r w:rsidRPr="00825705">
        <w:rPr>
          <w:i/>
          <w:iCs/>
        </w:rPr>
        <w:t>Danio rerio</w:t>
      </w:r>
      <w:r w:rsidRPr="00825705">
        <w:t>)</w:t>
      </w:r>
      <w:r>
        <w:t>.</w:t>
      </w:r>
      <w:r w:rsidRPr="00825705">
        <w:t xml:space="preserve"> </w:t>
      </w:r>
      <w:r w:rsidRPr="008912E5">
        <w:rPr>
          <w:i/>
          <w:iCs/>
        </w:rPr>
        <w:t>Environmental Science and Technology</w:t>
      </w:r>
      <w:r w:rsidRPr="00825705">
        <w:t>, 48</w:t>
      </w:r>
      <w:r>
        <w:t>,</w:t>
      </w:r>
      <w:r w:rsidRPr="00825705">
        <w:t xml:space="preserve"> 1271</w:t>
      </w:r>
      <w:r>
        <w:t>–</w:t>
      </w:r>
      <w:r w:rsidRPr="00825705">
        <w:t>1279.</w:t>
      </w:r>
    </w:p>
    <w:p w14:paraId="471E5A41" w14:textId="77777777" w:rsidR="00023A1F" w:rsidRDefault="00023A1F" w:rsidP="003B13DB">
      <w:r>
        <w:t xml:space="preserve">USEPA 2015a. </w:t>
      </w:r>
      <w:hyperlink r:id="rId49" w:history="1">
        <w:r w:rsidRPr="002A7AFB">
          <w:rPr>
            <w:rStyle w:val="Hyperlink"/>
          </w:rPr>
          <w:t>ECOTOX User Guide: ECOTOXicology Database System</w:t>
        </w:r>
      </w:hyperlink>
      <w:r>
        <w:t>. Version 4.0. United States Environmental Protection Agency. Accessed May–September 2015.</w:t>
      </w:r>
    </w:p>
    <w:p w14:paraId="72795D88" w14:textId="77777777" w:rsidR="00023A1F" w:rsidRDefault="00023A1F" w:rsidP="003B13DB">
      <w:r>
        <w:t xml:space="preserve">USEPA 2015b. </w:t>
      </w:r>
      <w:hyperlink r:id="rId50" w:history="1">
        <w:r w:rsidRPr="007150EA">
          <w:rPr>
            <w:rStyle w:val="Hyperlink"/>
          </w:rPr>
          <w:t>Office of Pesticide Programs Database</w:t>
        </w:r>
      </w:hyperlink>
      <w:r>
        <w:t xml:space="preserve">. United States Environmental Protection Agency, Office of Prevention, Pesticides, and Toxic Substances. Office of Pesticide Programs. Washington, D.C. January 23, 2004. Available from: </w:t>
      </w:r>
      <w:r w:rsidRPr="007150EA">
        <w:t>https://ecotox.ipmcenters.org</w:t>
      </w:r>
      <w:r>
        <w:t>, Accessed May–September 2016.</w:t>
      </w:r>
    </w:p>
    <w:p w14:paraId="35061627" w14:textId="77777777" w:rsidR="00023A1F" w:rsidRDefault="00023A1F" w:rsidP="00606A7B">
      <w:pPr>
        <w:rPr>
          <w:highlight w:val="yellow"/>
        </w:rPr>
      </w:pPr>
      <w:r>
        <w:lastRenderedPageBreak/>
        <w:t xml:space="preserve">Vendrell, E, Ferraz, DGB, Sabater, C &amp; Carrasco, JM 2009. Effect of glyphosate on growth of four freshwater species of phytoplankton: A microplate bioassay. </w:t>
      </w:r>
      <w:r w:rsidRPr="00A7541A">
        <w:rPr>
          <w:rStyle w:val="Emphasis"/>
        </w:rPr>
        <w:t>Bulletin of Environmental Contamination and Toxicology</w:t>
      </w:r>
      <w:r>
        <w:t>, 82(5), 538–542.</w:t>
      </w:r>
    </w:p>
    <w:p w14:paraId="458CB7A6" w14:textId="77777777" w:rsidR="00023A1F" w:rsidRDefault="00023A1F" w:rsidP="003B13DB">
      <w:r>
        <w:t>Warne MStJ, Batley GE, van Dam RA, Chapman JC, Fox DR, Hickey CW and Stauber JL 2015. Revised Method for Deriving Australian and New Zealand Water Quality Guideline Values for Toxicants – update of the 2014 version. Prepared for the revision of the Australian and New Zealand Guidelines for Fresh and Marine Water Quality, Department of Science, Information Technology, Innovation and the Arts, Brisbane, Queensland, 41 pp.</w:t>
      </w:r>
    </w:p>
    <w:p w14:paraId="426E4135" w14:textId="77777777" w:rsidR="00023A1F" w:rsidRDefault="00023A1F" w:rsidP="003B13DB">
      <w:r>
        <w:t>Warne MStJ, Batley GE, van Dam RA, Chapman JC, Fox DR, Hickey CW &amp;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1AC8694B" w14:textId="77777777" w:rsidR="00023A1F" w:rsidRDefault="00023A1F" w:rsidP="003B13DB">
      <w:r>
        <w:t>Warne, MStJ 2001. Description of how each toxicant trigger value was derived. CD-ROM in the ANZECC and ARMCANZ (2000) Australian and New Zealand Guidelines for Fresh and Marine Water Quality, Canberra, Australia.</w:t>
      </w:r>
    </w:p>
    <w:p w14:paraId="157C3053" w14:textId="77777777" w:rsidR="00023A1F" w:rsidRDefault="00023A1F" w:rsidP="003B13DB">
      <w:r>
        <w:t xml:space="preserve">Warne, MStJ, Westbury, A-M &amp; Sunderam, R 1998. A compilation of toxicity data for chemicals to Australasian aquatic species. Part 1: Pesticides. </w:t>
      </w:r>
      <w:r w:rsidRPr="00EE7151">
        <w:rPr>
          <w:i/>
        </w:rPr>
        <w:t>Australasian Journal of Ecotoxicology</w:t>
      </w:r>
      <w:r>
        <w:t>, 4, 93–144.</w:t>
      </w:r>
    </w:p>
    <w:p w14:paraId="58569DF8" w14:textId="77777777" w:rsidR="00023A1F" w:rsidRDefault="00023A1F" w:rsidP="003B13DB">
      <w:pPr>
        <w:rPr>
          <w:highlight w:val="yellow"/>
        </w:rPr>
      </w:pPr>
      <w:r>
        <w:t xml:space="preserve">WoRMS Editorial Board 2017. </w:t>
      </w:r>
      <w:hyperlink r:id="rId51" w:history="1">
        <w:r w:rsidRPr="002A7AFB">
          <w:rPr>
            <w:rStyle w:val="Hyperlink"/>
          </w:rPr>
          <w:t>World Register of Marine Species</w:t>
        </w:r>
      </w:hyperlink>
      <w:r>
        <w:t xml:space="preserve">. VLIZ. doi:10.14284/170. Accessed May 2017. </w:t>
      </w:r>
    </w:p>
    <w:sectPr w:rsidR="00023A1F" w:rsidSect="00606A7B">
      <w:headerReference w:type="default" r:id="rId5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90E4" w14:textId="77777777" w:rsidR="00116A68" w:rsidRDefault="00116A68">
      <w:pPr>
        <w:spacing w:after="0" w:line="240" w:lineRule="auto"/>
      </w:pPr>
      <w:r>
        <w:separator/>
      </w:r>
    </w:p>
  </w:endnote>
  <w:endnote w:type="continuationSeparator" w:id="0">
    <w:p w14:paraId="31297EB4" w14:textId="77777777" w:rsidR="00116A68" w:rsidRDefault="00116A68">
      <w:pPr>
        <w:spacing w:after="0" w:line="240" w:lineRule="auto"/>
      </w:pPr>
      <w:r>
        <w:continuationSeparator/>
      </w:r>
    </w:p>
  </w:endnote>
  <w:endnote w:type="continuationNotice" w:id="1">
    <w:p w14:paraId="1B06F152" w14:textId="77777777" w:rsidR="00116A68" w:rsidRDefault="00116A68">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01FD" w14:textId="77777777" w:rsidR="00017C13" w:rsidRDefault="00017C13" w:rsidP="00677567">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C826" w14:textId="77777777" w:rsidR="00017C13" w:rsidRDefault="00017C13" w:rsidP="00FB3DE6">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CA95" w14:textId="77777777" w:rsidR="00017C13" w:rsidRDefault="00017C13" w:rsidP="00083BAA">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A7B2" w14:textId="77777777" w:rsidR="00116A68" w:rsidRDefault="00116A68">
      <w:pPr>
        <w:spacing w:after="0" w:line="240" w:lineRule="auto"/>
      </w:pPr>
      <w:r>
        <w:separator/>
      </w:r>
    </w:p>
  </w:footnote>
  <w:footnote w:type="continuationSeparator" w:id="0">
    <w:p w14:paraId="5E4086D8" w14:textId="77777777" w:rsidR="00116A68" w:rsidRDefault="00116A68">
      <w:pPr>
        <w:spacing w:after="0" w:line="240" w:lineRule="auto"/>
      </w:pPr>
      <w:r>
        <w:continuationSeparator/>
      </w:r>
    </w:p>
  </w:footnote>
  <w:footnote w:type="continuationNotice" w:id="1">
    <w:p w14:paraId="5016A33B" w14:textId="77777777" w:rsidR="00116A68" w:rsidRDefault="00116A6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C935" w14:textId="3FE3DABA" w:rsidR="00017C13" w:rsidRDefault="00017C13">
    <w:pPr>
      <w:pStyle w:val="Header"/>
    </w:pPr>
    <w:r>
      <w:t xml:space="preserve">Toxicant default guideline values for aquatic ecosystem </w:t>
    </w:r>
    <w:r w:rsidRPr="000A4069">
      <w:t xml:space="preserve">protection: </w:t>
    </w:r>
    <w:r>
      <w:t>Glyphosate in fresh</w:t>
    </w:r>
    <w:r w:rsidRPr="000A4069">
      <w:t>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3671" w14:textId="77777777" w:rsidR="00017C13" w:rsidRDefault="00017C13">
    <w:pPr>
      <w:pStyle w:val="Header"/>
    </w:pPr>
    <w:r>
      <w:rPr>
        <w:noProof/>
        <w:lang w:eastAsia="en-AU"/>
      </w:rPr>
      <w:drawing>
        <wp:anchor distT="0" distB="0" distL="114300" distR="114300" simplePos="0" relativeHeight="251658240" behindDoc="1" locked="0" layoutInCell="1" allowOverlap="1" wp14:anchorId="3B3AB162" wp14:editId="55B3CA4D">
          <wp:simplePos x="0" y="0"/>
          <wp:positionH relativeFrom="column">
            <wp:posOffset>-895406</wp:posOffset>
          </wp:positionH>
          <wp:positionV relativeFrom="paragraph">
            <wp:posOffset>-355021</wp:posOffset>
          </wp:positionV>
          <wp:extent cx="7556361" cy="10687529"/>
          <wp:effectExtent l="0" t="0" r="6985" b="0"/>
          <wp:wrapNone/>
          <wp:docPr id="7" name="Picture 7"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5B7A" w14:textId="234AEAE3" w:rsidR="00017C13" w:rsidRPr="001303C0" w:rsidRDefault="00017C13" w:rsidP="001303C0">
    <w:pPr>
      <w:pStyle w:val="Header"/>
    </w:pPr>
    <w:r>
      <w:t xml:space="preserve">Toxicant default guideline values for aquatic ecosystem protection: </w:t>
    </w:r>
    <w:r w:rsidRPr="000A4069">
      <w:t>Glyphosate in freshwater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1163" w14:textId="07DE0216" w:rsidR="00017C13" w:rsidRPr="001303C0" w:rsidRDefault="00017C13" w:rsidP="001303C0">
    <w:pPr>
      <w:pStyle w:val="Header"/>
    </w:pPr>
    <w:r>
      <w:t>Toxicant default guideline values for aquatic ecosystem protection: Glyphosate in fresh</w:t>
    </w:r>
    <w:r w:rsidRPr="000A4069">
      <w:t>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5AB8" w14:textId="606FDAD6" w:rsidR="00017C13" w:rsidRPr="000756BD" w:rsidRDefault="00017C13" w:rsidP="000756BD">
    <w:pPr>
      <w:pStyle w:val="Header"/>
    </w:pPr>
    <w:r>
      <w:t>Toxicant default guideline values for aquatic ecosystem protection: Glyphosate in fresh</w:t>
    </w:r>
    <w:r w:rsidRPr="000A4069">
      <w:t>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1BAA" w14:textId="1965146C" w:rsidR="00017C13" w:rsidRPr="000756BD" w:rsidRDefault="00017C13" w:rsidP="000756BD">
    <w:pPr>
      <w:pStyle w:val="Header"/>
    </w:pPr>
    <w:r>
      <w:t>Toxicant default guideline values for aquatic ecosystem protection: Glyphosate in fresh</w:t>
    </w:r>
    <w:r w:rsidRPr="000A4069">
      <w:t>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E45E" w14:textId="55CD298E" w:rsidR="00017C13" w:rsidRPr="000756BD" w:rsidRDefault="00017C13" w:rsidP="000756BD">
    <w:pPr>
      <w:pStyle w:val="Header"/>
    </w:pPr>
    <w:r>
      <w:t xml:space="preserve">Toxicant default guideline values for aquatic ecosystem protection: </w:t>
    </w:r>
    <w:r w:rsidRPr="000A4069">
      <w:t>Glyphosate in freshwater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279"/>
    <w:multiLevelType w:val="hybridMultilevel"/>
    <w:tmpl w:val="10980862"/>
    <w:lvl w:ilvl="0" w:tplc="0C16FC1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0EC6F93"/>
    <w:multiLevelType w:val="hybridMultilevel"/>
    <w:tmpl w:val="9508C594"/>
    <w:lvl w:ilvl="0" w:tplc="1AC0B6E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A091E"/>
    <w:multiLevelType w:val="multilevel"/>
    <w:tmpl w:val="757ED760"/>
    <w:numStyleLink w:val="Style1"/>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3399E"/>
    <w:multiLevelType w:val="multilevel"/>
    <w:tmpl w:val="88964F4C"/>
    <w:numStyleLink w:val="heading"/>
  </w:abstractNum>
  <w:abstractNum w:abstractNumId="7" w15:restartNumberingAfterBreak="0">
    <w:nsid w:val="266777A9"/>
    <w:multiLevelType w:val="hybridMultilevel"/>
    <w:tmpl w:val="05585B16"/>
    <w:lvl w:ilvl="0" w:tplc="31D8840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9" w15:restartNumberingAfterBreak="0">
    <w:nsid w:val="29FA1896"/>
    <w:multiLevelType w:val="hybridMultilevel"/>
    <w:tmpl w:val="AAD08D5E"/>
    <w:lvl w:ilvl="0" w:tplc="E110C1F6">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595B46"/>
    <w:multiLevelType w:val="multilevel"/>
    <w:tmpl w:val="C32AB9AA"/>
    <w:numStyleLink w:val="ListNumber1"/>
  </w:abstractNum>
  <w:abstractNum w:abstractNumId="11"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2" w15:restartNumberingAfterBreak="0">
    <w:nsid w:val="36D54222"/>
    <w:multiLevelType w:val="multilevel"/>
    <w:tmpl w:val="757ED760"/>
    <w:numStyleLink w:val="Style1"/>
  </w:abstractNum>
  <w:abstractNum w:abstractNumId="13"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7636387C"/>
    <w:multiLevelType w:val="multilevel"/>
    <w:tmpl w:val="6346ED0E"/>
    <w:numStyleLink w:val="listbullets"/>
  </w:abstractNum>
  <w:abstractNum w:abstractNumId="19" w15:restartNumberingAfterBreak="0">
    <w:nsid w:val="77204A9E"/>
    <w:multiLevelType w:val="hybridMultilevel"/>
    <w:tmpl w:val="5F98E0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5"/>
  </w:num>
  <w:num w:numId="3">
    <w:abstractNumId w:val="17"/>
  </w:num>
  <w:num w:numId="4">
    <w:abstractNumId w:val="8"/>
  </w:num>
  <w:num w:numId="5">
    <w:abstractNumId w:val="11"/>
  </w:num>
  <w:num w:numId="6">
    <w:abstractNumId w:val="16"/>
  </w:num>
  <w:num w:numId="7">
    <w:abstractNumId w:val="18"/>
  </w:num>
  <w:num w:numId="8">
    <w:abstractNumId w:val="14"/>
  </w:num>
  <w:num w:numId="9">
    <w:abstractNumId w:val="10"/>
  </w:num>
  <w:num w:numId="10">
    <w:abstractNumId w:val="1"/>
  </w:num>
  <w:num w:numId="11">
    <w:abstractNumId w:val="6"/>
  </w:num>
  <w:num w:numId="12">
    <w:abstractNumId w:val="13"/>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4"/>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abstractNumId w:val="9"/>
  </w:num>
  <w:num w:numId="19">
    <w:abstractNumId w:val="7"/>
  </w:num>
  <w:num w:numId="20">
    <w:abstractNumId w:val="3"/>
  </w:num>
  <w:num w:numId="21">
    <w:abstractNumId w:val="19"/>
  </w:num>
  <w:num w:numId="2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hideSpellingErrors/>
  <w:hideGrammaticalErrors/>
  <w:proofState w:grammar="clean"/>
  <w:stylePaneSortMethod w:val="0000"/>
  <w:doNotTrackFormatting/>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367F"/>
    <w:rsid w:val="00017C13"/>
    <w:rsid w:val="0002226B"/>
    <w:rsid w:val="00022664"/>
    <w:rsid w:val="00023A1F"/>
    <w:rsid w:val="00025490"/>
    <w:rsid w:val="00026FC7"/>
    <w:rsid w:val="0004548C"/>
    <w:rsid w:val="00047B2E"/>
    <w:rsid w:val="00050B74"/>
    <w:rsid w:val="000548DD"/>
    <w:rsid w:val="00060C4F"/>
    <w:rsid w:val="00061882"/>
    <w:rsid w:val="00062058"/>
    <w:rsid w:val="000756BD"/>
    <w:rsid w:val="00075B47"/>
    <w:rsid w:val="000771F9"/>
    <w:rsid w:val="00083846"/>
    <w:rsid w:val="00083BAA"/>
    <w:rsid w:val="00087C88"/>
    <w:rsid w:val="00091C01"/>
    <w:rsid w:val="000931E1"/>
    <w:rsid w:val="000A0D36"/>
    <w:rsid w:val="000A1B73"/>
    <w:rsid w:val="000A4069"/>
    <w:rsid w:val="000A68FE"/>
    <w:rsid w:val="000B0AE0"/>
    <w:rsid w:val="000B4613"/>
    <w:rsid w:val="000C165F"/>
    <w:rsid w:val="000C50CF"/>
    <w:rsid w:val="000C583A"/>
    <w:rsid w:val="000D1F6C"/>
    <w:rsid w:val="000D487B"/>
    <w:rsid w:val="000D4C8F"/>
    <w:rsid w:val="000D588B"/>
    <w:rsid w:val="000E40C1"/>
    <w:rsid w:val="000E5064"/>
    <w:rsid w:val="000E6443"/>
    <w:rsid w:val="000F0A5F"/>
    <w:rsid w:val="00111616"/>
    <w:rsid w:val="00113187"/>
    <w:rsid w:val="00116A68"/>
    <w:rsid w:val="001303C0"/>
    <w:rsid w:val="00130A21"/>
    <w:rsid w:val="001417CA"/>
    <w:rsid w:val="001424FB"/>
    <w:rsid w:val="00143B0A"/>
    <w:rsid w:val="001468FA"/>
    <w:rsid w:val="001511B7"/>
    <w:rsid w:val="00151467"/>
    <w:rsid w:val="001521FE"/>
    <w:rsid w:val="0016777B"/>
    <w:rsid w:val="00174574"/>
    <w:rsid w:val="00184EB6"/>
    <w:rsid w:val="001853D0"/>
    <w:rsid w:val="00193A76"/>
    <w:rsid w:val="001A3660"/>
    <w:rsid w:val="001A41B6"/>
    <w:rsid w:val="001A49B1"/>
    <w:rsid w:val="001A7081"/>
    <w:rsid w:val="001A70D0"/>
    <w:rsid w:val="001B1DB2"/>
    <w:rsid w:val="001C0D1C"/>
    <w:rsid w:val="001C5AFD"/>
    <w:rsid w:val="001D6AEA"/>
    <w:rsid w:val="001E2379"/>
    <w:rsid w:val="001E31E5"/>
    <w:rsid w:val="001E3698"/>
    <w:rsid w:val="001E38B8"/>
    <w:rsid w:val="001E7FE3"/>
    <w:rsid w:val="001F5B51"/>
    <w:rsid w:val="001F7A52"/>
    <w:rsid w:val="00206DF6"/>
    <w:rsid w:val="00211B3B"/>
    <w:rsid w:val="00212CDF"/>
    <w:rsid w:val="00213755"/>
    <w:rsid w:val="002137E2"/>
    <w:rsid w:val="00214EAF"/>
    <w:rsid w:val="0021571E"/>
    <w:rsid w:val="00215E01"/>
    <w:rsid w:val="00223956"/>
    <w:rsid w:val="002255A9"/>
    <w:rsid w:val="00232C90"/>
    <w:rsid w:val="00233076"/>
    <w:rsid w:val="00252691"/>
    <w:rsid w:val="00252B73"/>
    <w:rsid w:val="00262C17"/>
    <w:rsid w:val="002811E7"/>
    <w:rsid w:val="00282321"/>
    <w:rsid w:val="00291E87"/>
    <w:rsid w:val="00293856"/>
    <w:rsid w:val="002A7404"/>
    <w:rsid w:val="002A7AFB"/>
    <w:rsid w:val="002B4C68"/>
    <w:rsid w:val="002B4F7A"/>
    <w:rsid w:val="002B5F91"/>
    <w:rsid w:val="002B6832"/>
    <w:rsid w:val="002C1159"/>
    <w:rsid w:val="002D2A2E"/>
    <w:rsid w:val="002D68B8"/>
    <w:rsid w:val="002E17A0"/>
    <w:rsid w:val="002E4841"/>
    <w:rsid w:val="002E67CC"/>
    <w:rsid w:val="002F41CA"/>
    <w:rsid w:val="003035B9"/>
    <w:rsid w:val="00311E06"/>
    <w:rsid w:val="00320D5F"/>
    <w:rsid w:val="00322A6E"/>
    <w:rsid w:val="00330EA1"/>
    <w:rsid w:val="0033413B"/>
    <w:rsid w:val="00341C8F"/>
    <w:rsid w:val="00343147"/>
    <w:rsid w:val="003433D9"/>
    <w:rsid w:val="0035719B"/>
    <w:rsid w:val="00363C9F"/>
    <w:rsid w:val="003648B5"/>
    <w:rsid w:val="00364E6D"/>
    <w:rsid w:val="0037130D"/>
    <w:rsid w:val="00385C82"/>
    <w:rsid w:val="003876F4"/>
    <w:rsid w:val="003935AC"/>
    <w:rsid w:val="00393CAF"/>
    <w:rsid w:val="003A5409"/>
    <w:rsid w:val="003B1345"/>
    <w:rsid w:val="003B13DB"/>
    <w:rsid w:val="003B3BF7"/>
    <w:rsid w:val="003C4D43"/>
    <w:rsid w:val="003C5158"/>
    <w:rsid w:val="003D4A96"/>
    <w:rsid w:val="003E393C"/>
    <w:rsid w:val="003E58CF"/>
    <w:rsid w:val="003F07C7"/>
    <w:rsid w:val="00401C43"/>
    <w:rsid w:val="00404309"/>
    <w:rsid w:val="00424896"/>
    <w:rsid w:val="00431D90"/>
    <w:rsid w:val="00433B44"/>
    <w:rsid w:val="004371E7"/>
    <w:rsid w:val="00444185"/>
    <w:rsid w:val="0044686B"/>
    <w:rsid w:val="0045288A"/>
    <w:rsid w:val="00455843"/>
    <w:rsid w:val="00472821"/>
    <w:rsid w:val="00475DC4"/>
    <w:rsid w:val="0047683E"/>
    <w:rsid w:val="00477286"/>
    <w:rsid w:val="004937F2"/>
    <w:rsid w:val="004A1D51"/>
    <w:rsid w:val="004A3032"/>
    <w:rsid w:val="004A50FB"/>
    <w:rsid w:val="004B3017"/>
    <w:rsid w:val="004C3ACE"/>
    <w:rsid w:val="004D364F"/>
    <w:rsid w:val="004D4854"/>
    <w:rsid w:val="004D52CE"/>
    <w:rsid w:val="004E0475"/>
    <w:rsid w:val="004E2FC6"/>
    <w:rsid w:val="004F0374"/>
    <w:rsid w:val="004F335B"/>
    <w:rsid w:val="004F3DBC"/>
    <w:rsid w:val="004F6114"/>
    <w:rsid w:val="00514ADA"/>
    <w:rsid w:val="00516A4E"/>
    <w:rsid w:val="0051797E"/>
    <w:rsid w:val="00517D00"/>
    <w:rsid w:val="00520454"/>
    <w:rsid w:val="00522EF7"/>
    <w:rsid w:val="005252E8"/>
    <w:rsid w:val="005317AB"/>
    <w:rsid w:val="005347DF"/>
    <w:rsid w:val="00550629"/>
    <w:rsid w:val="0055679B"/>
    <w:rsid w:val="00557258"/>
    <w:rsid w:val="005615A8"/>
    <w:rsid w:val="005633DE"/>
    <w:rsid w:val="00564164"/>
    <w:rsid w:val="00564498"/>
    <w:rsid w:val="005755B2"/>
    <w:rsid w:val="0057591A"/>
    <w:rsid w:val="00584E01"/>
    <w:rsid w:val="0058555C"/>
    <w:rsid w:val="0058568B"/>
    <w:rsid w:val="00590027"/>
    <w:rsid w:val="005920FB"/>
    <w:rsid w:val="00596BCB"/>
    <w:rsid w:val="00596C25"/>
    <w:rsid w:val="005A324F"/>
    <w:rsid w:val="005A45DB"/>
    <w:rsid w:val="005A71C2"/>
    <w:rsid w:val="005B2B81"/>
    <w:rsid w:val="005C070B"/>
    <w:rsid w:val="005C3718"/>
    <w:rsid w:val="005C5EFD"/>
    <w:rsid w:val="005D2CEE"/>
    <w:rsid w:val="005D5582"/>
    <w:rsid w:val="005E1033"/>
    <w:rsid w:val="005E6E4E"/>
    <w:rsid w:val="005F5B34"/>
    <w:rsid w:val="005F60C7"/>
    <w:rsid w:val="00606A7B"/>
    <w:rsid w:val="00620280"/>
    <w:rsid w:val="00634E99"/>
    <w:rsid w:val="0064021D"/>
    <w:rsid w:val="006421B4"/>
    <w:rsid w:val="0064344A"/>
    <w:rsid w:val="00644033"/>
    <w:rsid w:val="00644449"/>
    <w:rsid w:val="00651DF3"/>
    <w:rsid w:val="00661EB0"/>
    <w:rsid w:val="00664659"/>
    <w:rsid w:val="00670E0A"/>
    <w:rsid w:val="00672130"/>
    <w:rsid w:val="00672641"/>
    <w:rsid w:val="00673190"/>
    <w:rsid w:val="00677567"/>
    <w:rsid w:val="0068180E"/>
    <w:rsid w:val="00692BE6"/>
    <w:rsid w:val="006A1182"/>
    <w:rsid w:val="006D27DE"/>
    <w:rsid w:val="006D2D6E"/>
    <w:rsid w:val="006E5082"/>
    <w:rsid w:val="006F5FB5"/>
    <w:rsid w:val="00700E5B"/>
    <w:rsid w:val="00705DA7"/>
    <w:rsid w:val="007150EA"/>
    <w:rsid w:val="0072704D"/>
    <w:rsid w:val="007336AC"/>
    <w:rsid w:val="00736C4F"/>
    <w:rsid w:val="0074024F"/>
    <w:rsid w:val="00740624"/>
    <w:rsid w:val="00740F6B"/>
    <w:rsid w:val="00743100"/>
    <w:rsid w:val="0074528C"/>
    <w:rsid w:val="00747F68"/>
    <w:rsid w:val="00750F06"/>
    <w:rsid w:val="0076638C"/>
    <w:rsid w:val="00773211"/>
    <w:rsid w:val="00776659"/>
    <w:rsid w:val="00785E13"/>
    <w:rsid w:val="00790143"/>
    <w:rsid w:val="007945E2"/>
    <w:rsid w:val="007949D6"/>
    <w:rsid w:val="007A2395"/>
    <w:rsid w:val="007A2453"/>
    <w:rsid w:val="007B07B8"/>
    <w:rsid w:val="007B4CA4"/>
    <w:rsid w:val="007C3BD5"/>
    <w:rsid w:val="007D33DD"/>
    <w:rsid w:val="007D4B39"/>
    <w:rsid w:val="007D6370"/>
    <w:rsid w:val="007E508F"/>
    <w:rsid w:val="007E529C"/>
    <w:rsid w:val="007E5405"/>
    <w:rsid w:val="007F46D4"/>
    <w:rsid w:val="007F6726"/>
    <w:rsid w:val="00801B2D"/>
    <w:rsid w:val="00810B3D"/>
    <w:rsid w:val="00824850"/>
    <w:rsid w:val="00833392"/>
    <w:rsid w:val="00850457"/>
    <w:rsid w:val="00851365"/>
    <w:rsid w:val="00851999"/>
    <w:rsid w:val="00863B22"/>
    <w:rsid w:val="00865B82"/>
    <w:rsid w:val="00867CA0"/>
    <w:rsid w:val="00871AA9"/>
    <w:rsid w:val="00877A36"/>
    <w:rsid w:val="00877A65"/>
    <w:rsid w:val="008851B8"/>
    <w:rsid w:val="00887E54"/>
    <w:rsid w:val="00891983"/>
    <w:rsid w:val="00893F0F"/>
    <w:rsid w:val="008955B6"/>
    <w:rsid w:val="00896E0F"/>
    <w:rsid w:val="00897B78"/>
    <w:rsid w:val="008A3AA9"/>
    <w:rsid w:val="008A51C8"/>
    <w:rsid w:val="008A7B99"/>
    <w:rsid w:val="008B1814"/>
    <w:rsid w:val="008B59D6"/>
    <w:rsid w:val="008B60FA"/>
    <w:rsid w:val="008C07D3"/>
    <w:rsid w:val="008C1B84"/>
    <w:rsid w:val="008C2ACC"/>
    <w:rsid w:val="008C2BCD"/>
    <w:rsid w:val="008C57C2"/>
    <w:rsid w:val="008D04F3"/>
    <w:rsid w:val="008D0CB0"/>
    <w:rsid w:val="008D1966"/>
    <w:rsid w:val="008D5EEE"/>
    <w:rsid w:val="008E0CDA"/>
    <w:rsid w:val="008E2263"/>
    <w:rsid w:val="008E409D"/>
    <w:rsid w:val="008F2851"/>
    <w:rsid w:val="009002A0"/>
    <w:rsid w:val="00911E54"/>
    <w:rsid w:val="00917525"/>
    <w:rsid w:val="00920EC9"/>
    <w:rsid w:val="009237F2"/>
    <w:rsid w:val="00931CE7"/>
    <w:rsid w:val="009349F0"/>
    <w:rsid w:val="00935F14"/>
    <w:rsid w:val="0093660A"/>
    <w:rsid w:val="009423CA"/>
    <w:rsid w:val="00944A59"/>
    <w:rsid w:val="009477FA"/>
    <w:rsid w:val="00953B48"/>
    <w:rsid w:val="00955EF0"/>
    <w:rsid w:val="009560F2"/>
    <w:rsid w:val="00956324"/>
    <w:rsid w:val="0097352C"/>
    <w:rsid w:val="009737F1"/>
    <w:rsid w:val="0097532E"/>
    <w:rsid w:val="00976140"/>
    <w:rsid w:val="00987E69"/>
    <w:rsid w:val="00992439"/>
    <w:rsid w:val="00992831"/>
    <w:rsid w:val="00993A88"/>
    <w:rsid w:val="00994C9F"/>
    <w:rsid w:val="009A2F51"/>
    <w:rsid w:val="009B2BC4"/>
    <w:rsid w:val="009B390A"/>
    <w:rsid w:val="009C05E6"/>
    <w:rsid w:val="009C0982"/>
    <w:rsid w:val="009D4953"/>
    <w:rsid w:val="009D54BA"/>
    <w:rsid w:val="009E13DF"/>
    <w:rsid w:val="009E5542"/>
    <w:rsid w:val="00A00109"/>
    <w:rsid w:val="00A11BC0"/>
    <w:rsid w:val="00A13515"/>
    <w:rsid w:val="00A165BA"/>
    <w:rsid w:val="00A23FE4"/>
    <w:rsid w:val="00A25C50"/>
    <w:rsid w:val="00A27AE9"/>
    <w:rsid w:val="00A31048"/>
    <w:rsid w:val="00A33537"/>
    <w:rsid w:val="00A37153"/>
    <w:rsid w:val="00A37690"/>
    <w:rsid w:val="00A47113"/>
    <w:rsid w:val="00A47617"/>
    <w:rsid w:val="00A4796F"/>
    <w:rsid w:val="00A66FDC"/>
    <w:rsid w:val="00A71D50"/>
    <w:rsid w:val="00A721A9"/>
    <w:rsid w:val="00A727D3"/>
    <w:rsid w:val="00A7541A"/>
    <w:rsid w:val="00A76CDE"/>
    <w:rsid w:val="00A77C61"/>
    <w:rsid w:val="00A82DD1"/>
    <w:rsid w:val="00A848F6"/>
    <w:rsid w:val="00A94F1C"/>
    <w:rsid w:val="00AA4799"/>
    <w:rsid w:val="00AB7303"/>
    <w:rsid w:val="00AC2AB7"/>
    <w:rsid w:val="00AC3142"/>
    <w:rsid w:val="00AD005E"/>
    <w:rsid w:val="00AD197C"/>
    <w:rsid w:val="00AD66F8"/>
    <w:rsid w:val="00AD76EE"/>
    <w:rsid w:val="00AF365B"/>
    <w:rsid w:val="00B028CD"/>
    <w:rsid w:val="00B1064D"/>
    <w:rsid w:val="00B13BEA"/>
    <w:rsid w:val="00B13F85"/>
    <w:rsid w:val="00B151F6"/>
    <w:rsid w:val="00B20C76"/>
    <w:rsid w:val="00B24EF9"/>
    <w:rsid w:val="00B309FD"/>
    <w:rsid w:val="00B323DA"/>
    <w:rsid w:val="00B365A7"/>
    <w:rsid w:val="00B550CE"/>
    <w:rsid w:val="00B71394"/>
    <w:rsid w:val="00B744F3"/>
    <w:rsid w:val="00B778AE"/>
    <w:rsid w:val="00B77F21"/>
    <w:rsid w:val="00B816D2"/>
    <w:rsid w:val="00B84EFD"/>
    <w:rsid w:val="00BA02DD"/>
    <w:rsid w:val="00BA1524"/>
    <w:rsid w:val="00BA7CDD"/>
    <w:rsid w:val="00BB617A"/>
    <w:rsid w:val="00BB6B99"/>
    <w:rsid w:val="00BC0683"/>
    <w:rsid w:val="00BC654D"/>
    <w:rsid w:val="00BD096D"/>
    <w:rsid w:val="00BE3953"/>
    <w:rsid w:val="00BE7122"/>
    <w:rsid w:val="00BF0280"/>
    <w:rsid w:val="00BF4197"/>
    <w:rsid w:val="00BF6970"/>
    <w:rsid w:val="00C01957"/>
    <w:rsid w:val="00C0428F"/>
    <w:rsid w:val="00C11AF4"/>
    <w:rsid w:val="00C25871"/>
    <w:rsid w:val="00C37030"/>
    <w:rsid w:val="00C4799B"/>
    <w:rsid w:val="00C618FE"/>
    <w:rsid w:val="00C63C89"/>
    <w:rsid w:val="00C726E4"/>
    <w:rsid w:val="00C72F61"/>
    <w:rsid w:val="00C734EB"/>
    <w:rsid w:val="00C740E4"/>
    <w:rsid w:val="00C80229"/>
    <w:rsid w:val="00C8259C"/>
    <w:rsid w:val="00C83262"/>
    <w:rsid w:val="00C834FA"/>
    <w:rsid w:val="00C8514D"/>
    <w:rsid w:val="00C912C1"/>
    <w:rsid w:val="00C922AA"/>
    <w:rsid w:val="00C93A5A"/>
    <w:rsid w:val="00C942AA"/>
    <w:rsid w:val="00C972CC"/>
    <w:rsid w:val="00CA034F"/>
    <w:rsid w:val="00CA623D"/>
    <w:rsid w:val="00CA6BDF"/>
    <w:rsid w:val="00CB09A4"/>
    <w:rsid w:val="00CB21A5"/>
    <w:rsid w:val="00CB7A16"/>
    <w:rsid w:val="00CC51DD"/>
    <w:rsid w:val="00CC6732"/>
    <w:rsid w:val="00CD0115"/>
    <w:rsid w:val="00CE5D72"/>
    <w:rsid w:val="00CE74BD"/>
    <w:rsid w:val="00CE76B8"/>
    <w:rsid w:val="00CF07EE"/>
    <w:rsid w:val="00CF1DBA"/>
    <w:rsid w:val="00CF1FB8"/>
    <w:rsid w:val="00CF4CBE"/>
    <w:rsid w:val="00CF6DFC"/>
    <w:rsid w:val="00D0163B"/>
    <w:rsid w:val="00D02CAD"/>
    <w:rsid w:val="00D048E0"/>
    <w:rsid w:val="00D10D78"/>
    <w:rsid w:val="00D14557"/>
    <w:rsid w:val="00D14E1B"/>
    <w:rsid w:val="00D1603C"/>
    <w:rsid w:val="00D2217D"/>
    <w:rsid w:val="00D22761"/>
    <w:rsid w:val="00D315A3"/>
    <w:rsid w:val="00D3249C"/>
    <w:rsid w:val="00D34D15"/>
    <w:rsid w:val="00D352FF"/>
    <w:rsid w:val="00D47F84"/>
    <w:rsid w:val="00D51D5C"/>
    <w:rsid w:val="00D51FBA"/>
    <w:rsid w:val="00D52C10"/>
    <w:rsid w:val="00D54490"/>
    <w:rsid w:val="00D565C2"/>
    <w:rsid w:val="00D758D2"/>
    <w:rsid w:val="00D800E5"/>
    <w:rsid w:val="00D82213"/>
    <w:rsid w:val="00D83CD0"/>
    <w:rsid w:val="00D9719B"/>
    <w:rsid w:val="00DA39A2"/>
    <w:rsid w:val="00DA648B"/>
    <w:rsid w:val="00DA75C9"/>
    <w:rsid w:val="00DB04DA"/>
    <w:rsid w:val="00DB0CDB"/>
    <w:rsid w:val="00DB2BE3"/>
    <w:rsid w:val="00DB321B"/>
    <w:rsid w:val="00DC4993"/>
    <w:rsid w:val="00DD4933"/>
    <w:rsid w:val="00DD6DAE"/>
    <w:rsid w:val="00DD7301"/>
    <w:rsid w:val="00DE653C"/>
    <w:rsid w:val="00DF040B"/>
    <w:rsid w:val="00DF1801"/>
    <w:rsid w:val="00DF1809"/>
    <w:rsid w:val="00DF2130"/>
    <w:rsid w:val="00E00D37"/>
    <w:rsid w:val="00E044AB"/>
    <w:rsid w:val="00E217AA"/>
    <w:rsid w:val="00E23727"/>
    <w:rsid w:val="00E243B6"/>
    <w:rsid w:val="00E27543"/>
    <w:rsid w:val="00E33AA6"/>
    <w:rsid w:val="00E34D35"/>
    <w:rsid w:val="00E51B5B"/>
    <w:rsid w:val="00E55B1C"/>
    <w:rsid w:val="00E62E4C"/>
    <w:rsid w:val="00E63045"/>
    <w:rsid w:val="00E66C55"/>
    <w:rsid w:val="00E773C8"/>
    <w:rsid w:val="00E80A31"/>
    <w:rsid w:val="00E80ACC"/>
    <w:rsid w:val="00E84D69"/>
    <w:rsid w:val="00E86FE1"/>
    <w:rsid w:val="00E950CD"/>
    <w:rsid w:val="00EA349C"/>
    <w:rsid w:val="00EB7B36"/>
    <w:rsid w:val="00EC13A7"/>
    <w:rsid w:val="00EC4506"/>
    <w:rsid w:val="00EC6619"/>
    <w:rsid w:val="00EC6805"/>
    <w:rsid w:val="00ED3BAF"/>
    <w:rsid w:val="00ED59F5"/>
    <w:rsid w:val="00EE6E95"/>
    <w:rsid w:val="00EE7040"/>
    <w:rsid w:val="00EE7151"/>
    <w:rsid w:val="00EF0BE4"/>
    <w:rsid w:val="00EF3393"/>
    <w:rsid w:val="00F01120"/>
    <w:rsid w:val="00F1205B"/>
    <w:rsid w:val="00F17303"/>
    <w:rsid w:val="00F27E5D"/>
    <w:rsid w:val="00F31487"/>
    <w:rsid w:val="00F3209D"/>
    <w:rsid w:val="00F351CE"/>
    <w:rsid w:val="00F373FB"/>
    <w:rsid w:val="00F46B54"/>
    <w:rsid w:val="00F51350"/>
    <w:rsid w:val="00F570FF"/>
    <w:rsid w:val="00F661AF"/>
    <w:rsid w:val="00F87CB0"/>
    <w:rsid w:val="00F909D2"/>
    <w:rsid w:val="00F9447E"/>
    <w:rsid w:val="00F95026"/>
    <w:rsid w:val="00FB3DE6"/>
    <w:rsid w:val="00FB68F3"/>
    <w:rsid w:val="00FB6D75"/>
    <w:rsid w:val="00FC5AC2"/>
    <w:rsid w:val="00FD1523"/>
    <w:rsid w:val="00FD3FB5"/>
    <w:rsid w:val="00FE25F0"/>
    <w:rsid w:val="00FF0AE2"/>
    <w:rsid w:val="00FF12ED"/>
    <w:rsid w:val="00FF6F8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19564F"/>
  <w15:docId w15:val="{6FC0D89F-96A5-4758-9A33-97672A99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B550CE"/>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99"/>
    <w:qFormat/>
    <w:pPr>
      <w:ind w:left="720"/>
    </w:pPr>
  </w:style>
  <w:style w:type="character" w:customStyle="1" w:styleId="Heading2Char">
    <w:name w:val="Heading 2 Char"/>
    <w:basedOn w:val="DefaultParagraphFont"/>
    <w:link w:val="Heading2"/>
    <w:uiPriority w:val="3"/>
    <w:rsid w:val="00B550CE"/>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35"/>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850457"/>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BA02DD"/>
    <w:pPr>
      <w:keepNext/>
      <w:spacing w:before="120" w:after="120" w:line="240" w:lineRule="auto"/>
      <w:jc w:val="both"/>
    </w:pPr>
    <w:rPr>
      <w:rFonts w:ascii="Arial" w:eastAsiaTheme="minorEastAsia" w:hAnsi="Arial"/>
      <w:sz w:val="18"/>
      <w:szCs w:val="20"/>
      <w:lang w:val="en-NZ" w:bidi="en-US"/>
    </w:rPr>
  </w:style>
  <w:style w:type="table" w:styleId="MediumShading1">
    <w:name w:val="Medium Shading 1"/>
    <w:basedOn w:val="TableNormal"/>
    <w:uiPriority w:val="63"/>
    <w:rsid w:val="00BB617A"/>
    <w:pPr>
      <w:jc w:val="both"/>
    </w:pPr>
    <w:rPr>
      <w:rFonts w:asciiTheme="minorHAnsi" w:eastAsiaTheme="minorEastAsia" w:hAnsiTheme="minorHAnsi" w:cstheme="minorBidi"/>
      <w:lang w:val="en-US" w:eastAsia="en-US"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semiHidden/>
    <w:unhideWhenUsed/>
    <w:rsid w:val="00851365"/>
    <w:pPr>
      <w:spacing w:after="200" w:line="276" w:lineRule="auto"/>
      <w:jc w:val="both"/>
    </w:pPr>
    <w:rPr>
      <w:rFonts w:asciiTheme="minorHAnsi" w:eastAsia="Times New Roman" w:hAnsiTheme="minorHAnsi" w:cstheme="minorBidi"/>
      <w:lang w:val="en-US" w:eastAsia="en-US" w:bidi="en-US"/>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7150EA"/>
    <w:rPr>
      <w:color w:val="605E5C"/>
      <w:shd w:val="clear" w:color="auto" w:fill="E1DFDD"/>
    </w:rPr>
  </w:style>
  <w:style w:type="character" w:customStyle="1" w:styleId="UnresolvedMention2">
    <w:name w:val="Unresolved Mention2"/>
    <w:basedOn w:val="DefaultParagraphFont"/>
    <w:uiPriority w:val="99"/>
    <w:semiHidden/>
    <w:unhideWhenUsed/>
    <w:rsid w:val="009B390A"/>
    <w:rPr>
      <w:color w:val="605E5C"/>
      <w:shd w:val="clear" w:color="auto" w:fill="E1DFDD"/>
    </w:rPr>
  </w:style>
  <w:style w:type="character" w:styleId="UnresolvedMention">
    <w:name w:val="Unresolved Mention"/>
    <w:basedOn w:val="DefaultParagraphFont"/>
    <w:uiPriority w:val="99"/>
    <w:semiHidden/>
    <w:unhideWhenUsed/>
    <w:rsid w:val="00BB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38754955">
      <w:bodyDiv w:val="1"/>
      <w:marLeft w:val="0"/>
      <w:marRight w:val="0"/>
      <w:marTop w:val="0"/>
      <w:marBottom w:val="0"/>
      <w:divBdr>
        <w:top w:val="none" w:sz="0" w:space="0" w:color="auto"/>
        <w:left w:val="none" w:sz="0" w:space="0" w:color="auto"/>
        <w:bottom w:val="none" w:sz="0" w:space="0" w:color="auto"/>
        <w:right w:val="none" w:sz="0" w:space="0" w:color="auto"/>
      </w:divBdr>
      <w:divsChild>
        <w:div w:id="195584134">
          <w:marLeft w:val="0"/>
          <w:marRight w:val="0"/>
          <w:marTop w:val="0"/>
          <w:marBottom w:val="0"/>
          <w:divBdr>
            <w:top w:val="none" w:sz="0" w:space="0" w:color="auto"/>
            <w:left w:val="none" w:sz="0" w:space="0" w:color="auto"/>
            <w:bottom w:val="none" w:sz="0" w:space="0" w:color="auto"/>
            <w:right w:val="none" w:sz="0" w:space="0" w:color="auto"/>
          </w:divBdr>
          <w:divsChild>
            <w:div w:id="1138497821">
              <w:marLeft w:val="0"/>
              <w:marRight w:val="0"/>
              <w:marTop w:val="0"/>
              <w:marBottom w:val="0"/>
              <w:divBdr>
                <w:top w:val="none" w:sz="0" w:space="0" w:color="auto"/>
                <w:left w:val="none" w:sz="0" w:space="0" w:color="auto"/>
                <w:bottom w:val="none" w:sz="0" w:space="0" w:color="auto"/>
                <w:right w:val="none" w:sz="0" w:space="0" w:color="auto"/>
              </w:divBdr>
              <w:divsChild>
                <w:div w:id="15492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36690242">
      <w:bodyDiv w:val="1"/>
      <w:marLeft w:val="0"/>
      <w:marRight w:val="0"/>
      <w:marTop w:val="0"/>
      <w:marBottom w:val="0"/>
      <w:divBdr>
        <w:top w:val="none" w:sz="0" w:space="0" w:color="auto"/>
        <w:left w:val="none" w:sz="0" w:space="0" w:color="auto"/>
        <w:bottom w:val="none" w:sz="0" w:space="0" w:color="auto"/>
        <w:right w:val="none" w:sz="0" w:space="0" w:color="auto"/>
      </w:divBdr>
    </w:div>
    <w:div w:id="1371691162">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70111810">
      <w:bodyDiv w:val="1"/>
      <w:marLeft w:val="0"/>
      <w:marRight w:val="0"/>
      <w:marTop w:val="0"/>
      <w:marBottom w:val="0"/>
      <w:divBdr>
        <w:top w:val="none" w:sz="0" w:space="0" w:color="auto"/>
        <w:left w:val="none" w:sz="0" w:space="0" w:color="auto"/>
        <w:bottom w:val="none" w:sz="0" w:space="0" w:color="auto"/>
        <w:right w:val="none" w:sz="0" w:space="0" w:color="auto"/>
      </w:divBdr>
      <w:divsChild>
        <w:div w:id="403643043">
          <w:marLeft w:val="0"/>
          <w:marRight w:val="0"/>
          <w:marTop w:val="0"/>
          <w:marBottom w:val="0"/>
          <w:divBdr>
            <w:top w:val="none" w:sz="0" w:space="0" w:color="auto"/>
            <w:left w:val="none" w:sz="0" w:space="0" w:color="auto"/>
            <w:bottom w:val="none" w:sz="0" w:space="0" w:color="auto"/>
            <w:right w:val="none" w:sz="0" w:space="0" w:color="auto"/>
          </w:divBdr>
          <w:divsChild>
            <w:div w:id="1666739231">
              <w:marLeft w:val="0"/>
              <w:marRight w:val="0"/>
              <w:marTop w:val="0"/>
              <w:marBottom w:val="0"/>
              <w:divBdr>
                <w:top w:val="none" w:sz="0" w:space="0" w:color="auto"/>
                <w:left w:val="none" w:sz="0" w:space="0" w:color="auto"/>
                <w:bottom w:val="none" w:sz="0" w:space="0" w:color="auto"/>
                <w:right w:val="none" w:sz="0" w:space="0" w:color="auto"/>
              </w:divBdr>
              <w:divsChild>
                <w:div w:id="18587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waterquality@agriculture.gov.au" TargetMode="External"/><Relationship Id="rId26" Type="http://schemas.openxmlformats.org/officeDocument/2006/relationships/image" Target="media/image5.emf"/><Relationship Id="rId39" Type="http://schemas.openxmlformats.org/officeDocument/2006/relationships/hyperlink" Target="https://www.ala.org.au/" TargetMode="External"/><Relationship Id="rId21" Type="http://schemas.openxmlformats.org/officeDocument/2006/relationships/footer" Target="footer1.xml"/><Relationship Id="rId34" Type="http://schemas.openxmlformats.org/officeDocument/2006/relationships/footer" Target="footer3.xml"/><Relationship Id="rId42" Type="http://schemas.openxmlformats.org/officeDocument/2006/relationships/hyperlink" Target="https://portal.apvma.gov.au/permits" TargetMode="External"/><Relationship Id="rId47" Type="http://schemas.openxmlformats.org/officeDocument/2006/relationships/hyperlink" Target="http://www.catalogueoflife.org/col" TargetMode="External"/><Relationship Id="rId50" Type="http://schemas.openxmlformats.org/officeDocument/2006/relationships/hyperlink" Target="https://ecotox.ipmcenters.org/" TargetMode="Externa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waterquality.gov.au/anz-guidelines/guideline-values/default/water-quality-toxicants/toxicants" TargetMode="External"/><Relationship Id="rId25" Type="http://schemas.openxmlformats.org/officeDocument/2006/relationships/hyperlink" Target="https://www.waterquality.gov.au/media/281" TargetMode="External"/><Relationship Id="rId33" Type="http://schemas.openxmlformats.org/officeDocument/2006/relationships/header" Target="header6.xml"/><Relationship Id="rId38" Type="http://schemas.openxmlformats.org/officeDocument/2006/relationships/hyperlink" Target="https://eatsafe.nzfsa.govt.nz/web/public/acvm-register" TargetMode="External"/><Relationship Id="rId46" Type="http://schemas.openxmlformats.org/officeDocument/2006/relationships/hyperlink" Target="http://passel.unl.edu/pages/informationmodule.php?idinformationmodule=959117477&amp;topicorder=4&amp;maxto=7" TargetMode="External"/><Relationship Id="rId2" Type="http://schemas.openxmlformats.org/officeDocument/2006/relationships/customXml" Target="../customXml/item2.xml"/><Relationship Id="rId16" Type="http://schemas.openxmlformats.org/officeDocument/2006/relationships/hyperlink" Target="mailto:copyright@agriculture.gov.au" TargetMode="External"/><Relationship Id="rId20" Type="http://schemas.openxmlformats.org/officeDocument/2006/relationships/header" Target="header1.xml"/><Relationship Id="rId29" Type="http://schemas.openxmlformats.org/officeDocument/2006/relationships/header" Target="header3.xml"/><Relationship Id="rId41" Type="http://schemas.openxmlformats.org/officeDocument/2006/relationships/hyperlink" Target="http://apvma.gov.au/node/12556"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aterquality.gov.au/media/282" TargetMode="External"/><Relationship Id="rId32" Type="http://schemas.openxmlformats.org/officeDocument/2006/relationships/header" Target="header5.xml"/><Relationship Id="rId37" Type="http://schemas.openxmlformats.org/officeDocument/2006/relationships/image" Target="media/image8.png"/><Relationship Id="rId40" Type="http://schemas.openxmlformats.org/officeDocument/2006/relationships/hyperlink" Target="https://www.waterquality.gov.au/anz-guidelines" TargetMode="External"/><Relationship Id="rId45" Type="http://schemas.openxmlformats.org/officeDocument/2006/relationships/hyperlink" Target="https://www.itis.gov/"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reativecommons.org/licenses/by/4.0/legalcode" TargetMode="External"/><Relationship Id="rId23" Type="http://schemas.openxmlformats.org/officeDocument/2006/relationships/image" Target="media/image4.png"/><Relationship Id="rId28" Type="http://schemas.openxmlformats.org/officeDocument/2006/relationships/hyperlink" Target="https://www.waterquality.gov.au/anz-guidelines/guideline-values/default/water-quality-toxicants/local-conditions" TargetMode="External"/><Relationship Id="rId36" Type="http://schemas.openxmlformats.org/officeDocument/2006/relationships/image" Target="media/image7.png"/><Relationship Id="rId49" Type="http://schemas.openxmlformats.org/officeDocument/2006/relationships/hyperlink" Target="http://cfpub.epa.gov/ecotox/" TargetMode="External"/><Relationship Id="rId10" Type="http://schemas.openxmlformats.org/officeDocument/2006/relationships/webSettings" Target="webSettings.xml"/><Relationship Id="rId19" Type="http://schemas.openxmlformats.org/officeDocument/2006/relationships/image" Target="media/image2.jpg"/><Relationship Id="rId31" Type="http://schemas.openxmlformats.org/officeDocument/2006/relationships/footer" Target="footer2.xml"/><Relationship Id="rId44" Type="http://schemas.openxmlformats.org/officeDocument/2006/relationships/hyperlink" Target="http://www.algaebase.org/" TargetMode="External"/><Relationship Id="rId52"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header" Target="header2.xml"/><Relationship Id="rId27" Type="http://schemas.openxmlformats.org/officeDocument/2006/relationships/hyperlink" Target="http://www.waterquality.gov.au/anz-guidelines" TargetMode="External"/><Relationship Id="rId30" Type="http://schemas.openxmlformats.org/officeDocument/2006/relationships/header" Target="header4.xml"/><Relationship Id="rId35" Type="http://schemas.openxmlformats.org/officeDocument/2006/relationships/image" Target="media/image6.emf"/><Relationship Id="rId43" Type="http://schemas.openxmlformats.org/officeDocument/2006/relationships/hyperlink" Target="http://ceqg-rcqe.ccme.ca/download/en/182" TargetMode="External"/><Relationship Id="rId48" Type="http://schemas.openxmlformats.org/officeDocument/2006/relationships/hyperlink" Target="http://sitem.herts.ac.uk/aeru/ppdb/en/Reports/27.htm" TargetMode="External"/><Relationship Id="rId8" Type="http://schemas.openxmlformats.org/officeDocument/2006/relationships/styles" Target="styles.xml"/><Relationship Id="rId51" Type="http://schemas.openxmlformats.org/officeDocument/2006/relationships/hyperlink" Target="http://www.marinespecies.org/"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BCF04297E7495D9D8E1D30CC03263B"/>
        <w:category>
          <w:name w:val="General"/>
          <w:gallery w:val="placeholder"/>
        </w:category>
        <w:types>
          <w:type w:val="bbPlcHdr"/>
        </w:types>
        <w:behaviors>
          <w:behavior w:val="content"/>
        </w:behaviors>
        <w:guid w:val="{11EFF7B6-C8E3-49AC-ADBD-F4FCE6451FBA}"/>
      </w:docPartPr>
      <w:docPartBody>
        <w:p w:rsidR="00D15BFB" w:rsidRDefault="00D15BFB" w:rsidP="00D15BFB">
          <w:pPr>
            <w:pStyle w:val="D0BCF04297E7495D9D8E1D30CC03263B"/>
          </w:pPr>
          <w:r w:rsidRPr="00BE52A7">
            <w:rPr>
              <w:rStyle w:val="PlaceholderText"/>
            </w:rPr>
            <w:t>Click here to enter text.</w:t>
          </w:r>
        </w:p>
      </w:docPartBody>
    </w:docPart>
    <w:docPart>
      <w:docPartPr>
        <w:name w:val="8D2D6BF2B9CE4B688713F9FEE2EDF6BC"/>
        <w:category>
          <w:name w:val="General"/>
          <w:gallery w:val="placeholder"/>
        </w:category>
        <w:types>
          <w:type w:val="bbPlcHdr"/>
        </w:types>
        <w:behaviors>
          <w:behavior w:val="content"/>
        </w:behaviors>
        <w:guid w:val="{2025F143-2720-4C03-A690-183C69BABB3F}"/>
      </w:docPartPr>
      <w:docPartBody>
        <w:p w:rsidR="007019DD" w:rsidRDefault="00D15BFB" w:rsidP="00D15BFB">
          <w:pPr>
            <w:pStyle w:val="8D2D6BF2B9CE4B688713F9FEE2EDF6BC"/>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42854"/>
    <w:rsid w:val="000B4DF2"/>
    <w:rsid w:val="000B7708"/>
    <w:rsid w:val="00193612"/>
    <w:rsid w:val="001D6539"/>
    <w:rsid w:val="00203DD8"/>
    <w:rsid w:val="00253608"/>
    <w:rsid w:val="002F3822"/>
    <w:rsid w:val="00304F83"/>
    <w:rsid w:val="00325E46"/>
    <w:rsid w:val="00346CC3"/>
    <w:rsid w:val="00383395"/>
    <w:rsid w:val="00441C01"/>
    <w:rsid w:val="00516C30"/>
    <w:rsid w:val="00583213"/>
    <w:rsid w:val="00615479"/>
    <w:rsid w:val="00691BDA"/>
    <w:rsid w:val="006A4097"/>
    <w:rsid w:val="006C5A36"/>
    <w:rsid w:val="006C7E81"/>
    <w:rsid w:val="006D7A1F"/>
    <w:rsid w:val="007019DD"/>
    <w:rsid w:val="00716058"/>
    <w:rsid w:val="00750303"/>
    <w:rsid w:val="00756703"/>
    <w:rsid w:val="00792A9C"/>
    <w:rsid w:val="007E1690"/>
    <w:rsid w:val="008C5B2B"/>
    <w:rsid w:val="009F69E8"/>
    <w:rsid w:val="00A53A94"/>
    <w:rsid w:val="00AB61A7"/>
    <w:rsid w:val="00B7057B"/>
    <w:rsid w:val="00B87188"/>
    <w:rsid w:val="00BB7D69"/>
    <w:rsid w:val="00BD2FDD"/>
    <w:rsid w:val="00C614BB"/>
    <w:rsid w:val="00C6758E"/>
    <w:rsid w:val="00D15BFB"/>
    <w:rsid w:val="00E32795"/>
    <w:rsid w:val="00E43A7A"/>
    <w:rsid w:val="00EC2EE7"/>
    <w:rsid w:val="00EF6EB6"/>
    <w:rsid w:val="00F314AA"/>
    <w:rsid w:val="00F61A57"/>
    <w:rsid w:val="00FE3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BFB"/>
    <w:rPr>
      <w:color w:val="808080"/>
    </w:rPr>
  </w:style>
  <w:style w:type="paragraph" w:customStyle="1" w:styleId="D0BCF04297E7495D9D8E1D30CC03263B">
    <w:name w:val="D0BCF04297E7495D9D8E1D30CC03263B"/>
    <w:rsid w:val="00D15BFB"/>
    <w:pPr>
      <w:spacing w:after="200" w:line="276" w:lineRule="auto"/>
    </w:pPr>
  </w:style>
  <w:style w:type="paragraph" w:customStyle="1" w:styleId="8D2D6BF2B9CE4B688713F9FEE2EDF6BC">
    <w:name w:val="8D2D6BF2B9CE4B688713F9FEE2EDF6BC"/>
    <w:rsid w:val="00D15BF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18E0BDD1F7314546A944FB163ACEB71C" ma:contentTypeVersion="10" ma:contentTypeDescription="SPIRE Document" ma:contentTypeScope="" ma:versionID="9517c3cd7426ed7f9780ddff4aab9e73">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a5ccb46502d7f67011865d302baaff3"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pireDeleted xmlns="c25cb30a-de11-40ab-bdcc-f1d56023b01d" xsi:nil="true"/>
    <SpireDeletedDate xmlns="c25cb30a-de11-40ab-bdcc-f1d56023b01d" xsi:nil="true"/>
    <SpireDeletedBy xmlns="c25cb30a-de11-40ab-bdcc-f1d56023b01d">
      <UserInfo>
        <DisplayName/>
        <AccountId xsi:nil="true"/>
        <AccountType/>
      </UserInfo>
    </SpireDeletedBy>
    <Function xmlns="c25cb30a-de11-40ab-bdcc-f1d56023b01d">Program Admin</Function>
    <IconOverlay xmlns="http://schemas.microsoft.com/sharepoint/v4" xsi:nil="true"/>
    <DocumentDescription xmlns="c25cb30a-de11-40ab-bdcc-f1d56023b01d">Technical brief</DocumentDescription>
    <RecordNumber xmlns="c25cb30a-de11-40ab-bdcc-f1d56023b01d" xsi:nil="true"/>
    <Approval xmlns="c25cb30a-de11-40ab-bdcc-f1d56023b01d" xsi:nil="true"/>
  </documentManagement>
</p:properti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CE546-3E0F-4174-A106-4E7F4E698FD2}">
  <ds:schemaRefs>
    <ds:schemaRef ds:uri="http://schemas.microsoft.com/office/2006/metadata/customXsn"/>
  </ds:schemaRefs>
</ds:datastoreItem>
</file>

<file path=customXml/itemProps2.xml><?xml version="1.0" encoding="utf-8"?>
<ds:datastoreItem xmlns:ds="http://schemas.openxmlformats.org/officeDocument/2006/customXml" ds:itemID="{632F51C3-4D88-4C23-BA06-1DA6BB0D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4.xml><?xml version="1.0" encoding="utf-8"?>
<ds:datastoreItem xmlns:ds="http://schemas.openxmlformats.org/officeDocument/2006/customXml" ds:itemID="{A1D323EF-822C-4E4A-9DA5-304476EA7B2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25cb30a-de11-40ab-bdcc-f1d56023b01d"/>
    <ds:schemaRef ds:uri="http://schemas.microsoft.com/sharepoint/v4"/>
    <ds:schemaRef ds:uri="http://www.w3.org/XML/1998/namespace"/>
  </ds:schemaRefs>
</ds:datastoreItem>
</file>

<file path=customXml/itemProps5.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6.xml><?xml version="1.0" encoding="utf-8"?>
<ds:datastoreItem xmlns:ds="http://schemas.openxmlformats.org/officeDocument/2006/customXml" ds:itemID="{99800D8D-3D15-4447-B127-2A5BF1E0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8170</Words>
  <Characters>46575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Glyphosate in freshwater</vt:lpstr>
    </vt:vector>
  </TitlesOfParts>
  <Company/>
  <LinksUpToDate>false</LinksUpToDate>
  <CharactersWithSpaces>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Glyphosate in freshwater</dc:title>
  <dc:creator>Department of Agriculture, Water and the Environment</dc:creator>
  <cp:lastModifiedBy>Grocott, Paul</cp:lastModifiedBy>
  <cp:revision>9</cp:revision>
  <cp:lastPrinted>2019-08-16T00:21:00Z</cp:lastPrinted>
  <dcterms:created xsi:type="dcterms:W3CDTF">2021-04-29T00:16:00Z</dcterms:created>
  <dcterms:modified xsi:type="dcterms:W3CDTF">2021-06-30T04:23:00Z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0x010100F467F77E5006AC4183EC66C58CB60CCF0018E0BDD1F7314546A944FB163ACEB71C</vt:lpwstr>
  </property>
</Properties>
</file>